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1D" w:rsidRPr="00450C00" w:rsidRDefault="004D75FE" w:rsidP="00450C00">
      <w:pPr>
        <w:shd w:val="clear" w:color="auto" w:fill="FFFFFF"/>
        <w:bidi w:val="0"/>
        <w:snapToGrid w:val="0"/>
        <w:ind w:right="6"/>
        <w:jc w:val="center"/>
        <w:rPr>
          <w:rFonts w:eastAsia="Calibri"/>
          <w:b/>
          <w:bCs/>
          <w:sz w:val="20"/>
          <w:szCs w:val="20"/>
        </w:rPr>
      </w:pPr>
      <w:bookmarkStart w:id="0" w:name="_Hlk488270781"/>
      <w:proofErr w:type="spellStart"/>
      <w:r w:rsidRPr="00450C00">
        <w:rPr>
          <w:rFonts w:eastAsia="Calibri"/>
          <w:b/>
          <w:bCs/>
          <w:sz w:val="20"/>
          <w:szCs w:val="20"/>
        </w:rPr>
        <w:t>Clomiphene</w:t>
      </w:r>
      <w:proofErr w:type="spellEnd"/>
      <w:r w:rsidRPr="00450C00">
        <w:rPr>
          <w:rFonts w:eastAsia="Calibri"/>
          <w:b/>
          <w:bCs/>
          <w:sz w:val="20"/>
          <w:szCs w:val="20"/>
        </w:rPr>
        <w:t xml:space="preserve"> Citrate Stair Step Protocol with </w:t>
      </w:r>
      <w:proofErr w:type="spellStart"/>
      <w:r w:rsidRPr="00450C00">
        <w:rPr>
          <w:rFonts w:eastAsia="Calibri"/>
          <w:b/>
          <w:bCs/>
          <w:sz w:val="20"/>
          <w:szCs w:val="20"/>
        </w:rPr>
        <w:t>Phytoestrogen</w:t>
      </w:r>
      <w:proofErr w:type="spellEnd"/>
      <w:r w:rsidRPr="00450C00">
        <w:rPr>
          <w:rFonts w:eastAsia="Calibri"/>
          <w:b/>
          <w:bCs/>
          <w:sz w:val="20"/>
          <w:szCs w:val="20"/>
        </w:rPr>
        <w:t xml:space="preserve"> Vs. Traditional Protocol in Patient with Polycystic Ovary Syndrome</w:t>
      </w:r>
      <w:bookmarkEnd w:id="0"/>
    </w:p>
    <w:p w:rsidR="00036C1D" w:rsidRPr="00450C00" w:rsidRDefault="00036C1D" w:rsidP="00450C00">
      <w:pPr>
        <w:shd w:val="clear" w:color="auto" w:fill="FFFFFF"/>
        <w:bidi w:val="0"/>
        <w:snapToGrid w:val="0"/>
        <w:ind w:right="6"/>
        <w:jc w:val="center"/>
        <w:rPr>
          <w:rFonts w:eastAsia="Calibri"/>
          <w:b/>
          <w:bCs/>
          <w:sz w:val="20"/>
          <w:szCs w:val="20"/>
        </w:rPr>
      </w:pPr>
    </w:p>
    <w:p w:rsidR="00036C1D" w:rsidRPr="00450C00" w:rsidRDefault="004D75FE" w:rsidP="00450C00">
      <w:pPr>
        <w:shd w:val="clear" w:color="auto" w:fill="FFFFFF"/>
        <w:bidi w:val="0"/>
        <w:snapToGrid w:val="0"/>
        <w:ind w:right="6"/>
        <w:jc w:val="center"/>
        <w:rPr>
          <w:sz w:val="20"/>
          <w:szCs w:val="20"/>
          <w:vertAlign w:val="superscript"/>
          <w:lang w:eastAsia="zh-CN"/>
        </w:rPr>
      </w:pPr>
      <w:proofErr w:type="spellStart"/>
      <w:r w:rsidRPr="00450C00">
        <w:rPr>
          <w:rFonts w:eastAsia="Calibri"/>
          <w:sz w:val="20"/>
          <w:szCs w:val="20"/>
        </w:rPr>
        <w:t>Asem</w:t>
      </w:r>
      <w:proofErr w:type="spellEnd"/>
      <w:r w:rsidRPr="00450C00">
        <w:rPr>
          <w:rFonts w:eastAsia="Calibri"/>
          <w:sz w:val="20"/>
          <w:szCs w:val="20"/>
        </w:rPr>
        <w:t xml:space="preserve"> A. </w:t>
      </w:r>
      <w:proofErr w:type="spellStart"/>
      <w:r w:rsidRPr="00450C00">
        <w:rPr>
          <w:rFonts w:eastAsia="Calibri"/>
          <w:sz w:val="20"/>
          <w:szCs w:val="20"/>
        </w:rPr>
        <w:t>Mousa</w:t>
      </w:r>
      <w:proofErr w:type="spellEnd"/>
      <w:r w:rsidRPr="00450C00">
        <w:rPr>
          <w:rFonts w:eastAsia="Calibri"/>
          <w:sz w:val="20"/>
          <w:szCs w:val="20"/>
        </w:rPr>
        <w:t xml:space="preserve"> (MD)</w:t>
      </w:r>
      <w:r w:rsidR="00F03D7B" w:rsidRPr="00450C00">
        <w:rPr>
          <w:rFonts w:eastAsia="Calibri"/>
          <w:sz w:val="20"/>
          <w:szCs w:val="20"/>
          <w:vertAlign w:val="superscript"/>
        </w:rPr>
        <w:t>1</w:t>
      </w:r>
      <w:r w:rsidRPr="00450C00">
        <w:rPr>
          <w:rFonts w:eastAsia="Calibri"/>
          <w:sz w:val="20"/>
          <w:szCs w:val="20"/>
        </w:rPr>
        <w:t>, Mohamed A. Mohamed (MD)</w:t>
      </w:r>
      <w:r w:rsidR="00F03D7B" w:rsidRPr="00450C00">
        <w:rPr>
          <w:rFonts w:eastAsia="Calibri"/>
          <w:sz w:val="20"/>
          <w:szCs w:val="20"/>
          <w:vertAlign w:val="superscript"/>
        </w:rPr>
        <w:t>1</w:t>
      </w:r>
      <w:r w:rsidRPr="00450C00">
        <w:rPr>
          <w:rFonts w:eastAsia="Calibri"/>
          <w:sz w:val="20"/>
          <w:szCs w:val="20"/>
        </w:rPr>
        <w:t xml:space="preserve">, </w:t>
      </w:r>
      <w:proofErr w:type="spellStart"/>
      <w:r w:rsidRPr="00450C00">
        <w:rPr>
          <w:rFonts w:eastAsia="Calibri"/>
          <w:sz w:val="20"/>
          <w:szCs w:val="20"/>
        </w:rPr>
        <w:t>Waleed</w:t>
      </w:r>
      <w:proofErr w:type="spellEnd"/>
      <w:r w:rsidRPr="00450C00">
        <w:rPr>
          <w:rFonts w:eastAsia="Calibri"/>
          <w:sz w:val="20"/>
          <w:szCs w:val="20"/>
        </w:rPr>
        <w:t xml:space="preserve"> A. </w:t>
      </w:r>
      <w:proofErr w:type="spellStart"/>
      <w:r w:rsidRPr="00450C00">
        <w:rPr>
          <w:rFonts w:eastAsia="Calibri"/>
          <w:sz w:val="20"/>
          <w:szCs w:val="20"/>
        </w:rPr>
        <w:t>Saad</w:t>
      </w:r>
      <w:proofErr w:type="spellEnd"/>
      <w:r w:rsidRPr="00450C00">
        <w:rPr>
          <w:rFonts w:eastAsia="Calibri"/>
          <w:sz w:val="20"/>
          <w:szCs w:val="20"/>
        </w:rPr>
        <w:t xml:space="preserve"> (MBBCH)</w:t>
      </w:r>
      <w:r w:rsidR="00F03D7B" w:rsidRPr="00450C00">
        <w:rPr>
          <w:rFonts w:eastAsia="Calibri"/>
          <w:sz w:val="20"/>
          <w:szCs w:val="20"/>
          <w:vertAlign w:val="superscript"/>
        </w:rPr>
        <w:t>2</w:t>
      </w:r>
    </w:p>
    <w:p w:rsidR="00036C1D" w:rsidRPr="00450C00" w:rsidRDefault="00036C1D" w:rsidP="00450C00">
      <w:pPr>
        <w:shd w:val="clear" w:color="auto" w:fill="FFFFFF"/>
        <w:bidi w:val="0"/>
        <w:snapToGrid w:val="0"/>
        <w:ind w:right="6"/>
        <w:jc w:val="center"/>
        <w:rPr>
          <w:sz w:val="20"/>
          <w:szCs w:val="20"/>
          <w:vertAlign w:val="superscript"/>
          <w:lang w:eastAsia="zh-CN"/>
        </w:rPr>
      </w:pPr>
    </w:p>
    <w:p w:rsidR="004D75FE" w:rsidRPr="00450C00" w:rsidRDefault="00F03D7B" w:rsidP="00450C00">
      <w:pPr>
        <w:bidi w:val="0"/>
        <w:snapToGrid w:val="0"/>
        <w:ind w:right="6"/>
        <w:jc w:val="center"/>
        <w:rPr>
          <w:rFonts w:eastAsia="Calibri"/>
          <w:sz w:val="20"/>
          <w:szCs w:val="20"/>
        </w:rPr>
      </w:pPr>
      <w:r w:rsidRPr="00450C00">
        <w:rPr>
          <w:rFonts w:eastAsia="Calibri"/>
          <w:sz w:val="20"/>
          <w:szCs w:val="20"/>
          <w:vertAlign w:val="superscript"/>
        </w:rPr>
        <w:t>2</w:t>
      </w:r>
      <w:r w:rsidR="004D75FE" w:rsidRPr="00450C00">
        <w:rPr>
          <w:rFonts w:eastAsia="Calibri"/>
          <w:sz w:val="20"/>
          <w:szCs w:val="20"/>
        </w:rPr>
        <w:t xml:space="preserve">Department of obstetrics and gynecology, Faculty of Medicine, Al </w:t>
      </w:r>
      <w:proofErr w:type="spellStart"/>
      <w:r w:rsidR="004D75FE" w:rsidRPr="00450C00">
        <w:rPr>
          <w:rFonts w:eastAsia="Calibri"/>
          <w:sz w:val="20"/>
          <w:szCs w:val="20"/>
        </w:rPr>
        <w:t>Azhar</w:t>
      </w:r>
      <w:proofErr w:type="spellEnd"/>
      <w:r w:rsidR="004D75FE" w:rsidRPr="00450C00">
        <w:rPr>
          <w:rFonts w:eastAsia="Calibri"/>
          <w:sz w:val="20"/>
          <w:szCs w:val="20"/>
        </w:rPr>
        <w:t xml:space="preserve"> University, Cairo, Egypt</w:t>
      </w:r>
    </w:p>
    <w:p w:rsidR="004D75FE" w:rsidRPr="00450C00" w:rsidRDefault="00F03D7B" w:rsidP="00450C00">
      <w:pPr>
        <w:bidi w:val="0"/>
        <w:snapToGrid w:val="0"/>
        <w:ind w:right="6"/>
        <w:jc w:val="center"/>
        <w:rPr>
          <w:sz w:val="20"/>
          <w:szCs w:val="20"/>
          <w:lang w:bidi="ar-EG"/>
        </w:rPr>
      </w:pPr>
      <w:r w:rsidRPr="00450C00">
        <w:rPr>
          <w:rFonts w:eastAsia="Calibri"/>
          <w:sz w:val="20"/>
          <w:szCs w:val="20"/>
          <w:vertAlign w:val="superscript"/>
        </w:rPr>
        <w:t>2</w:t>
      </w:r>
      <w:r w:rsidR="004D75FE" w:rsidRPr="00450C00">
        <w:rPr>
          <w:rFonts w:eastAsia="Calibri"/>
          <w:sz w:val="20"/>
          <w:szCs w:val="20"/>
        </w:rPr>
        <w:t xml:space="preserve"> Resident of obstetrics and gynecology at El </w:t>
      </w:r>
      <w:proofErr w:type="spellStart"/>
      <w:r w:rsidR="004D75FE" w:rsidRPr="00450C00">
        <w:rPr>
          <w:rFonts w:eastAsia="Calibri"/>
          <w:sz w:val="20"/>
          <w:szCs w:val="20"/>
        </w:rPr>
        <w:t>Shahada</w:t>
      </w:r>
      <w:proofErr w:type="spellEnd"/>
      <w:r w:rsidR="004D75FE" w:rsidRPr="00450C00">
        <w:rPr>
          <w:rFonts w:eastAsia="Calibri"/>
          <w:sz w:val="20"/>
          <w:szCs w:val="20"/>
        </w:rPr>
        <w:t xml:space="preserve"> Central hospital, </w:t>
      </w:r>
      <w:proofErr w:type="spellStart"/>
      <w:r w:rsidR="004D75FE" w:rsidRPr="00450C00">
        <w:rPr>
          <w:rFonts w:eastAsia="Calibri"/>
          <w:sz w:val="20"/>
          <w:szCs w:val="20"/>
        </w:rPr>
        <w:t>Menoufia</w:t>
      </w:r>
      <w:proofErr w:type="spellEnd"/>
      <w:r w:rsidR="004D75FE" w:rsidRPr="00450C00">
        <w:rPr>
          <w:rFonts w:eastAsia="Calibri"/>
          <w:sz w:val="20"/>
          <w:szCs w:val="20"/>
        </w:rPr>
        <w:t>, Egypt</w:t>
      </w:r>
    </w:p>
    <w:p w:rsidR="00036C1D" w:rsidRPr="00450C00" w:rsidRDefault="00524728" w:rsidP="00450C00">
      <w:pPr>
        <w:shd w:val="clear" w:color="auto" w:fill="FFFFFF"/>
        <w:bidi w:val="0"/>
        <w:snapToGrid w:val="0"/>
        <w:ind w:right="6"/>
        <w:jc w:val="center"/>
        <w:rPr>
          <w:b/>
          <w:bCs/>
          <w:sz w:val="20"/>
          <w:szCs w:val="20"/>
          <w:lang w:eastAsia="zh-CN"/>
        </w:rPr>
      </w:pPr>
      <w:hyperlink r:id="rId7" w:history="1">
        <w:r w:rsidR="00F53201" w:rsidRPr="00450C00">
          <w:rPr>
            <w:rStyle w:val="Hyperlink"/>
            <w:rFonts w:eastAsia="Calibri"/>
            <w:sz w:val="20"/>
            <w:szCs w:val="20"/>
          </w:rPr>
          <w:t>magro_modeller@yahoo.com</w:t>
        </w:r>
      </w:hyperlink>
    </w:p>
    <w:p w:rsidR="00036C1D" w:rsidRPr="00450C00" w:rsidRDefault="00036C1D" w:rsidP="00450C00">
      <w:pPr>
        <w:shd w:val="clear" w:color="auto" w:fill="FFFFFF"/>
        <w:bidi w:val="0"/>
        <w:snapToGrid w:val="0"/>
        <w:ind w:right="6"/>
        <w:jc w:val="center"/>
        <w:rPr>
          <w:b/>
          <w:bCs/>
          <w:sz w:val="20"/>
          <w:szCs w:val="20"/>
          <w:lang w:eastAsia="zh-CN"/>
        </w:rPr>
      </w:pPr>
    </w:p>
    <w:p w:rsidR="00446D71" w:rsidRPr="00450C00" w:rsidRDefault="00F03D7B" w:rsidP="000162D9">
      <w:pPr>
        <w:tabs>
          <w:tab w:val="left" w:pos="567"/>
        </w:tabs>
        <w:bidi w:val="0"/>
        <w:snapToGrid w:val="0"/>
        <w:jc w:val="both"/>
        <w:rPr>
          <w:sz w:val="20"/>
          <w:szCs w:val="20"/>
        </w:rPr>
      </w:pPr>
      <w:r w:rsidRPr="00450C00">
        <w:rPr>
          <w:b/>
          <w:bCs/>
          <w:sz w:val="20"/>
          <w:szCs w:val="20"/>
          <w:lang w:bidi="ar-EG"/>
        </w:rPr>
        <w:t xml:space="preserve">Abstract: </w:t>
      </w:r>
      <w:r w:rsidR="00EF5C89" w:rsidRPr="00450C00">
        <w:rPr>
          <w:b/>
          <w:bCs/>
          <w:sz w:val="20"/>
          <w:szCs w:val="20"/>
          <w:lang w:bidi="ar-EG"/>
        </w:rPr>
        <w:t xml:space="preserve">Objective: </w:t>
      </w:r>
      <w:r w:rsidR="00EF5C89" w:rsidRPr="00450C00">
        <w:rPr>
          <w:sz w:val="20"/>
          <w:szCs w:val="20"/>
        </w:rPr>
        <w:t xml:space="preserve">The objective of this study was to </w:t>
      </w:r>
      <w:r w:rsidR="00524360" w:rsidRPr="00450C00">
        <w:rPr>
          <w:sz w:val="20"/>
          <w:szCs w:val="20"/>
        </w:rPr>
        <w:t xml:space="preserve">evaluate the efficacy of </w:t>
      </w:r>
      <w:proofErr w:type="spellStart"/>
      <w:r w:rsidR="00524360" w:rsidRPr="00450C00">
        <w:rPr>
          <w:sz w:val="20"/>
          <w:szCs w:val="20"/>
        </w:rPr>
        <w:t>clomiphene</w:t>
      </w:r>
      <w:proofErr w:type="spellEnd"/>
      <w:r w:rsidR="00524360" w:rsidRPr="00450C00">
        <w:rPr>
          <w:sz w:val="20"/>
          <w:szCs w:val="20"/>
        </w:rPr>
        <w:t xml:space="preserve"> citrate (CC) combined with </w:t>
      </w:r>
      <w:proofErr w:type="spellStart"/>
      <w:r w:rsidR="00524360" w:rsidRPr="00450C00">
        <w:rPr>
          <w:sz w:val="20"/>
          <w:szCs w:val="20"/>
        </w:rPr>
        <w:t>phytoestrogens</w:t>
      </w:r>
      <w:proofErr w:type="spellEnd"/>
      <w:r w:rsidR="00524360" w:rsidRPr="00450C00">
        <w:rPr>
          <w:sz w:val="20"/>
          <w:szCs w:val="20"/>
        </w:rPr>
        <w:t xml:space="preserve"> in stair step versus traditional protocol to induce ovulation in women with polycystic ovarian syndrome (PCOS).</w:t>
      </w:r>
      <w:r w:rsidRPr="00450C00">
        <w:rPr>
          <w:sz w:val="20"/>
          <w:szCs w:val="20"/>
        </w:rPr>
        <w:t xml:space="preserve"> </w:t>
      </w:r>
      <w:r w:rsidR="00EF5C89" w:rsidRPr="00450C00">
        <w:rPr>
          <w:b/>
          <w:bCs/>
          <w:sz w:val="20"/>
          <w:szCs w:val="20"/>
          <w:lang w:bidi="ar-EG"/>
        </w:rPr>
        <w:t>Patients and methods:</w:t>
      </w:r>
      <w:r w:rsidR="00EF5C89" w:rsidRPr="00450C00">
        <w:rPr>
          <w:sz w:val="20"/>
          <w:szCs w:val="20"/>
          <w:lang w:bidi="ar-EG"/>
        </w:rPr>
        <w:t xml:space="preserve"> </w:t>
      </w:r>
      <w:r w:rsidR="00A60F9D" w:rsidRPr="00450C00">
        <w:rPr>
          <w:sz w:val="20"/>
          <w:szCs w:val="20"/>
          <w:lang w:bidi="ar-EG"/>
        </w:rPr>
        <w:t xml:space="preserve">This comparative study was conducted on 100 patients with PCOS who were divided into two groups; </w:t>
      </w:r>
      <w:r w:rsidR="00286094" w:rsidRPr="00450C00">
        <w:rPr>
          <w:b/>
          <w:bCs/>
          <w:sz w:val="20"/>
          <w:szCs w:val="20"/>
          <w:lang w:bidi="ar-EG"/>
        </w:rPr>
        <w:t>G</w:t>
      </w:r>
      <w:r w:rsidR="00A60F9D" w:rsidRPr="00450C00">
        <w:rPr>
          <w:b/>
          <w:bCs/>
          <w:sz w:val="20"/>
          <w:szCs w:val="20"/>
          <w:lang w:bidi="ar-EG"/>
        </w:rPr>
        <w:t xml:space="preserve">roup </w:t>
      </w:r>
      <w:r w:rsidR="00F43033" w:rsidRPr="00450C00">
        <w:rPr>
          <w:b/>
          <w:bCs/>
          <w:sz w:val="20"/>
          <w:szCs w:val="20"/>
          <w:lang w:bidi="ar-EG"/>
        </w:rPr>
        <w:t>I</w:t>
      </w:r>
      <w:r w:rsidR="008C5BB7" w:rsidRPr="00450C00">
        <w:rPr>
          <w:sz w:val="20"/>
          <w:szCs w:val="20"/>
          <w:lang w:bidi="ar-EG"/>
        </w:rPr>
        <w:t xml:space="preserve"> (traditional protocol) included 50 patients who received CC 50 mg daily for 5 days from the second day of the cycle with </w:t>
      </w:r>
      <w:proofErr w:type="spellStart"/>
      <w:r w:rsidR="008C5BB7" w:rsidRPr="00450C00">
        <w:rPr>
          <w:sz w:val="20"/>
          <w:szCs w:val="20"/>
          <w:lang w:bidi="ar-EG"/>
        </w:rPr>
        <w:t>folliculometry</w:t>
      </w:r>
      <w:proofErr w:type="spellEnd"/>
      <w:r w:rsidR="008C5BB7" w:rsidRPr="00450C00">
        <w:rPr>
          <w:sz w:val="20"/>
          <w:szCs w:val="20"/>
          <w:lang w:bidi="ar-EG"/>
        </w:rPr>
        <w:t xml:space="preserve"> started at day 8, </w:t>
      </w:r>
      <w:r w:rsidR="00A60F9D" w:rsidRPr="00450C00">
        <w:rPr>
          <w:sz w:val="20"/>
          <w:szCs w:val="20"/>
          <w:lang w:bidi="ar-EG"/>
        </w:rPr>
        <w:t>an</w:t>
      </w:r>
      <w:r w:rsidR="00286094" w:rsidRPr="00450C00">
        <w:rPr>
          <w:sz w:val="20"/>
          <w:szCs w:val="20"/>
          <w:lang w:bidi="ar-EG"/>
        </w:rPr>
        <w:t xml:space="preserve">d </w:t>
      </w:r>
      <w:r w:rsidR="00286094" w:rsidRPr="00450C00">
        <w:rPr>
          <w:b/>
          <w:bCs/>
          <w:sz w:val="20"/>
          <w:szCs w:val="20"/>
          <w:lang w:bidi="ar-EG"/>
        </w:rPr>
        <w:t>G</w:t>
      </w:r>
      <w:r w:rsidR="00F43033" w:rsidRPr="00450C00">
        <w:rPr>
          <w:b/>
          <w:bCs/>
          <w:sz w:val="20"/>
          <w:szCs w:val="20"/>
          <w:lang w:bidi="ar-EG"/>
        </w:rPr>
        <w:t>roup II</w:t>
      </w:r>
      <w:r w:rsidR="008C5BB7" w:rsidRPr="00450C00">
        <w:rPr>
          <w:sz w:val="20"/>
          <w:szCs w:val="20"/>
          <w:lang w:bidi="ar-EG"/>
        </w:rPr>
        <w:t xml:space="preserve"> (Stair step protocol) included 50 patients who received CC 50 mg daily for 5 days from the second day of the cycle with </w:t>
      </w:r>
      <w:proofErr w:type="spellStart"/>
      <w:r w:rsidR="008C5BB7" w:rsidRPr="00450C00">
        <w:rPr>
          <w:sz w:val="20"/>
          <w:szCs w:val="20"/>
          <w:lang w:bidi="ar-EG"/>
        </w:rPr>
        <w:t>folliculometry</w:t>
      </w:r>
      <w:proofErr w:type="spellEnd"/>
      <w:r w:rsidR="008C5BB7" w:rsidRPr="00450C00">
        <w:rPr>
          <w:sz w:val="20"/>
          <w:szCs w:val="20"/>
          <w:lang w:bidi="ar-EG"/>
        </w:rPr>
        <w:t xml:space="preserve"> started at day 8, when the mean diameter of the follicle is below 11mm on cycle day 14, the dosage was increased to 100 mg/day for</w:t>
      </w:r>
      <w:r w:rsidR="000162D9" w:rsidRPr="00450C00">
        <w:rPr>
          <w:sz w:val="20"/>
          <w:szCs w:val="20"/>
          <w:lang w:bidi="ar-EG"/>
        </w:rPr>
        <w:t xml:space="preserve"> </w:t>
      </w:r>
      <w:r w:rsidR="008C5BB7" w:rsidRPr="00450C00">
        <w:rPr>
          <w:sz w:val="20"/>
          <w:szCs w:val="20"/>
          <w:lang w:bidi="ar-EG"/>
        </w:rPr>
        <w:t>another 5 days with re-evaluation on cycle day 19 by ultrasound.</w:t>
      </w:r>
      <w:r w:rsidR="00A60F9D" w:rsidRPr="00450C00">
        <w:rPr>
          <w:sz w:val="20"/>
          <w:szCs w:val="20"/>
          <w:lang w:bidi="ar-EG"/>
        </w:rPr>
        <w:t xml:space="preserve"> </w:t>
      </w:r>
      <w:r w:rsidR="008C5BB7" w:rsidRPr="00450C00">
        <w:rPr>
          <w:sz w:val="20"/>
          <w:szCs w:val="20"/>
          <w:lang w:bidi="ar-EG"/>
        </w:rPr>
        <w:t xml:space="preserve">In addition, </w:t>
      </w:r>
      <w:r w:rsidR="00F43033" w:rsidRPr="00450C00">
        <w:rPr>
          <w:b/>
          <w:bCs/>
          <w:sz w:val="20"/>
          <w:szCs w:val="20"/>
          <w:lang w:bidi="ar-EG"/>
        </w:rPr>
        <w:t>Group III:</w:t>
      </w:r>
      <w:r w:rsidR="00F43033" w:rsidRPr="00450C00">
        <w:rPr>
          <w:sz w:val="20"/>
          <w:szCs w:val="20"/>
          <w:lang w:bidi="ar-EG"/>
        </w:rPr>
        <w:t xml:space="preserve"> including 50 patients with traditional protocol without taken </w:t>
      </w:r>
      <w:proofErr w:type="spellStart"/>
      <w:r w:rsidR="00F43033" w:rsidRPr="00450C00">
        <w:rPr>
          <w:sz w:val="20"/>
          <w:szCs w:val="20"/>
          <w:lang w:bidi="ar-EG"/>
        </w:rPr>
        <w:t>phytoestrogen</w:t>
      </w:r>
      <w:proofErr w:type="spellEnd"/>
      <w:r w:rsidR="00F43033" w:rsidRPr="00450C00">
        <w:rPr>
          <w:sz w:val="20"/>
          <w:szCs w:val="20"/>
          <w:lang w:bidi="ar-EG"/>
        </w:rPr>
        <w:t xml:space="preserve"> (control group</w:t>
      </w:r>
      <w:r w:rsidR="000876D3" w:rsidRPr="00450C00">
        <w:rPr>
          <w:sz w:val="20"/>
          <w:szCs w:val="20"/>
          <w:lang w:bidi="ar-EG"/>
        </w:rPr>
        <w:t>). Both</w:t>
      </w:r>
      <w:r w:rsidR="00A60F9D" w:rsidRPr="00450C00">
        <w:rPr>
          <w:sz w:val="20"/>
          <w:szCs w:val="20"/>
          <w:lang w:bidi="ar-EG"/>
        </w:rPr>
        <w:t xml:space="preserve"> groups </w:t>
      </w:r>
      <w:r w:rsidR="009854A6" w:rsidRPr="00450C00">
        <w:rPr>
          <w:sz w:val="20"/>
          <w:szCs w:val="20"/>
          <w:lang w:bidi="ar-EG"/>
        </w:rPr>
        <w:t xml:space="preserve">I and II </w:t>
      </w:r>
      <w:r w:rsidR="00A60F9D" w:rsidRPr="00450C00">
        <w:rPr>
          <w:sz w:val="20"/>
          <w:szCs w:val="20"/>
          <w:lang w:bidi="ar-EG"/>
        </w:rPr>
        <w:t xml:space="preserve">received phytoestrogen1500 mg daily from the third day of cycle for 10 days to alleviate the side effects of CC on the </w:t>
      </w:r>
      <w:proofErr w:type="spellStart"/>
      <w:r w:rsidR="00A60F9D" w:rsidRPr="00450C00">
        <w:rPr>
          <w:sz w:val="20"/>
          <w:szCs w:val="20"/>
          <w:lang w:bidi="ar-EG"/>
        </w:rPr>
        <w:t>endometrium</w:t>
      </w:r>
      <w:proofErr w:type="spellEnd"/>
      <w:r w:rsidR="00A60F9D" w:rsidRPr="00450C00">
        <w:rPr>
          <w:sz w:val="20"/>
          <w:szCs w:val="20"/>
          <w:lang w:bidi="ar-EG"/>
        </w:rPr>
        <w:t>. Ovulation and pregnancy rates were the main outcome measures. Data was collected and tabulated.</w:t>
      </w:r>
      <w:r w:rsidRPr="00450C00">
        <w:rPr>
          <w:sz w:val="20"/>
          <w:szCs w:val="20"/>
        </w:rPr>
        <w:t xml:space="preserve"> </w:t>
      </w:r>
      <w:r w:rsidR="00EF5C89" w:rsidRPr="00450C00">
        <w:rPr>
          <w:b/>
          <w:bCs/>
          <w:sz w:val="20"/>
          <w:szCs w:val="20"/>
          <w:lang w:bidi="ar-EG"/>
        </w:rPr>
        <w:t>Results:</w:t>
      </w:r>
      <w:r w:rsidR="00EF5C89" w:rsidRPr="00450C00">
        <w:rPr>
          <w:sz w:val="20"/>
          <w:szCs w:val="20"/>
        </w:rPr>
        <w:t xml:space="preserve"> </w:t>
      </w:r>
      <w:r w:rsidR="008E7D2E" w:rsidRPr="00450C00">
        <w:rPr>
          <w:sz w:val="20"/>
          <w:szCs w:val="20"/>
          <w:lang w:bidi="ar-EG"/>
        </w:rPr>
        <w:t xml:space="preserve">Patients in the stair step protocol (group 1) exhibited a higher number of mature follicles, higher ovulation rate (72% </w:t>
      </w:r>
      <w:proofErr w:type="spellStart"/>
      <w:r w:rsidR="008E7D2E" w:rsidRPr="00450C00">
        <w:rPr>
          <w:sz w:val="20"/>
          <w:szCs w:val="20"/>
          <w:lang w:bidi="ar-EG"/>
        </w:rPr>
        <w:t>vs</w:t>
      </w:r>
      <w:proofErr w:type="spellEnd"/>
      <w:r w:rsidR="008E7D2E" w:rsidRPr="00450C00">
        <w:rPr>
          <w:sz w:val="20"/>
          <w:szCs w:val="20"/>
          <w:lang w:bidi="ar-EG"/>
        </w:rPr>
        <w:t xml:space="preserve"> 40%) and higher pregnancy rate (60% </w:t>
      </w:r>
      <w:proofErr w:type="spellStart"/>
      <w:r w:rsidR="008E7D2E" w:rsidRPr="00450C00">
        <w:rPr>
          <w:sz w:val="20"/>
          <w:szCs w:val="20"/>
          <w:lang w:bidi="ar-EG"/>
        </w:rPr>
        <w:t>vs</w:t>
      </w:r>
      <w:proofErr w:type="spellEnd"/>
      <w:r w:rsidR="008E7D2E" w:rsidRPr="00450C00">
        <w:rPr>
          <w:sz w:val="20"/>
          <w:szCs w:val="20"/>
          <w:lang w:bidi="ar-EG"/>
        </w:rPr>
        <w:t xml:space="preserve"> 22%) when co</w:t>
      </w:r>
      <w:r w:rsidR="006C7E40" w:rsidRPr="00450C00">
        <w:rPr>
          <w:sz w:val="20"/>
          <w:szCs w:val="20"/>
          <w:lang w:bidi="ar-EG"/>
        </w:rPr>
        <w:t xml:space="preserve">mpared to traditional protocol </w:t>
      </w:r>
      <w:r w:rsidR="00CA4586" w:rsidRPr="00450C00">
        <w:rPr>
          <w:sz w:val="20"/>
          <w:szCs w:val="20"/>
          <w:lang w:bidi="ar-EG"/>
        </w:rPr>
        <w:t>and control group</w:t>
      </w:r>
      <w:r w:rsidR="00BA2DA5" w:rsidRPr="00450C00">
        <w:rPr>
          <w:sz w:val="20"/>
          <w:szCs w:val="20"/>
          <w:lang w:bidi="ar-EG"/>
        </w:rPr>
        <w:t>s</w:t>
      </w:r>
      <w:r w:rsidR="008E7D2E" w:rsidRPr="00450C00">
        <w:rPr>
          <w:sz w:val="20"/>
          <w:szCs w:val="20"/>
          <w:lang w:bidi="ar-EG"/>
        </w:rPr>
        <w:t xml:space="preserve"> (p&lt;0.05). No signifi</w:t>
      </w:r>
      <w:r w:rsidR="00C52E6F" w:rsidRPr="00450C00">
        <w:rPr>
          <w:sz w:val="20"/>
          <w:szCs w:val="20"/>
          <w:lang w:bidi="ar-EG"/>
        </w:rPr>
        <w:t>cant differences between the studied</w:t>
      </w:r>
      <w:r w:rsidR="008E7D2E" w:rsidRPr="00450C00">
        <w:rPr>
          <w:sz w:val="20"/>
          <w:szCs w:val="20"/>
          <w:lang w:bidi="ar-EG"/>
        </w:rPr>
        <w:t xml:space="preserve"> groups regarding endometrial thickness, multiple pregnancy rate and ovarian </w:t>
      </w:r>
      <w:proofErr w:type="spellStart"/>
      <w:r w:rsidR="008E7D2E" w:rsidRPr="00450C00">
        <w:rPr>
          <w:sz w:val="20"/>
          <w:szCs w:val="20"/>
          <w:lang w:bidi="ar-EG"/>
        </w:rPr>
        <w:t>hyperstimulation</w:t>
      </w:r>
      <w:proofErr w:type="spellEnd"/>
      <w:r w:rsidR="008E7D2E" w:rsidRPr="00450C00">
        <w:rPr>
          <w:sz w:val="20"/>
          <w:szCs w:val="20"/>
          <w:lang w:bidi="ar-EG"/>
        </w:rPr>
        <w:t xml:space="preserve"> syndrome rate (p&gt;0.05). </w:t>
      </w:r>
      <w:r w:rsidR="00EF5C89" w:rsidRPr="00450C00">
        <w:rPr>
          <w:b/>
          <w:bCs/>
          <w:sz w:val="20"/>
          <w:szCs w:val="20"/>
          <w:lang w:bidi="ar-EG"/>
        </w:rPr>
        <w:t xml:space="preserve">Conclusion: </w:t>
      </w:r>
      <w:r w:rsidR="00446D71" w:rsidRPr="00450C00">
        <w:rPr>
          <w:sz w:val="20"/>
          <w:szCs w:val="20"/>
          <w:lang w:bidi="ar-EG"/>
        </w:rPr>
        <w:t>under the conditions of the present study, CC in the stair step protocol is safe and more effective than the traditional protocol in terms of ovulation and pregnancy rates.</w:t>
      </w:r>
    </w:p>
    <w:p w:rsidR="000162D9" w:rsidRPr="00450C00" w:rsidRDefault="00F03D7B" w:rsidP="000162D9">
      <w:pPr>
        <w:bidi w:val="0"/>
        <w:snapToGrid w:val="0"/>
        <w:jc w:val="both"/>
        <w:rPr>
          <w:rFonts w:eastAsia="Calibri"/>
          <w:b/>
          <w:bCs/>
          <w:sz w:val="20"/>
          <w:szCs w:val="20"/>
        </w:rPr>
      </w:pPr>
      <w:r w:rsidRPr="00450C00">
        <w:rPr>
          <w:rFonts w:eastAsia="Calibri"/>
          <w:sz w:val="20"/>
          <w:szCs w:val="20"/>
        </w:rPr>
        <w:t>[</w:t>
      </w:r>
      <w:proofErr w:type="spellStart"/>
      <w:r w:rsidRPr="00450C00">
        <w:rPr>
          <w:rFonts w:eastAsia="Calibri"/>
          <w:sz w:val="20"/>
          <w:szCs w:val="20"/>
        </w:rPr>
        <w:t>Asem</w:t>
      </w:r>
      <w:proofErr w:type="spellEnd"/>
      <w:r w:rsidRPr="00450C00">
        <w:rPr>
          <w:rFonts w:eastAsia="Calibri"/>
          <w:sz w:val="20"/>
          <w:szCs w:val="20"/>
        </w:rPr>
        <w:t xml:space="preserve"> A. </w:t>
      </w:r>
      <w:proofErr w:type="spellStart"/>
      <w:r w:rsidRPr="00450C00">
        <w:rPr>
          <w:rFonts w:eastAsia="Calibri"/>
          <w:sz w:val="20"/>
          <w:szCs w:val="20"/>
        </w:rPr>
        <w:t>Mousa</w:t>
      </w:r>
      <w:proofErr w:type="spellEnd"/>
      <w:r w:rsidR="000162D9" w:rsidRPr="00450C00">
        <w:rPr>
          <w:rFonts w:eastAsia="Calibri"/>
          <w:sz w:val="20"/>
          <w:szCs w:val="20"/>
        </w:rPr>
        <w:t>,</w:t>
      </w:r>
      <w:r w:rsidRPr="00450C00">
        <w:rPr>
          <w:rFonts w:eastAsia="Calibri"/>
          <w:sz w:val="20"/>
          <w:szCs w:val="20"/>
        </w:rPr>
        <w:t xml:space="preserve"> Mohamed A. Mohamed</w:t>
      </w:r>
      <w:r w:rsidR="000162D9" w:rsidRPr="00450C00">
        <w:rPr>
          <w:rFonts w:eastAsia="Calibri"/>
          <w:sz w:val="20"/>
          <w:szCs w:val="20"/>
        </w:rPr>
        <w:t>,</w:t>
      </w:r>
      <w:r w:rsidRPr="00450C00">
        <w:rPr>
          <w:rFonts w:eastAsia="Calibri"/>
          <w:sz w:val="20"/>
          <w:szCs w:val="20"/>
        </w:rPr>
        <w:t xml:space="preserve"> </w:t>
      </w:r>
      <w:proofErr w:type="spellStart"/>
      <w:r w:rsidRPr="00450C00">
        <w:rPr>
          <w:rFonts w:eastAsia="Calibri"/>
          <w:sz w:val="20"/>
          <w:szCs w:val="20"/>
        </w:rPr>
        <w:t>Waleed</w:t>
      </w:r>
      <w:proofErr w:type="spellEnd"/>
      <w:r w:rsidRPr="00450C00">
        <w:rPr>
          <w:rFonts w:eastAsia="Calibri"/>
          <w:sz w:val="20"/>
          <w:szCs w:val="20"/>
        </w:rPr>
        <w:t xml:space="preserve"> A. </w:t>
      </w:r>
      <w:proofErr w:type="spellStart"/>
      <w:r w:rsidRPr="00450C00">
        <w:rPr>
          <w:rFonts w:eastAsia="Calibri"/>
          <w:sz w:val="20"/>
          <w:szCs w:val="20"/>
        </w:rPr>
        <w:t>Saad</w:t>
      </w:r>
      <w:proofErr w:type="spellEnd"/>
      <w:r w:rsidR="000162D9" w:rsidRPr="00450C00">
        <w:rPr>
          <w:sz w:val="20"/>
          <w:szCs w:val="20"/>
        </w:rPr>
        <w:t>.</w:t>
      </w:r>
      <w:r w:rsidR="000162D9" w:rsidRPr="00450C00">
        <w:rPr>
          <w:rFonts w:eastAsiaTheme="minorEastAsia" w:hint="eastAsia"/>
          <w:b/>
          <w:bCs/>
          <w:sz w:val="20"/>
          <w:szCs w:val="20"/>
          <w:lang w:bidi="fa-IR"/>
        </w:rPr>
        <w:t xml:space="preserve"> </w:t>
      </w:r>
      <w:proofErr w:type="spellStart"/>
      <w:r w:rsidR="000162D9" w:rsidRPr="00450C00">
        <w:rPr>
          <w:rFonts w:eastAsia="Calibri"/>
          <w:b/>
          <w:bCs/>
          <w:sz w:val="20"/>
          <w:szCs w:val="20"/>
        </w:rPr>
        <w:t>Clomiphene</w:t>
      </w:r>
      <w:proofErr w:type="spellEnd"/>
      <w:r w:rsidR="000162D9" w:rsidRPr="00450C00">
        <w:rPr>
          <w:rFonts w:eastAsia="Calibri"/>
          <w:b/>
          <w:bCs/>
          <w:sz w:val="20"/>
          <w:szCs w:val="20"/>
        </w:rPr>
        <w:t xml:space="preserve"> Citrate Stair Step Protocol with </w:t>
      </w:r>
      <w:proofErr w:type="spellStart"/>
      <w:r w:rsidR="000162D9" w:rsidRPr="00450C00">
        <w:rPr>
          <w:rFonts w:eastAsia="Calibri"/>
          <w:b/>
          <w:bCs/>
          <w:sz w:val="20"/>
          <w:szCs w:val="20"/>
        </w:rPr>
        <w:t>Phytoestrogen</w:t>
      </w:r>
      <w:proofErr w:type="spellEnd"/>
      <w:r w:rsidR="000162D9" w:rsidRPr="00450C00">
        <w:rPr>
          <w:rFonts w:eastAsia="Calibri"/>
          <w:b/>
          <w:bCs/>
          <w:sz w:val="20"/>
          <w:szCs w:val="20"/>
        </w:rPr>
        <w:t xml:space="preserve"> Vs. Traditional Protocol in Patient with Polycystic Ovary Syndrome</w:t>
      </w:r>
      <w:r w:rsidR="000162D9" w:rsidRPr="00450C00">
        <w:rPr>
          <w:rFonts w:eastAsia="Times New Roman"/>
          <w:b/>
          <w:bCs/>
          <w:sz w:val="20"/>
          <w:szCs w:val="20"/>
          <w:lang w:bidi="fa-IR"/>
        </w:rPr>
        <w:t>.</w:t>
      </w:r>
      <w:r w:rsidR="000162D9" w:rsidRPr="00450C00">
        <w:rPr>
          <w:bCs/>
          <w:i/>
          <w:sz w:val="20"/>
          <w:szCs w:val="20"/>
        </w:rPr>
        <w:t xml:space="preserve"> N Y </w:t>
      </w:r>
      <w:proofErr w:type="spellStart"/>
      <w:r w:rsidR="000162D9" w:rsidRPr="00450C00">
        <w:rPr>
          <w:bCs/>
          <w:i/>
          <w:sz w:val="20"/>
          <w:szCs w:val="20"/>
        </w:rPr>
        <w:t>Sci</w:t>
      </w:r>
      <w:proofErr w:type="spellEnd"/>
      <w:r w:rsidR="000162D9" w:rsidRPr="00450C00">
        <w:rPr>
          <w:bCs/>
          <w:i/>
          <w:sz w:val="20"/>
          <w:szCs w:val="20"/>
        </w:rPr>
        <w:t xml:space="preserve"> J</w:t>
      </w:r>
      <w:r w:rsidR="000162D9" w:rsidRPr="00450C00">
        <w:rPr>
          <w:bCs/>
          <w:sz w:val="20"/>
          <w:szCs w:val="20"/>
        </w:rPr>
        <w:t xml:space="preserve"> </w:t>
      </w:r>
      <w:r w:rsidR="000162D9" w:rsidRPr="00450C00">
        <w:rPr>
          <w:sz w:val="20"/>
          <w:szCs w:val="20"/>
        </w:rPr>
        <w:t>201</w:t>
      </w:r>
      <w:r w:rsidR="000162D9" w:rsidRPr="00450C00">
        <w:rPr>
          <w:rFonts w:hint="eastAsia"/>
          <w:sz w:val="20"/>
          <w:szCs w:val="20"/>
        </w:rPr>
        <w:t>7</w:t>
      </w:r>
      <w:r w:rsidR="000162D9" w:rsidRPr="00450C00">
        <w:rPr>
          <w:sz w:val="20"/>
          <w:szCs w:val="20"/>
        </w:rPr>
        <w:t>;</w:t>
      </w:r>
      <w:r w:rsidR="000162D9" w:rsidRPr="00450C00">
        <w:rPr>
          <w:rFonts w:hint="eastAsia"/>
          <w:sz w:val="20"/>
          <w:szCs w:val="20"/>
        </w:rPr>
        <w:t>10</w:t>
      </w:r>
      <w:r w:rsidR="000162D9" w:rsidRPr="00450C00">
        <w:rPr>
          <w:sz w:val="20"/>
          <w:szCs w:val="20"/>
        </w:rPr>
        <w:t>(</w:t>
      </w:r>
      <w:r w:rsidR="000162D9" w:rsidRPr="00450C00">
        <w:rPr>
          <w:rFonts w:hint="eastAsia"/>
          <w:sz w:val="20"/>
          <w:szCs w:val="20"/>
        </w:rPr>
        <w:t>8</w:t>
      </w:r>
      <w:r w:rsidR="000162D9" w:rsidRPr="00450C00">
        <w:rPr>
          <w:sz w:val="20"/>
          <w:szCs w:val="20"/>
        </w:rPr>
        <w:t>):</w:t>
      </w:r>
      <w:r w:rsidR="001149F3" w:rsidRPr="00450C00">
        <w:rPr>
          <w:noProof/>
          <w:color w:val="000000"/>
          <w:sz w:val="20"/>
          <w:szCs w:val="20"/>
        </w:rPr>
        <w:t>206-212</w:t>
      </w:r>
      <w:r w:rsidR="000162D9" w:rsidRPr="00450C00">
        <w:rPr>
          <w:sz w:val="20"/>
          <w:szCs w:val="20"/>
        </w:rPr>
        <w:t xml:space="preserve">]. </w:t>
      </w:r>
      <w:r w:rsidR="000162D9" w:rsidRPr="00450C00">
        <w:rPr>
          <w:iCs/>
          <w:color w:val="000000"/>
          <w:sz w:val="20"/>
          <w:szCs w:val="20"/>
        </w:rPr>
        <w:t>ISSN 1554-0200 (print); ISSN 2375-723X (online)</w:t>
      </w:r>
      <w:r w:rsidR="000162D9" w:rsidRPr="00450C00">
        <w:rPr>
          <w:sz w:val="20"/>
          <w:szCs w:val="20"/>
        </w:rPr>
        <w:t xml:space="preserve">. </w:t>
      </w:r>
      <w:hyperlink r:id="rId8" w:history="1">
        <w:r w:rsidR="000162D9" w:rsidRPr="00450C00">
          <w:rPr>
            <w:rStyle w:val="Hyperlink"/>
            <w:sz w:val="20"/>
            <w:szCs w:val="20"/>
          </w:rPr>
          <w:t>http://www.sciencepub.net/newyork</w:t>
        </w:r>
      </w:hyperlink>
      <w:r w:rsidR="000162D9" w:rsidRPr="00450C00">
        <w:rPr>
          <w:sz w:val="20"/>
          <w:szCs w:val="20"/>
        </w:rPr>
        <w:t xml:space="preserve">. </w:t>
      </w:r>
      <w:r w:rsidR="000162D9" w:rsidRPr="00450C00">
        <w:rPr>
          <w:rFonts w:hint="eastAsia"/>
          <w:sz w:val="20"/>
          <w:szCs w:val="20"/>
          <w:lang w:eastAsia="zh-CN"/>
        </w:rPr>
        <w:t>24</w:t>
      </w:r>
      <w:r w:rsidR="000162D9" w:rsidRPr="00450C00">
        <w:rPr>
          <w:rFonts w:hint="eastAsia"/>
          <w:sz w:val="20"/>
          <w:szCs w:val="20"/>
        </w:rPr>
        <w:t xml:space="preserve">. </w:t>
      </w:r>
      <w:r w:rsidR="000162D9" w:rsidRPr="00450C00">
        <w:rPr>
          <w:color w:val="000000"/>
          <w:sz w:val="20"/>
          <w:szCs w:val="20"/>
          <w:shd w:val="clear" w:color="auto" w:fill="FFFFFF"/>
        </w:rPr>
        <w:t>doi:</w:t>
      </w:r>
      <w:hyperlink r:id="rId9" w:history="1">
        <w:r w:rsidR="000162D9" w:rsidRPr="00450C00">
          <w:rPr>
            <w:rStyle w:val="Hyperlink"/>
            <w:sz w:val="20"/>
            <w:szCs w:val="20"/>
            <w:shd w:val="clear" w:color="auto" w:fill="FFFFFF"/>
          </w:rPr>
          <w:t>10.7537/mars</w:t>
        </w:r>
        <w:r w:rsidR="000162D9" w:rsidRPr="00450C00">
          <w:rPr>
            <w:rStyle w:val="Hyperlink"/>
            <w:rFonts w:hint="eastAsia"/>
            <w:sz w:val="20"/>
            <w:szCs w:val="20"/>
            <w:shd w:val="clear" w:color="auto" w:fill="FFFFFF"/>
          </w:rPr>
          <w:t>nys100817.</w:t>
        </w:r>
        <w:r w:rsidR="000162D9" w:rsidRPr="00450C00">
          <w:rPr>
            <w:rStyle w:val="Hyperlink"/>
            <w:rFonts w:hint="eastAsia"/>
            <w:sz w:val="20"/>
            <w:szCs w:val="20"/>
            <w:shd w:val="clear" w:color="auto" w:fill="FFFFFF"/>
            <w:lang w:eastAsia="zh-CN"/>
          </w:rPr>
          <w:t>24</w:t>
        </w:r>
      </w:hyperlink>
      <w:r w:rsidR="000162D9" w:rsidRPr="00450C00">
        <w:rPr>
          <w:color w:val="000000"/>
          <w:sz w:val="20"/>
          <w:szCs w:val="20"/>
          <w:shd w:val="clear" w:color="auto" w:fill="FFFFFF"/>
        </w:rPr>
        <w:t>.</w:t>
      </w:r>
    </w:p>
    <w:p w:rsidR="00F03D7B" w:rsidRPr="00450C00" w:rsidRDefault="00F03D7B" w:rsidP="000162D9">
      <w:pPr>
        <w:tabs>
          <w:tab w:val="left" w:pos="567"/>
        </w:tabs>
        <w:bidi w:val="0"/>
        <w:snapToGrid w:val="0"/>
        <w:jc w:val="both"/>
        <w:rPr>
          <w:b/>
          <w:bCs/>
          <w:sz w:val="20"/>
          <w:szCs w:val="20"/>
          <w:lang w:bidi="ar-EG"/>
        </w:rPr>
      </w:pPr>
    </w:p>
    <w:p w:rsidR="00EF5C89" w:rsidRPr="00450C00" w:rsidRDefault="00EF5C89" w:rsidP="000162D9">
      <w:pPr>
        <w:tabs>
          <w:tab w:val="left" w:pos="567"/>
        </w:tabs>
        <w:bidi w:val="0"/>
        <w:snapToGrid w:val="0"/>
        <w:jc w:val="both"/>
        <w:rPr>
          <w:b/>
          <w:bCs/>
          <w:sz w:val="20"/>
          <w:szCs w:val="20"/>
          <w:lang w:bidi="ar-EG"/>
        </w:rPr>
      </w:pPr>
      <w:r w:rsidRPr="00450C00">
        <w:rPr>
          <w:b/>
          <w:bCs/>
          <w:sz w:val="20"/>
          <w:szCs w:val="20"/>
          <w:lang w:bidi="ar-EG"/>
        </w:rPr>
        <w:t xml:space="preserve">Key words: </w:t>
      </w:r>
      <w:r w:rsidRPr="00450C00">
        <w:rPr>
          <w:sz w:val="20"/>
          <w:szCs w:val="20"/>
          <w:lang w:bidi="ar-EG"/>
        </w:rPr>
        <w:t>Polycysti</w:t>
      </w:r>
      <w:r w:rsidR="004D2BB8" w:rsidRPr="00450C00">
        <w:rPr>
          <w:sz w:val="20"/>
          <w:szCs w:val="20"/>
          <w:lang w:bidi="ar-EG"/>
        </w:rPr>
        <w:t>c ovarian syndrome, stair step</w:t>
      </w:r>
      <w:r w:rsidRPr="00450C00">
        <w:rPr>
          <w:sz w:val="20"/>
          <w:szCs w:val="20"/>
          <w:lang w:bidi="ar-EG"/>
        </w:rPr>
        <w:t xml:space="preserve">, </w:t>
      </w:r>
      <w:proofErr w:type="spellStart"/>
      <w:r w:rsidRPr="00450C00">
        <w:rPr>
          <w:sz w:val="20"/>
          <w:szCs w:val="20"/>
          <w:lang w:bidi="ar-EG"/>
        </w:rPr>
        <w:t>clomiphene</w:t>
      </w:r>
      <w:proofErr w:type="spellEnd"/>
      <w:r w:rsidRPr="00450C00">
        <w:rPr>
          <w:sz w:val="20"/>
          <w:szCs w:val="20"/>
          <w:lang w:bidi="ar-EG"/>
        </w:rPr>
        <w:t xml:space="preserve"> citrate</w:t>
      </w:r>
      <w:r w:rsidRPr="00450C00">
        <w:rPr>
          <w:b/>
          <w:bCs/>
          <w:sz w:val="20"/>
          <w:szCs w:val="20"/>
          <w:lang w:bidi="ar-EG"/>
        </w:rPr>
        <w:t>.</w:t>
      </w:r>
    </w:p>
    <w:p w:rsidR="00036C1D" w:rsidRPr="00450C00" w:rsidRDefault="00036C1D" w:rsidP="000162D9">
      <w:pPr>
        <w:tabs>
          <w:tab w:val="left" w:pos="567"/>
        </w:tabs>
        <w:bidi w:val="0"/>
        <w:snapToGrid w:val="0"/>
        <w:jc w:val="both"/>
        <w:rPr>
          <w:b/>
          <w:bCs/>
          <w:sz w:val="20"/>
          <w:szCs w:val="20"/>
          <w:lang w:bidi="ar-EG"/>
        </w:rPr>
      </w:pPr>
    </w:p>
    <w:p w:rsidR="00036C1D" w:rsidRPr="00450C00" w:rsidRDefault="00036C1D" w:rsidP="000162D9">
      <w:pPr>
        <w:tabs>
          <w:tab w:val="left" w:pos="567"/>
        </w:tabs>
        <w:bidi w:val="0"/>
        <w:snapToGrid w:val="0"/>
        <w:jc w:val="both"/>
        <w:rPr>
          <w:b/>
          <w:bCs/>
          <w:sz w:val="20"/>
          <w:szCs w:val="20"/>
          <w:lang w:bidi="ar-EG"/>
        </w:rPr>
        <w:sectPr w:rsidR="00036C1D" w:rsidRPr="00450C00" w:rsidSect="001149F3">
          <w:headerReference w:type="default" r:id="rId10"/>
          <w:footerReference w:type="default" r:id="rId11"/>
          <w:type w:val="continuous"/>
          <w:pgSz w:w="12242" w:h="15842" w:code="1"/>
          <w:pgMar w:top="1440" w:right="1440" w:bottom="1440" w:left="1440" w:header="720" w:footer="720" w:gutter="0"/>
          <w:pgNumType w:start="206"/>
          <w:cols w:space="708"/>
          <w:bidi/>
          <w:docGrid w:linePitch="360"/>
        </w:sectPr>
      </w:pPr>
    </w:p>
    <w:p w:rsidR="00EF5C89" w:rsidRPr="00450C00" w:rsidRDefault="00F03D7B" w:rsidP="000162D9">
      <w:pPr>
        <w:tabs>
          <w:tab w:val="left" w:pos="567"/>
        </w:tabs>
        <w:bidi w:val="0"/>
        <w:snapToGrid w:val="0"/>
        <w:jc w:val="both"/>
        <w:rPr>
          <w:b/>
          <w:bCs/>
          <w:sz w:val="20"/>
          <w:szCs w:val="20"/>
          <w:lang w:bidi="ar-EG"/>
        </w:rPr>
      </w:pPr>
      <w:r w:rsidRPr="00450C00">
        <w:rPr>
          <w:b/>
          <w:bCs/>
          <w:sz w:val="20"/>
          <w:szCs w:val="20"/>
          <w:lang w:bidi="ar-EG"/>
        </w:rPr>
        <w:lastRenderedPageBreak/>
        <w:t>1. Introduction</w:t>
      </w:r>
    </w:p>
    <w:p w:rsidR="00EF5C89" w:rsidRPr="00450C00" w:rsidRDefault="00EF5C89" w:rsidP="000162D9">
      <w:pPr>
        <w:tabs>
          <w:tab w:val="left" w:pos="567"/>
        </w:tabs>
        <w:bidi w:val="0"/>
        <w:snapToGrid w:val="0"/>
        <w:ind w:firstLine="425"/>
        <w:jc w:val="both"/>
        <w:rPr>
          <w:sz w:val="20"/>
          <w:szCs w:val="20"/>
          <w:lang w:bidi="ar-EG"/>
        </w:rPr>
      </w:pPr>
      <w:r w:rsidRPr="00450C00">
        <w:rPr>
          <w:sz w:val="20"/>
          <w:szCs w:val="20"/>
          <w:lang w:bidi="ar-EG"/>
        </w:rPr>
        <w:t>Infertility is generally defined as the inability of a couple to conceive within a certain period that is usually one year, time is the enemy and often the couple feels a sense of personal loss and frustration. Poly cystic ovary disorder (PCOS) is a standout amongst the most widely recognized endocrine disorders among women of regenerative age (</w:t>
      </w:r>
      <w:r w:rsidR="0092316D" w:rsidRPr="00450C00">
        <w:rPr>
          <w:b/>
          <w:bCs/>
          <w:sz w:val="20"/>
          <w:szCs w:val="20"/>
          <w:lang w:bidi="ar-EG"/>
        </w:rPr>
        <w:t>1</w:t>
      </w:r>
      <w:r w:rsidRPr="00450C00">
        <w:rPr>
          <w:b/>
          <w:bCs/>
          <w:sz w:val="20"/>
          <w:szCs w:val="20"/>
          <w:lang w:bidi="ar-EG"/>
        </w:rPr>
        <w:t>)</w:t>
      </w:r>
      <w:r w:rsidRPr="00450C00">
        <w:rPr>
          <w:sz w:val="20"/>
          <w:szCs w:val="20"/>
          <w:lang w:bidi="ar-EG"/>
        </w:rPr>
        <w:t xml:space="preserve">. It is a condition in which a woman's levels of the sex hormones estrogen and progesterone are out of balance. This leads to the growth of ovarian cysts (benign masses on the ovaries). Ladies with PCOS have broader ovaries that contain liquid called follicles situated in both or any one ovary. The "cysts" in polycystic ovaries are not true cysts, yet rather </w:t>
      </w:r>
      <w:proofErr w:type="spellStart"/>
      <w:r w:rsidRPr="00450C00">
        <w:rPr>
          <w:sz w:val="20"/>
          <w:szCs w:val="20"/>
          <w:lang w:bidi="ar-EG"/>
        </w:rPr>
        <w:t>antral</w:t>
      </w:r>
      <w:proofErr w:type="spellEnd"/>
      <w:r w:rsidRPr="00450C00">
        <w:rPr>
          <w:sz w:val="20"/>
          <w:szCs w:val="20"/>
          <w:lang w:bidi="ar-EG"/>
        </w:rPr>
        <w:t xml:space="preserve"> follicles which have captured being developed and this is brought on because of hormonal imbalance (</w:t>
      </w:r>
      <w:r w:rsidR="0092316D" w:rsidRPr="00450C00">
        <w:rPr>
          <w:b/>
          <w:bCs/>
          <w:sz w:val="20"/>
          <w:szCs w:val="20"/>
          <w:lang w:bidi="ar-EG"/>
        </w:rPr>
        <w:t>2</w:t>
      </w:r>
      <w:r w:rsidRPr="00450C00">
        <w:rPr>
          <w:b/>
          <w:bCs/>
          <w:sz w:val="20"/>
          <w:szCs w:val="20"/>
          <w:lang w:bidi="ar-EG"/>
        </w:rPr>
        <w:t>)</w:t>
      </w:r>
      <w:r w:rsidRPr="00450C00">
        <w:rPr>
          <w:sz w:val="20"/>
          <w:szCs w:val="20"/>
          <w:lang w:bidi="ar-EG"/>
        </w:rPr>
        <w:t>.</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PCOS produces symptoms in approximately 5% to 10% of women of reproductive age (12–45 years old). It is thought to be one of the leading causes of female </w:t>
      </w:r>
      <w:proofErr w:type="spellStart"/>
      <w:r w:rsidRPr="00450C00">
        <w:rPr>
          <w:sz w:val="20"/>
          <w:szCs w:val="20"/>
          <w:lang w:bidi="ar-EG"/>
        </w:rPr>
        <w:t>subfertility</w:t>
      </w:r>
      <w:proofErr w:type="spellEnd"/>
      <w:r w:rsidRPr="00450C00">
        <w:rPr>
          <w:sz w:val="20"/>
          <w:szCs w:val="20"/>
          <w:lang w:bidi="ar-EG"/>
        </w:rPr>
        <w:t xml:space="preserve"> and the most frequent endocrine problem in women of reproductive age (</w:t>
      </w:r>
      <w:r w:rsidR="0092316D" w:rsidRPr="00450C00">
        <w:rPr>
          <w:b/>
          <w:bCs/>
          <w:sz w:val="20"/>
          <w:szCs w:val="20"/>
          <w:lang w:bidi="ar-EG"/>
        </w:rPr>
        <w:t>3</w:t>
      </w:r>
      <w:r w:rsidRPr="00450C00">
        <w:rPr>
          <w:b/>
          <w:bCs/>
          <w:sz w:val="20"/>
          <w:szCs w:val="20"/>
          <w:lang w:bidi="ar-EG"/>
        </w:rPr>
        <w:t>)</w:t>
      </w:r>
      <w:r w:rsidRPr="00450C00">
        <w:rPr>
          <w:sz w:val="20"/>
          <w:szCs w:val="20"/>
          <w:lang w:bidi="ar-EG"/>
        </w:rPr>
        <w:t>.</w:t>
      </w:r>
    </w:p>
    <w:p w:rsidR="00EF5C89" w:rsidRPr="00450C00" w:rsidRDefault="00EF5C89" w:rsidP="000162D9">
      <w:pPr>
        <w:tabs>
          <w:tab w:val="left" w:pos="567"/>
        </w:tabs>
        <w:bidi w:val="0"/>
        <w:snapToGrid w:val="0"/>
        <w:ind w:firstLine="425"/>
        <w:jc w:val="both"/>
        <w:rPr>
          <w:sz w:val="20"/>
          <w:szCs w:val="20"/>
          <w:lang w:bidi="ar-EG"/>
        </w:rPr>
      </w:pPr>
      <w:r w:rsidRPr="00450C00">
        <w:rPr>
          <w:sz w:val="20"/>
          <w:szCs w:val="20"/>
          <w:lang w:bidi="ar-EG"/>
        </w:rPr>
        <w:lastRenderedPageBreak/>
        <w:t>The ovaries at the time of production have, tiny fluid-filled sacs called cysts. As the egg grows, the follicle builds up fluid and once the egg matures, the follicle breaks open, and the egg is released, and this egg travels through the fallopian tube to the uterus (womb) for fertilization this is called ovulation but in case of</w:t>
      </w:r>
      <w:r w:rsidRPr="00450C00">
        <w:rPr>
          <w:sz w:val="20"/>
          <w:szCs w:val="20"/>
        </w:rPr>
        <w:t xml:space="preserve"> </w:t>
      </w:r>
      <w:r w:rsidRPr="00450C00">
        <w:rPr>
          <w:sz w:val="20"/>
          <w:szCs w:val="20"/>
          <w:lang w:bidi="ar-EG"/>
        </w:rPr>
        <w:t>women with PCOS, the ovary is unable to produce all the essential hormones which are needed for an egg to fully mature. The follicles may start to grow and build up fluid however ovulation does not develop. Rather, a few follicles may remain as cysts (</w:t>
      </w:r>
      <w:r w:rsidR="0092316D" w:rsidRPr="00450C00">
        <w:rPr>
          <w:b/>
          <w:bCs/>
          <w:sz w:val="20"/>
          <w:szCs w:val="20"/>
          <w:lang w:bidi="ar-EG"/>
        </w:rPr>
        <w:t>4</w:t>
      </w:r>
      <w:r w:rsidRPr="00450C00">
        <w:rPr>
          <w:b/>
          <w:bCs/>
          <w:sz w:val="20"/>
          <w:szCs w:val="20"/>
          <w:lang w:bidi="ar-EG"/>
        </w:rPr>
        <w:t>)</w:t>
      </w:r>
      <w:r w:rsidRPr="00450C00">
        <w:rPr>
          <w:sz w:val="20"/>
          <w:szCs w:val="20"/>
          <w:lang w:bidi="ar-EG"/>
        </w:rPr>
        <w:t>. Thus, ovulation does not happen and the hormone progesterone is not made. Without progesterone, a lady's menstrual cycle is sporadic or missing. Furthermore, the ovaries make male hormones, which additionally counteract ovulation (</w:t>
      </w:r>
      <w:r w:rsidR="0092316D" w:rsidRPr="00450C00">
        <w:rPr>
          <w:b/>
          <w:bCs/>
          <w:sz w:val="20"/>
          <w:szCs w:val="20"/>
          <w:lang w:bidi="ar-EG"/>
        </w:rPr>
        <w:t>5</w:t>
      </w:r>
      <w:r w:rsidRPr="00450C00">
        <w:rPr>
          <w:b/>
          <w:bCs/>
          <w:sz w:val="20"/>
          <w:szCs w:val="20"/>
          <w:lang w:bidi="ar-EG"/>
        </w:rPr>
        <w:t>)</w:t>
      </w:r>
      <w:r w:rsidRPr="00450C00">
        <w:rPr>
          <w:sz w:val="20"/>
          <w:szCs w:val="20"/>
          <w:lang w:bidi="ar-EG"/>
        </w:rPr>
        <w:t>.</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The main features of PCOS are </w:t>
      </w:r>
      <w:proofErr w:type="spellStart"/>
      <w:r w:rsidRPr="00450C00">
        <w:rPr>
          <w:sz w:val="20"/>
          <w:szCs w:val="20"/>
          <w:lang w:bidi="ar-EG"/>
        </w:rPr>
        <w:t>anovulation</w:t>
      </w:r>
      <w:proofErr w:type="spellEnd"/>
      <w:r w:rsidRPr="00450C00">
        <w:rPr>
          <w:sz w:val="20"/>
          <w:szCs w:val="20"/>
          <w:lang w:bidi="ar-EG"/>
        </w:rPr>
        <w:t xml:space="preserve">, </w:t>
      </w:r>
      <w:proofErr w:type="spellStart"/>
      <w:r w:rsidRPr="00450C00">
        <w:rPr>
          <w:sz w:val="20"/>
          <w:szCs w:val="20"/>
          <w:lang w:bidi="ar-EG"/>
        </w:rPr>
        <w:t>hyperandrogenism</w:t>
      </w:r>
      <w:proofErr w:type="spellEnd"/>
      <w:r w:rsidRPr="00450C00">
        <w:rPr>
          <w:sz w:val="20"/>
          <w:szCs w:val="20"/>
          <w:lang w:bidi="ar-EG"/>
        </w:rPr>
        <w:t xml:space="preserve"> and insulin resistance. </w:t>
      </w:r>
      <w:proofErr w:type="spellStart"/>
      <w:r w:rsidRPr="00450C00">
        <w:rPr>
          <w:sz w:val="20"/>
          <w:szCs w:val="20"/>
          <w:lang w:bidi="ar-EG"/>
        </w:rPr>
        <w:t>Anovulation</w:t>
      </w:r>
      <w:proofErr w:type="spellEnd"/>
      <w:r w:rsidRPr="00450C00">
        <w:rPr>
          <w:sz w:val="20"/>
          <w:szCs w:val="20"/>
          <w:lang w:bidi="ar-EG"/>
        </w:rPr>
        <w:t xml:space="preserve"> results in irregular menstruation, amenorrhea, ovulation-related infertility and polycystic ovaries. </w:t>
      </w:r>
      <w:proofErr w:type="spellStart"/>
      <w:r w:rsidRPr="00450C00">
        <w:rPr>
          <w:sz w:val="20"/>
          <w:szCs w:val="20"/>
          <w:lang w:bidi="ar-EG"/>
        </w:rPr>
        <w:t>Hyperandrogenism</w:t>
      </w:r>
      <w:proofErr w:type="spellEnd"/>
      <w:r w:rsidRPr="00450C00">
        <w:rPr>
          <w:sz w:val="20"/>
          <w:szCs w:val="20"/>
          <w:lang w:bidi="ar-EG"/>
        </w:rPr>
        <w:t xml:space="preserve"> results in acne and </w:t>
      </w:r>
      <w:proofErr w:type="spellStart"/>
      <w:r w:rsidRPr="00450C00">
        <w:rPr>
          <w:sz w:val="20"/>
          <w:szCs w:val="20"/>
          <w:lang w:bidi="ar-EG"/>
        </w:rPr>
        <w:t>hirsutism</w:t>
      </w:r>
      <w:proofErr w:type="spellEnd"/>
      <w:r w:rsidRPr="00450C00">
        <w:rPr>
          <w:sz w:val="20"/>
          <w:szCs w:val="20"/>
          <w:lang w:bidi="ar-EG"/>
        </w:rPr>
        <w:t xml:space="preserve">. Insulin resistance is often associated with obesity, Type 2 diabetes, and high cholesterol levels. The </w:t>
      </w:r>
      <w:r w:rsidRPr="00450C00">
        <w:rPr>
          <w:sz w:val="20"/>
          <w:szCs w:val="20"/>
          <w:lang w:bidi="ar-EG"/>
        </w:rPr>
        <w:lastRenderedPageBreak/>
        <w:t>symptoms and severity of the syndrome vary greatly among the affected women. Moreover, it may affect daily physical activities (</w:t>
      </w:r>
      <w:r w:rsidR="0092316D" w:rsidRPr="00450C00">
        <w:rPr>
          <w:b/>
          <w:bCs/>
          <w:sz w:val="20"/>
          <w:szCs w:val="20"/>
          <w:lang w:bidi="ar-EG"/>
        </w:rPr>
        <w:t>6</w:t>
      </w:r>
      <w:r w:rsidRPr="00450C00">
        <w:rPr>
          <w:b/>
          <w:bCs/>
          <w:sz w:val="20"/>
          <w:szCs w:val="20"/>
          <w:lang w:bidi="ar-EG"/>
        </w:rPr>
        <w:t>)</w:t>
      </w:r>
      <w:r w:rsidRPr="00450C00">
        <w:rPr>
          <w:sz w:val="20"/>
          <w:szCs w:val="20"/>
          <w:lang w:bidi="ar-EG"/>
        </w:rPr>
        <w:t>.</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Women with PCOS, in addition to </w:t>
      </w:r>
      <w:proofErr w:type="spellStart"/>
      <w:r w:rsidRPr="00450C00">
        <w:rPr>
          <w:sz w:val="20"/>
          <w:szCs w:val="20"/>
          <w:lang w:bidi="ar-EG"/>
        </w:rPr>
        <w:t>anovulation</w:t>
      </w:r>
      <w:proofErr w:type="spellEnd"/>
      <w:r w:rsidRPr="00450C00">
        <w:rPr>
          <w:sz w:val="20"/>
          <w:szCs w:val="20"/>
          <w:lang w:bidi="ar-EG"/>
        </w:rPr>
        <w:t xml:space="preserve"> and infertility, have an increased risk of developing hypertension and cardiovascular disease in association with metabolic syndrome. The diagnosis of PCOS is fundamentally clinical. Treatment of PCOS is limited to management of signs and symptoms since the etiology of the disorder is unknown. There is a need for further studies to understand the </w:t>
      </w:r>
      <w:proofErr w:type="spellStart"/>
      <w:r w:rsidRPr="00450C00">
        <w:rPr>
          <w:sz w:val="20"/>
          <w:szCs w:val="20"/>
          <w:lang w:bidi="ar-EG"/>
        </w:rPr>
        <w:t>pathophysiology</w:t>
      </w:r>
      <w:proofErr w:type="spellEnd"/>
      <w:r w:rsidRPr="00450C00">
        <w:rPr>
          <w:sz w:val="20"/>
          <w:szCs w:val="20"/>
          <w:lang w:bidi="ar-EG"/>
        </w:rPr>
        <w:t xml:space="preserve"> of PCOS and the development of high blood pressure in women suffering from the disorder </w:t>
      </w:r>
      <w:r w:rsidRPr="00450C00">
        <w:rPr>
          <w:b/>
          <w:bCs/>
          <w:sz w:val="20"/>
          <w:szCs w:val="20"/>
        </w:rPr>
        <w:t>(</w:t>
      </w:r>
      <w:r w:rsidR="0092316D" w:rsidRPr="00450C00">
        <w:rPr>
          <w:b/>
          <w:bCs/>
          <w:sz w:val="20"/>
          <w:szCs w:val="20"/>
        </w:rPr>
        <w:t>7</w:t>
      </w:r>
      <w:r w:rsidRPr="00450C00">
        <w:rPr>
          <w:b/>
          <w:bCs/>
          <w:sz w:val="20"/>
          <w:szCs w:val="20"/>
          <w:lang w:bidi="ar-EG"/>
        </w:rPr>
        <w:t>).</w:t>
      </w:r>
    </w:p>
    <w:p w:rsidR="00EF5C89" w:rsidRPr="00450C00" w:rsidRDefault="00EF5C89" w:rsidP="000162D9">
      <w:pPr>
        <w:widowControl w:val="0"/>
        <w:autoSpaceDE w:val="0"/>
        <w:autoSpaceDN w:val="0"/>
        <w:bidi w:val="0"/>
        <w:snapToGrid w:val="0"/>
        <w:ind w:firstLine="425"/>
        <w:jc w:val="both"/>
        <w:rPr>
          <w:sz w:val="20"/>
          <w:szCs w:val="20"/>
        </w:rPr>
      </w:pPr>
      <w:proofErr w:type="spellStart"/>
      <w:r w:rsidRPr="00450C00">
        <w:rPr>
          <w:sz w:val="20"/>
          <w:szCs w:val="20"/>
        </w:rPr>
        <w:t>Clomiphene</w:t>
      </w:r>
      <w:proofErr w:type="spellEnd"/>
      <w:r w:rsidRPr="00450C00">
        <w:rPr>
          <w:sz w:val="20"/>
          <w:szCs w:val="20"/>
        </w:rPr>
        <w:t xml:space="preserve"> citrate is the drug most commonly used for ovulation induction starting with a daily dose of (50 mg) for 5 days beginning on day 3-5 of the menstrual cycle if ovulation achieved this is usually continued for 6 cycles or until pregnancy occurs. However, if the patient fails to ovulate on this dose a further increase by (50mg) per day to a maximum of (200-250mg) is used next cycle </w:t>
      </w:r>
      <w:r w:rsidRPr="00450C00">
        <w:rPr>
          <w:b/>
          <w:bCs/>
          <w:sz w:val="20"/>
          <w:szCs w:val="20"/>
        </w:rPr>
        <w:t>(</w:t>
      </w:r>
      <w:r w:rsidR="0092316D" w:rsidRPr="00450C00">
        <w:rPr>
          <w:b/>
          <w:bCs/>
          <w:sz w:val="20"/>
          <w:szCs w:val="20"/>
        </w:rPr>
        <w:t>8</w:t>
      </w:r>
      <w:r w:rsidRPr="00450C00">
        <w:rPr>
          <w:b/>
          <w:bCs/>
          <w:sz w:val="20"/>
          <w:szCs w:val="20"/>
        </w:rPr>
        <w:t>).</w:t>
      </w:r>
      <w:r w:rsidRPr="00450C00">
        <w:rPr>
          <w:sz w:val="20"/>
          <w:szCs w:val="20"/>
        </w:rPr>
        <w:t xml:space="preserve"> A disadvantage with the mentioned traditional protocol that several months may pass to ultimately determine that patient is non-responsive to </w:t>
      </w:r>
      <w:proofErr w:type="spellStart"/>
      <w:r w:rsidRPr="00450C00">
        <w:rPr>
          <w:sz w:val="20"/>
          <w:szCs w:val="20"/>
        </w:rPr>
        <w:t>clomiphene</w:t>
      </w:r>
      <w:proofErr w:type="spellEnd"/>
      <w:r w:rsidRPr="00450C00">
        <w:rPr>
          <w:sz w:val="20"/>
          <w:szCs w:val="20"/>
        </w:rPr>
        <w:t>.</w:t>
      </w:r>
    </w:p>
    <w:p w:rsidR="00EF5C89" w:rsidRPr="00450C00" w:rsidRDefault="00EF5C89" w:rsidP="000162D9">
      <w:pPr>
        <w:bidi w:val="0"/>
        <w:snapToGrid w:val="0"/>
        <w:ind w:firstLine="425"/>
        <w:jc w:val="both"/>
        <w:rPr>
          <w:sz w:val="20"/>
          <w:szCs w:val="20"/>
          <w:lang w:bidi="ar-EG"/>
        </w:rPr>
      </w:pPr>
      <w:r w:rsidRPr="00450C00">
        <w:rPr>
          <w:sz w:val="20"/>
          <w:szCs w:val="20"/>
          <w:lang w:bidi="ar-EG"/>
        </w:rPr>
        <w:t>A new protocol is the stair-step protocol in which the increasing daily CC dose is administered without intervening menses between the dosages. The important point is that ultra-</w:t>
      </w:r>
      <w:proofErr w:type="spellStart"/>
      <w:r w:rsidRPr="00450C00">
        <w:rPr>
          <w:sz w:val="20"/>
          <w:szCs w:val="20"/>
          <w:lang w:bidi="ar-EG"/>
        </w:rPr>
        <w:t>sonographic</w:t>
      </w:r>
      <w:proofErr w:type="spellEnd"/>
      <w:r w:rsidRPr="00450C00">
        <w:rPr>
          <w:sz w:val="20"/>
          <w:szCs w:val="20"/>
          <w:lang w:bidi="ar-EG"/>
        </w:rPr>
        <w:t xml:space="preserve"> monitoring is required during the stimulation. The potential advantage of</w:t>
      </w:r>
      <w:r w:rsidRPr="00450C00">
        <w:rPr>
          <w:sz w:val="20"/>
          <w:szCs w:val="20"/>
        </w:rPr>
        <w:t xml:space="preserve"> </w:t>
      </w:r>
      <w:r w:rsidRPr="00450C00">
        <w:rPr>
          <w:sz w:val="20"/>
          <w:szCs w:val="20"/>
          <w:lang w:bidi="ar-EG"/>
        </w:rPr>
        <w:t xml:space="preserve">stair-step protocol is the lack of a waiting period until the next menstruation. Potentially adverse effects of the cumulative doses in the same cycle on the </w:t>
      </w:r>
      <w:proofErr w:type="spellStart"/>
      <w:r w:rsidRPr="00450C00">
        <w:rPr>
          <w:sz w:val="20"/>
          <w:szCs w:val="20"/>
          <w:lang w:bidi="ar-EG"/>
        </w:rPr>
        <w:t>endometrium</w:t>
      </w:r>
      <w:proofErr w:type="spellEnd"/>
      <w:r w:rsidRPr="00450C00">
        <w:rPr>
          <w:sz w:val="20"/>
          <w:szCs w:val="20"/>
          <w:lang w:bidi="ar-EG"/>
        </w:rPr>
        <w:t xml:space="preserve"> and on systemic side effects may be disadvantages of stair-step protocol </w:t>
      </w:r>
      <w:r w:rsidRPr="00450C00">
        <w:rPr>
          <w:b/>
          <w:bCs/>
          <w:sz w:val="20"/>
          <w:szCs w:val="20"/>
          <w:lang w:bidi="ar-EG"/>
        </w:rPr>
        <w:t>(</w:t>
      </w:r>
      <w:r w:rsidR="0092316D" w:rsidRPr="00450C00">
        <w:rPr>
          <w:b/>
          <w:bCs/>
          <w:sz w:val="20"/>
          <w:szCs w:val="20"/>
          <w:lang w:bidi="ar-EG"/>
        </w:rPr>
        <w:t>9</w:t>
      </w:r>
      <w:r w:rsidRPr="00450C00">
        <w:rPr>
          <w:b/>
          <w:bCs/>
          <w:sz w:val="20"/>
          <w:szCs w:val="20"/>
          <w:lang w:bidi="ar-EG"/>
        </w:rPr>
        <w:t>).</w:t>
      </w:r>
    </w:p>
    <w:p w:rsidR="00EF5C89" w:rsidRPr="00450C00" w:rsidRDefault="006117BD" w:rsidP="000162D9">
      <w:pPr>
        <w:bidi w:val="0"/>
        <w:snapToGrid w:val="0"/>
        <w:ind w:firstLine="425"/>
        <w:jc w:val="both"/>
        <w:rPr>
          <w:sz w:val="20"/>
          <w:szCs w:val="20"/>
          <w:lang w:bidi="ar-EG"/>
        </w:rPr>
      </w:pPr>
      <w:r w:rsidRPr="00450C00">
        <w:rPr>
          <w:sz w:val="20"/>
          <w:szCs w:val="20"/>
          <w:lang w:bidi="ar-EG"/>
        </w:rPr>
        <w:t xml:space="preserve">The aim of this study was to evaluate the efficacy of </w:t>
      </w:r>
      <w:proofErr w:type="spellStart"/>
      <w:r w:rsidRPr="00450C00">
        <w:rPr>
          <w:sz w:val="20"/>
          <w:szCs w:val="20"/>
          <w:lang w:bidi="ar-EG"/>
        </w:rPr>
        <w:t>clomiphene</w:t>
      </w:r>
      <w:proofErr w:type="spellEnd"/>
      <w:r w:rsidRPr="00450C00">
        <w:rPr>
          <w:sz w:val="20"/>
          <w:szCs w:val="20"/>
          <w:lang w:bidi="ar-EG"/>
        </w:rPr>
        <w:t xml:space="preserve"> citrate (CC) combined with </w:t>
      </w:r>
      <w:proofErr w:type="spellStart"/>
      <w:r w:rsidRPr="00450C00">
        <w:rPr>
          <w:sz w:val="20"/>
          <w:szCs w:val="20"/>
          <w:lang w:bidi="ar-EG"/>
        </w:rPr>
        <w:t>phytoestrogens</w:t>
      </w:r>
      <w:proofErr w:type="spellEnd"/>
      <w:r w:rsidRPr="00450C00">
        <w:rPr>
          <w:sz w:val="20"/>
          <w:szCs w:val="20"/>
          <w:lang w:bidi="ar-EG"/>
        </w:rPr>
        <w:t xml:space="preserve"> in stair step versus traditional protocol to induce ovulation in women with polycystic ovarian syndrome (PCOS).</w:t>
      </w:r>
    </w:p>
    <w:p w:rsidR="00EF5C89" w:rsidRPr="00450C00" w:rsidRDefault="00EF5C89" w:rsidP="000162D9">
      <w:pPr>
        <w:bidi w:val="0"/>
        <w:snapToGrid w:val="0"/>
        <w:ind w:firstLine="425"/>
        <w:jc w:val="both"/>
        <w:rPr>
          <w:sz w:val="20"/>
          <w:szCs w:val="20"/>
          <w:lang w:bidi="ar-EG"/>
        </w:rPr>
      </w:pPr>
    </w:p>
    <w:p w:rsidR="00EF5C89" w:rsidRPr="00450C00" w:rsidRDefault="00F03D7B" w:rsidP="000162D9">
      <w:pPr>
        <w:bidi w:val="0"/>
        <w:snapToGrid w:val="0"/>
        <w:jc w:val="both"/>
        <w:rPr>
          <w:b/>
          <w:bCs/>
          <w:sz w:val="20"/>
          <w:szCs w:val="20"/>
          <w:lang w:bidi="ar-EG"/>
        </w:rPr>
      </w:pPr>
      <w:r w:rsidRPr="00450C00">
        <w:rPr>
          <w:b/>
          <w:bCs/>
          <w:sz w:val="20"/>
          <w:szCs w:val="20"/>
          <w:lang w:bidi="ar-EG"/>
        </w:rPr>
        <w:t>2. Patients and Methods</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This study was conducted on 100 patients with polycystic ovarian syndrome were divided into two groups, Group I: including 50 patients with </w:t>
      </w:r>
      <w:r w:rsidR="00D35D12" w:rsidRPr="00450C00">
        <w:rPr>
          <w:sz w:val="20"/>
          <w:szCs w:val="20"/>
          <w:lang w:bidi="ar-EG"/>
        </w:rPr>
        <w:t xml:space="preserve">traditional protocol </w:t>
      </w:r>
      <w:r w:rsidRPr="00450C00">
        <w:rPr>
          <w:sz w:val="20"/>
          <w:szCs w:val="20"/>
          <w:lang w:bidi="ar-EG"/>
        </w:rPr>
        <w:t xml:space="preserve">and Group II: including 50 patients with </w:t>
      </w:r>
      <w:r w:rsidR="00D35D12" w:rsidRPr="00450C00">
        <w:rPr>
          <w:sz w:val="20"/>
          <w:szCs w:val="20"/>
          <w:lang w:bidi="ar-EG"/>
        </w:rPr>
        <w:t>stair step protocol</w:t>
      </w:r>
      <w:r w:rsidRPr="00450C00">
        <w:rPr>
          <w:sz w:val="20"/>
          <w:szCs w:val="20"/>
          <w:lang w:bidi="ar-EG"/>
        </w:rPr>
        <w:t xml:space="preserve">. </w:t>
      </w:r>
      <w:r w:rsidR="00D448FA" w:rsidRPr="00450C00">
        <w:rPr>
          <w:sz w:val="20"/>
          <w:szCs w:val="20"/>
          <w:lang w:bidi="ar-EG"/>
        </w:rPr>
        <w:t>In addition, Group III</w:t>
      </w:r>
      <w:r w:rsidR="00D448FA" w:rsidRPr="00450C00">
        <w:rPr>
          <w:b/>
          <w:bCs/>
          <w:sz w:val="20"/>
          <w:szCs w:val="20"/>
          <w:lang w:bidi="ar-EG"/>
        </w:rPr>
        <w:t>:</w:t>
      </w:r>
      <w:r w:rsidR="00D448FA" w:rsidRPr="00450C00">
        <w:rPr>
          <w:sz w:val="20"/>
          <w:szCs w:val="20"/>
          <w:lang w:bidi="ar-EG"/>
        </w:rPr>
        <w:t xml:space="preserve"> including 50 patients with traditional protocol without taken </w:t>
      </w:r>
      <w:proofErr w:type="spellStart"/>
      <w:r w:rsidR="00D448FA" w:rsidRPr="00450C00">
        <w:rPr>
          <w:sz w:val="20"/>
          <w:szCs w:val="20"/>
          <w:lang w:bidi="ar-EG"/>
        </w:rPr>
        <w:t>phytoestrogen</w:t>
      </w:r>
      <w:proofErr w:type="spellEnd"/>
      <w:r w:rsidR="00D448FA" w:rsidRPr="00450C00">
        <w:rPr>
          <w:sz w:val="20"/>
          <w:szCs w:val="20"/>
          <w:lang w:bidi="ar-EG"/>
        </w:rPr>
        <w:t xml:space="preserve"> (control group</w:t>
      </w:r>
      <w:r w:rsidR="001E2C98" w:rsidRPr="00450C00">
        <w:rPr>
          <w:sz w:val="20"/>
          <w:szCs w:val="20"/>
          <w:lang w:bidi="ar-EG"/>
        </w:rPr>
        <w:t>) who were clinically free and volunteered to participate in the study</w:t>
      </w:r>
      <w:r w:rsidR="004E024A" w:rsidRPr="00450C00">
        <w:rPr>
          <w:sz w:val="20"/>
          <w:szCs w:val="20"/>
          <w:lang w:bidi="ar-EG"/>
        </w:rPr>
        <w:t>.</w:t>
      </w:r>
      <w:r w:rsidR="001E2C98" w:rsidRPr="00450C00">
        <w:rPr>
          <w:sz w:val="20"/>
          <w:szCs w:val="20"/>
          <w:lang w:bidi="ar-EG"/>
        </w:rPr>
        <w:t xml:space="preserve"> </w:t>
      </w:r>
      <w:r w:rsidRPr="00450C00">
        <w:rPr>
          <w:sz w:val="20"/>
          <w:szCs w:val="20"/>
          <w:lang w:bidi="ar-EG"/>
        </w:rPr>
        <w:t>All subjects were selected from Outpatient Clinic of Obstetrics and Gynecology in El-</w:t>
      </w:r>
      <w:proofErr w:type="spellStart"/>
      <w:r w:rsidRPr="00450C00">
        <w:rPr>
          <w:sz w:val="20"/>
          <w:szCs w:val="20"/>
          <w:lang w:bidi="ar-EG"/>
        </w:rPr>
        <w:t>Shohadaa</w:t>
      </w:r>
      <w:proofErr w:type="spellEnd"/>
      <w:r w:rsidRPr="00450C00">
        <w:rPr>
          <w:sz w:val="20"/>
          <w:szCs w:val="20"/>
          <w:lang w:bidi="ar-EG"/>
        </w:rPr>
        <w:t xml:space="preserve"> Central Hospital, </w:t>
      </w:r>
      <w:proofErr w:type="spellStart"/>
      <w:r w:rsidRPr="00450C00">
        <w:rPr>
          <w:sz w:val="20"/>
          <w:szCs w:val="20"/>
          <w:lang w:bidi="ar-EG"/>
        </w:rPr>
        <w:t>Menoufia</w:t>
      </w:r>
      <w:proofErr w:type="spellEnd"/>
      <w:r w:rsidRPr="00450C00">
        <w:rPr>
          <w:sz w:val="20"/>
          <w:szCs w:val="20"/>
          <w:lang w:bidi="ar-EG"/>
        </w:rPr>
        <w:t xml:space="preserve"> governorate, Egypt from the period of January 2016 till January 2017.</w:t>
      </w:r>
    </w:p>
    <w:p w:rsidR="00F03D7B" w:rsidRPr="00450C00" w:rsidRDefault="00EF5C89" w:rsidP="000162D9">
      <w:pPr>
        <w:bidi w:val="0"/>
        <w:snapToGrid w:val="0"/>
        <w:jc w:val="both"/>
        <w:rPr>
          <w:sz w:val="20"/>
          <w:szCs w:val="20"/>
          <w:lang w:bidi="ar-EG"/>
        </w:rPr>
      </w:pPr>
      <w:r w:rsidRPr="00450C00">
        <w:rPr>
          <w:b/>
          <w:bCs/>
          <w:sz w:val="20"/>
          <w:szCs w:val="20"/>
          <w:lang w:bidi="ar-EG"/>
        </w:rPr>
        <w:t>Ethical consideration</w:t>
      </w:r>
      <w:r w:rsidRPr="00450C00">
        <w:rPr>
          <w:sz w:val="20"/>
          <w:szCs w:val="20"/>
          <w:lang w:bidi="ar-EG"/>
        </w:rPr>
        <w:t>:</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All subjects participating in the study signed an informed written consent after explaining the purpose </w:t>
      </w:r>
      <w:r w:rsidRPr="00450C00">
        <w:rPr>
          <w:sz w:val="20"/>
          <w:szCs w:val="20"/>
          <w:lang w:bidi="ar-EG"/>
        </w:rPr>
        <w:lastRenderedPageBreak/>
        <w:t xml:space="preserve">of this study to each participant before the study initiation. The consent form was take according to the standard in Quality Improvement System in Ministry of Health and Population in Egypt, which was modified according to international ethical guidelines for Biochemical Research involving human subjects as prepared by the Council for Faculty of Medicine, Al </w:t>
      </w:r>
      <w:proofErr w:type="spellStart"/>
      <w:r w:rsidRPr="00450C00">
        <w:rPr>
          <w:sz w:val="20"/>
          <w:szCs w:val="20"/>
          <w:lang w:bidi="ar-EG"/>
        </w:rPr>
        <w:t>Azhar</w:t>
      </w:r>
      <w:proofErr w:type="spellEnd"/>
      <w:r w:rsidRPr="00450C00">
        <w:rPr>
          <w:sz w:val="20"/>
          <w:szCs w:val="20"/>
          <w:lang w:bidi="ar-EG"/>
        </w:rPr>
        <w:t xml:space="preserve"> University.</w:t>
      </w:r>
    </w:p>
    <w:p w:rsidR="00F03D7B" w:rsidRPr="00450C00" w:rsidRDefault="00EF5C89" w:rsidP="000162D9">
      <w:pPr>
        <w:bidi w:val="0"/>
        <w:snapToGrid w:val="0"/>
        <w:jc w:val="both"/>
        <w:rPr>
          <w:sz w:val="20"/>
          <w:szCs w:val="20"/>
          <w:lang w:bidi="ar-EG"/>
        </w:rPr>
      </w:pPr>
      <w:r w:rsidRPr="00450C00">
        <w:rPr>
          <w:b/>
          <w:bCs/>
          <w:sz w:val="20"/>
          <w:szCs w:val="20"/>
          <w:lang w:bidi="ar-EG"/>
        </w:rPr>
        <w:t>Inclusion criteria:</w:t>
      </w:r>
    </w:p>
    <w:p w:rsidR="00EF5C89" w:rsidRPr="00450C00" w:rsidRDefault="00EF5C89" w:rsidP="000162D9">
      <w:pPr>
        <w:bidi w:val="0"/>
        <w:snapToGrid w:val="0"/>
        <w:ind w:firstLine="425"/>
        <w:jc w:val="both"/>
        <w:rPr>
          <w:bCs/>
          <w:sz w:val="20"/>
          <w:szCs w:val="20"/>
          <w:lang w:bidi="ar-EG"/>
        </w:rPr>
      </w:pPr>
      <w:r w:rsidRPr="00450C00">
        <w:rPr>
          <w:sz w:val="20"/>
          <w:szCs w:val="20"/>
          <w:lang w:bidi="ar-EG"/>
        </w:rPr>
        <w:t xml:space="preserve">Female patient age 25-30 years, primary infertility diagnosed as PCOS according to </w:t>
      </w:r>
      <w:proofErr w:type="spellStart"/>
      <w:r w:rsidRPr="00450C00">
        <w:rPr>
          <w:sz w:val="20"/>
          <w:szCs w:val="20"/>
          <w:lang w:bidi="ar-EG"/>
        </w:rPr>
        <w:t>rotterdam</w:t>
      </w:r>
      <w:proofErr w:type="spellEnd"/>
      <w:r w:rsidRPr="00450C00">
        <w:rPr>
          <w:sz w:val="20"/>
          <w:szCs w:val="20"/>
          <w:lang w:bidi="ar-EG"/>
        </w:rPr>
        <w:t xml:space="preserve"> criteria 2003, free of medical disorders as renal, hepatic and cardiac, body mass index (BMI) &gt;25</w:t>
      </w:r>
      <w:r w:rsidRPr="00450C00">
        <w:rPr>
          <w:sz w:val="20"/>
          <w:szCs w:val="20"/>
          <w:lang w:bidi="ar-EG"/>
        </w:rPr>
        <w:sym w:font="Symbol" w:char="F03C"/>
      </w:r>
      <w:r w:rsidRPr="00450C00">
        <w:rPr>
          <w:sz w:val="20"/>
          <w:szCs w:val="20"/>
          <w:lang w:bidi="ar-EG"/>
        </w:rPr>
        <w:t>30</w:t>
      </w:r>
      <w:r w:rsidRPr="00450C00">
        <w:rPr>
          <w:bCs/>
          <w:sz w:val="20"/>
          <w:szCs w:val="20"/>
          <w:lang w:bidi="ar-EG"/>
        </w:rPr>
        <w:t xml:space="preserve"> and </w:t>
      </w:r>
      <w:r w:rsidRPr="00450C00">
        <w:rPr>
          <w:sz w:val="20"/>
          <w:szCs w:val="20"/>
          <w:lang w:bidi="ar-EG"/>
        </w:rPr>
        <w:t>no other factors of infertility as tubal pathology, male factor.</w:t>
      </w:r>
    </w:p>
    <w:p w:rsidR="00F03D7B" w:rsidRPr="00450C00" w:rsidRDefault="00EF5C89" w:rsidP="000162D9">
      <w:pPr>
        <w:bidi w:val="0"/>
        <w:snapToGrid w:val="0"/>
        <w:jc w:val="both"/>
        <w:rPr>
          <w:b/>
          <w:bCs/>
          <w:sz w:val="20"/>
          <w:szCs w:val="20"/>
          <w:lang w:bidi="ar-EG"/>
        </w:rPr>
      </w:pPr>
      <w:r w:rsidRPr="00450C00">
        <w:rPr>
          <w:b/>
          <w:bCs/>
          <w:sz w:val="20"/>
          <w:szCs w:val="20"/>
          <w:lang w:bidi="ar-EG"/>
        </w:rPr>
        <w:t>Exclusion criteria:</w:t>
      </w:r>
    </w:p>
    <w:p w:rsidR="00EF5C89" w:rsidRPr="00450C00" w:rsidRDefault="00F03D7B" w:rsidP="000162D9">
      <w:pPr>
        <w:bidi w:val="0"/>
        <w:snapToGrid w:val="0"/>
        <w:ind w:firstLine="425"/>
        <w:jc w:val="both"/>
        <w:rPr>
          <w:sz w:val="20"/>
          <w:szCs w:val="20"/>
          <w:lang w:bidi="ar-EG"/>
        </w:rPr>
      </w:pPr>
      <w:r w:rsidRPr="00450C00">
        <w:rPr>
          <w:sz w:val="20"/>
          <w:szCs w:val="20"/>
          <w:lang w:bidi="ar-EG"/>
        </w:rPr>
        <w:t>We're</w:t>
      </w:r>
      <w:r w:rsidR="00EF5C89" w:rsidRPr="00450C00">
        <w:rPr>
          <w:sz w:val="20"/>
          <w:szCs w:val="20"/>
          <w:lang w:bidi="ar-EG"/>
        </w:rPr>
        <w:t xml:space="preserve"> confounding factors such as:</w:t>
      </w:r>
      <w:r w:rsidR="00EF5C89" w:rsidRPr="00450C00">
        <w:rPr>
          <w:b/>
          <w:bCs/>
          <w:sz w:val="20"/>
          <w:szCs w:val="20"/>
          <w:lang w:bidi="ar-EG"/>
        </w:rPr>
        <w:t xml:space="preserve"> </w:t>
      </w:r>
      <w:r w:rsidR="00EF5C89" w:rsidRPr="00450C00">
        <w:rPr>
          <w:sz w:val="20"/>
          <w:szCs w:val="20"/>
          <w:lang w:bidi="ar-EG"/>
        </w:rPr>
        <w:t>other causes of infertility such as: tubal pathology, endocrinal disorder, previous gynecological operation, women's aged &gt;35y, as well as, older or male infertility.</w:t>
      </w:r>
    </w:p>
    <w:p w:rsidR="00EF5C89" w:rsidRPr="00450C00" w:rsidRDefault="00EF5C89" w:rsidP="000162D9">
      <w:pPr>
        <w:bidi w:val="0"/>
        <w:snapToGrid w:val="0"/>
        <w:ind w:firstLine="425"/>
        <w:jc w:val="both"/>
        <w:rPr>
          <w:sz w:val="20"/>
          <w:szCs w:val="20"/>
          <w:lang w:bidi="ar-EG"/>
        </w:rPr>
      </w:pPr>
      <w:r w:rsidRPr="00450C00">
        <w:rPr>
          <w:sz w:val="20"/>
          <w:szCs w:val="20"/>
          <w:lang w:bidi="ar-EG"/>
        </w:rPr>
        <w:t>The study group divided into two groups as follow:</w:t>
      </w:r>
    </w:p>
    <w:p w:rsidR="00F03D7B" w:rsidRPr="00450C00" w:rsidRDefault="00EF5C89" w:rsidP="000162D9">
      <w:pPr>
        <w:bidi w:val="0"/>
        <w:snapToGrid w:val="0"/>
        <w:jc w:val="both"/>
        <w:rPr>
          <w:b/>
          <w:bCs/>
          <w:sz w:val="20"/>
          <w:szCs w:val="20"/>
          <w:lang w:bidi="ar-EG"/>
        </w:rPr>
      </w:pPr>
      <w:r w:rsidRPr="00450C00">
        <w:rPr>
          <w:b/>
          <w:bCs/>
          <w:sz w:val="20"/>
          <w:szCs w:val="20"/>
          <w:lang w:bidi="ar-EG"/>
        </w:rPr>
        <w:t xml:space="preserve">Group </w:t>
      </w:r>
      <w:r w:rsidR="00601001" w:rsidRPr="00450C00">
        <w:rPr>
          <w:b/>
          <w:bCs/>
          <w:sz w:val="20"/>
          <w:szCs w:val="20"/>
          <w:lang w:bidi="ar-EG"/>
        </w:rPr>
        <w:t>I</w:t>
      </w:r>
      <w:r w:rsidRPr="00450C00">
        <w:rPr>
          <w:b/>
          <w:bCs/>
          <w:sz w:val="20"/>
          <w:szCs w:val="20"/>
          <w:lang w:bidi="ar-EG"/>
        </w:rPr>
        <w:t xml:space="preserve">: </w:t>
      </w:r>
      <w:r w:rsidR="00601001" w:rsidRPr="00450C00">
        <w:rPr>
          <w:b/>
          <w:bCs/>
          <w:sz w:val="20"/>
          <w:szCs w:val="20"/>
          <w:lang w:bidi="ar-EG"/>
        </w:rPr>
        <w:t>Traditional protocol group (n=</w:t>
      </w:r>
      <w:r w:rsidRPr="00450C00">
        <w:rPr>
          <w:b/>
          <w:bCs/>
          <w:sz w:val="20"/>
          <w:szCs w:val="20"/>
          <w:lang w:bidi="ar-EG"/>
        </w:rPr>
        <w:t>50):</w:t>
      </w:r>
    </w:p>
    <w:p w:rsidR="00EF5C89" w:rsidRPr="00450C00" w:rsidRDefault="00EF5C89" w:rsidP="000162D9">
      <w:pPr>
        <w:bidi w:val="0"/>
        <w:snapToGrid w:val="0"/>
        <w:ind w:firstLine="425"/>
        <w:jc w:val="both"/>
        <w:rPr>
          <w:b/>
          <w:bCs/>
          <w:sz w:val="20"/>
          <w:szCs w:val="20"/>
          <w:lang w:bidi="ar-EG"/>
        </w:rPr>
      </w:pPr>
      <w:r w:rsidRPr="00450C00">
        <w:rPr>
          <w:sz w:val="20"/>
          <w:szCs w:val="20"/>
          <w:lang w:bidi="ar-EG"/>
        </w:rPr>
        <w:t xml:space="preserve">In this group </w:t>
      </w:r>
      <w:proofErr w:type="spellStart"/>
      <w:r w:rsidRPr="00450C00">
        <w:rPr>
          <w:sz w:val="20"/>
          <w:szCs w:val="20"/>
          <w:lang w:bidi="ar-EG"/>
        </w:rPr>
        <w:t>clomiphene</w:t>
      </w:r>
      <w:proofErr w:type="spellEnd"/>
      <w:r w:rsidRPr="00450C00">
        <w:rPr>
          <w:sz w:val="20"/>
          <w:szCs w:val="20"/>
          <w:lang w:bidi="ar-EG"/>
        </w:rPr>
        <w:t xml:space="preserve"> citrate was administered at 100 mg daily for 5 days after the onset of a progestin-induced menses, follicular response was monitored with </w:t>
      </w:r>
      <w:proofErr w:type="spellStart"/>
      <w:r w:rsidRPr="00450C00">
        <w:rPr>
          <w:sz w:val="20"/>
          <w:szCs w:val="20"/>
          <w:lang w:bidi="ar-EG"/>
        </w:rPr>
        <w:t>transvaginal</w:t>
      </w:r>
      <w:proofErr w:type="spellEnd"/>
      <w:r w:rsidRPr="00450C00">
        <w:rPr>
          <w:sz w:val="20"/>
          <w:szCs w:val="20"/>
          <w:lang w:bidi="ar-EG"/>
        </w:rPr>
        <w:t xml:space="preserve"> </w:t>
      </w:r>
      <w:proofErr w:type="spellStart"/>
      <w:r w:rsidRPr="00450C00">
        <w:rPr>
          <w:sz w:val="20"/>
          <w:szCs w:val="20"/>
          <w:lang w:bidi="ar-EG"/>
        </w:rPr>
        <w:t>ultrasonography</w:t>
      </w:r>
      <w:proofErr w:type="spellEnd"/>
      <w:r w:rsidRPr="00450C00">
        <w:rPr>
          <w:sz w:val="20"/>
          <w:szCs w:val="20"/>
          <w:lang w:bidi="ar-EG"/>
        </w:rPr>
        <w:t xml:space="preserve"> starting with day 8. When the mean diameter of leading follicle reached 17 mm, HCG was administrated. When no follicular response observed on cycle day 20 the cycle was cancelled. Patient was taken </w:t>
      </w:r>
      <w:proofErr w:type="spellStart"/>
      <w:r w:rsidRPr="00450C00">
        <w:rPr>
          <w:sz w:val="20"/>
          <w:szCs w:val="20"/>
          <w:lang w:bidi="ar-EG"/>
        </w:rPr>
        <w:t>phytoestrogen</w:t>
      </w:r>
      <w:proofErr w:type="spellEnd"/>
      <w:r w:rsidRPr="00450C00">
        <w:rPr>
          <w:sz w:val="20"/>
          <w:szCs w:val="20"/>
          <w:lang w:bidi="ar-EG"/>
        </w:rPr>
        <w:t xml:space="preserve"> from the third day of cycle for 10 days 1500 mg daily to avoid the side effects of </w:t>
      </w:r>
      <w:proofErr w:type="spellStart"/>
      <w:r w:rsidRPr="00450C00">
        <w:rPr>
          <w:sz w:val="20"/>
          <w:szCs w:val="20"/>
          <w:lang w:bidi="ar-EG"/>
        </w:rPr>
        <w:t>clomiphene</w:t>
      </w:r>
      <w:proofErr w:type="spellEnd"/>
      <w:r w:rsidRPr="00450C00">
        <w:rPr>
          <w:sz w:val="20"/>
          <w:szCs w:val="20"/>
          <w:lang w:bidi="ar-EG"/>
        </w:rPr>
        <w:t xml:space="preserve"> citrate on the </w:t>
      </w:r>
      <w:proofErr w:type="spellStart"/>
      <w:r w:rsidRPr="00450C00">
        <w:rPr>
          <w:sz w:val="20"/>
          <w:szCs w:val="20"/>
          <w:lang w:bidi="ar-EG"/>
        </w:rPr>
        <w:t>endometrium</w:t>
      </w:r>
      <w:proofErr w:type="spellEnd"/>
      <w:r w:rsidRPr="00450C00">
        <w:rPr>
          <w:sz w:val="20"/>
          <w:szCs w:val="20"/>
          <w:lang w:bidi="ar-EG"/>
        </w:rPr>
        <w:t>.</w:t>
      </w:r>
    </w:p>
    <w:p w:rsidR="00EF5C89" w:rsidRPr="00450C00" w:rsidRDefault="00EF5C89" w:rsidP="000162D9">
      <w:pPr>
        <w:bidi w:val="0"/>
        <w:snapToGrid w:val="0"/>
        <w:ind w:firstLine="425"/>
        <w:jc w:val="both"/>
        <w:rPr>
          <w:sz w:val="20"/>
          <w:szCs w:val="20"/>
          <w:lang w:bidi="ar-EG"/>
        </w:rPr>
      </w:pPr>
      <w:r w:rsidRPr="00450C00">
        <w:rPr>
          <w:sz w:val="20"/>
          <w:szCs w:val="20"/>
          <w:lang w:bidi="ar-EG"/>
        </w:rPr>
        <w:t>Patients who failed to respond to this dose were considered to have a treatment failure.</w:t>
      </w:r>
    </w:p>
    <w:p w:rsidR="00EF5C89" w:rsidRPr="00450C00" w:rsidRDefault="00601001" w:rsidP="000162D9">
      <w:pPr>
        <w:bidi w:val="0"/>
        <w:snapToGrid w:val="0"/>
        <w:jc w:val="both"/>
        <w:rPr>
          <w:b/>
          <w:bCs/>
          <w:sz w:val="20"/>
          <w:szCs w:val="20"/>
          <w:lang w:bidi="ar-EG"/>
        </w:rPr>
      </w:pPr>
      <w:r w:rsidRPr="00450C00">
        <w:rPr>
          <w:b/>
          <w:bCs/>
          <w:sz w:val="20"/>
          <w:szCs w:val="20"/>
          <w:lang w:bidi="ar-EG"/>
        </w:rPr>
        <w:t>Group II</w:t>
      </w:r>
      <w:r w:rsidR="00EF5C89" w:rsidRPr="00450C00">
        <w:rPr>
          <w:b/>
          <w:bCs/>
          <w:sz w:val="20"/>
          <w:szCs w:val="20"/>
          <w:lang w:bidi="ar-EG"/>
        </w:rPr>
        <w:t>: Stair step protocol group (n=50):</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In this group </w:t>
      </w:r>
      <w:proofErr w:type="spellStart"/>
      <w:r w:rsidRPr="00450C00">
        <w:rPr>
          <w:sz w:val="20"/>
          <w:szCs w:val="20"/>
          <w:lang w:bidi="ar-EG"/>
        </w:rPr>
        <w:t>clomiphene</w:t>
      </w:r>
      <w:proofErr w:type="spellEnd"/>
      <w:r w:rsidRPr="00450C00">
        <w:rPr>
          <w:sz w:val="20"/>
          <w:szCs w:val="20"/>
          <w:lang w:bidi="ar-EG"/>
        </w:rPr>
        <w:t xml:space="preserve"> citrate was administered at 50 mg daily for 5 days following the onset of a spontaneous or progestin- induced menses. The follicular response monitored by </w:t>
      </w:r>
      <w:proofErr w:type="spellStart"/>
      <w:r w:rsidRPr="00450C00">
        <w:rPr>
          <w:sz w:val="20"/>
          <w:szCs w:val="20"/>
          <w:lang w:bidi="ar-EG"/>
        </w:rPr>
        <w:t>transvaginal</w:t>
      </w:r>
      <w:proofErr w:type="spellEnd"/>
      <w:r w:rsidRPr="00450C00">
        <w:rPr>
          <w:sz w:val="20"/>
          <w:szCs w:val="20"/>
          <w:lang w:bidi="ar-EG"/>
        </w:rPr>
        <w:t xml:space="preserve"> </w:t>
      </w:r>
      <w:proofErr w:type="spellStart"/>
      <w:r w:rsidRPr="00450C00">
        <w:rPr>
          <w:sz w:val="20"/>
          <w:szCs w:val="20"/>
          <w:lang w:bidi="ar-EG"/>
        </w:rPr>
        <w:t>ultrasonography</w:t>
      </w:r>
      <w:proofErr w:type="spellEnd"/>
      <w:r w:rsidRPr="00450C00">
        <w:rPr>
          <w:sz w:val="20"/>
          <w:szCs w:val="20"/>
          <w:lang w:bidi="ar-EG"/>
        </w:rPr>
        <w:t xml:space="preserve"> (TVS) starting on day 8. When the mean diameter of the follicle size is below 11mm on cycle day 14, the dosage increases to 100 mg/day for 5 days. Then on cycle day 19 re-evaluations by TVS was restarted. When the mean diameter of leading follicle reached 17 mm, human chorionic </w:t>
      </w:r>
      <w:proofErr w:type="spellStart"/>
      <w:r w:rsidRPr="00450C00">
        <w:rPr>
          <w:sz w:val="20"/>
          <w:szCs w:val="20"/>
          <w:lang w:bidi="ar-EG"/>
        </w:rPr>
        <w:t>gonadotropin</w:t>
      </w:r>
      <w:proofErr w:type="spellEnd"/>
      <w:r w:rsidRPr="00450C00">
        <w:rPr>
          <w:sz w:val="20"/>
          <w:szCs w:val="20"/>
          <w:lang w:bidi="ar-EG"/>
        </w:rPr>
        <w:t xml:space="preserve"> (HCG) was administrated. When no follicular response is observed on cycle day 23, the cycle was cancelled. The daily dosage of </w:t>
      </w:r>
      <w:proofErr w:type="spellStart"/>
      <w:r w:rsidRPr="00450C00">
        <w:rPr>
          <w:sz w:val="20"/>
          <w:szCs w:val="20"/>
          <w:lang w:bidi="ar-EG"/>
        </w:rPr>
        <w:t>clomiphene</w:t>
      </w:r>
      <w:proofErr w:type="spellEnd"/>
      <w:r w:rsidRPr="00450C00">
        <w:rPr>
          <w:sz w:val="20"/>
          <w:szCs w:val="20"/>
          <w:lang w:bidi="ar-EG"/>
        </w:rPr>
        <w:t xml:space="preserve"> citrate wasn't increased for 150 mg daily because of potentially adverse effect of the cumulative doses. Patient was taken </w:t>
      </w:r>
      <w:proofErr w:type="spellStart"/>
      <w:r w:rsidRPr="00450C00">
        <w:rPr>
          <w:sz w:val="20"/>
          <w:szCs w:val="20"/>
          <w:lang w:bidi="ar-EG"/>
        </w:rPr>
        <w:t>phytoestrogen</w:t>
      </w:r>
      <w:proofErr w:type="spellEnd"/>
      <w:r w:rsidRPr="00450C00">
        <w:rPr>
          <w:sz w:val="20"/>
          <w:szCs w:val="20"/>
          <w:lang w:bidi="ar-EG"/>
        </w:rPr>
        <w:t xml:space="preserve"> from the third day of cycle for 10 days 1500 mg daily to avoid the side effects of </w:t>
      </w:r>
      <w:proofErr w:type="spellStart"/>
      <w:r w:rsidRPr="00450C00">
        <w:rPr>
          <w:sz w:val="20"/>
          <w:szCs w:val="20"/>
          <w:lang w:bidi="ar-EG"/>
        </w:rPr>
        <w:t>clomiphene</w:t>
      </w:r>
      <w:proofErr w:type="spellEnd"/>
      <w:r w:rsidRPr="00450C00">
        <w:rPr>
          <w:sz w:val="20"/>
          <w:szCs w:val="20"/>
          <w:lang w:bidi="ar-EG"/>
        </w:rPr>
        <w:t xml:space="preserve"> citrate on the </w:t>
      </w:r>
      <w:proofErr w:type="spellStart"/>
      <w:r w:rsidRPr="00450C00">
        <w:rPr>
          <w:sz w:val="20"/>
          <w:szCs w:val="20"/>
          <w:lang w:bidi="ar-EG"/>
        </w:rPr>
        <w:t>endometrium</w:t>
      </w:r>
      <w:proofErr w:type="spellEnd"/>
      <w:r w:rsidRPr="00450C00">
        <w:rPr>
          <w:sz w:val="20"/>
          <w:szCs w:val="20"/>
          <w:lang w:bidi="ar-EG"/>
        </w:rPr>
        <w:t xml:space="preserve">. The </w:t>
      </w:r>
      <w:r w:rsidRPr="00450C00">
        <w:rPr>
          <w:sz w:val="20"/>
          <w:szCs w:val="20"/>
          <w:lang w:bidi="ar-EG"/>
        </w:rPr>
        <w:lastRenderedPageBreak/>
        <w:t>method as the same mentioned is group 1 (traditional protocol).</w:t>
      </w:r>
    </w:p>
    <w:p w:rsidR="001E7B85" w:rsidRPr="00450C00" w:rsidRDefault="001E7B85" w:rsidP="000162D9">
      <w:pPr>
        <w:bidi w:val="0"/>
        <w:snapToGrid w:val="0"/>
        <w:jc w:val="both"/>
        <w:rPr>
          <w:b/>
          <w:bCs/>
          <w:sz w:val="20"/>
          <w:szCs w:val="20"/>
          <w:lang w:bidi="ar-EG"/>
        </w:rPr>
      </w:pPr>
      <w:r w:rsidRPr="00450C00">
        <w:rPr>
          <w:b/>
          <w:bCs/>
          <w:sz w:val="20"/>
          <w:szCs w:val="20"/>
          <w:lang w:bidi="ar-EG"/>
        </w:rPr>
        <w:t>Group III:</w:t>
      </w:r>
      <w:r w:rsidR="000162D9" w:rsidRPr="00450C00">
        <w:rPr>
          <w:b/>
          <w:bCs/>
          <w:sz w:val="20"/>
          <w:szCs w:val="20"/>
          <w:lang w:bidi="ar-EG"/>
        </w:rPr>
        <w:t xml:space="preserve"> </w:t>
      </w:r>
      <w:r w:rsidRPr="00450C00">
        <w:rPr>
          <w:b/>
          <w:bCs/>
          <w:sz w:val="20"/>
          <w:szCs w:val="20"/>
          <w:lang w:bidi="ar-EG"/>
        </w:rPr>
        <w:t>Control group (n = 50):</w:t>
      </w:r>
    </w:p>
    <w:p w:rsidR="001E7B85" w:rsidRPr="00450C00" w:rsidRDefault="001E7B85" w:rsidP="000162D9">
      <w:pPr>
        <w:bidi w:val="0"/>
        <w:snapToGrid w:val="0"/>
        <w:ind w:firstLine="425"/>
        <w:jc w:val="both"/>
        <w:rPr>
          <w:sz w:val="20"/>
          <w:szCs w:val="20"/>
          <w:lang w:bidi="ar-EG"/>
        </w:rPr>
      </w:pPr>
      <w:r w:rsidRPr="00450C00">
        <w:rPr>
          <w:sz w:val="20"/>
          <w:szCs w:val="20"/>
          <w:lang w:bidi="ar-EG"/>
        </w:rPr>
        <w:t xml:space="preserve">In this group </w:t>
      </w:r>
      <w:proofErr w:type="spellStart"/>
      <w:r w:rsidRPr="00450C00">
        <w:rPr>
          <w:sz w:val="20"/>
          <w:szCs w:val="20"/>
          <w:lang w:bidi="ar-EG"/>
        </w:rPr>
        <w:t>clomiphene</w:t>
      </w:r>
      <w:proofErr w:type="spellEnd"/>
      <w:r w:rsidRPr="00450C00">
        <w:rPr>
          <w:sz w:val="20"/>
          <w:szCs w:val="20"/>
          <w:lang w:bidi="ar-EG"/>
        </w:rPr>
        <w:t xml:space="preserve"> citrate was administered at 100 mg daily for 5 days after the onset of a progestin-induced menses, follicular response was monitored with </w:t>
      </w:r>
      <w:proofErr w:type="spellStart"/>
      <w:r w:rsidRPr="00450C00">
        <w:rPr>
          <w:sz w:val="20"/>
          <w:szCs w:val="20"/>
          <w:lang w:bidi="ar-EG"/>
        </w:rPr>
        <w:t>transvaginal</w:t>
      </w:r>
      <w:proofErr w:type="spellEnd"/>
      <w:r w:rsidRPr="00450C00">
        <w:rPr>
          <w:sz w:val="20"/>
          <w:szCs w:val="20"/>
          <w:lang w:bidi="ar-EG"/>
        </w:rPr>
        <w:t xml:space="preserve"> </w:t>
      </w:r>
      <w:proofErr w:type="spellStart"/>
      <w:r w:rsidRPr="00450C00">
        <w:rPr>
          <w:sz w:val="20"/>
          <w:szCs w:val="20"/>
          <w:lang w:bidi="ar-EG"/>
        </w:rPr>
        <w:t>ultrasonography</w:t>
      </w:r>
      <w:proofErr w:type="spellEnd"/>
      <w:r w:rsidRPr="00450C00">
        <w:rPr>
          <w:sz w:val="20"/>
          <w:szCs w:val="20"/>
          <w:lang w:bidi="ar-EG"/>
        </w:rPr>
        <w:t xml:space="preserve"> starting with day 8. When the mean diameter of leading follicle reached 17 mm, HCG was administrated. When no follicular response observed on cycle day 20 the cycle was cancelled. This method as the same mentioned is group I (traditional protocol) without take any </w:t>
      </w:r>
      <w:proofErr w:type="spellStart"/>
      <w:r w:rsidRPr="00450C00">
        <w:rPr>
          <w:sz w:val="20"/>
          <w:szCs w:val="20"/>
          <w:lang w:bidi="ar-EG"/>
        </w:rPr>
        <w:t>phytoestrogen</w:t>
      </w:r>
      <w:proofErr w:type="spellEnd"/>
      <w:r w:rsidRPr="00450C00">
        <w:rPr>
          <w:i/>
          <w:iCs/>
          <w:sz w:val="20"/>
          <w:szCs w:val="20"/>
          <w:lang w:bidi="ar-EG"/>
        </w:rPr>
        <w:t>.</w:t>
      </w:r>
    </w:p>
    <w:p w:rsidR="00EF5C89" w:rsidRPr="00450C00" w:rsidRDefault="00EF5C89" w:rsidP="000162D9">
      <w:pPr>
        <w:bidi w:val="0"/>
        <w:snapToGrid w:val="0"/>
        <w:jc w:val="both"/>
        <w:rPr>
          <w:sz w:val="20"/>
          <w:szCs w:val="20"/>
          <w:lang w:bidi="ar-EG"/>
        </w:rPr>
      </w:pPr>
      <w:r w:rsidRPr="00450C00">
        <w:rPr>
          <w:b/>
          <w:bCs/>
          <w:sz w:val="20"/>
          <w:szCs w:val="20"/>
          <w:lang w:bidi="ar-EG"/>
        </w:rPr>
        <w:t>Subjects were submitted to the following:</w:t>
      </w:r>
    </w:p>
    <w:p w:rsidR="00EF5C89" w:rsidRPr="00450C00" w:rsidRDefault="00EF5C89" w:rsidP="000162D9">
      <w:pPr>
        <w:bidi w:val="0"/>
        <w:snapToGrid w:val="0"/>
        <w:jc w:val="both"/>
        <w:rPr>
          <w:b/>
          <w:bCs/>
          <w:sz w:val="20"/>
          <w:szCs w:val="20"/>
          <w:lang w:bidi="ar-EG"/>
        </w:rPr>
      </w:pPr>
      <w:r w:rsidRPr="00450C00">
        <w:rPr>
          <w:b/>
          <w:bCs/>
          <w:sz w:val="20"/>
          <w:szCs w:val="20"/>
          <w:lang w:bidi="ar-EG"/>
        </w:rPr>
        <w:t>1. Careful history:</w:t>
      </w:r>
    </w:p>
    <w:p w:rsidR="00EF5C89" w:rsidRPr="00450C00" w:rsidRDefault="00EF5C89" w:rsidP="000162D9">
      <w:pPr>
        <w:bidi w:val="0"/>
        <w:snapToGrid w:val="0"/>
        <w:ind w:firstLine="425"/>
        <w:jc w:val="both"/>
        <w:rPr>
          <w:b/>
          <w:bCs/>
          <w:sz w:val="20"/>
          <w:szCs w:val="20"/>
          <w:lang w:bidi="ar-EG"/>
        </w:rPr>
      </w:pPr>
      <w:r w:rsidRPr="00450C00">
        <w:rPr>
          <w:b/>
          <w:bCs/>
          <w:sz w:val="20"/>
          <w:szCs w:val="20"/>
          <w:lang w:bidi="ar-EG"/>
        </w:rPr>
        <w:t xml:space="preserve">Personal history: </w:t>
      </w:r>
      <w:r w:rsidRPr="00450C00">
        <w:rPr>
          <w:sz w:val="20"/>
          <w:szCs w:val="20"/>
          <w:lang w:bidi="ar-EG"/>
        </w:rPr>
        <w:t>Including name, age, education, occupation, residence, marital state and special habits.</w:t>
      </w:r>
    </w:p>
    <w:p w:rsidR="00EF5C89" w:rsidRPr="00450C00" w:rsidRDefault="00EF5C89" w:rsidP="000162D9">
      <w:pPr>
        <w:bidi w:val="0"/>
        <w:snapToGrid w:val="0"/>
        <w:ind w:firstLine="425"/>
        <w:jc w:val="both"/>
        <w:rPr>
          <w:b/>
          <w:bCs/>
          <w:sz w:val="20"/>
          <w:szCs w:val="20"/>
          <w:lang w:bidi="ar-EG"/>
        </w:rPr>
      </w:pPr>
      <w:r w:rsidRPr="00450C00">
        <w:rPr>
          <w:b/>
          <w:bCs/>
          <w:sz w:val="20"/>
          <w:szCs w:val="20"/>
          <w:lang w:bidi="ar-EG"/>
        </w:rPr>
        <w:t xml:space="preserve">Present history: </w:t>
      </w:r>
      <w:r w:rsidRPr="00450C00">
        <w:rPr>
          <w:sz w:val="20"/>
          <w:szCs w:val="20"/>
          <w:lang w:bidi="ar-EG"/>
        </w:rPr>
        <w:t>Including symptoms which are usually associated with PCOS such as:</w:t>
      </w:r>
      <w:r w:rsidRPr="00450C00">
        <w:rPr>
          <w:b/>
          <w:bCs/>
          <w:sz w:val="20"/>
          <w:szCs w:val="20"/>
          <w:lang w:bidi="ar-EG"/>
        </w:rPr>
        <w:t xml:space="preserve"> </w:t>
      </w:r>
      <w:r w:rsidRPr="00450C00">
        <w:rPr>
          <w:sz w:val="20"/>
          <w:szCs w:val="20"/>
          <w:lang w:bidi="ar-EG"/>
        </w:rPr>
        <w:t xml:space="preserve">infertility either primary or secondary and menstrual irregularities such as </w:t>
      </w:r>
      <w:proofErr w:type="spellStart"/>
      <w:r w:rsidRPr="00450C00">
        <w:rPr>
          <w:sz w:val="20"/>
          <w:szCs w:val="20"/>
          <w:lang w:bidi="ar-EG"/>
        </w:rPr>
        <w:t>oligomenorrhea</w:t>
      </w:r>
      <w:proofErr w:type="spellEnd"/>
      <w:r w:rsidRPr="00450C00">
        <w:rPr>
          <w:sz w:val="20"/>
          <w:szCs w:val="20"/>
          <w:lang w:bidi="ar-EG"/>
        </w:rPr>
        <w:t xml:space="preserve"> </w:t>
      </w:r>
      <w:proofErr w:type="spellStart"/>
      <w:r w:rsidRPr="00450C00">
        <w:rPr>
          <w:sz w:val="20"/>
          <w:szCs w:val="20"/>
          <w:lang w:bidi="ar-EG"/>
        </w:rPr>
        <w:t>menorrhagia</w:t>
      </w:r>
      <w:proofErr w:type="spellEnd"/>
      <w:r w:rsidRPr="00450C00">
        <w:rPr>
          <w:sz w:val="20"/>
          <w:szCs w:val="20"/>
          <w:lang w:bidi="ar-EG"/>
        </w:rPr>
        <w:t xml:space="preserve"> or amenorrhea.</w:t>
      </w:r>
    </w:p>
    <w:p w:rsidR="00EF5C89" w:rsidRPr="00450C00" w:rsidRDefault="00EF5C89" w:rsidP="000162D9">
      <w:pPr>
        <w:bidi w:val="0"/>
        <w:snapToGrid w:val="0"/>
        <w:ind w:firstLine="425"/>
        <w:jc w:val="both"/>
        <w:rPr>
          <w:b/>
          <w:bCs/>
          <w:sz w:val="20"/>
          <w:szCs w:val="20"/>
          <w:lang w:bidi="ar-EG"/>
        </w:rPr>
      </w:pPr>
      <w:r w:rsidRPr="00450C00">
        <w:rPr>
          <w:b/>
          <w:bCs/>
          <w:sz w:val="20"/>
          <w:szCs w:val="20"/>
          <w:lang w:bidi="ar-EG"/>
        </w:rPr>
        <w:t xml:space="preserve">Contraceptive history: </w:t>
      </w:r>
      <w:r w:rsidRPr="00450C00">
        <w:rPr>
          <w:sz w:val="20"/>
          <w:szCs w:val="20"/>
          <w:lang w:bidi="ar-EG"/>
        </w:rPr>
        <w:t>history of any medical disease or previous surgical operations.</w:t>
      </w:r>
    </w:p>
    <w:p w:rsidR="00EF5C89" w:rsidRPr="00450C00" w:rsidRDefault="00EF5C89" w:rsidP="000162D9">
      <w:pPr>
        <w:bidi w:val="0"/>
        <w:snapToGrid w:val="0"/>
        <w:ind w:firstLine="425"/>
        <w:jc w:val="both"/>
        <w:rPr>
          <w:sz w:val="20"/>
          <w:szCs w:val="20"/>
          <w:lang w:bidi="ar-EG"/>
        </w:rPr>
      </w:pPr>
      <w:r w:rsidRPr="00450C00">
        <w:rPr>
          <w:b/>
          <w:bCs/>
          <w:sz w:val="20"/>
          <w:szCs w:val="20"/>
          <w:lang w:bidi="ar-EG"/>
        </w:rPr>
        <w:t>Physical examination</w:t>
      </w:r>
      <w:r w:rsidRPr="00450C00">
        <w:rPr>
          <w:sz w:val="20"/>
          <w:szCs w:val="20"/>
          <w:lang w:bidi="ar-EG"/>
        </w:rPr>
        <w:t>: including Weight, height, BMI, BP, pulse, temperature, Examination for pallor, jaundice or cyanosis, thyroid examination, chest and heart examination and measurement of endometrial thickness</w:t>
      </w:r>
    </w:p>
    <w:p w:rsidR="00EF5C89" w:rsidRPr="00450C00" w:rsidRDefault="00EF5C89" w:rsidP="000162D9">
      <w:pPr>
        <w:bidi w:val="0"/>
        <w:snapToGrid w:val="0"/>
        <w:ind w:firstLine="425"/>
        <w:jc w:val="both"/>
        <w:rPr>
          <w:b/>
          <w:bCs/>
          <w:sz w:val="20"/>
          <w:szCs w:val="20"/>
          <w:lang w:bidi="ar-EG"/>
        </w:rPr>
      </w:pPr>
      <w:r w:rsidRPr="00450C00">
        <w:rPr>
          <w:b/>
          <w:bCs/>
          <w:sz w:val="20"/>
          <w:szCs w:val="20"/>
          <w:lang w:bidi="ar-EG"/>
        </w:rPr>
        <w:t xml:space="preserve">2. Investigations: </w:t>
      </w:r>
      <w:r w:rsidRPr="00450C00">
        <w:rPr>
          <w:sz w:val="20"/>
          <w:szCs w:val="20"/>
          <w:lang w:bidi="ar-EG"/>
        </w:rPr>
        <w:t xml:space="preserve">including trans-vaginal U/S showing 12 or more peripheral small cysts 2- </w:t>
      </w:r>
      <w:smartTag w:uri="urn:schemas-microsoft-com:office:smarttags" w:element="metricconverter">
        <w:smartTagPr>
          <w:attr w:name="ProductID" w:val="9 mm"/>
        </w:smartTagPr>
        <w:r w:rsidRPr="00450C00">
          <w:rPr>
            <w:sz w:val="20"/>
            <w:szCs w:val="20"/>
            <w:lang w:bidi="ar-EG"/>
          </w:rPr>
          <w:t>9 mm</w:t>
        </w:r>
      </w:smartTag>
      <w:r w:rsidRPr="00450C00">
        <w:rPr>
          <w:sz w:val="20"/>
          <w:szCs w:val="20"/>
          <w:lang w:bidi="ar-EG"/>
        </w:rPr>
        <w:t xml:space="preserve"> in </w:t>
      </w:r>
      <w:r w:rsidRPr="00450C00">
        <w:rPr>
          <w:sz w:val="20"/>
          <w:szCs w:val="20"/>
          <w:lang w:bidi="ar-EG"/>
        </w:rPr>
        <w:lastRenderedPageBreak/>
        <w:t xml:space="preserve">diameter or total ovarian volume of &gt; </w:t>
      </w:r>
      <w:smartTag w:uri="urn:schemas-microsoft-com:office:smarttags" w:element="metricconverter">
        <w:smartTagPr>
          <w:attr w:name="ProductID" w:val="10 mm"/>
        </w:smartTagPr>
        <w:r w:rsidRPr="00450C00">
          <w:rPr>
            <w:sz w:val="20"/>
            <w:szCs w:val="20"/>
            <w:lang w:bidi="ar-EG"/>
          </w:rPr>
          <w:t>10 mm</w:t>
        </w:r>
      </w:smartTag>
      <w:r w:rsidRPr="00450C00">
        <w:rPr>
          <w:sz w:val="20"/>
          <w:szCs w:val="20"/>
          <w:lang w:bidi="ar-EG"/>
        </w:rPr>
        <w:t xml:space="preserve"> 3), day 3 serum FSH, day 3 serum LH, the ratio of LH (Luteinizing hormone) to FSH (Follicle stimulating hormone) is greater than 1:1 (sometimes more than 3:1), as tested on day 3 of the menstrual cycle, duration of fertility and </w:t>
      </w:r>
      <w:proofErr w:type="spellStart"/>
      <w:r w:rsidRPr="00450C00">
        <w:rPr>
          <w:sz w:val="20"/>
          <w:szCs w:val="20"/>
          <w:lang w:bidi="ar-EG"/>
        </w:rPr>
        <w:t>Hystrosalpingiography</w:t>
      </w:r>
      <w:proofErr w:type="spellEnd"/>
      <w:r w:rsidRPr="00450C00">
        <w:rPr>
          <w:sz w:val="20"/>
          <w:szCs w:val="20"/>
          <w:lang w:bidi="ar-EG"/>
        </w:rPr>
        <w:t xml:space="preserve"> to exclude tubal factor of infertility.</w:t>
      </w:r>
    </w:p>
    <w:p w:rsidR="00EF5C89" w:rsidRPr="00450C00" w:rsidRDefault="00EF5C89" w:rsidP="000162D9">
      <w:pPr>
        <w:bidi w:val="0"/>
        <w:snapToGrid w:val="0"/>
        <w:jc w:val="both"/>
        <w:rPr>
          <w:b/>
          <w:bCs/>
          <w:sz w:val="20"/>
          <w:szCs w:val="20"/>
          <w:lang w:bidi="ar-EG"/>
        </w:rPr>
      </w:pPr>
      <w:r w:rsidRPr="00450C00">
        <w:rPr>
          <w:b/>
          <w:bCs/>
          <w:sz w:val="20"/>
          <w:szCs w:val="20"/>
          <w:lang w:bidi="ar-EG"/>
        </w:rPr>
        <w:t>Statistical Analysis:</w:t>
      </w:r>
    </w:p>
    <w:p w:rsidR="00EF5C89" w:rsidRPr="00450C00" w:rsidRDefault="00EF5C89" w:rsidP="000162D9">
      <w:pPr>
        <w:bidi w:val="0"/>
        <w:snapToGrid w:val="0"/>
        <w:ind w:firstLine="425"/>
        <w:jc w:val="both"/>
        <w:rPr>
          <w:sz w:val="20"/>
          <w:szCs w:val="20"/>
          <w:lang w:bidi="ar-EG"/>
        </w:rPr>
      </w:pPr>
      <w:r w:rsidRPr="00450C00">
        <w:rPr>
          <w:sz w:val="20"/>
          <w:szCs w:val="20"/>
          <w:lang w:bidi="ar-EG"/>
        </w:rPr>
        <w:t xml:space="preserve">Results were tabulated and statistically analyzed by using personal computer using MICROSOFT EXCEL 2016 and SPSS v. </w:t>
      </w:r>
      <w:r w:rsidR="00214992" w:rsidRPr="00450C00">
        <w:rPr>
          <w:sz w:val="20"/>
          <w:szCs w:val="20"/>
          <w:lang w:bidi="ar-EG"/>
        </w:rPr>
        <w:t>20 (SPSS Inc., Chicago, IL, USA</w:t>
      </w:r>
      <w:r w:rsidRPr="00450C00">
        <w:rPr>
          <w:sz w:val="20"/>
          <w:szCs w:val="20"/>
          <w:lang w:bidi="ar-EG"/>
        </w:rPr>
        <w:t>. Statistical analysis was done through: Descriptive: e.g. percentage (%), mean and standard deviation. Analytical: that includes: Chi-Squared (χ</w:t>
      </w:r>
      <w:r w:rsidRPr="00450C00">
        <w:rPr>
          <w:sz w:val="20"/>
          <w:szCs w:val="20"/>
          <w:vertAlign w:val="superscript"/>
          <w:lang w:bidi="ar-EG"/>
        </w:rPr>
        <w:t>2</w:t>
      </w:r>
      <w:r w:rsidRPr="00450C00">
        <w:rPr>
          <w:sz w:val="20"/>
          <w:szCs w:val="20"/>
          <w:lang w:bidi="ar-EG"/>
        </w:rPr>
        <w:t>), paired student t test. A value of P less than 0.05 was considered statistically significant.</w:t>
      </w:r>
    </w:p>
    <w:p w:rsidR="00EF5C89" w:rsidRPr="00450C00" w:rsidRDefault="00EF5C89" w:rsidP="000162D9">
      <w:pPr>
        <w:bidi w:val="0"/>
        <w:snapToGrid w:val="0"/>
        <w:ind w:firstLine="425"/>
        <w:jc w:val="both"/>
        <w:rPr>
          <w:sz w:val="20"/>
          <w:szCs w:val="20"/>
          <w:lang w:bidi="ar-EG"/>
        </w:rPr>
      </w:pPr>
    </w:p>
    <w:p w:rsidR="00EF5C89" w:rsidRPr="00450C00" w:rsidRDefault="00FF2B7F" w:rsidP="000162D9">
      <w:pPr>
        <w:bidi w:val="0"/>
        <w:snapToGrid w:val="0"/>
        <w:jc w:val="both"/>
        <w:rPr>
          <w:b/>
          <w:bCs/>
          <w:sz w:val="20"/>
          <w:szCs w:val="20"/>
          <w:lang w:bidi="ar-EG"/>
        </w:rPr>
      </w:pPr>
      <w:r w:rsidRPr="00450C00">
        <w:rPr>
          <w:b/>
          <w:bCs/>
          <w:sz w:val="20"/>
          <w:szCs w:val="20"/>
          <w:lang w:bidi="ar-EG"/>
        </w:rPr>
        <w:t>3. Results</w:t>
      </w:r>
    </w:p>
    <w:p w:rsidR="00EF5C89" w:rsidRPr="00450C00" w:rsidRDefault="00EF5C89" w:rsidP="000162D9">
      <w:pPr>
        <w:pStyle w:val="Style1"/>
        <w:shd w:val="clear" w:color="auto" w:fill="FFFFFF"/>
        <w:adjustRightInd/>
        <w:snapToGrid w:val="0"/>
        <w:ind w:firstLine="425"/>
        <w:jc w:val="both"/>
        <w:rPr>
          <w:lang w:bidi="ar-EG"/>
        </w:rPr>
      </w:pPr>
      <w:r w:rsidRPr="00450C00">
        <w:rPr>
          <w:lang w:bidi="ar-EG"/>
        </w:rPr>
        <w:t xml:space="preserve">Results in table 1 showed that there were no significant differences between </w:t>
      </w:r>
      <w:r w:rsidR="008A2613" w:rsidRPr="00450C00">
        <w:rPr>
          <w:lang w:bidi="ar-EG"/>
        </w:rPr>
        <w:t>the studied groups</w:t>
      </w:r>
      <w:r w:rsidRPr="00450C00">
        <w:rPr>
          <w:lang w:bidi="ar-EG"/>
        </w:rPr>
        <w:t xml:space="preserve"> as regard their age (p=0.956), body mass index (p=0.765), duration of infertility (p-value 0.622), Day 3 FSH level, Day 3 LH level, LH\FSH ratio and Endometrial thickness. On </w:t>
      </w:r>
      <w:bookmarkStart w:id="1" w:name="_Hlk480794761"/>
      <w:r w:rsidRPr="00450C00">
        <w:rPr>
          <w:lang w:bidi="ar-EG"/>
        </w:rPr>
        <w:t xml:space="preserve">the other hand, there was a statically significant difference (P=0.047) between </w:t>
      </w:r>
      <w:r w:rsidR="004E766C" w:rsidRPr="00450C00">
        <w:rPr>
          <w:lang w:bidi="ar-EG"/>
        </w:rPr>
        <w:t>the studied groups</w:t>
      </w:r>
      <w:r w:rsidRPr="00450C00">
        <w:rPr>
          <w:lang w:bidi="ar-EG"/>
        </w:rPr>
        <w:t xml:space="preserve"> regarding number of follicles (</w:t>
      </w:r>
      <w:r w:rsidRPr="00450C00">
        <w:rPr>
          <w:b/>
          <w:bCs/>
          <w:lang w:bidi="ar-EG"/>
        </w:rPr>
        <w:t>Fig 1</w:t>
      </w:r>
      <w:r w:rsidRPr="00450C00">
        <w:rPr>
          <w:lang w:bidi="ar-EG"/>
        </w:rPr>
        <w:t>). The highest number of follicles (2) was recorded by stair-</w:t>
      </w:r>
      <w:r w:rsidR="00440AB0" w:rsidRPr="00450C00">
        <w:rPr>
          <w:lang w:bidi="ar-EG"/>
        </w:rPr>
        <w:t>step protocol (grou</w:t>
      </w:r>
      <w:r w:rsidR="000162D9" w:rsidRPr="00450C00">
        <w:rPr>
          <w:lang w:bidi="ar-EG"/>
        </w:rPr>
        <w:t>p I</w:t>
      </w:r>
      <w:r w:rsidR="00440AB0" w:rsidRPr="00450C00">
        <w:rPr>
          <w:lang w:bidi="ar-EG"/>
        </w:rPr>
        <w:t>I</w:t>
      </w:r>
      <w:r w:rsidRPr="00450C00">
        <w:rPr>
          <w:lang w:bidi="ar-EG"/>
        </w:rPr>
        <w:t xml:space="preserve">) versus, </w:t>
      </w:r>
      <w:r w:rsidR="00440AB0" w:rsidRPr="00450C00">
        <w:rPr>
          <w:lang w:bidi="ar-EG"/>
        </w:rPr>
        <w:t xml:space="preserve">traditional protocol (group </w:t>
      </w:r>
      <w:r w:rsidR="00547CA2" w:rsidRPr="00450C00">
        <w:rPr>
          <w:lang w:bidi="ar-EG"/>
        </w:rPr>
        <w:t>I) and</w:t>
      </w:r>
      <w:r w:rsidR="00440AB0" w:rsidRPr="00450C00">
        <w:rPr>
          <w:lang w:bidi="ar-EG"/>
        </w:rPr>
        <w:t xml:space="preserve"> control</w:t>
      </w:r>
      <w:r w:rsidRPr="00450C00">
        <w:rPr>
          <w:lang w:bidi="ar-EG"/>
        </w:rPr>
        <w:t xml:space="preserve"> which scored th</w:t>
      </w:r>
      <w:r w:rsidR="00C06E8B" w:rsidRPr="00450C00">
        <w:rPr>
          <w:lang w:bidi="ar-EG"/>
        </w:rPr>
        <w:t>e lowest number of follicles</w:t>
      </w:r>
      <w:r w:rsidR="00374E80" w:rsidRPr="00450C00">
        <w:rPr>
          <w:lang w:bidi="ar-EG"/>
        </w:rPr>
        <w:t>, (</w:t>
      </w:r>
      <w:r w:rsidR="00374E80" w:rsidRPr="00450C00">
        <w:rPr>
          <w:b/>
          <w:bCs/>
          <w:lang w:bidi="ar-EG"/>
        </w:rPr>
        <w:t>Table 1</w:t>
      </w:r>
      <w:r w:rsidR="00374E80" w:rsidRPr="00450C00">
        <w:rPr>
          <w:lang w:bidi="ar-EG"/>
        </w:rPr>
        <w:t>).</w:t>
      </w:r>
    </w:p>
    <w:p w:rsidR="00036C1D" w:rsidRPr="00450C00" w:rsidRDefault="00036C1D" w:rsidP="000162D9">
      <w:pPr>
        <w:widowControl w:val="0"/>
        <w:autoSpaceDE w:val="0"/>
        <w:autoSpaceDN w:val="0"/>
        <w:bidi w:val="0"/>
        <w:snapToGrid w:val="0"/>
        <w:jc w:val="both"/>
        <w:rPr>
          <w:b/>
          <w:bCs/>
          <w:sz w:val="20"/>
          <w:szCs w:val="20"/>
          <w:lang w:bidi="ar-EG"/>
        </w:rPr>
        <w:sectPr w:rsidR="00036C1D" w:rsidRPr="00450C00" w:rsidSect="000162D9">
          <w:headerReference w:type="default" r:id="rId12"/>
          <w:footerReference w:type="default" r:id="rId13"/>
          <w:type w:val="continuous"/>
          <w:pgSz w:w="12242" w:h="15842" w:code="1"/>
          <w:pgMar w:top="1440" w:right="1440" w:bottom="1440" w:left="1440" w:header="720" w:footer="720" w:gutter="0"/>
          <w:cols w:num="2" w:space="600"/>
          <w:docGrid w:linePitch="360"/>
        </w:sectPr>
      </w:pPr>
    </w:p>
    <w:p w:rsidR="00500265" w:rsidRPr="00450C00" w:rsidRDefault="00500265" w:rsidP="000162D9">
      <w:pPr>
        <w:widowControl w:val="0"/>
        <w:autoSpaceDE w:val="0"/>
        <w:autoSpaceDN w:val="0"/>
        <w:bidi w:val="0"/>
        <w:snapToGrid w:val="0"/>
        <w:jc w:val="center"/>
        <w:rPr>
          <w:b/>
          <w:bCs/>
          <w:sz w:val="20"/>
          <w:szCs w:val="20"/>
          <w:lang w:bidi="ar-EG"/>
        </w:rPr>
      </w:pPr>
    </w:p>
    <w:p w:rsidR="00500265" w:rsidRPr="00450C00" w:rsidRDefault="00500265" w:rsidP="000162D9">
      <w:pPr>
        <w:bidi w:val="0"/>
        <w:snapToGrid w:val="0"/>
        <w:jc w:val="center"/>
        <w:rPr>
          <w:b/>
          <w:bCs/>
          <w:sz w:val="20"/>
          <w:szCs w:val="20"/>
          <w:lang w:bidi="ar-EG"/>
        </w:rPr>
      </w:pPr>
      <w:r w:rsidRPr="00450C00">
        <w:rPr>
          <w:b/>
          <w:bCs/>
          <w:sz w:val="20"/>
          <w:szCs w:val="20"/>
          <w:lang w:bidi="ar-EG"/>
        </w:rPr>
        <w:t xml:space="preserve">Table (1): </w:t>
      </w:r>
      <w:r w:rsidRPr="00450C00">
        <w:rPr>
          <w:sz w:val="20"/>
          <w:szCs w:val="20"/>
          <w:lang w:bidi="ar-EG"/>
        </w:rPr>
        <w:t>Comparison between the two studied groups according to their demographic characteristics (N = 100).</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CellMar>
          <w:left w:w="57" w:type="dxa"/>
          <w:right w:w="57" w:type="dxa"/>
        </w:tblCellMar>
        <w:tblLook w:val="01E0"/>
      </w:tblPr>
      <w:tblGrid>
        <w:gridCol w:w="2721"/>
        <w:gridCol w:w="1617"/>
        <w:gridCol w:w="1617"/>
        <w:gridCol w:w="1617"/>
        <w:gridCol w:w="809"/>
        <w:gridCol w:w="1095"/>
      </w:tblGrid>
      <w:tr w:rsidR="005135FB" w:rsidRPr="00450C00" w:rsidTr="000162D9">
        <w:trPr>
          <w:jc w:val="center"/>
        </w:trPr>
        <w:tc>
          <w:tcPr>
            <w:tcW w:w="1436" w:type="pct"/>
            <w:vMerge w:val="restart"/>
            <w:shd w:val="clear" w:color="auto" w:fill="F2F2F2"/>
            <w:vAlign w:val="center"/>
          </w:tcPr>
          <w:p w:rsidR="005135FB" w:rsidRPr="00450C00" w:rsidRDefault="005135FB" w:rsidP="000162D9">
            <w:pPr>
              <w:bidi w:val="0"/>
              <w:snapToGrid w:val="0"/>
              <w:jc w:val="both"/>
              <w:rPr>
                <w:b/>
                <w:bCs/>
                <w:sz w:val="20"/>
                <w:szCs w:val="20"/>
                <w:lang w:bidi="ar-EG"/>
              </w:rPr>
            </w:pPr>
            <w:r w:rsidRPr="00450C00">
              <w:rPr>
                <w:b/>
                <w:bCs/>
                <w:sz w:val="20"/>
                <w:szCs w:val="20"/>
                <w:lang w:bidi="ar-EG"/>
              </w:rPr>
              <w:t>Characteristics</w:t>
            </w:r>
          </w:p>
        </w:tc>
        <w:tc>
          <w:tcPr>
            <w:tcW w:w="853" w:type="pct"/>
            <w:vMerge w:val="restart"/>
            <w:shd w:val="clear" w:color="auto" w:fill="F2F2F2"/>
            <w:vAlign w:val="center"/>
          </w:tcPr>
          <w:p w:rsidR="005135FB" w:rsidRPr="00450C00" w:rsidRDefault="005135FB" w:rsidP="000162D9">
            <w:pPr>
              <w:tabs>
                <w:tab w:val="left" w:pos="8022"/>
              </w:tabs>
              <w:bidi w:val="0"/>
              <w:snapToGrid w:val="0"/>
              <w:jc w:val="both"/>
              <w:rPr>
                <w:b/>
                <w:bCs/>
                <w:sz w:val="20"/>
                <w:szCs w:val="20"/>
                <w:lang w:bidi="ar-EG"/>
              </w:rPr>
            </w:pPr>
            <w:r w:rsidRPr="00450C00">
              <w:rPr>
                <w:b/>
                <w:bCs/>
                <w:sz w:val="20"/>
                <w:szCs w:val="20"/>
                <w:shd w:val="clear" w:color="auto" w:fill="FFFFFF"/>
              </w:rPr>
              <w:t>Traditional</w:t>
            </w:r>
          </w:p>
          <w:p w:rsidR="005135FB" w:rsidRPr="00450C00" w:rsidRDefault="005135FB" w:rsidP="000162D9">
            <w:pPr>
              <w:tabs>
                <w:tab w:val="left" w:pos="8022"/>
              </w:tabs>
              <w:bidi w:val="0"/>
              <w:snapToGrid w:val="0"/>
              <w:jc w:val="both"/>
              <w:rPr>
                <w:b/>
                <w:bCs/>
                <w:sz w:val="20"/>
                <w:szCs w:val="20"/>
                <w:lang w:bidi="ar-EG"/>
              </w:rPr>
            </w:pPr>
            <w:r w:rsidRPr="00450C00">
              <w:rPr>
                <w:b/>
                <w:bCs/>
                <w:sz w:val="20"/>
                <w:szCs w:val="20"/>
                <w:lang w:bidi="ar-EG"/>
              </w:rPr>
              <w:t>Group I</w:t>
            </w:r>
          </w:p>
          <w:p w:rsidR="005135FB" w:rsidRPr="00450C00" w:rsidRDefault="005135FB" w:rsidP="000162D9">
            <w:pPr>
              <w:tabs>
                <w:tab w:val="left" w:pos="8022"/>
              </w:tabs>
              <w:bidi w:val="0"/>
              <w:snapToGrid w:val="0"/>
              <w:jc w:val="both"/>
              <w:rPr>
                <w:b/>
                <w:bCs/>
                <w:sz w:val="20"/>
                <w:szCs w:val="20"/>
                <w:lang w:bidi="ar-EG"/>
              </w:rPr>
            </w:pPr>
            <w:r w:rsidRPr="00450C00">
              <w:rPr>
                <w:sz w:val="20"/>
                <w:szCs w:val="20"/>
                <w:lang w:bidi="ar-EG"/>
              </w:rPr>
              <w:t>(No= 50)</w:t>
            </w:r>
          </w:p>
        </w:tc>
        <w:tc>
          <w:tcPr>
            <w:tcW w:w="853" w:type="pct"/>
            <w:vMerge w:val="restart"/>
            <w:shd w:val="clear" w:color="auto" w:fill="F2F2F2"/>
            <w:vAlign w:val="center"/>
          </w:tcPr>
          <w:p w:rsidR="005135FB" w:rsidRPr="00450C00" w:rsidRDefault="005135FB" w:rsidP="000162D9">
            <w:pPr>
              <w:bidi w:val="0"/>
              <w:snapToGrid w:val="0"/>
              <w:jc w:val="both"/>
              <w:rPr>
                <w:b/>
                <w:bCs/>
                <w:sz w:val="20"/>
                <w:szCs w:val="20"/>
                <w:lang w:bidi="ar-EG"/>
              </w:rPr>
            </w:pPr>
            <w:r w:rsidRPr="00450C00">
              <w:rPr>
                <w:b/>
                <w:bCs/>
                <w:sz w:val="20"/>
                <w:szCs w:val="20"/>
                <w:shd w:val="clear" w:color="auto" w:fill="FFFFFF"/>
              </w:rPr>
              <w:t>Stair-step</w:t>
            </w:r>
          </w:p>
          <w:p w:rsidR="005135FB" w:rsidRPr="00450C00" w:rsidRDefault="005135FB" w:rsidP="000162D9">
            <w:pPr>
              <w:bidi w:val="0"/>
              <w:snapToGrid w:val="0"/>
              <w:jc w:val="both"/>
              <w:rPr>
                <w:sz w:val="20"/>
                <w:szCs w:val="20"/>
                <w:lang w:bidi="ar-EG"/>
              </w:rPr>
            </w:pPr>
            <w:r w:rsidRPr="00450C00">
              <w:rPr>
                <w:b/>
                <w:bCs/>
                <w:sz w:val="20"/>
                <w:szCs w:val="20"/>
                <w:lang w:bidi="ar-EG"/>
              </w:rPr>
              <w:t>Group I</w:t>
            </w:r>
            <w:r w:rsidRPr="00450C00">
              <w:rPr>
                <w:sz w:val="20"/>
                <w:szCs w:val="20"/>
                <w:lang w:bidi="ar-EG"/>
              </w:rPr>
              <w:t>I</w:t>
            </w:r>
          </w:p>
          <w:p w:rsidR="005135FB" w:rsidRPr="00450C00" w:rsidRDefault="005135FB" w:rsidP="000162D9">
            <w:pPr>
              <w:tabs>
                <w:tab w:val="left" w:pos="8022"/>
              </w:tabs>
              <w:bidi w:val="0"/>
              <w:snapToGrid w:val="0"/>
              <w:jc w:val="both"/>
              <w:rPr>
                <w:b/>
                <w:bCs/>
                <w:sz w:val="20"/>
                <w:szCs w:val="20"/>
                <w:lang w:bidi="ar-EG"/>
              </w:rPr>
            </w:pPr>
            <w:r w:rsidRPr="00450C00">
              <w:rPr>
                <w:sz w:val="20"/>
                <w:szCs w:val="20"/>
                <w:lang w:bidi="ar-EG"/>
              </w:rPr>
              <w:t>(No= 50)</w:t>
            </w:r>
          </w:p>
        </w:tc>
        <w:tc>
          <w:tcPr>
            <w:tcW w:w="853" w:type="pct"/>
            <w:vMerge w:val="restart"/>
            <w:shd w:val="clear" w:color="auto" w:fill="F2F2F2"/>
            <w:vAlign w:val="center"/>
          </w:tcPr>
          <w:p w:rsidR="005135FB" w:rsidRPr="00450C00" w:rsidRDefault="005135FB" w:rsidP="000162D9">
            <w:pPr>
              <w:tabs>
                <w:tab w:val="left" w:pos="8022"/>
              </w:tabs>
              <w:bidi w:val="0"/>
              <w:snapToGrid w:val="0"/>
              <w:jc w:val="both"/>
              <w:rPr>
                <w:b/>
                <w:bCs/>
                <w:sz w:val="20"/>
                <w:szCs w:val="20"/>
                <w:lang w:bidi="ar-EG"/>
              </w:rPr>
            </w:pPr>
            <w:r w:rsidRPr="00450C00">
              <w:rPr>
                <w:b/>
                <w:bCs/>
                <w:sz w:val="20"/>
                <w:szCs w:val="20"/>
                <w:lang w:bidi="ar-EG"/>
              </w:rPr>
              <w:t>Control</w:t>
            </w:r>
          </w:p>
          <w:p w:rsidR="005135FB" w:rsidRPr="00450C00" w:rsidRDefault="005135FB" w:rsidP="000162D9">
            <w:pPr>
              <w:tabs>
                <w:tab w:val="left" w:pos="8022"/>
              </w:tabs>
              <w:bidi w:val="0"/>
              <w:snapToGrid w:val="0"/>
              <w:jc w:val="both"/>
              <w:rPr>
                <w:b/>
                <w:bCs/>
                <w:sz w:val="20"/>
                <w:szCs w:val="20"/>
                <w:lang w:bidi="ar-EG"/>
              </w:rPr>
            </w:pPr>
            <w:r w:rsidRPr="00450C00">
              <w:rPr>
                <w:b/>
                <w:bCs/>
                <w:sz w:val="20"/>
                <w:szCs w:val="20"/>
                <w:lang w:bidi="ar-EG"/>
              </w:rPr>
              <w:t>Group III</w:t>
            </w:r>
          </w:p>
          <w:p w:rsidR="005135FB" w:rsidRPr="00450C00" w:rsidRDefault="005135FB" w:rsidP="000162D9">
            <w:pPr>
              <w:tabs>
                <w:tab w:val="left" w:pos="8022"/>
              </w:tabs>
              <w:bidi w:val="0"/>
              <w:snapToGrid w:val="0"/>
              <w:jc w:val="both"/>
              <w:rPr>
                <w:b/>
                <w:bCs/>
                <w:sz w:val="20"/>
                <w:szCs w:val="20"/>
                <w:lang w:bidi="ar-EG"/>
              </w:rPr>
            </w:pPr>
            <w:r w:rsidRPr="00450C00">
              <w:rPr>
                <w:b/>
                <w:bCs/>
                <w:sz w:val="20"/>
                <w:szCs w:val="20"/>
                <w:lang w:bidi="ar-EG"/>
              </w:rPr>
              <w:t>(N=50)</w:t>
            </w:r>
          </w:p>
        </w:tc>
        <w:tc>
          <w:tcPr>
            <w:tcW w:w="1005" w:type="pct"/>
            <w:gridSpan w:val="2"/>
            <w:shd w:val="clear" w:color="auto" w:fill="F2F2F2"/>
            <w:vAlign w:val="center"/>
          </w:tcPr>
          <w:p w:rsidR="005135FB" w:rsidRPr="00450C00" w:rsidRDefault="005135FB" w:rsidP="000162D9">
            <w:pPr>
              <w:tabs>
                <w:tab w:val="left" w:pos="8022"/>
              </w:tabs>
              <w:bidi w:val="0"/>
              <w:snapToGrid w:val="0"/>
              <w:jc w:val="both"/>
              <w:rPr>
                <w:b/>
                <w:bCs/>
                <w:sz w:val="20"/>
                <w:szCs w:val="20"/>
                <w:lang w:bidi="ar-EG"/>
              </w:rPr>
            </w:pPr>
            <w:r w:rsidRPr="00450C00">
              <w:rPr>
                <w:b/>
                <w:bCs/>
                <w:sz w:val="20"/>
                <w:szCs w:val="20"/>
                <w:lang w:bidi="ar-EG"/>
              </w:rPr>
              <w:t>T- test</w:t>
            </w:r>
          </w:p>
        </w:tc>
      </w:tr>
      <w:tr w:rsidR="005135FB" w:rsidRPr="00450C00" w:rsidTr="000162D9">
        <w:trPr>
          <w:trHeight w:val="230"/>
          <w:jc w:val="center"/>
        </w:trPr>
        <w:tc>
          <w:tcPr>
            <w:tcW w:w="1436" w:type="pct"/>
            <w:vMerge/>
            <w:shd w:val="clear" w:color="auto" w:fill="F2F2F2"/>
            <w:vAlign w:val="center"/>
          </w:tcPr>
          <w:p w:rsidR="005135FB" w:rsidRPr="00450C00" w:rsidRDefault="005135FB" w:rsidP="000162D9">
            <w:pPr>
              <w:bidi w:val="0"/>
              <w:snapToGrid w:val="0"/>
              <w:jc w:val="both"/>
              <w:rPr>
                <w:b/>
                <w:bCs/>
                <w:sz w:val="20"/>
                <w:szCs w:val="20"/>
                <w:lang w:bidi="ar-EG"/>
              </w:rPr>
            </w:pPr>
          </w:p>
        </w:tc>
        <w:tc>
          <w:tcPr>
            <w:tcW w:w="853" w:type="pct"/>
            <w:vMerge/>
            <w:shd w:val="clear" w:color="auto" w:fill="F2F2F2"/>
            <w:vAlign w:val="center"/>
          </w:tcPr>
          <w:p w:rsidR="005135FB" w:rsidRPr="00450C00" w:rsidRDefault="005135FB" w:rsidP="000162D9">
            <w:pPr>
              <w:tabs>
                <w:tab w:val="left" w:pos="8022"/>
              </w:tabs>
              <w:bidi w:val="0"/>
              <w:snapToGrid w:val="0"/>
              <w:jc w:val="both"/>
              <w:rPr>
                <w:sz w:val="20"/>
                <w:szCs w:val="20"/>
                <w:lang w:bidi="ar-EG"/>
              </w:rPr>
            </w:pPr>
          </w:p>
        </w:tc>
        <w:tc>
          <w:tcPr>
            <w:tcW w:w="853" w:type="pct"/>
            <w:vMerge/>
            <w:shd w:val="clear" w:color="auto" w:fill="F2F2F2"/>
            <w:vAlign w:val="center"/>
          </w:tcPr>
          <w:p w:rsidR="005135FB" w:rsidRPr="00450C00" w:rsidRDefault="005135FB" w:rsidP="000162D9">
            <w:pPr>
              <w:tabs>
                <w:tab w:val="left" w:pos="8022"/>
              </w:tabs>
              <w:bidi w:val="0"/>
              <w:snapToGrid w:val="0"/>
              <w:jc w:val="both"/>
              <w:rPr>
                <w:sz w:val="20"/>
                <w:szCs w:val="20"/>
                <w:lang w:bidi="ar-EG"/>
              </w:rPr>
            </w:pPr>
          </w:p>
        </w:tc>
        <w:tc>
          <w:tcPr>
            <w:tcW w:w="853" w:type="pct"/>
            <w:vMerge/>
            <w:shd w:val="clear" w:color="auto" w:fill="F2F2F2"/>
            <w:vAlign w:val="center"/>
          </w:tcPr>
          <w:p w:rsidR="005135FB" w:rsidRPr="00450C00" w:rsidRDefault="005135FB" w:rsidP="000162D9">
            <w:pPr>
              <w:bidi w:val="0"/>
              <w:snapToGrid w:val="0"/>
              <w:jc w:val="both"/>
              <w:rPr>
                <w:b/>
                <w:bCs/>
                <w:sz w:val="20"/>
                <w:szCs w:val="20"/>
                <w:lang w:bidi="ar-EG"/>
              </w:rPr>
            </w:pPr>
          </w:p>
        </w:tc>
        <w:tc>
          <w:tcPr>
            <w:tcW w:w="427" w:type="pct"/>
            <w:vMerge w:val="restart"/>
            <w:shd w:val="clear" w:color="auto" w:fill="F2F2F2"/>
            <w:vAlign w:val="center"/>
          </w:tcPr>
          <w:p w:rsidR="005135FB" w:rsidRPr="00450C00" w:rsidRDefault="005135FB" w:rsidP="000162D9">
            <w:pPr>
              <w:bidi w:val="0"/>
              <w:snapToGrid w:val="0"/>
              <w:jc w:val="both"/>
              <w:rPr>
                <w:b/>
                <w:bCs/>
                <w:sz w:val="20"/>
                <w:szCs w:val="20"/>
                <w:lang w:bidi="ar-EG"/>
              </w:rPr>
            </w:pPr>
            <w:r w:rsidRPr="00450C00">
              <w:rPr>
                <w:b/>
                <w:bCs/>
                <w:sz w:val="20"/>
                <w:szCs w:val="20"/>
                <w:lang w:bidi="ar-EG"/>
              </w:rPr>
              <w:t>t</w:t>
            </w:r>
          </w:p>
        </w:tc>
        <w:tc>
          <w:tcPr>
            <w:tcW w:w="578" w:type="pct"/>
            <w:vMerge w:val="restart"/>
            <w:shd w:val="clear" w:color="auto" w:fill="F2F2F2"/>
            <w:vAlign w:val="center"/>
          </w:tcPr>
          <w:p w:rsidR="005135FB" w:rsidRPr="00450C00" w:rsidRDefault="005135FB" w:rsidP="000162D9">
            <w:pPr>
              <w:bidi w:val="0"/>
              <w:snapToGrid w:val="0"/>
              <w:jc w:val="both"/>
              <w:rPr>
                <w:b/>
                <w:bCs/>
                <w:sz w:val="20"/>
                <w:szCs w:val="20"/>
                <w:lang w:bidi="ar-EG"/>
              </w:rPr>
            </w:pPr>
            <w:r w:rsidRPr="00450C00">
              <w:rPr>
                <w:b/>
                <w:bCs/>
                <w:sz w:val="20"/>
                <w:szCs w:val="20"/>
                <w:lang w:bidi="ar-EG"/>
              </w:rPr>
              <w:t>P</w:t>
            </w:r>
          </w:p>
        </w:tc>
      </w:tr>
      <w:tr w:rsidR="005135FB" w:rsidRPr="00450C00" w:rsidTr="000162D9">
        <w:trPr>
          <w:jc w:val="center"/>
        </w:trPr>
        <w:tc>
          <w:tcPr>
            <w:tcW w:w="1436" w:type="pct"/>
            <w:vMerge/>
            <w:shd w:val="clear" w:color="auto" w:fill="F2F2F2"/>
            <w:vAlign w:val="center"/>
          </w:tcPr>
          <w:p w:rsidR="005135FB" w:rsidRPr="00450C00" w:rsidRDefault="005135FB" w:rsidP="000162D9">
            <w:pPr>
              <w:bidi w:val="0"/>
              <w:snapToGrid w:val="0"/>
              <w:jc w:val="both"/>
              <w:rPr>
                <w:b/>
                <w:bCs/>
                <w:sz w:val="20"/>
                <w:szCs w:val="20"/>
                <w:lang w:bidi="ar-EG"/>
              </w:rPr>
            </w:pPr>
          </w:p>
        </w:tc>
        <w:tc>
          <w:tcPr>
            <w:tcW w:w="853" w:type="pct"/>
            <w:shd w:val="clear" w:color="auto" w:fill="F2F2F2"/>
            <w:vAlign w:val="center"/>
          </w:tcPr>
          <w:p w:rsidR="005135FB" w:rsidRPr="00450C00" w:rsidRDefault="005135FB" w:rsidP="000162D9">
            <w:pPr>
              <w:bidi w:val="0"/>
              <w:snapToGrid w:val="0"/>
              <w:jc w:val="both"/>
              <w:rPr>
                <w:sz w:val="20"/>
                <w:szCs w:val="20"/>
              </w:rPr>
            </w:pPr>
            <w:r w:rsidRPr="00450C00">
              <w:rPr>
                <w:sz w:val="20"/>
                <w:szCs w:val="20"/>
              </w:rPr>
              <w:t>Mean + SD</w:t>
            </w:r>
          </w:p>
        </w:tc>
        <w:tc>
          <w:tcPr>
            <w:tcW w:w="853" w:type="pct"/>
            <w:shd w:val="clear" w:color="auto" w:fill="F2F2F2"/>
            <w:vAlign w:val="center"/>
          </w:tcPr>
          <w:p w:rsidR="005135FB" w:rsidRPr="00450C00" w:rsidRDefault="005135FB" w:rsidP="000162D9">
            <w:pPr>
              <w:bidi w:val="0"/>
              <w:snapToGrid w:val="0"/>
              <w:jc w:val="both"/>
              <w:rPr>
                <w:sz w:val="20"/>
                <w:szCs w:val="20"/>
              </w:rPr>
            </w:pPr>
            <w:r w:rsidRPr="00450C00">
              <w:rPr>
                <w:sz w:val="20"/>
                <w:szCs w:val="20"/>
              </w:rPr>
              <w:t>Mean + SD</w:t>
            </w:r>
          </w:p>
        </w:tc>
        <w:tc>
          <w:tcPr>
            <w:tcW w:w="853" w:type="pct"/>
            <w:shd w:val="clear" w:color="auto" w:fill="F2F2F2"/>
            <w:vAlign w:val="center"/>
          </w:tcPr>
          <w:p w:rsidR="005135FB" w:rsidRPr="00450C00" w:rsidRDefault="005135FB" w:rsidP="000162D9">
            <w:pPr>
              <w:bidi w:val="0"/>
              <w:snapToGrid w:val="0"/>
              <w:jc w:val="both"/>
              <w:rPr>
                <w:sz w:val="20"/>
                <w:szCs w:val="20"/>
                <w:lang w:bidi="ar-EG"/>
              </w:rPr>
            </w:pPr>
            <w:r w:rsidRPr="00450C00">
              <w:rPr>
                <w:sz w:val="20"/>
                <w:szCs w:val="20"/>
                <w:lang w:bidi="ar-EG"/>
              </w:rPr>
              <w:t>Mean + SD</w:t>
            </w:r>
          </w:p>
        </w:tc>
        <w:tc>
          <w:tcPr>
            <w:tcW w:w="427" w:type="pct"/>
            <w:vMerge/>
            <w:shd w:val="clear" w:color="auto" w:fill="F2F2F2"/>
            <w:vAlign w:val="center"/>
          </w:tcPr>
          <w:p w:rsidR="005135FB" w:rsidRPr="00450C00" w:rsidRDefault="005135FB" w:rsidP="000162D9">
            <w:pPr>
              <w:bidi w:val="0"/>
              <w:snapToGrid w:val="0"/>
              <w:jc w:val="both"/>
              <w:rPr>
                <w:b/>
                <w:bCs/>
                <w:sz w:val="20"/>
                <w:szCs w:val="20"/>
                <w:lang w:bidi="ar-EG"/>
              </w:rPr>
            </w:pPr>
          </w:p>
        </w:tc>
        <w:tc>
          <w:tcPr>
            <w:tcW w:w="578" w:type="pct"/>
            <w:vMerge/>
            <w:shd w:val="clear" w:color="auto" w:fill="F2F2F2"/>
            <w:vAlign w:val="center"/>
          </w:tcPr>
          <w:p w:rsidR="005135FB" w:rsidRPr="00450C00" w:rsidRDefault="005135FB" w:rsidP="000162D9">
            <w:pPr>
              <w:bidi w:val="0"/>
              <w:snapToGrid w:val="0"/>
              <w:jc w:val="both"/>
              <w:rPr>
                <w:b/>
                <w:bCs/>
                <w:sz w:val="20"/>
                <w:szCs w:val="20"/>
                <w:lang w:bidi="ar-EG"/>
              </w:rPr>
            </w:pP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Age</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27.50 + 1.79</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27.52 + 1.81</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 xml:space="preserve">27.50 </w:t>
            </w:r>
            <w:r w:rsidRPr="00450C00">
              <w:rPr>
                <w:sz w:val="20"/>
                <w:szCs w:val="20"/>
                <w:u w:val="single"/>
                <w:lang w:bidi="ar-EG"/>
              </w:rPr>
              <w:t>+</w:t>
            </w:r>
            <w:r w:rsidRPr="00450C00">
              <w:rPr>
                <w:sz w:val="20"/>
                <w:szCs w:val="20"/>
                <w:lang w:bidi="ar-EG"/>
              </w:rPr>
              <w:t xml:space="preserve"> 1.79</w:t>
            </w:r>
          </w:p>
        </w:tc>
        <w:tc>
          <w:tcPr>
            <w:tcW w:w="427"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0.056</w:t>
            </w:r>
          </w:p>
        </w:tc>
        <w:tc>
          <w:tcPr>
            <w:tcW w:w="578"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0.956</w:t>
            </w:r>
            <w:r w:rsidRPr="00450C00">
              <w:rPr>
                <w:sz w:val="20"/>
                <w:szCs w:val="20"/>
                <w:vertAlign w:val="superscript"/>
                <w:lang w:bidi="ar-EG"/>
              </w:rPr>
              <w:t>NS</w:t>
            </w: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BMI</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27.14 + 1.29</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27.06 + 1.38</w:t>
            </w:r>
          </w:p>
        </w:tc>
        <w:tc>
          <w:tcPr>
            <w:tcW w:w="853" w:type="pct"/>
            <w:shd w:val="clear" w:color="auto" w:fill="FFFFFF"/>
            <w:vAlign w:val="center"/>
          </w:tcPr>
          <w:p w:rsidR="005135FB" w:rsidRPr="00450C00" w:rsidRDefault="009C52A1" w:rsidP="000162D9">
            <w:pPr>
              <w:bidi w:val="0"/>
              <w:snapToGrid w:val="0"/>
              <w:jc w:val="both"/>
              <w:rPr>
                <w:sz w:val="20"/>
                <w:szCs w:val="20"/>
                <w:lang w:bidi="ar-EG"/>
              </w:rPr>
            </w:pPr>
            <w:r w:rsidRPr="00450C00">
              <w:rPr>
                <w:sz w:val="20"/>
                <w:szCs w:val="20"/>
                <w:lang w:bidi="ar-EG"/>
              </w:rPr>
              <w:t xml:space="preserve">27.14 </w:t>
            </w:r>
            <w:r w:rsidRPr="00450C00">
              <w:rPr>
                <w:sz w:val="20"/>
                <w:szCs w:val="20"/>
                <w:u w:val="single"/>
                <w:lang w:bidi="ar-EG"/>
              </w:rPr>
              <w:t>+</w:t>
            </w:r>
            <w:r w:rsidRPr="00450C00">
              <w:rPr>
                <w:sz w:val="20"/>
                <w:szCs w:val="20"/>
                <w:lang w:bidi="ar-EG"/>
              </w:rPr>
              <w:t xml:space="preserve"> 1.29</w:t>
            </w:r>
          </w:p>
        </w:tc>
        <w:tc>
          <w:tcPr>
            <w:tcW w:w="427"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0.299</w:t>
            </w:r>
          </w:p>
        </w:tc>
        <w:tc>
          <w:tcPr>
            <w:tcW w:w="578"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0.765</w:t>
            </w:r>
            <w:r w:rsidRPr="00450C00">
              <w:rPr>
                <w:sz w:val="20"/>
                <w:szCs w:val="20"/>
                <w:vertAlign w:val="superscript"/>
                <w:lang w:bidi="ar-EG"/>
              </w:rPr>
              <w:t xml:space="preserve"> NS</w:t>
            </w: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Duration</w:t>
            </w:r>
            <w:r w:rsidR="009C52A1" w:rsidRPr="00450C00">
              <w:rPr>
                <w:sz w:val="20"/>
                <w:szCs w:val="20"/>
                <w:lang w:bidi="ar-EG"/>
              </w:rPr>
              <w:t xml:space="preserve"> </w:t>
            </w:r>
            <w:r w:rsidRPr="00450C00">
              <w:rPr>
                <w:sz w:val="20"/>
                <w:szCs w:val="20"/>
                <w:lang w:bidi="ar-EG"/>
              </w:rPr>
              <w:t>of infertility</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3.84 + 1.18</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3.96 + 1.24</w:t>
            </w:r>
          </w:p>
        </w:tc>
        <w:tc>
          <w:tcPr>
            <w:tcW w:w="853" w:type="pct"/>
            <w:shd w:val="clear" w:color="auto" w:fill="FFFFFF"/>
            <w:vAlign w:val="center"/>
          </w:tcPr>
          <w:p w:rsidR="005135FB" w:rsidRPr="00450C00" w:rsidRDefault="009C52A1" w:rsidP="000162D9">
            <w:pPr>
              <w:bidi w:val="0"/>
              <w:snapToGrid w:val="0"/>
              <w:jc w:val="both"/>
              <w:rPr>
                <w:sz w:val="20"/>
                <w:szCs w:val="20"/>
                <w:lang w:bidi="ar-EG"/>
              </w:rPr>
            </w:pPr>
            <w:r w:rsidRPr="00450C00">
              <w:rPr>
                <w:sz w:val="20"/>
                <w:szCs w:val="20"/>
                <w:lang w:bidi="ar-EG"/>
              </w:rPr>
              <w:t xml:space="preserve">3.11 </w:t>
            </w:r>
            <w:r w:rsidRPr="00450C00">
              <w:rPr>
                <w:sz w:val="20"/>
                <w:szCs w:val="20"/>
                <w:u w:val="single"/>
                <w:lang w:bidi="ar-EG"/>
              </w:rPr>
              <w:t>+</w:t>
            </w:r>
            <w:r w:rsidRPr="00450C00">
              <w:rPr>
                <w:sz w:val="20"/>
                <w:szCs w:val="20"/>
                <w:lang w:bidi="ar-EG"/>
              </w:rPr>
              <w:t xml:space="preserve"> 1.02</w:t>
            </w:r>
          </w:p>
        </w:tc>
        <w:tc>
          <w:tcPr>
            <w:tcW w:w="427"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0.494</w:t>
            </w:r>
          </w:p>
        </w:tc>
        <w:tc>
          <w:tcPr>
            <w:tcW w:w="578"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0.622</w:t>
            </w:r>
            <w:r w:rsidRPr="00450C00">
              <w:rPr>
                <w:sz w:val="20"/>
                <w:szCs w:val="20"/>
                <w:vertAlign w:val="superscript"/>
                <w:lang w:bidi="ar-EG"/>
              </w:rPr>
              <w:t xml:space="preserve"> NS</w:t>
            </w: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Day 3 FSH</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3.72 + 0.76</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3.88 + 0.87</w:t>
            </w:r>
          </w:p>
        </w:tc>
        <w:tc>
          <w:tcPr>
            <w:tcW w:w="853" w:type="pct"/>
            <w:shd w:val="clear" w:color="auto" w:fill="FFFFFF"/>
            <w:vAlign w:val="center"/>
          </w:tcPr>
          <w:p w:rsidR="005135FB" w:rsidRPr="00450C00" w:rsidRDefault="00B8723C" w:rsidP="000162D9">
            <w:pPr>
              <w:bidi w:val="0"/>
              <w:snapToGrid w:val="0"/>
              <w:jc w:val="both"/>
              <w:rPr>
                <w:sz w:val="20"/>
                <w:szCs w:val="20"/>
                <w:lang w:bidi="ar-EG"/>
              </w:rPr>
            </w:pPr>
            <w:r w:rsidRPr="00450C00">
              <w:rPr>
                <w:sz w:val="20"/>
                <w:szCs w:val="20"/>
                <w:lang w:bidi="ar-EG"/>
              </w:rPr>
              <w:t xml:space="preserve">3.5 </w:t>
            </w:r>
            <w:r w:rsidRPr="00450C00">
              <w:rPr>
                <w:sz w:val="20"/>
                <w:szCs w:val="20"/>
                <w:u w:val="single"/>
                <w:lang w:bidi="ar-EG"/>
              </w:rPr>
              <w:t>+</w:t>
            </w:r>
            <w:r w:rsidRPr="00450C00">
              <w:rPr>
                <w:sz w:val="20"/>
                <w:szCs w:val="20"/>
                <w:lang w:bidi="ar-EG"/>
              </w:rPr>
              <w:t xml:space="preserve"> 0.60</w:t>
            </w:r>
          </w:p>
        </w:tc>
        <w:tc>
          <w:tcPr>
            <w:tcW w:w="427"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0.980</w:t>
            </w:r>
          </w:p>
        </w:tc>
        <w:tc>
          <w:tcPr>
            <w:tcW w:w="578"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0.330</w:t>
            </w:r>
            <w:r w:rsidRPr="00450C00">
              <w:rPr>
                <w:sz w:val="20"/>
                <w:szCs w:val="20"/>
                <w:vertAlign w:val="superscript"/>
                <w:lang w:bidi="ar-EG"/>
              </w:rPr>
              <w:t xml:space="preserve"> NS</w:t>
            </w: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Day 3 LH</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5.33 + 1.16</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5.39 + 1.27</w:t>
            </w:r>
          </w:p>
        </w:tc>
        <w:tc>
          <w:tcPr>
            <w:tcW w:w="853" w:type="pct"/>
            <w:shd w:val="clear" w:color="auto" w:fill="FFFFFF"/>
            <w:vAlign w:val="center"/>
          </w:tcPr>
          <w:p w:rsidR="005135FB" w:rsidRPr="00450C00" w:rsidRDefault="00B8723C" w:rsidP="000162D9">
            <w:pPr>
              <w:bidi w:val="0"/>
              <w:snapToGrid w:val="0"/>
              <w:jc w:val="both"/>
              <w:rPr>
                <w:sz w:val="20"/>
                <w:szCs w:val="20"/>
                <w:lang w:bidi="ar-EG"/>
              </w:rPr>
            </w:pPr>
            <w:r w:rsidRPr="00450C00">
              <w:rPr>
                <w:sz w:val="20"/>
                <w:szCs w:val="20"/>
                <w:lang w:bidi="ar-EG"/>
              </w:rPr>
              <w:t xml:space="preserve">4.98 </w:t>
            </w:r>
            <w:r w:rsidRPr="00450C00">
              <w:rPr>
                <w:sz w:val="20"/>
                <w:szCs w:val="20"/>
                <w:u w:val="single"/>
                <w:lang w:bidi="ar-EG"/>
              </w:rPr>
              <w:t>+</w:t>
            </w:r>
            <w:r w:rsidRPr="00450C00">
              <w:rPr>
                <w:sz w:val="20"/>
                <w:szCs w:val="20"/>
                <w:lang w:bidi="ar-EG"/>
              </w:rPr>
              <w:t xml:space="preserve"> 1.02</w:t>
            </w:r>
          </w:p>
        </w:tc>
        <w:tc>
          <w:tcPr>
            <w:tcW w:w="427"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0.263</w:t>
            </w:r>
          </w:p>
        </w:tc>
        <w:tc>
          <w:tcPr>
            <w:tcW w:w="578"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0.793</w:t>
            </w:r>
            <w:r w:rsidRPr="00450C00">
              <w:rPr>
                <w:sz w:val="20"/>
                <w:szCs w:val="20"/>
                <w:vertAlign w:val="superscript"/>
                <w:lang w:bidi="ar-EG"/>
              </w:rPr>
              <w:t xml:space="preserve"> NS</w:t>
            </w: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LH / FSH Ratio</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1.51 + 0.51</w:t>
            </w:r>
          </w:p>
        </w:tc>
        <w:tc>
          <w:tcPr>
            <w:tcW w:w="853"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1.48 + 0.56</w:t>
            </w:r>
          </w:p>
        </w:tc>
        <w:tc>
          <w:tcPr>
            <w:tcW w:w="853" w:type="pct"/>
            <w:shd w:val="clear" w:color="auto" w:fill="FFFFFF"/>
            <w:vAlign w:val="center"/>
          </w:tcPr>
          <w:p w:rsidR="005135FB" w:rsidRPr="00450C00" w:rsidRDefault="00470FFB" w:rsidP="000162D9">
            <w:pPr>
              <w:bidi w:val="0"/>
              <w:snapToGrid w:val="0"/>
              <w:jc w:val="both"/>
              <w:rPr>
                <w:sz w:val="20"/>
                <w:szCs w:val="20"/>
                <w:lang w:bidi="ar-EG"/>
              </w:rPr>
            </w:pPr>
            <w:r w:rsidRPr="00450C00">
              <w:rPr>
                <w:sz w:val="20"/>
                <w:szCs w:val="20"/>
                <w:lang w:bidi="ar-EG"/>
              </w:rPr>
              <w:t xml:space="preserve">1.42 </w:t>
            </w:r>
            <w:r w:rsidRPr="00450C00">
              <w:rPr>
                <w:sz w:val="20"/>
                <w:szCs w:val="20"/>
                <w:u w:val="single"/>
                <w:lang w:bidi="ar-EG"/>
              </w:rPr>
              <w:t>+</w:t>
            </w:r>
            <w:r w:rsidRPr="00450C00">
              <w:rPr>
                <w:sz w:val="20"/>
                <w:szCs w:val="20"/>
                <w:lang w:bidi="ar-EG"/>
              </w:rPr>
              <w:t xml:space="preserve"> 0.51</w:t>
            </w:r>
          </w:p>
        </w:tc>
        <w:tc>
          <w:tcPr>
            <w:tcW w:w="427"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0.259</w:t>
            </w:r>
          </w:p>
        </w:tc>
        <w:tc>
          <w:tcPr>
            <w:tcW w:w="578"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lang w:bidi="ar-EG"/>
              </w:rPr>
              <w:t>0.796</w:t>
            </w:r>
            <w:r w:rsidRPr="00450C00">
              <w:rPr>
                <w:sz w:val="20"/>
                <w:szCs w:val="20"/>
                <w:vertAlign w:val="superscript"/>
                <w:lang w:bidi="ar-EG"/>
              </w:rPr>
              <w:t xml:space="preserve"> NS</w:t>
            </w:r>
          </w:p>
        </w:tc>
      </w:tr>
      <w:tr w:rsidR="005135FB" w:rsidRPr="00450C00" w:rsidTr="000162D9">
        <w:trPr>
          <w:jc w:val="center"/>
        </w:trPr>
        <w:tc>
          <w:tcPr>
            <w:tcW w:w="1436" w:type="pct"/>
            <w:shd w:val="clear" w:color="auto" w:fill="FFFFFF"/>
            <w:vAlign w:val="center"/>
          </w:tcPr>
          <w:p w:rsidR="005135FB" w:rsidRPr="00450C00" w:rsidRDefault="005135FB" w:rsidP="000162D9">
            <w:pPr>
              <w:bidi w:val="0"/>
              <w:snapToGrid w:val="0"/>
              <w:jc w:val="both"/>
              <w:rPr>
                <w:sz w:val="20"/>
                <w:szCs w:val="20"/>
                <w:lang w:bidi="ar-EG"/>
              </w:rPr>
            </w:pPr>
            <w:r w:rsidRPr="00450C00">
              <w:rPr>
                <w:sz w:val="20"/>
                <w:szCs w:val="20"/>
              </w:rPr>
              <w:t>Number of follicles</w:t>
            </w:r>
          </w:p>
        </w:tc>
        <w:tc>
          <w:tcPr>
            <w:tcW w:w="853"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1</w:t>
            </w:r>
            <w:r w:rsidRPr="00450C00">
              <w:rPr>
                <w:b/>
                <w:bCs/>
                <w:sz w:val="20"/>
                <w:szCs w:val="20"/>
              </w:rPr>
              <w:sym w:font="Symbol" w:char="F0B1"/>
            </w:r>
            <w:r w:rsidRPr="00450C00">
              <w:rPr>
                <w:sz w:val="20"/>
                <w:szCs w:val="20"/>
              </w:rPr>
              <w:t xml:space="preserve"> 0.03</w:t>
            </w:r>
          </w:p>
        </w:tc>
        <w:tc>
          <w:tcPr>
            <w:tcW w:w="853"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 xml:space="preserve">2 </w:t>
            </w:r>
            <w:r w:rsidRPr="00450C00">
              <w:rPr>
                <w:b/>
                <w:bCs/>
                <w:sz w:val="20"/>
                <w:szCs w:val="20"/>
              </w:rPr>
              <w:sym w:font="Symbol" w:char="F0B1"/>
            </w:r>
            <w:r w:rsidRPr="00450C00">
              <w:rPr>
                <w:sz w:val="20"/>
                <w:szCs w:val="20"/>
              </w:rPr>
              <w:t xml:space="preserve"> 0.06</w:t>
            </w:r>
          </w:p>
        </w:tc>
        <w:tc>
          <w:tcPr>
            <w:tcW w:w="853" w:type="pct"/>
            <w:shd w:val="clear" w:color="auto" w:fill="FFFFFF"/>
            <w:vAlign w:val="center"/>
          </w:tcPr>
          <w:p w:rsidR="005135FB" w:rsidRPr="00450C00" w:rsidRDefault="00470FFB" w:rsidP="000162D9">
            <w:pPr>
              <w:widowControl w:val="0"/>
              <w:autoSpaceDE w:val="0"/>
              <w:autoSpaceDN w:val="0"/>
              <w:bidi w:val="0"/>
              <w:snapToGrid w:val="0"/>
              <w:jc w:val="both"/>
              <w:rPr>
                <w:sz w:val="20"/>
                <w:szCs w:val="20"/>
              </w:rPr>
            </w:pPr>
            <w:r w:rsidRPr="00450C00">
              <w:rPr>
                <w:sz w:val="20"/>
                <w:szCs w:val="20"/>
              </w:rPr>
              <w:t>1</w:t>
            </w:r>
            <w:r w:rsidRPr="00450C00">
              <w:rPr>
                <w:b/>
                <w:bCs/>
                <w:sz w:val="20"/>
                <w:szCs w:val="20"/>
              </w:rPr>
              <w:sym w:font="Symbol" w:char="F0B1"/>
            </w:r>
            <w:r w:rsidRPr="00450C00">
              <w:rPr>
                <w:sz w:val="20"/>
                <w:szCs w:val="20"/>
              </w:rPr>
              <w:t xml:space="preserve"> 0.03</w:t>
            </w:r>
          </w:p>
        </w:tc>
        <w:tc>
          <w:tcPr>
            <w:tcW w:w="427"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3.5</w:t>
            </w:r>
          </w:p>
        </w:tc>
        <w:tc>
          <w:tcPr>
            <w:tcW w:w="578"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0.047*</w:t>
            </w:r>
          </w:p>
        </w:tc>
      </w:tr>
      <w:tr w:rsidR="005135FB" w:rsidRPr="00450C00" w:rsidTr="000162D9">
        <w:trPr>
          <w:jc w:val="center"/>
        </w:trPr>
        <w:tc>
          <w:tcPr>
            <w:tcW w:w="1436"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Endometrial thickness</w:t>
            </w:r>
          </w:p>
        </w:tc>
        <w:tc>
          <w:tcPr>
            <w:tcW w:w="853"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8.3</w:t>
            </w:r>
            <w:r w:rsidRPr="00450C00">
              <w:rPr>
                <w:sz w:val="20"/>
                <w:szCs w:val="20"/>
              </w:rPr>
              <w:sym w:font="Symbol" w:char="F0B1"/>
            </w:r>
            <w:r w:rsidRPr="00450C00">
              <w:rPr>
                <w:sz w:val="20"/>
                <w:szCs w:val="20"/>
              </w:rPr>
              <w:t>2.33</w:t>
            </w:r>
          </w:p>
        </w:tc>
        <w:tc>
          <w:tcPr>
            <w:tcW w:w="853"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8.1</w:t>
            </w:r>
            <w:r w:rsidRPr="00450C00">
              <w:rPr>
                <w:sz w:val="20"/>
                <w:szCs w:val="20"/>
              </w:rPr>
              <w:sym w:font="Symbol" w:char="F0B1"/>
            </w:r>
            <w:r w:rsidRPr="00450C00">
              <w:rPr>
                <w:sz w:val="20"/>
                <w:szCs w:val="20"/>
              </w:rPr>
              <w:t>3.7</w:t>
            </w:r>
          </w:p>
        </w:tc>
        <w:tc>
          <w:tcPr>
            <w:tcW w:w="853" w:type="pct"/>
            <w:shd w:val="clear" w:color="auto" w:fill="FFFFFF"/>
            <w:vAlign w:val="center"/>
          </w:tcPr>
          <w:p w:rsidR="005135FB" w:rsidRPr="00450C00" w:rsidRDefault="00470FFB" w:rsidP="000162D9">
            <w:pPr>
              <w:widowControl w:val="0"/>
              <w:autoSpaceDE w:val="0"/>
              <w:autoSpaceDN w:val="0"/>
              <w:bidi w:val="0"/>
              <w:snapToGrid w:val="0"/>
              <w:jc w:val="both"/>
              <w:rPr>
                <w:sz w:val="20"/>
                <w:szCs w:val="20"/>
              </w:rPr>
            </w:pPr>
            <w:r w:rsidRPr="00450C00">
              <w:rPr>
                <w:sz w:val="20"/>
                <w:szCs w:val="20"/>
              </w:rPr>
              <w:t>8.4</w:t>
            </w:r>
            <w:r w:rsidRPr="00450C00">
              <w:rPr>
                <w:sz w:val="20"/>
                <w:szCs w:val="20"/>
              </w:rPr>
              <w:sym w:font="Symbol" w:char="F0B1"/>
            </w:r>
            <w:r w:rsidRPr="00450C00">
              <w:rPr>
                <w:sz w:val="20"/>
                <w:szCs w:val="20"/>
              </w:rPr>
              <w:t>2.04</w:t>
            </w:r>
          </w:p>
        </w:tc>
        <w:tc>
          <w:tcPr>
            <w:tcW w:w="427"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0.216</w:t>
            </w:r>
          </w:p>
        </w:tc>
        <w:tc>
          <w:tcPr>
            <w:tcW w:w="578" w:type="pct"/>
            <w:shd w:val="clear" w:color="auto" w:fill="FFFFFF"/>
            <w:vAlign w:val="center"/>
          </w:tcPr>
          <w:p w:rsidR="005135FB" w:rsidRPr="00450C00" w:rsidRDefault="005135FB" w:rsidP="000162D9">
            <w:pPr>
              <w:widowControl w:val="0"/>
              <w:autoSpaceDE w:val="0"/>
              <w:autoSpaceDN w:val="0"/>
              <w:bidi w:val="0"/>
              <w:snapToGrid w:val="0"/>
              <w:jc w:val="both"/>
              <w:rPr>
                <w:sz w:val="20"/>
                <w:szCs w:val="20"/>
              </w:rPr>
            </w:pPr>
            <w:r w:rsidRPr="00450C00">
              <w:rPr>
                <w:sz w:val="20"/>
                <w:szCs w:val="20"/>
              </w:rPr>
              <w:t>0.67</w:t>
            </w:r>
            <w:r w:rsidRPr="00450C00">
              <w:rPr>
                <w:sz w:val="20"/>
                <w:szCs w:val="20"/>
                <w:vertAlign w:val="superscript"/>
              </w:rPr>
              <w:t>NS</w:t>
            </w:r>
          </w:p>
        </w:tc>
      </w:tr>
    </w:tbl>
    <w:p w:rsidR="00500265" w:rsidRPr="00450C00" w:rsidRDefault="00500265" w:rsidP="000162D9">
      <w:pPr>
        <w:bidi w:val="0"/>
        <w:snapToGrid w:val="0"/>
        <w:jc w:val="center"/>
        <w:rPr>
          <w:b/>
          <w:bCs/>
          <w:sz w:val="20"/>
          <w:szCs w:val="20"/>
          <w:lang w:eastAsia="zh-CN" w:bidi="ar-EG"/>
        </w:rPr>
      </w:pPr>
    </w:p>
    <w:p w:rsidR="000162D9" w:rsidRPr="00450C00" w:rsidRDefault="000162D9" w:rsidP="000162D9">
      <w:pPr>
        <w:bidi w:val="0"/>
        <w:snapToGrid w:val="0"/>
        <w:jc w:val="center"/>
        <w:rPr>
          <w:b/>
          <w:bCs/>
          <w:sz w:val="20"/>
          <w:szCs w:val="20"/>
          <w:lang w:eastAsia="zh-CN" w:bidi="ar-EG"/>
        </w:rPr>
        <w:sectPr w:rsidR="000162D9" w:rsidRPr="00450C00" w:rsidSect="00036C1D">
          <w:headerReference w:type="default" r:id="rId14"/>
          <w:footerReference w:type="default" r:id="rId15"/>
          <w:type w:val="continuous"/>
          <w:pgSz w:w="12242" w:h="15842" w:code="1"/>
          <w:pgMar w:top="1440" w:right="1440" w:bottom="1440" w:left="1440" w:header="720" w:footer="720" w:gutter="0"/>
          <w:cols w:space="708"/>
          <w:bidi/>
          <w:docGrid w:linePitch="360"/>
        </w:sectPr>
      </w:pPr>
    </w:p>
    <w:p w:rsidR="000162D9" w:rsidRPr="00450C00" w:rsidRDefault="000162D9" w:rsidP="000162D9">
      <w:pPr>
        <w:bidi w:val="0"/>
        <w:snapToGrid w:val="0"/>
        <w:ind w:firstLine="425"/>
        <w:jc w:val="both"/>
        <w:rPr>
          <w:sz w:val="20"/>
          <w:szCs w:val="20"/>
          <w:lang w:bidi="ar-EG"/>
        </w:rPr>
      </w:pPr>
      <w:r w:rsidRPr="00450C00">
        <w:rPr>
          <w:sz w:val="20"/>
          <w:szCs w:val="20"/>
          <w:lang w:bidi="ar-EG"/>
        </w:rPr>
        <w:lastRenderedPageBreak/>
        <w:t xml:space="preserve">According to results represented in table (2) indicated that Ovulation rate was higher in stair-step protocol (group II) as 72% (n=36) of patients in this group had increase in Ovulation rate, as compared with traditional protocol (group I) and control (group III) which was 40% (n=20) and 30% (n=15) of their patient had Ovulation rate, respectively. As well as statistically significant differences (p=0.029) were </w:t>
      </w:r>
      <w:r w:rsidRPr="00450C00">
        <w:rPr>
          <w:sz w:val="20"/>
          <w:szCs w:val="20"/>
          <w:lang w:bidi="ar-EG"/>
        </w:rPr>
        <w:lastRenderedPageBreak/>
        <w:t>observed between the studied groups as regards ovulation rate (</w:t>
      </w:r>
      <w:r w:rsidRPr="00450C00">
        <w:rPr>
          <w:b/>
          <w:bCs/>
          <w:sz w:val="20"/>
          <w:szCs w:val="20"/>
          <w:lang w:bidi="ar-EG"/>
        </w:rPr>
        <w:t>Fig 2</w:t>
      </w:r>
      <w:r w:rsidRPr="00450C00">
        <w:rPr>
          <w:sz w:val="20"/>
          <w:szCs w:val="20"/>
          <w:lang w:bidi="ar-EG"/>
        </w:rPr>
        <w:t xml:space="preserve">), </w:t>
      </w:r>
      <w:bookmarkStart w:id="2" w:name="_Hlk488272647"/>
      <w:r w:rsidRPr="00450C00">
        <w:rPr>
          <w:b/>
          <w:bCs/>
          <w:sz w:val="20"/>
          <w:szCs w:val="20"/>
          <w:lang w:bidi="ar-EG"/>
        </w:rPr>
        <w:t>(Table, 2).</w:t>
      </w:r>
      <w:bookmarkEnd w:id="2"/>
    </w:p>
    <w:p w:rsidR="000162D9" w:rsidRPr="00450C00" w:rsidRDefault="000162D9" w:rsidP="000162D9">
      <w:pPr>
        <w:widowControl w:val="0"/>
        <w:autoSpaceDE w:val="0"/>
        <w:autoSpaceDN w:val="0"/>
        <w:bidi w:val="0"/>
        <w:adjustRightInd w:val="0"/>
        <w:snapToGrid w:val="0"/>
        <w:ind w:firstLine="425"/>
        <w:jc w:val="both"/>
        <w:rPr>
          <w:b/>
          <w:bCs/>
          <w:sz w:val="20"/>
          <w:szCs w:val="20"/>
          <w:lang w:bidi="ar-EG"/>
        </w:rPr>
      </w:pPr>
      <w:r w:rsidRPr="00450C00">
        <w:rPr>
          <w:sz w:val="20"/>
          <w:szCs w:val="20"/>
          <w:lang w:bidi="ar-EG"/>
        </w:rPr>
        <w:t xml:space="preserve">Regarding chemical pregnancy, results of the current study revealed that it was significantly higher in stair-step protocol (group II) (n=30) 60% more than traditional protocol (group I) and control (group II) which recorded the lowest value (n=11) 22% and (n=7) 14% for that pregnancy rate, and the differences </w:t>
      </w:r>
      <w:r w:rsidRPr="00450C00">
        <w:rPr>
          <w:sz w:val="20"/>
          <w:szCs w:val="20"/>
          <w:lang w:bidi="ar-EG"/>
        </w:rPr>
        <w:lastRenderedPageBreak/>
        <w:t xml:space="preserve">between them reached to the significant level of p-value 0.046 </w:t>
      </w:r>
      <w:r w:rsidRPr="00450C00">
        <w:rPr>
          <w:b/>
          <w:bCs/>
          <w:sz w:val="20"/>
          <w:szCs w:val="20"/>
          <w:lang w:bidi="ar-EG"/>
        </w:rPr>
        <w:t>(Fig 3). (Table, 2).</w:t>
      </w:r>
    </w:p>
    <w:p w:rsidR="000162D9" w:rsidRPr="00450C00" w:rsidRDefault="000162D9" w:rsidP="000162D9">
      <w:pPr>
        <w:bidi w:val="0"/>
        <w:snapToGrid w:val="0"/>
        <w:ind w:firstLine="425"/>
        <w:jc w:val="both"/>
        <w:rPr>
          <w:b/>
          <w:bCs/>
          <w:sz w:val="20"/>
          <w:szCs w:val="20"/>
          <w:lang w:eastAsia="zh-CN" w:bidi="ar-EG"/>
        </w:rPr>
      </w:pPr>
      <w:r w:rsidRPr="00450C00">
        <w:rPr>
          <w:sz w:val="20"/>
          <w:szCs w:val="20"/>
        </w:rPr>
        <w:t xml:space="preserve">This table shows that no ovarian </w:t>
      </w:r>
      <w:proofErr w:type="spellStart"/>
      <w:r w:rsidRPr="00450C00">
        <w:rPr>
          <w:sz w:val="20"/>
          <w:szCs w:val="20"/>
        </w:rPr>
        <w:t>hyperstimulation</w:t>
      </w:r>
      <w:proofErr w:type="spellEnd"/>
      <w:r w:rsidRPr="00450C00">
        <w:rPr>
          <w:b/>
          <w:bCs/>
          <w:sz w:val="20"/>
          <w:szCs w:val="20"/>
        </w:rPr>
        <w:t xml:space="preserve"> </w:t>
      </w:r>
      <w:r w:rsidRPr="00450C00">
        <w:rPr>
          <w:sz w:val="20"/>
          <w:szCs w:val="20"/>
        </w:rPr>
        <w:t>was observed in all studied groups</w:t>
      </w:r>
      <w:r w:rsidRPr="00450C00">
        <w:rPr>
          <w:b/>
          <w:bCs/>
          <w:sz w:val="20"/>
          <w:szCs w:val="20"/>
        </w:rPr>
        <w:t xml:space="preserve"> (Fig 4)</w:t>
      </w:r>
      <w:r w:rsidRPr="00450C00">
        <w:rPr>
          <w:sz w:val="20"/>
          <w:szCs w:val="20"/>
        </w:rPr>
        <w:t xml:space="preserve">. Regarding incidence of twins, results showed that 86% (n=43) of </w:t>
      </w:r>
      <w:r w:rsidRPr="00450C00">
        <w:rPr>
          <w:sz w:val="20"/>
          <w:szCs w:val="20"/>
          <w:shd w:val="clear" w:color="auto" w:fill="FFFFFF"/>
        </w:rPr>
        <w:t xml:space="preserve">stair-step protocol patients </w:t>
      </w:r>
      <w:r w:rsidRPr="00450C00">
        <w:rPr>
          <w:sz w:val="20"/>
          <w:szCs w:val="20"/>
        </w:rPr>
        <w:lastRenderedPageBreak/>
        <w:t xml:space="preserve">(group1I) had singleton pregnancy and 7% (n=17%) of them had multiple pregnant. While, in traditional protocol patients (group I) 90% (n=45) of patients had singleton pregnancy and 10% (n=5) of them had multiple pregnant. </w:t>
      </w:r>
      <w:r w:rsidRPr="00450C00">
        <w:rPr>
          <w:b/>
          <w:bCs/>
          <w:sz w:val="20"/>
          <w:szCs w:val="20"/>
        </w:rPr>
        <w:t>(Fig 5)</w:t>
      </w:r>
      <w:r w:rsidRPr="00450C00">
        <w:rPr>
          <w:b/>
          <w:bCs/>
          <w:sz w:val="20"/>
          <w:szCs w:val="20"/>
          <w:lang w:bidi="ar-EG"/>
        </w:rPr>
        <w:t>. (Table, 2).</w:t>
      </w:r>
    </w:p>
    <w:p w:rsidR="000162D9" w:rsidRPr="00450C00" w:rsidRDefault="000162D9" w:rsidP="000162D9">
      <w:pPr>
        <w:bidi w:val="0"/>
        <w:snapToGrid w:val="0"/>
        <w:jc w:val="center"/>
        <w:rPr>
          <w:b/>
          <w:bCs/>
          <w:sz w:val="20"/>
          <w:szCs w:val="20"/>
          <w:lang w:eastAsia="zh-CN" w:bidi="ar-EG"/>
        </w:rPr>
        <w:sectPr w:rsidR="000162D9" w:rsidRPr="00450C00" w:rsidSect="000162D9">
          <w:type w:val="continuous"/>
          <w:pgSz w:w="12242" w:h="15842" w:code="1"/>
          <w:pgMar w:top="1440" w:right="1440" w:bottom="1440" w:left="1440" w:header="720" w:footer="720" w:gutter="0"/>
          <w:cols w:num="2" w:space="600"/>
          <w:docGrid w:linePitch="360"/>
        </w:sectPr>
      </w:pPr>
    </w:p>
    <w:p w:rsidR="000162D9" w:rsidRPr="00450C00" w:rsidRDefault="000162D9" w:rsidP="000162D9">
      <w:pPr>
        <w:bidi w:val="0"/>
        <w:snapToGrid w:val="0"/>
        <w:jc w:val="center"/>
        <w:rPr>
          <w:b/>
          <w:bCs/>
          <w:sz w:val="20"/>
          <w:szCs w:val="20"/>
          <w:lang w:eastAsia="zh-CN" w:bidi="ar-EG"/>
        </w:rPr>
      </w:pPr>
    </w:p>
    <w:p w:rsidR="00500265" w:rsidRPr="00450C00" w:rsidRDefault="00500265" w:rsidP="000162D9">
      <w:pPr>
        <w:bidi w:val="0"/>
        <w:snapToGrid w:val="0"/>
        <w:jc w:val="both"/>
        <w:rPr>
          <w:b/>
          <w:bCs/>
          <w:sz w:val="20"/>
          <w:szCs w:val="20"/>
          <w:lang w:bidi="ar-EG"/>
        </w:rPr>
      </w:pPr>
      <w:r w:rsidRPr="00450C00">
        <w:rPr>
          <w:b/>
          <w:bCs/>
          <w:sz w:val="20"/>
          <w:szCs w:val="20"/>
          <w:lang w:bidi="ar-EG"/>
        </w:rPr>
        <w:t xml:space="preserve">Table (2): </w:t>
      </w:r>
      <w:r w:rsidRPr="00450C00">
        <w:rPr>
          <w:sz w:val="20"/>
          <w:szCs w:val="20"/>
          <w:lang w:bidi="ar-EG"/>
        </w:rPr>
        <w:t xml:space="preserve">Comparison between the two studied groups according to ovulation rate and clinical pregnancy rate, </w:t>
      </w:r>
      <w:r w:rsidRPr="00450C00">
        <w:rPr>
          <w:sz w:val="20"/>
          <w:szCs w:val="20"/>
        </w:rPr>
        <w:t xml:space="preserve">number of follicles and </w:t>
      </w:r>
      <w:r w:rsidRPr="00450C00">
        <w:rPr>
          <w:sz w:val="20"/>
          <w:szCs w:val="20"/>
          <w:lang w:bidi="ar-EG"/>
        </w:rPr>
        <w:t>(N = 100).</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CellMar>
          <w:left w:w="57" w:type="dxa"/>
          <w:right w:w="57" w:type="dxa"/>
        </w:tblCellMar>
        <w:tblLook w:val="01E0"/>
      </w:tblPr>
      <w:tblGrid>
        <w:gridCol w:w="3118"/>
        <w:gridCol w:w="699"/>
        <w:gridCol w:w="876"/>
        <w:gridCol w:w="669"/>
        <w:gridCol w:w="838"/>
        <w:gridCol w:w="533"/>
        <w:gridCol w:w="859"/>
        <w:gridCol w:w="813"/>
        <w:gridCol w:w="1071"/>
      </w:tblGrid>
      <w:tr w:rsidR="007F74A1" w:rsidRPr="00450C00" w:rsidTr="000162D9">
        <w:trPr>
          <w:jc w:val="center"/>
        </w:trPr>
        <w:tc>
          <w:tcPr>
            <w:tcW w:w="1646" w:type="pct"/>
            <w:vMerge w:val="restart"/>
            <w:shd w:val="clear" w:color="auto" w:fill="F2F2F2"/>
            <w:vAlign w:val="center"/>
          </w:tcPr>
          <w:p w:rsidR="007F74A1" w:rsidRPr="00450C00" w:rsidRDefault="007F74A1" w:rsidP="000162D9">
            <w:pPr>
              <w:bidi w:val="0"/>
              <w:snapToGrid w:val="0"/>
              <w:jc w:val="both"/>
              <w:rPr>
                <w:b/>
                <w:bCs/>
                <w:sz w:val="20"/>
                <w:szCs w:val="20"/>
                <w:lang w:bidi="ar-EG"/>
              </w:rPr>
            </w:pPr>
            <w:r w:rsidRPr="00450C00">
              <w:rPr>
                <w:b/>
                <w:bCs/>
                <w:sz w:val="20"/>
                <w:szCs w:val="20"/>
                <w:lang w:bidi="ar-EG"/>
              </w:rPr>
              <w:t>Items</w:t>
            </w:r>
          </w:p>
        </w:tc>
        <w:tc>
          <w:tcPr>
            <w:tcW w:w="831" w:type="pct"/>
            <w:gridSpan w:val="2"/>
            <w:vMerge w:val="restart"/>
            <w:shd w:val="clear" w:color="auto" w:fill="F2F2F2"/>
            <w:vAlign w:val="center"/>
          </w:tcPr>
          <w:p w:rsidR="007F74A1" w:rsidRPr="00450C00" w:rsidRDefault="007F74A1" w:rsidP="000162D9">
            <w:pPr>
              <w:tabs>
                <w:tab w:val="left" w:pos="8022"/>
              </w:tabs>
              <w:bidi w:val="0"/>
              <w:snapToGrid w:val="0"/>
              <w:jc w:val="both"/>
              <w:rPr>
                <w:b/>
                <w:bCs/>
                <w:sz w:val="20"/>
                <w:szCs w:val="20"/>
                <w:lang w:bidi="ar-EG"/>
              </w:rPr>
            </w:pPr>
            <w:r w:rsidRPr="00450C00">
              <w:rPr>
                <w:b/>
                <w:bCs/>
                <w:sz w:val="20"/>
                <w:szCs w:val="20"/>
                <w:shd w:val="clear" w:color="auto" w:fill="FFFFFF"/>
              </w:rPr>
              <w:t>Traditional</w:t>
            </w:r>
          </w:p>
          <w:p w:rsidR="007F74A1" w:rsidRPr="00450C00" w:rsidRDefault="00F34995" w:rsidP="000162D9">
            <w:pPr>
              <w:tabs>
                <w:tab w:val="left" w:pos="8022"/>
              </w:tabs>
              <w:bidi w:val="0"/>
              <w:snapToGrid w:val="0"/>
              <w:jc w:val="both"/>
              <w:rPr>
                <w:b/>
                <w:bCs/>
                <w:sz w:val="20"/>
                <w:szCs w:val="20"/>
                <w:lang w:bidi="ar-EG"/>
              </w:rPr>
            </w:pPr>
            <w:r w:rsidRPr="00450C00">
              <w:rPr>
                <w:b/>
                <w:bCs/>
                <w:sz w:val="20"/>
                <w:szCs w:val="20"/>
                <w:lang w:bidi="ar-EG"/>
              </w:rPr>
              <w:t>Group I</w:t>
            </w:r>
          </w:p>
          <w:p w:rsidR="007F74A1" w:rsidRPr="00450C00" w:rsidRDefault="007F74A1" w:rsidP="000162D9">
            <w:pPr>
              <w:tabs>
                <w:tab w:val="left" w:pos="8022"/>
              </w:tabs>
              <w:bidi w:val="0"/>
              <w:snapToGrid w:val="0"/>
              <w:jc w:val="both"/>
              <w:rPr>
                <w:b/>
                <w:bCs/>
                <w:sz w:val="20"/>
                <w:szCs w:val="20"/>
                <w:lang w:bidi="ar-EG"/>
              </w:rPr>
            </w:pPr>
            <w:r w:rsidRPr="00450C00">
              <w:rPr>
                <w:b/>
                <w:bCs/>
                <w:sz w:val="20"/>
                <w:szCs w:val="20"/>
                <w:lang w:bidi="ar-EG"/>
              </w:rPr>
              <w:t>(No= 50)</w:t>
            </w:r>
          </w:p>
        </w:tc>
        <w:tc>
          <w:tcPr>
            <w:tcW w:w="795" w:type="pct"/>
            <w:gridSpan w:val="2"/>
            <w:vMerge w:val="restart"/>
            <w:shd w:val="clear" w:color="auto" w:fill="F2F2F2"/>
            <w:vAlign w:val="center"/>
          </w:tcPr>
          <w:p w:rsidR="007F74A1" w:rsidRPr="00450C00" w:rsidRDefault="007F74A1" w:rsidP="000162D9">
            <w:pPr>
              <w:bidi w:val="0"/>
              <w:snapToGrid w:val="0"/>
              <w:jc w:val="both"/>
              <w:rPr>
                <w:b/>
                <w:bCs/>
                <w:sz w:val="20"/>
                <w:szCs w:val="20"/>
                <w:lang w:bidi="ar-EG"/>
              </w:rPr>
            </w:pPr>
            <w:r w:rsidRPr="00450C00">
              <w:rPr>
                <w:b/>
                <w:bCs/>
                <w:sz w:val="20"/>
                <w:szCs w:val="20"/>
                <w:shd w:val="clear" w:color="auto" w:fill="FFFFFF"/>
              </w:rPr>
              <w:t>Stair-step</w:t>
            </w:r>
          </w:p>
          <w:p w:rsidR="007F74A1" w:rsidRPr="00450C00" w:rsidRDefault="007F74A1" w:rsidP="000162D9">
            <w:pPr>
              <w:bidi w:val="0"/>
              <w:snapToGrid w:val="0"/>
              <w:jc w:val="both"/>
              <w:rPr>
                <w:b/>
                <w:bCs/>
                <w:sz w:val="20"/>
                <w:szCs w:val="20"/>
                <w:lang w:bidi="ar-EG"/>
              </w:rPr>
            </w:pPr>
            <w:r w:rsidRPr="00450C00">
              <w:rPr>
                <w:b/>
                <w:bCs/>
                <w:sz w:val="20"/>
                <w:szCs w:val="20"/>
                <w:lang w:bidi="ar-EG"/>
              </w:rPr>
              <w:t>Group I</w:t>
            </w:r>
            <w:r w:rsidR="00F34995" w:rsidRPr="00450C00">
              <w:rPr>
                <w:b/>
                <w:bCs/>
                <w:sz w:val="20"/>
                <w:szCs w:val="20"/>
                <w:lang w:bidi="ar-EG"/>
              </w:rPr>
              <w:t>I</w:t>
            </w:r>
          </w:p>
          <w:p w:rsidR="007F74A1" w:rsidRPr="00450C00" w:rsidRDefault="007F74A1" w:rsidP="000162D9">
            <w:pPr>
              <w:tabs>
                <w:tab w:val="left" w:pos="8022"/>
              </w:tabs>
              <w:bidi w:val="0"/>
              <w:snapToGrid w:val="0"/>
              <w:jc w:val="both"/>
              <w:rPr>
                <w:b/>
                <w:bCs/>
                <w:sz w:val="20"/>
                <w:szCs w:val="20"/>
                <w:lang w:bidi="ar-EG"/>
              </w:rPr>
            </w:pPr>
            <w:r w:rsidRPr="00450C00">
              <w:rPr>
                <w:b/>
                <w:bCs/>
                <w:sz w:val="20"/>
                <w:szCs w:val="20"/>
                <w:lang w:bidi="ar-EG"/>
              </w:rPr>
              <w:t>(No= 50)</w:t>
            </w:r>
          </w:p>
        </w:tc>
        <w:tc>
          <w:tcPr>
            <w:tcW w:w="734" w:type="pct"/>
            <w:gridSpan w:val="2"/>
            <w:vMerge w:val="restart"/>
            <w:shd w:val="clear" w:color="auto" w:fill="F2F2F2"/>
            <w:vAlign w:val="center"/>
          </w:tcPr>
          <w:p w:rsidR="007F74A1" w:rsidRPr="00450C00" w:rsidRDefault="007F74A1" w:rsidP="000162D9">
            <w:pPr>
              <w:tabs>
                <w:tab w:val="left" w:pos="8022"/>
              </w:tabs>
              <w:bidi w:val="0"/>
              <w:snapToGrid w:val="0"/>
              <w:jc w:val="both"/>
              <w:rPr>
                <w:b/>
                <w:bCs/>
                <w:sz w:val="20"/>
                <w:szCs w:val="20"/>
                <w:lang w:bidi="ar-EG"/>
              </w:rPr>
            </w:pPr>
            <w:r w:rsidRPr="00450C00">
              <w:rPr>
                <w:b/>
                <w:bCs/>
                <w:sz w:val="20"/>
                <w:szCs w:val="20"/>
                <w:shd w:val="clear" w:color="auto" w:fill="FFFFFF"/>
              </w:rPr>
              <w:t>Control</w:t>
            </w:r>
          </w:p>
          <w:p w:rsidR="007F74A1" w:rsidRPr="00450C00" w:rsidRDefault="007F74A1" w:rsidP="000162D9">
            <w:pPr>
              <w:tabs>
                <w:tab w:val="left" w:pos="8022"/>
              </w:tabs>
              <w:bidi w:val="0"/>
              <w:snapToGrid w:val="0"/>
              <w:jc w:val="both"/>
              <w:rPr>
                <w:b/>
                <w:bCs/>
                <w:sz w:val="20"/>
                <w:szCs w:val="20"/>
                <w:lang w:bidi="ar-EG"/>
              </w:rPr>
            </w:pPr>
            <w:r w:rsidRPr="00450C00">
              <w:rPr>
                <w:b/>
                <w:bCs/>
                <w:sz w:val="20"/>
                <w:szCs w:val="20"/>
                <w:lang w:bidi="ar-EG"/>
              </w:rPr>
              <w:t>Group III</w:t>
            </w:r>
          </w:p>
          <w:p w:rsidR="007F74A1" w:rsidRPr="00450C00" w:rsidRDefault="007F74A1" w:rsidP="000162D9">
            <w:pPr>
              <w:tabs>
                <w:tab w:val="left" w:pos="8022"/>
              </w:tabs>
              <w:bidi w:val="0"/>
              <w:snapToGrid w:val="0"/>
              <w:jc w:val="both"/>
              <w:rPr>
                <w:b/>
                <w:bCs/>
                <w:sz w:val="20"/>
                <w:szCs w:val="20"/>
                <w:lang w:bidi="ar-EG"/>
              </w:rPr>
            </w:pPr>
            <w:r w:rsidRPr="00450C00">
              <w:rPr>
                <w:b/>
                <w:bCs/>
                <w:sz w:val="20"/>
                <w:szCs w:val="20"/>
                <w:lang w:bidi="ar-EG"/>
              </w:rPr>
              <w:t>(No= 50)</w:t>
            </w:r>
          </w:p>
        </w:tc>
        <w:tc>
          <w:tcPr>
            <w:tcW w:w="994" w:type="pct"/>
            <w:gridSpan w:val="2"/>
            <w:shd w:val="clear" w:color="auto" w:fill="F2F2F2"/>
            <w:vAlign w:val="center"/>
          </w:tcPr>
          <w:p w:rsidR="007F74A1" w:rsidRPr="00450C00" w:rsidRDefault="007F74A1" w:rsidP="000162D9">
            <w:pPr>
              <w:tabs>
                <w:tab w:val="left" w:pos="8022"/>
              </w:tabs>
              <w:bidi w:val="0"/>
              <w:snapToGrid w:val="0"/>
              <w:jc w:val="both"/>
              <w:rPr>
                <w:b/>
                <w:bCs/>
                <w:sz w:val="20"/>
                <w:szCs w:val="20"/>
                <w:lang w:bidi="ar-EG"/>
              </w:rPr>
            </w:pPr>
            <w:r w:rsidRPr="00450C00">
              <w:rPr>
                <w:b/>
                <w:bCs/>
                <w:sz w:val="20"/>
                <w:szCs w:val="20"/>
                <w:lang w:bidi="ar-EG"/>
              </w:rPr>
              <w:t>Chi square</w:t>
            </w:r>
          </w:p>
        </w:tc>
      </w:tr>
      <w:tr w:rsidR="007F74A1" w:rsidRPr="00450C00" w:rsidTr="000162D9">
        <w:trPr>
          <w:trHeight w:val="230"/>
          <w:jc w:val="center"/>
        </w:trPr>
        <w:tc>
          <w:tcPr>
            <w:tcW w:w="1646" w:type="pct"/>
            <w:vMerge/>
            <w:shd w:val="clear" w:color="auto" w:fill="F2F2F2"/>
            <w:vAlign w:val="center"/>
          </w:tcPr>
          <w:p w:rsidR="007F74A1" w:rsidRPr="00450C00" w:rsidRDefault="007F74A1" w:rsidP="000162D9">
            <w:pPr>
              <w:bidi w:val="0"/>
              <w:snapToGrid w:val="0"/>
              <w:jc w:val="both"/>
              <w:rPr>
                <w:b/>
                <w:bCs/>
                <w:sz w:val="20"/>
                <w:szCs w:val="20"/>
                <w:lang w:bidi="ar-EG"/>
              </w:rPr>
            </w:pPr>
          </w:p>
        </w:tc>
        <w:tc>
          <w:tcPr>
            <w:tcW w:w="831" w:type="pct"/>
            <w:gridSpan w:val="2"/>
            <w:vMerge/>
            <w:shd w:val="clear" w:color="auto" w:fill="F2F2F2"/>
            <w:vAlign w:val="center"/>
          </w:tcPr>
          <w:p w:rsidR="007F74A1" w:rsidRPr="00450C00" w:rsidRDefault="007F74A1" w:rsidP="000162D9">
            <w:pPr>
              <w:tabs>
                <w:tab w:val="left" w:pos="8022"/>
              </w:tabs>
              <w:bidi w:val="0"/>
              <w:snapToGrid w:val="0"/>
              <w:jc w:val="both"/>
              <w:rPr>
                <w:sz w:val="20"/>
                <w:szCs w:val="20"/>
                <w:lang w:bidi="ar-EG"/>
              </w:rPr>
            </w:pPr>
          </w:p>
        </w:tc>
        <w:tc>
          <w:tcPr>
            <w:tcW w:w="795" w:type="pct"/>
            <w:gridSpan w:val="2"/>
            <w:vMerge/>
            <w:shd w:val="clear" w:color="auto" w:fill="F2F2F2"/>
            <w:vAlign w:val="center"/>
          </w:tcPr>
          <w:p w:rsidR="007F74A1" w:rsidRPr="00450C00" w:rsidRDefault="007F74A1" w:rsidP="000162D9">
            <w:pPr>
              <w:tabs>
                <w:tab w:val="left" w:pos="8022"/>
              </w:tabs>
              <w:bidi w:val="0"/>
              <w:snapToGrid w:val="0"/>
              <w:jc w:val="both"/>
              <w:rPr>
                <w:sz w:val="20"/>
                <w:szCs w:val="20"/>
                <w:lang w:bidi="ar-EG"/>
              </w:rPr>
            </w:pPr>
          </w:p>
        </w:tc>
        <w:tc>
          <w:tcPr>
            <w:tcW w:w="734" w:type="pct"/>
            <w:gridSpan w:val="2"/>
            <w:vMerge/>
            <w:shd w:val="clear" w:color="auto" w:fill="F2F2F2"/>
            <w:vAlign w:val="center"/>
          </w:tcPr>
          <w:p w:rsidR="007F74A1" w:rsidRPr="00450C00" w:rsidRDefault="007F74A1" w:rsidP="000162D9">
            <w:pPr>
              <w:bidi w:val="0"/>
              <w:snapToGrid w:val="0"/>
              <w:jc w:val="both"/>
              <w:rPr>
                <w:b/>
                <w:bCs/>
                <w:sz w:val="20"/>
                <w:szCs w:val="20"/>
                <w:lang w:bidi="ar-EG"/>
              </w:rPr>
            </w:pPr>
          </w:p>
        </w:tc>
        <w:tc>
          <w:tcPr>
            <w:tcW w:w="429" w:type="pct"/>
            <w:vMerge w:val="restart"/>
            <w:shd w:val="clear" w:color="auto" w:fill="F2F2F2"/>
            <w:vAlign w:val="center"/>
          </w:tcPr>
          <w:p w:rsidR="007F74A1" w:rsidRPr="00450C00" w:rsidRDefault="007F74A1" w:rsidP="000162D9">
            <w:pPr>
              <w:bidi w:val="0"/>
              <w:snapToGrid w:val="0"/>
              <w:jc w:val="both"/>
              <w:rPr>
                <w:b/>
                <w:bCs/>
                <w:sz w:val="20"/>
                <w:szCs w:val="20"/>
                <w:lang w:bidi="ar-EG"/>
              </w:rPr>
            </w:pPr>
            <w:r w:rsidRPr="00450C00">
              <w:rPr>
                <w:b/>
                <w:bCs/>
                <w:sz w:val="20"/>
                <w:szCs w:val="20"/>
                <w:lang w:bidi="ar-EG"/>
              </w:rPr>
              <w:t>X</w:t>
            </w:r>
            <w:r w:rsidRPr="00450C00">
              <w:rPr>
                <w:b/>
                <w:bCs/>
                <w:sz w:val="20"/>
                <w:szCs w:val="20"/>
                <w:vertAlign w:val="superscript"/>
                <w:lang w:bidi="ar-EG"/>
              </w:rPr>
              <w:t>2</w:t>
            </w:r>
          </w:p>
        </w:tc>
        <w:tc>
          <w:tcPr>
            <w:tcW w:w="565" w:type="pct"/>
            <w:vMerge w:val="restart"/>
            <w:shd w:val="clear" w:color="auto" w:fill="F2F2F2"/>
            <w:vAlign w:val="center"/>
          </w:tcPr>
          <w:p w:rsidR="007F74A1" w:rsidRPr="00450C00" w:rsidRDefault="007F74A1" w:rsidP="000162D9">
            <w:pPr>
              <w:bidi w:val="0"/>
              <w:snapToGrid w:val="0"/>
              <w:jc w:val="both"/>
              <w:rPr>
                <w:b/>
                <w:bCs/>
                <w:sz w:val="20"/>
                <w:szCs w:val="20"/>
                <w:lang w:bidi="ar-EG"/>
              </w:rPr>
            </w:pPr>
            <w:r w:rsidRPr="00450C00">
              <w:rPr>
                <w:b/>
                <w:bCs/>
                <w:sz w:val="20"/>
                <w:szCs w:val="20"/>
                <w:lang w:bidi="ar-EG"/>
              </w:rPr>
              <w:t>P value</w:t>
            </w:r>
          </w:p>
        </w:tc>
      </w:tr>
      <w:tr w:rsidR="007F74A1" w:rsidRPr="00450C00" w:rsidTr="000162D9">
        <w:trPr>
          <w:jc w:val="center"/>
        </w:trPr>
        <w:tc>
          <w:tcPr>
            <w:tcW w:w="1646" w:type="pct"/>
            <w:vMerge/>
            <w:shd w:val="clear" w:color="auto" w:fill="FFFFFF"/>
            <w:vAlign w:val="center"/>
          </w:tcPr>
          <w:p w:rsidR="007F74A1" w:rsidRPr="00450C00" w:rsidRDefault="007F74A1" w:rsidP="000162D9">
            <w:pPr>
              <w:bidi w:val="0"/>
              <w:snapToGrid w:val="0"/>
              <w:jc w:val="both"/>
              <w:rPr>
                <w:b/>
                <w:bCs/>
                <w:sz w:val="20"/>
                <w:szCs w:val="20"/>
                <w:lang w:bidi="ar-EG"/>
              </w:rPr>
            </w:pPr>
          </w:p>
        </w:tc>
        <w:tc>
          <w:tcPr>
            <w:tcW w:w="369" w:type="pct"/>
            <w:shd w:val="clear" w:color="auto" w:fill="F2F2F2"/>
            <w:vAlign w:val="center"/>
          </w:tcPr>
          <w:p w:rsidR="007F74A1" w:rsidRPr="00450C00" w:rsidRDefault="007F74A1" w:rsidP="000162D9">
            <w:pPr>
              <w:tabs>
                <w:tab w:val="left" w:pos="8022"/>
              </w:tabs>
              <w:bidi w:val="0"/>
              <w:snapToGrid w:val="0"/>
              <w:jc w:val="both"/>
              <w:rPr>
                <w:sz w:val="20"/>
                <w:szCs w:val="20"/>
                <w:lang w:bidi="ar-EG"/>
              </w:rPr>
            </w:pPr>
            <w:r w:rsidRPr="00450C00">
              <w:rPr>
                <w:sz w:val="20"/>
                <w:szCs w:val="20"/>
                <w:lang w:bidi="ar-EG"/>
              </w:rPr>
              <w:t>No</w:t>
            </w:r>
          </w:p>
        </w:tc>
        <w:tc>
          <w:tcPr>
            <w:tcW w:w="462" w:type="pct"/>
            <w:shd w:val="clear" w:color="auto" w:fill="F2F2F2"/>
            <w:vAlign w:val="center"/>
          </w:tcPr>
          <w:p w:rsidR="007F74A1" w:rsidRPr="00450C00" w:rsidRDefault="007F74A1" w:rsidP="000162D9">
            <w:pPr>
              <w:tabs>
                <w:tab w:val="left" w:pos="8022"/>
              </w:tabs>
              <w:bidi w:val="0"/>
              <w:snapToGrid w:val="0"/>
              <w:jc w:val="both"/>
              <w:rPr>
                <w:sz w:val="20"/>
                <w:szCs w:val="20"/>
                <w:lang w:bidi="ar-EG"/>
              </w:rPr>
            </w:pPr>
            <w:r w:rsidRPr="00450C00">
              <w:rPr>
                <w:sz w:val="20"/>
                <w:szCs w:val="20"/>
                <w:lang w:bidi="ar-EG"/>
              </w:rPr>
              <w:t>%</w:t>
            </w:r>
          </w:p>
        </w:tc>
        <w:tc>
          <w:tcPr>
            <w:tcW w:w="353" w:type="pct"/>
            <w:shd w:val="clear" w:color="auto" w:fill="F2F2F2"/>
            <w:vAlign w:val="center"/>
          </w:tcPr>
          <w:p w:rsidR="007F74A1" w:rsidRPr="00450C00" w:rsidRDefault="007F74A1" w:rsidP="000162D9">
            <w:pPr>
              <w:tabs>
                <w:tab w:val="left" w:pos="8022"/>
              </w:tabs>
              <w:bidi w:val="0"/>
              <w:snapToGrid w:val="0"/>
              <w:jc w:val="both"/>
              <w:rPr>
                <w:sz w:val="20"/>
                <w:szCs w:val="20"/>
                <w:lang w:bidi="ar-EG"/>
              </w:rPr>
            </w:pPr>
            <w:r w:rsidRPr="00450C00">
              <w:rPr>
                <w:sz w:val="20"/>
                <w:szCs w:val="20"/>
                <w:lang w:bidi="ar-EG"/>
              </w:rPr>
              <w:t>No</w:t>
            </w:r>
          </w:p>
        </w:tc>
        <w:tc>
          <w:tcPr>
            <w:tcW w:w="442" w:type="pct"/>
            <w:shd w:val="clear" w:color="auto" w:fill="F2F2F2"/>
            <w:vAlign w:val="center"/>
          </w:tcPr>
          <w:p w:rsidR="007F74A1" w:rsidRPr="00450C00" w:rsidRDefault="007F74A1" w:rsidP="000162D9">
            <w:pPr>
              <w:tabs>
                <w:tab w:val="left" w:pos="8022"/>
              </w:tabs>
              <w:bidi w:val="0"/>
              <w:snapToGrid w:val="0"/>
              <w:jc w:val="both"/>
              <w:rPr>
                <w:sz w:val="20"/>
                <w:szCs w:val="20"/>
                <w:lang w:bidi="ar-EG"/>
              </w:rPr>
            </w:pPr>
            <w:r w:rsidRPr="00450C00">
              <w:rPr>
                <w:sz w:val="20"/>
                <w:szCs w:val="20"/>
                <w:lang w:bidi="ar-EG"/>
              </w:rPr>
              <w:t>%</w:t>
            </w:r>
          </w:p>
        </w:tc>
        <w:tc>
          <w:tcPr>
            <w:tcW w:w="281" w:type="pct"/>
            <w:shd w:val="clear" w:color="auto" w:fill="F2F2F2"/>
            <w:vAlign w:val="center"/>
          </w:tcPr>
          <w:p w:rsidR="007F74A1" w:rsidRPr="00450C00" w:rsidRDefault="007F74A1" w:rsidP="000162D9">
            <w:pPr>
              <w:tabs>
                <w:tab w:val="left" w:pos="8022"/>
              </w:tabs>
              <w:bidi w:val="0"/>
              <w:snapToGrid w:val="0"/>
              <w:jc w:val="both"/>
              <w:rPr>
                <w:sz w:val="20"/>
                <w:szCs w:val="20"/>
                <w:lang w:bidi="ar-EG"/>
              </w:rPr>
            </w:pPr>
            <w:r w:rsidRPr="00450C00">
              <w:rPr>
                <w:sz w:val="20"/>
                <w:szCs w:val="20"/>
                <w:lang w:bidi="ar-EG"/>
              </w:rPr>
              <w:t>No</w:t>
            </w:r>
          </w:p>
        </w:tc>
        <w:tc>
          <w:tcPr>
            <w:tcW w:w="453" w:type="pct"/>
            <w:shd w:val="clear" w:color="auto" w:fill="F2F2F2"/>
            <w:vAlign w:val="center"/>
          </w:tcPr>
          <w:p w:rsidR="007F74A1" w:rsidRPr="00450C00" w:rsidRDefault="007F74A1" w:rsidP="000162D9">
            <w:pPr>
              <w:tabs>
                <w:tab w:val="left" w:pos="8022"/>
              </w:tabs>
              <w:bidi w:val="0"/>
              <w:snapToGrid w:val="0"/>
              <w:jc w:val="both"/>
              <w:rPr>
                <w:sz w:val="20"/>
                <w:szCs w:val="20"/>
                <w:lang w:bidi="ar-EG"/>
              </w:rPr>
            </w:pPr>
            <w:r w:rsidRPr="00450C00">
              <w:rPr>
                <w:sz w:val="20"/>
                <w:szCs w:val="20"/>
                <w:lang w:bidi="ar-EG"/>
              </w:rPr>
              <w:t>%</w:t>
            </w:r>
          </w:p>
        </w:tc>
        <w:tc>
          <w:tcPr>
            <w:tcW w:w="429" w:type="pct"/>
            <w:vMerge/>
            <w:shd w:val="clear" w:color="auto" w:fill="FFFFFF"/>
            <w:vAlign w:val="center"/>
          </w:tcPr>
          <w:p w:rsidR="007F74A1" w:rsidRPr="00450C00" w:rsidRDefault="007F74A1" w:rsidP="000162D9">
            <w:pPr>
              <w:bidi w:val="0"/>
              <w:snapToGrid w:val="0"/>
              <w:jc w:val="both"/>
              <w:rPr>
                <w:b/>
                <w:bCs/>
                <w:sz w:val="20"/>
                <w:szCs w:val="20"/>
                <w:lang w:bidi="ar-EG"/>
              </w:rPr>
            </w:pPr>
          </w:p>
        </w:tc>
        <w:tc>
          <w:tcPr>
            <w:tcW w:w="565" w:type="pct"/>
            <w:vMerge/>
            <w:shd w:val="clear" w:color="auto" w:fill="FFFFFF"/>
            <w:vAlign w:val="center"/>
          </w:tcPr>
          <w:p w:rsidR="007F74A1" w:rsidRPr="00450C00" w:rsidRDefault="007F74A1" w:rsidP="000162D9">
            <w:pPr>
              <w:bidi w:val="0"/>
              <w:snapToGrid w:val="0"/>
              <w:jc w:val="both"/>
              <w:rPr>
                <w:b/>
                <w:bCs/>
                <w:sz w:val="20"/>
                <w:szCs w:val="20"/>
                <w:lang w:bidi="ar-EG"/>
              </w:rPr>
            </w:pPr>
          </w:p>
        </w:tc>
      </w:tr>
      <w:tr w:rsidR="009504C8" w:rsidRPr="00450C00" w:rsidTr="000162D9">
        <w:trPr>
          <w:jc w:val="center"/>
        </w:trPr>
        <w:tc>
          <w:tcPr>
            <w:tcW w:w="1646" w:type="pct"/>
            <w:shd w:val="clear" w:color="auto" w:fill="FFFFFF"/>
            <w:vAlign w:val="center"/>
          </w:tcPr>
          <w:p w:rsidR="009504C8" w:rsidRPr="00450C00" w:rsidRDefault="009504C8" w:rsidP="000162D9">
            <w:pPr>
              <w:bidi w:val="0"/>
              <w:snapToGrid w:val="0"/>
              <w:jc w:val="both"/>
              <w:rPr>
                <w:sz w:val="20"/>
                <w:szCs w:val="20"/>
                <w:lang w:bidi="ar-EG"/>
              </w:rPr>
            </w:pPr>
            <w:r w:rsidRPr="00450C00">
              <w:rPr>
                <w:sz w:val="20"/>
                <w:szCs w:val="20"/>
                <w:lang w:bidi="ar-EG"/>
              </w:rPr>
              <w:t>Ovulation rate</w:t>
            </w:r>
          </w:p>
          <w:p w:rsidR="009504C8" w:rsidRPr="00450C00" w:rsidRDefault="009504C8" w:rsidP="000162D9">
            <w:pPr>
              <w:bidi w:val="0"/>
              <w:snapToGrid w:val="0"/>
              <w:jc w:val="both"/>
              <w:rPr>
                <w:sz w:val="20"/>
                <w:szCs w:val="20"/>
                <w:lang w:bidi="ar-EG"/>
              </w:rPr>
            </w:pPr>
            <w:r w:rsidRPr="00450C00">
              <w:rPr>
                <w:sz w:val="20"/>
                <w:szCs w:val="20"/>
                <w:lang w:bidi="ar-EG"/>
              </w:rPr>
              <w:t>No</w:t>
            </w:r>
          </w:p>
          <w:p w:rsidR="009504C8" w:rsidRPr="00450C00" w:rsidRDefault="009504C8" w:rsidP="000162D9">
            <w:pPr>
              <w:bidi w:val="0"/>
              <w:snapToGrid w:val="0"/>
              <w:jc w:val="both"/>
              <w:rPr>
                <w:sz w:val="20"/>
                <w:szCs w:val="20"/>
                <w:lang w:bidi="ar-EG"/>
              </w:rPr>
            </w:pPr>
            <w:r w:rsidRPr="00450C00">
              <w:rPr>
                <w:sz w:val="20"/>
                <w:szCs w:val="20"/>
                <w:lang w:bidi="ar-EG"/>
              </w:rPr>
              <w:t>Yes</w:t>
            </w:r>
          </w:p>
        </w:tc>
        <w:tc>
          <w:tcPr>
            <w:tcW w:w="369"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30.0</w:t>
            </w:r>
          </w:p>
          <w:p w:rsidR="009504C8" w:rsidRPr="00450C00" w:rsidRDefault="009504C8" w:rsidP="000162D9">
            <w:pPr>
              <w:bidi w:val="0"/>
              <w:snapToGrid w:val="0"/>
              <w:jc w:val="both"/>
              <w:rPr>
                <w:sz w:val="20"/>
                <w:szCs w:val="20"/>
                <w:lang w:bidi="ar-EG"/>
              </w:rPr>
            </w:pPr>
            <w:r w:rsidRPr="00450C00">
              <w:rPr>
                <w:sz w:val="20"/>
                <w:szCs w:val="20"/>
                <w:lang w:bidi="ar-EG"/>
              </w:rPr>
              <w:t>20.0</w:t>
            </w:r>
          </w:p>
        </w:tc>
        <w:tc>
          <w:tcPr>
            <w:tcW w:w="462"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60.0</w:t>
            </w:r>
          </w:p>
          <w:p w:rsidR="009504C8" w:rsidRPr="00450C00" w:rsidRDefault="009504C8" w:rsidP="000162D9">
            <w:pPr>
              <w:bidi w:val="0"/>
              <w:snapToGrid w:val="0"/>
              <w:jc w:val="both"/>
              <w:rPr>
                <w:sz w:val="20"/>
                <w:szCs w:val="20"/>
                <w:lang w:bidi="ar-EG"/>
              </w:rPr>
            </w:pPr>
            <w:r w:rsidRPr="00450C00">
              <w:rPr>
                <w:sz w:val="20"/>
                <w:szCs w:val="20"/>
                <w:lang w:bidi="ar-EG"/>
              </w:rPr>
              <w:t>40.0</w:t>
            </w:r>
          </w:p>
        </w:tc>
        <w:tc>
          <w:tcPr>
            <w:tcW w:w="353"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14.0</w:t>
            </w:r>
          </w:p>
          <w:p w:rsidR="009504C8" w:rsidRPr="00450C00" w:rsidRDefault="009504C8" w:rsidP="000162D9">
            <w:pPr>
              <w:bidi w:val="0"/>
              <w:snapToGrid w:val="0"/>
              <w:jc w:val="both"/>
              <w:rPr>
                <w:sz w:val="20"/>
                <w:szCs w:val="20"/>
                <w:lang w:bidi="ar-EG"/>
              </w:rPr>
            </w:pPr>
            <w:r w:rsidRPr="00450C00">
              <w:rPr>
                <w:sz w:val="20"/>
                <w:szCs w:val="20"/>
                <w:lang w:bidi="ar-EG"/>
              </w:rPr>
              <w:t>36.0</w:t>
            </w:r>
          </w:p>
        </w:tc>
        <w:tc>
          <w:tcPr>
            <w:tcW w:w="442"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28.0</w:t>
            </w:r>
          </w:p>
          <w:p w:rsidR="009504C8" w:rsidRPr="00450C00" w:rsidRDefault="009504C8" w:rsidP="000162D9">
            <w:pPr>
              <w:bidi w:val="0"/>
              <w:snapToGrid w:val="0"/>
              <w:jc w:val="both"/>
              <w:rPr>
                <w:sz w:val="20"/>
                <w:szCs w:val="20"/>
                <w:lang w:bidi="ar-EG"/>
              </w:rPr>
            </w:pPr>
            <w:r w:rsidRPr="00450C00">
              <w:rPr>
                <w:sz w:val="20"/>
                <w:szCs w:val="20"/>
                <w:lang w:bidi="ar-EG"/>
              </w:rPr>
              <w:t>72.0</w:t>
            </w:r>
          </w:p>
        </w:tc>
        <w:tc>
          <w:tcPr>
            <w:tcW w:w="281" w:type="pct"/>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35</w:t>
            </w:r>
          </w:p>
          <w:p w:rsidR="009504C8" w:rsidRPr="00450C00" w:rsidRDefault="009504C8" w:rsidP="000162D9">
            <w:pPr>
              <w:bidi w:val="0"/>
              <w:snapToGrid w:val="0"/>
              <w:jc w:val="both"/>
              <w:rPr>
                <w:sz w:val="20"/>
                <w:szCs w:val="20"/>
                <w:lang w:bidi="ar-EG"/>
              </w:rPr>
            </w:pPr>
            <w:r w:rsidRPr="00450C00">
              <w:rPr>
                <w:sz w:val="20"/>
                <w:szCs w:val="20"/>
                <w:lang w:bidi="ar-EG"/>
              </w:rPr>
              <w:t>15</w:t>
            </w:r>
          </w:p>
        </w:tc>
        <w:tc>
          <w:tcPr>
            <w:tcW w:w="453" w:type="pct"/>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70.0</w:t>
            </w:r>
          </w:p>
          <w:p w:rsidR="009504C8" w:rsidRPr="00450C00" w:rsidRDefault="009504C8" w:rsidP="000162D9">
            <w:pPr>
              <w:bidi w:val="0"/>
              <w:snapToGrid w:val="0"/>
              <w:jc w:val="both"/>
              <w:rPr>
                <w:sz w:val="20"/>
                <w:szCs w:val="20"/>
                <w:lang w:bidi="ar-EG"/>
              </w:rPr>
            </w:pPr>
            <w:r w:rsidRPr="00450C00">
              <w:rPr>
                <w:sz w:val="20"/>
                <w:szCs w:val="20"/>
                <w:lang w:bidi="ar-EG"/>
              </w:rPr>
              <w:t>30.0</w:t>
            </w:r>
          </w:p>
        </w:tc>
        <w:tc>
          <w:tcPr>
            <w:tcW w:w="429"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4.778</w:t>
            </w:r>
          </w:p>
        </w:tc>
        <w:tc>
          <w:tcPr>
            <w:tcW w:w="565"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0.029*</w:t>
            </w:r>
          </w:p>
        </w:tc>
      </w:tr>
      <w:tr w:rsidR="009504C8" w:rsidRPr="00450C00" w:rsidTr="000162D9">
        <w:trPr>
          <w:jc w:val="center"/>
        </w:trPr>
        <w:tc>
          <w:tcPr>
            <w:tcW w:w="1646" w:type="pct"/>
            <w:shd w:val="clear" w:color="auto" w:fill="FFFFFF"/>
            <w:vAlign w:val="center"/>
          </w:tcPr>
          <w:p w:rsidR="009504C8" w:rsidRPr="00450C00" w:rsidRDefault="009504C8" w:rsidP="000162D9">
            <w:pPr>
              <w:bidi w:val="0"/>
              <w:snapToGrid w:val="0"/>
              <w:jc w:val="both"/>
              <w:rPr>
                <w:sz w:val="20"/>
                <w:szCs w:val="20"/>
                <w:lang w:bidi="ar-EG"/>
              </w:rPr>
            </w:pPr>
            <w:r w:rsidRPr="00450C00">
              <w:rPr>
                <w:sz w:val="20"/>
                <w:szCs w:val="20"/>
                <w:lang w:bidi="ar-EG"/>
              </w:rPr>
              <w:t>Chemical pregnancy</w:t>
            </w:r>
          </w:p>
          <w:p w:rsidR="009504C8" w:rsidRPr="00450C00" w:rsidRDefault="009504C8" w:rsidP="000162D9">
            <w:pPr>
              <w:bidi w:val="0"/>
              <w:snapToGrid w:val="0"/>
              <w:jc w:val="both"/>
              <w:rPr>
                <w:sz w:val="20"/>
                <w:szCs w:val="20"/>
                <w:lang w:bidi="ar-EG"/>
              </w:rPr>
            </w:pPr>
            <w:r w:rsidRPr="00450C00">
              <w:rPr>
                <w:sz w:val="20"/>
                <w:szCs w:val="20"/>
                <w:lang w:bidi="ar-EG"/>
              </w:rPr>
              <w:t>No</w:t>
            </w:r>
          </w:p>
          <w:p w:rsidR="009504C8" w:rsidRPr="00450C00" w:rsidRDefault="009504C8" w:rsidP="000162D9">
            <w:pPr>
              <w:bidi w:val="0"/>
              <w:snapToGrid w:val="0"/>
              <w:jc w:val="both"/>
              <w:rPr>
                <w:sz w:val="20"/>
                <w:szCs w:val="20"/>
                <w:lang w:bidi="ar-EG"/>
              </w:rPr>
            </w:pPr>
            <w:r w:rsidRPr="00450C00">
              <w:rPr>
                <w:sz w:val="20"/>
                <w:szCs w:val="20"/>
                <w:lang w:bidi="ar-EG"/>
              </w:rPr>
              <w:t>Yes</w:t>
            </w:r>
          </w:p>
        </w:tc>
        <w:tc>
          <w:tcPr>
            <w:tcW w:w="369"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39.0</w:t>
            </w:r>
          </w:p>
          <w:p w:rsidR="009504C8" w:rsidRPr="00450C00" w:rsidRDefault="009504C8" w:rsidP="000162D9">
            <w:pPr>
              <w:bidi w:val="0"/>
              <w:snapToGrid w:val="0"/>
              <w:jc w:val="both"/>
              <w:rPr>
                <w:sz w:val="20"/>
                <w:szCs w:val="20"/>
                <w:lang w:bidi="ar-EG"/>
              </w:rPr>
            </w:pPr>
            <w:r w:rsidRPr="00450C00">
              <w:rPr>
                <w:sz w:val="20"/>
                <w:szCs w:val="20"/>
                <w:lang w:bidi="ar-EG"/>
              </w:rPr>
              <w:t>11.0</w:t>
            </w:r>
          </w:p>
        </w:tc>
        <w:tc>
          <w:tcPr>
            <w:tcW w:w="462"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78.0</w:t>
            </w:r>
          </w:p>
          <w:p w:rsidR="009504C8" w:rsidRPr="00450C00" w:rsidRDefault="009504C8" w:rsidP="000162D9">
            <w:pPr>
              <w:bidi w:val="0"/>
              <w:snapToGrid w:val="0"/>
              <w:jc w:val="both"/>
              <w:rPr>
                <w:sz w:val="20"/>
                <w:szCs w:val="20"/>
                <w:lang w:bidi="ar-EG"/>
              </w:rPr>
            </w:pPr>
            <w:r w:rsidRPr="00450C00">
              <w:rPr>
                <w:sz w:val="20"/>
                <w:szCs w:val="20"/>
                <w:lang w:bidi="ar-EG"/>
              </w:rPr>
              <w:t>22.0</w:t>
            </w:r>
          </w:p>
        </w:tc>
        <w:tc>
          <w:tcPr>
            <w:tcW w:w="353"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20.0</w:t>
            </w:r>
          </w:p>
          <w:p w:rsidR="009504C8" w:rsidRPr="00450C00" w:rsidRDefault="009504C8" w:rsidP="000162D9">
            <w:pPr>
              <w:bidi w:val="0"/>
              <w:snapToGrid w:val="0"/>
              <w:jc w:val="both"/>
              <w:rPr>
                <w:sz w:val="20"/>
                <w:szCs w:val="20"/>
                <w:lang w:bidi="ar-EG"/>
              </w:rPr>
            </w:pPr>
            <w:r w:rsidRPr="00450C00">
              <w:rPr>
                <w:sz w:val="20"/>
                <w:szCs w:val="20"/>
                <w:lang w:bidi="ar-EG"/>
              </w:rPr>
              <w:t>30.0</w:t>
            </w:r>
          </w:p>
        </w:tc>
        <w:tc>
          <w:tcPr>
            <w:tcW w:w="442"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40.0</w:t>
            </w:r>
          </w:p>
          <w:p w:rsidR="009504C8" w:rsidRPr="00450C00" w:rsidRDefault="009504C8" w:rsidP="000162D9">
            <w:pPr>
              <w:bidi w:val="0"/>
              <w:snapToGrid w:val="0"/>
              <w:jc w:val="both"/>
              <w:rPr>
                <w:sz w:val="20"/>
                <w:szCs w:val="20"/>
                <w:lang w:bidi="ar-EG"/>
              </w:rPr>
            </w:pPr>
            <w:r w:rsidRPr="00450C00">
              <w:rPr>
                <w:sz w:val="20"/>
                <w:szCs w:val="20"/>
                <w:lang w:bidi="ar-EG"/>
              </w:rPr>
              <w:t>60.0</w:t>
            </w:r>
          </w:p>
        </w:tc>
        <w:tc>
          <w:tcPr>
            <w:tcW w:w="281" w:type="pct"/>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43</w:t>
            </w:r>
          </w:p>
          <w:p w:rsidR="009504C8" w:rsidRPr="00450C00" w:rsidRDefault="009504C8" w:rsidP="000162D9">
            <w:pPr>
              <w:bidi w:val="0"/>
              <w:snapToGrid w:val="0"/>
              <w:jc w:val="both"/>
              <w:rPr>
                <w:sz w:val="20"/>
                <w:szCs w:val="20"/>
                <w:lang w:bidi="ar-EG"/>
              </w:rPr>
            </w:pPr>
            <w:r w:rsidRPr="00450C00">
              <w:rPr>
                <w:sz w:val="20"/>
                <w:szCs w:val="20"/>
                <w:lang w:bidi="ar-EG"/>
              </w:rPr>
              <w:t>7</w:t>
            </w:r>
          </w:p>
        </w:tc>
        <w:tc>
          <w:tcPr>
            <w:tcW w:w="453" w:type="pct"/>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86.0</w:t>
            </w:r>
          </w:p>
          <w:p w:rsidR="009504C8" w:rsidRPr="00450C00" w:rsidRDefault="009504C8" w:rsidP="000162D9">
            <w:pPr>
              <w:bidi w:val="0"/>
              <w:snapToGrid w:val="0"/>
              <w:jc w:val="both"/>
              <w:rPr>
                <w:sz w:val="20"/>
                <w:szCs w:val="20"/>
                <w:lang w:bidi="ar-EG"/>
              </w:rPr>
            </w:pPr>
            <w:r w:rsidRPr="00450C00">
              <w:rPr>
                <w:sz w:val="20"/>
                <w:szCs w:val="20"/>
                <w:lang w:bidi="ar-EG"/>
              </w:rPr>
              <w:t>14.0</w:t>
            </w:r>
          </w:p>
        </w:tc>
        <w:tc>
          <w:tcPr>
            <w:tcW w:w="429"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0.175</w:t>
            </w:r>
          </w:p>
        </w:tc>
        <w:tc>
          <w:tcPr>
            <w:tcW w:w="565" w:type="pct"/>
            <w:shd w:val="clear" w:color="auto" w:fill="FFFFFF"/>
            <w:vAlign w:val="center"/>
          </w:tcPr>
          <w:p w:rsidR="009504C8" w:rsidRPr="00450C00" w:rsidRDefault="009504C8" w:rsidP="000162D9">
            <w:pPr>
              <w:bidi w:val="0"/>
              <w:snapToGrid w:val="0"/>
              <w:jc w:val="both"/>
              <w:rPr>
                <w:sz w:val="20"/>
                <w:szCs w:val="20"/>
                <w:lang w:bidi="ar-EG"/>
              </w:rPr>
            </w:pPr>
          </w:p>
          <w:p w:rsidR="009504C8" w:rsidRPr="00450C00" w:rsidRDefault="009504C8" w:rsidP="000162D9">
            <w:pPr>
              <w:bidi w:val="0"/>
              <w:snapToGrid w:val="0"/>
              <w:jc w:val="both"/>
              <w:rPr>
                <w:sz w:val="20"/>
                <w:szCs w:val="20"/>
                <w:lang w:bidi="ar-EG"/>
              </w:rPr>
            </w:pPr>
            <w:r w:rsidRPr="00450C00">
              <w:rPr>
                <w:sz w:val="20"/>
                <w:szCs w:val="20"/>
                <w:lang w:bidi="ar-EG"/>
              </w:rPr>
              <w:t>0.046*</w:t>
            </w:r>
          </w:p>
        </w:tc>
      </w:tr>
      <w:tr w:rsidR="009504C8" w:rsidRPr="00450C00" w:rsidTr="000162D9">
        <w:trPr>
          <w:jc w:val="center"/>
        </w:trPr>
        <w:tc>
          <w:tcPr>
            <w:tcW w:w="1646"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r w:rsidRPr="00450C00">
              <w:rPr>
                <w:sz w:val="20"/>
                <w:szCs w:val="20"/>
              </w:rPr>
              <w:t xml:space="preserve">Ovarian </w:t>
            </w:r>
            <w:proofErr w:type="spellStart"/>
            <w:r w:rsidRPr="00450C00">
              <w:rPr>
                <w:sz w:val="20"/>
                <w:szCs w:val="20"/>
              </w:rPr>
              <w:t>hyperstimulation</w:t>
            </w:r>
            <w:proofErr w:type="spellEnd"/>
          </w:p>
          <w:p w:rsidR="009504C8" w:rsidRPr="00450C00" w:rsidRDefault="009504C8" w:rsidP="000162D9">
            <w:pPr>
              <w:widowControl w:val="0"/>
              <w:autoSpaceDE w:val="0"/>
              <w:autoSpaceDN w:val="0"/>
              <w:bidi w:val="0"/>
              <w:snapToGrid w:val="0"/>
              <w:jc w:val="both"/>
              <w:rPr>
                <w:sz w:val="20"/>
                <w:szCs w:val="20"/>
              </w:rPr>
            </w:pPr>
            <w:r w:rsidRPr="00450C00">
              <w:rPr>
                <w:sz w:val="20"/>
                <w:szCs w:val="20"/>
              </w:rPr>
              <w:t>Yes</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No</w:t>
            </w:r>
          </w:p>
        </w:tc>
        <w:tc>
          <w:tcPr>
            <w:tcW w:w="369"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50</w:t>
            </w:r>
          </w:p>
        </w:tc>
        <w:tc>
          <w:tcPr>
            <w:tcW w:w="462"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100%</w:t>
            </w:r>
          </w:p>
        </w:tc>
        <w:tc>
          <w:tcPr>
            <w:tcW w:w="353"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50</w:t>
            </w:r>
          </w:p>
        </w:tc>
        <w:tc>
          <w:tcPr>
            <w:tcW w:w="442" w:type="pct"/>
            <w:shd w:val="clear" w:color="auto" w:fill="FFFFFF"/>
            <w:vAlign w:val="center"/>
          </w:tcPr>
          <w:p w:rsidR="009504C8" w:rsidRPr="00450C00" w:rsidRDefault="009504C8" w:rsidP="000162D9">
            <w:pPr>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100%</w:t>
            </w:r>
          </w:p>
        </w:tc>
        <w:tc>
          <w:tcPr>
            <w:tcW w:w="281" w:type="pct"/>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50</w:t>
            </w:r>
          </w:p>
        </w:tc>
        <w:tc>
          <w:tcPr>
            <w:tcW w:w="453" w:type="pct"/>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100%</w:t>
            </w:r>
          </w:p>
        </w:tc>
        <w:tc>
          <w:tcPr>
            <w:tcW w:w="429" w:type="pct"/>
            <w:shd w:val="clear" w:color="auto" w:fill="FFFFFF"/>
            <w:vAlign w:val="center"/>
          </w:tcPr>
          <w:p w:rsidR="009504C8" w:rsidRPr="00450C00" w:rsidRDefault="009504C8" w:rsidP="000162D9">
            <w:pPr>
              <w:bidi w:val="0"/>
              <w:snapToGrid w:val="0"/>
              <w:jc w:val="both"/>
              <w:rPr>
                <w:sz w:val="20"/>
                <w:szCs w:val="20"/>
                <w:lang w:bidi="ar-EG"/>
              </w:rPr>
            </w:pPr>
            <w:r w:rsidRPr="00450C00">
              <w:rPr>
                <w:sz w:val="20"/>
                <w:szCs w:val="20"/>
                <w:lang w:bidi="ar-EG"/>
              </w:rPr>
              <w:t>-</w:t>
            </w:r>
          </w:p>
        </w:tc>
        <w:tc>
          <w:tcPr>
            <w:tcW w:w="565" w:type="pct"/>
            <w:shd w:val="clear" w:color="auto" w:fill="FFFFFF"/>
            <w:vAlign w:val="center"/>
          </w:tcPr>
          <w:p w:rsidR="009504C8" w:rsidRPr="00450C00" w:rsidRDefault="009504C8" w:rsidP="000162D9">
            <w:pPr>
              <w:bidi w:val="0"/>
              <w:snapToGrid w:val="0"/>
              <w:jc w:val="both"/>
              <w:rPr>
                <w:sz w:val="20"/>
                <w:szCs w:val="20"/>
                <w:lang w:bidi="ar-EG"/>
              </w:rPr>
            </w:pPr>
            <w:r w:rsidRPr="00450C00">
              <w:rPr>
                <w:sz w:val="20"/>
                <w:szCs w:val="20"/>
                <w:lang w:bidi="ar-EG"/>
              </w:rPr>
              <w:t>-</w:t>
            </w:r>
          </w:p>
        </w:tc>
      </w:tr>
      <w:tr w:rsidR="009504C8" w:rsidRPr="00450C00" w:rsidTr="000162D9">
        <w:trPr>
          <w:jc w:val="center"/>
        </w:trPr>
        <w:tc>
          <w:tcPr>
            <w:tcW w:w="1646"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r w:rsidRPr="00450C00">
              <w:rPr>
                <w:sz w:val="20"/>
                <w:szCs w:val="20"/>
              </w:rPr>
              <w:t>Incidence of twins</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Singleton pregnancy</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Multiple pregnancy</w:t>
            </w:r>
          </w:p>
        </w:tc>
        <w:tc>
          <w:tcPr>
            <w:tcW w:w="369"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45</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5</w:t>
            </w:r>
          </w:p>
        </w:tc>
        <w:tc>
          <w:tcPr>
            <w:tcW w:w="462"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90%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10%</w:t>
            </w:r>
          </w:p>
        </w:tc>
        <w:tc>
          <w:tcPr>
            <w:tcW w:w="353" w:type="pct"/>
            <w:shd w:val="clear" w:color="auto" w:fill="FFFFFF"/>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43</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7</w:t>
            </w:r>
          </w:p>
        </w:tc>
        <w:tc>
          <w:tcPr>
            <w:tcW w:w="442" w:type="pct"/>
            <w:shd w:val="clear" w:color="auto" w:fill="FFFFFF"/>
            <w:vAlign w:val="center"/>
          </w:tcPr>
          <w:p w:rsidR="009504C8" w:rsidRPr="00450C00" w:rsidRDefault="009504C8" w:rsidP="000162D9">
            <w:pPr>
              <w:bidi w:val="0"/>
              <w:snapToGrid w:val="0"/>
              <w:jc w:val="both"/>
              <w:rPr>
                <w:sz w:val="20"/>
                <w:szCs w:val="20"/>
              </w:rPr>
            </w:pPr>
          </w:p>
          <w:p w:rsidR="009504C8" w:rsidRPr="00450C00" w:rsidRDefault="009504C8" w:rsidP="000162D9">
            <w:pPr>
              <w:bidi w:val="0"/>
              <w:snapToGrid w:val="0"/>
              <w:jc w:val="both"/>
              <w:rPr>
                <w:sz w:val="20"/>
                <w:szCs w:val="20"/>
              </w:rPr>
            </w:pPr>
            <w:r w:rsidRPr="00450C00">
              <w:rPr>
                <w:sz w:val="20"/>
                <w:szCs w:val="20"/>
              </w:rPr>
              <w:t>86%</w:t>
            </w:r>
          </w:p>
          <w:p w:rsidR="009504C8" w:rsidRPr="00450C00" w:rsidRDefault="009504C8" w:rsidP="000162D9">
            <w:pPr>
              <w:bidi w:val="0"/>
              <w:snapToGrid w:val="0"/>
              <w:jc w:val="both"/>
              <w:rPr>
                <w:sz w:val="20"/>
                <w:szCs w:val="20"/>
              </w:rPr>
            </w:pPr>
            <w:r w:rsidRPr="00450C00">
              <w:rPr>
                <w:sz w:val="20"/>
                <w:szCs w:val="20"/>
              </w:rPr>
              <w:t>14%</w:t>
            </w:r>
          </w:p>
        </w:tc>
        <w:tc>
          <w:tcPr>
            <w:tcW w:w="281" w:type="pct"/>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45</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5</w:t>
            </w:r>
          </w:p>
        </w:tc>
        <w:tc>
          <w:tcPr>
            <w:tcW w:w="453" w:type="pct"/>
            <w:vAlign w:val="center"/>
          </w:tcPr>
          <w:p w:rsidR="009504C8" w:rsidRPr="00450C00" w:rsidRDefault="009504C8" w:rsidP="000162D9">
            <w:pPr>
              <w:widowControl w:val="0"/>
              <w:autoSpaceDE w:val="0"/>
              <w:autoSpaceDN w:val="0"/>
              <w:bidi w:val="0"/>
              <w:snapToGrid w:val="0"/>
              <w:jc w:val="both"/>
              <w:rPr>
                <w:sz w:val="20"/>
                <w:szCs w:val="20"/>
              </w:rPr>
            </w:pPr>
          </w:p>
          <w:p w:rsidR="009504C8" w:rsidRPr="00450C00" w:rsidRDefault="009504C8" w:rsidP="000162D9">
            <w:pPr>
              <w:widowControl w:val="0"/>
              <w:autoSpaceDE w:val="0"/>
              <w:autoSpaceDN w:val="0"/>
              <w:bidi w:val="0"/>
              <w:snapToGrid w:val="0"/>
              <w:jc w:val="both"/>
              <w:rPr>
                <w:sz w:val="20"/>
                <w:szCs w:val="20"/>
              </w:rPr>
            </w:pPr>
            <w:r w:rsidRPr="00450C00">
              <w:rPr>
                <w:sz w:val="20"/>
                <w:szCs w:val="20"/>
              </w:rPr>
              <w:t>90%</w:t>
            </w:r>
          </w:p>
          <w:p w:rsidR="009504C8" w:rsidRPr="00450C00" w:rsidRDefault="009504C8" w:rsidP="000162D9">
            <w:pPr>
              <w:widowControl w:val="0"/>
              <w:autoSpaceDE w:val="0"/>
              <w:autoSpaceDN w:val="0"/>
              <w:bidi w:val="0"/>
              <w:snapToGrid w:val="0"/>
              <w:jc w:val="both"/>
              <w:rPr>
                <w:sz w:val="20"/>
                <w:szCs w:val="20"/>
              </w:rPr>
            </w:pPr>
            <w:r w:rsidRPr="00450C00">
              <w:rPr>
                <w:sz w:val="20"/>
                <w:szCs w:val="20"/>
              </w:rPr>
              <w:t>10%</w:t>
            </w:r>
          </w:p>
        </w:tc>
        <w:tc>
          <w:tcPr>
            <w:tcW w:w="429" w:type="pct"/>
            <w:shd w:val="clear" w:color="auto" w:fill="FFFFFF"/>
            <w:vAlign w:val="center"/>
          </w:tcPr>
          <w:p w:rsidR="009504C8" w:rsidRPr="00450C00" w:rsidRDefault="009504C8" w:rsidP="000162D9">
            <w:pPr>
              <w:bidi w:val="0"/>
              <w:snapToGrid w:val="0"/>
              <w:jc w:val="both"/>
              <w:rPr>
                <w:sz w:val="20"/>
                <w:szCs w:val="20"/>
                <w:lang w:bidi="ar-EG"/>
              </w:rPr>
            </w:pPr>
            <w:r w:rsidRPr="00450C00">
              <w:rPr>
                <w:sz w:val="20"/>
                <w:szCs w:val="20"/>
                <w:lang w:bidi="ar-EG"/>
              </w:rPr>
              <w:t>-</w:t>
            </w:r>
          </w:p>
        </w:tc>
        <w:tc>
          <w:tcPr>
            <w:tcW w:w="565" w:type="pct"/>
            <w:shd w:val="clear" w:color="auto" w:fill="FFFFFF"/>
            <w:vAlign w:val="center"/>
          </w:tcPr>
          <w:p w:rsidR="009504C8" w:rsidRPr="00450C00" w:rsidRDefault="009504C8" w:rsidP="000162D9">
            <w:pPr>
              <w:bidi w:val="0"/>
              <w:snapToGrid w:val="0"/>
              <w:jc w:val="both"/>
              <w:rPr>
                <w:sz w:val="20"/>
                <w:szCs w:val="20"/>
                <w:lang w:bidi="ar-EG"/>
              </w:rPr>
            </w:pPr>
            <w:r w:rsidRPr="00450C00">
              <w:rPr>
                <w:sz w:val="20"/>
                <w:szCs w:val="20"/>
                <w:lang w:bidi="ar-EG"/>
              </w:rPr>
              <w:t>-</w:t>
            </w:r>
          </w:p>
        </w:tc>
      </w:tr>
    </w:tbl>
    <w:p w:rsidR="00500265" w:rsidRPr="00450C00" w:rsidRDefault="00500265" w:rsidP="000162D9">
      <w:pPr>
        <w:bidi w:val="0"/>
        <w:snapToGrid w:val="0"/>
        <w:ind w:firstLine="425"/>
        <w:jc w:val="both"/>
        <w:rPr>
          <w:sz w:val="20"/>
          <w:szCs w:val="20"/>
          <w:lang w:bidi="ar-EG"/>
        </w:rPr>
      </w:pPr>
    </w:p>
    <w:tbl>
      <w:tblPr>
        <w:tblW w:w="5000" w:type="pct"/>
        <w:jc w:val="center"/>
        <w:tblCellMar>
          <w:left w:w="57" w:type="dxa"/>
          <w:right w:w="57" w:type="dxa"/>
        </w:tblCellMar>
        <w:tblLook w:val="04A0"/>
      </w:tblPr>
      <w:tblGrid>
        <w:gridCol w:w="4723"/>
        <w:gridCol w:w="4753"/>
      </w:tblGrid>
      <w:tr w:rsidR="00FF2B7F" w:rsidRPr="00450C00" w:rsidTr="000162D9">
        <w:trPr>
          <w:jc w:val="center"/>
        </w:trPr>
        <w:tc>
          <w:tcPr>
            <w:tcW w:w="2492" w:type="pct"/>
            <w:vAlign w:val="center"/>
          </w:tcPr>
          <w:p w:rsidR="00036C1D" w:rsidRPr="00450C00" w:rsidRDefault="000162D9" w:rsidP="000162D9">
            <w:pPr>
              <w:pStyle w:val="ListParagraph"/>
              <w:bidi w:val="0"/>
              <w:snapToGrid w:val="0"/>
              <w:ind w:left="0"/>
              <w:jc w:val="center"/>
              <w:rPr>
                <w:b/>
                <w:bCs/>
                <w:sz w:val="20"/>
                <w:szCs w:val="20"/>
                <w:lang w:eastAsia="zh-CN" w:bidi="ar-EG"/>
              </w:rPr>
            </w:pPr>
            <w:r w:rsidRPr="00450C00">
              <w:rPr>
                <w:sz w:val="20"/>
                <w:szCs w:val="20"/>
              </w:rPr>
              <w:object w:dxaOrig="8925" w:dyaOrig="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20.85pt" o:ole="">
                  <v:imagedata r:id="rId16" o:title=""/>
                </v:shape>
                <o:OLEObject Type="Embed" ProgID="PBrush" ShapeID="_x0000_i1025" DrawAspect="Content" ObjectID="_1563991182" r:id="rId17"/>
              </w:object>
            </w:r>
          </w:p>
          <w:p w:rsidR="00FF2B7F" w:rsidRPr="00450C00" w:rsidRDefault="00FF2B7F" w:rsidP="000162D9">
            <w:pPr>
              <w:pStyle w:val="ListParagraph"/>
              <w:bidi w:val="0"/>
              <w:snapToGrid w:val="0"/>
              <w:ind w:left="0"/>
              <w:jc w:val="both"/>
              <w:rPr>
                <w:sz w:val="20"/>
                <w:szCs w:val="20"/>
                <w:lang w:eastAsia="zh-CN"/>
              </w:rPr>
            </w:pPr>
            <w:r w:rsidRPr="00450C00">
              <w:rPr>
                <w:b/>
                <w:bCs/>
                <w:sz w:val="20"/>
                <w:szCs w:val="20"/>
                <w:lang w:bidi="ar-EG"/>
              </w:rPr>
              <w:t xml:space="preserve">Figure 1. </w:t>
            </w:r>
            <w:r w:rsidRPr="00450C00">
              <w:rPr>
                <w:sz w:val="20"/>
                <w:szCs w:val="20"/>
                <w:lang w:bidi="ar-EG"/>
              </w:rPr>
              <w:t xml:space="preserve">Distribution of the two studied groups according to </w:t>
            </w:r>
            <w:r w:rsidRPr="00450C00">
              <w:rPr>
                <w:sz w:val="20"/>
                <w:szCs w:val="20"/>
              </w:rPr>
              <w:t>number of follicles</w:t>
            </w:r>
          </w:p>
          <w:p w:rsidR="000162D9" w:rsidRPr="00450C00" w:rsidRDefault="000162D9" w:rsidP="000162D9">
            <w:pPr>
              <w:pStyle w:val="ListParagraph"/>
              <w:bidi w:val="0"/>
              <w:snapToGrid w:val="0"/>
              <w:ind w:left="0"/>
              <w:jc w:val="both"/>
              <w:rPr>
                <w:b/>
                <w:bCs/>
                <w:sz w:val="20"/>
                <w:szCs w:val="20"/>
                <w:lang w:eastAsia="zh-CN" w:bidi="ar-EG"/>
              </w:rPr>
            </w:pPr>
          </w:p>
        </w:tc>
        <w:tc>
          <w:tcPr>
            <w:tcW w:w="2508" w:type="pct"/>
            <w:vAlign w:val="center"/>
          </w:tcPr>
          <w:p w:rsidR="00FF2B7F" w:rsidRPr="00450C00" w:rsidRDefault="00450C00" w:rsidP="000162D9">
            <w:pPr>
              <w:pStyle w:val="ListParagraph"/>
              <w:bidi w:val="0"/>
              <w:snapToGrid w:val="0"/>
              <w:ind w:left="0"/>
              <w:jc w:val="center"/>
              <w:rPr>
                <w:noProof/>
                <w:sz w:val="20"/>
                <w:szCs w:val="20"/>
              </w:rPr>
            </w:pPr>
            <w:r w:rsidRPr="00450C00">
              <w:rPr>
                <w:sz w:val="20"/>
                <w:szCs w:val="20"/>
              </w:rPr>
              <w:pict>
                <v:shape id="_x0000_i1026" type="#_x0000_t75" style="width:215.35pt;height:127.7pt">
                  <v:imagedata r:id="rId18" o:title=""/>
                </v:shape>
              </w:pict>
            </w:r>
          </w:p>
          <w:p w:rsidR="00FF2B7F" w:rsidRPr="00450C00" w:rsidRDefault="00FF2B7F" w:rsidP="000162D9">
            <w:pPr>
              <w:widowControl w:val="0"/>
              <w:autoSpaceDE w:val="0"/>
              <w:autoSpaceDN w:val="0"/>
              <w:bidi w:val="0"/>
              <w:snapToGrid w:val="0"/>
              <w:jc w:val="both"/>
              <w:rPr>
                <w:sz w:val="20"/>
                <w:szCs w:val="20"/>
                <w:lang w:eastAsia="zh-CN" w:bidi="ar-EG"/>
              </w:rPr>
            </w:pPr>
            <w:r w:rsidRPr="00450C00">
              <w:rPr>
                <w:b/>
                <w:bCs/>
                <w:sz w:val="20"/>
                <w:szCs w:val="20"/>
                <w:lang w:bidi="ar-EG"/>
              </w:rPr>
              <w:t xml:space="preserve">Figure 2. </w:t>
            </w:r>
            <w:r w:rsidRPr="00450C00">
              <w:rPr>
                <w:sz w:val="20"/>
                <w:szCs w:val="20"/>
                <w:lang w:bidi="ar-EG"/>
              </w:rPr>
              <w:t>Distribution of the two studied groups regarding ovulation rate.</w:t>
            </w:r>
          </w:p>
          <w:p w:rsidR="000162D9" w:rsidRPr="00450C00" w:rsidRDefault="000162D9" w:rsidP="000162D9">
            <w:pPr>
              <w:widowControl w:val="0"/>
              <w:autoSpaceDE w:val="0"/>
              <w:autoSpaceDN w:val="0"/>
              <w:bidi w:val="0"/>
              <w:snapToGrid w:val="0"/>
              <w:jc w:val="both"/>
              <w:rPr>
                <w:b/>
                <w:bCs/>
                <w:sz w:val="20"/>
                <w:szCs w:val="20"/>
                <w:lang w:eastAsia="zh-CN" w:bidi="ar-EG"/>
              </w:rPr>
            </w:pPr>
          </w:p>
        </w:tc>
      </w:tr>
      <w:tr w:rsidR="00FF2B7F" w:rsidRPr="00450C00" w:rsidTr="000162D9">
        <w:trPr>
          <w:jc w:val="center"/>
        </w:trPr>
        <w:tc>
          <w:tcPr>
            <w:tcW w:w="2492" w:type="pct"/>
            <w:vAlign w:val="center"/>
          </w:tcPr>
          <w:p w:rsidR="00FF2B7F" w:rsidRPr="00450C00" w:rsidRDefault="00450C00" w:rsidP="000162D9">
            <w:pPr>
              <w:pStyle w:val="ListParagraph"/>
              <w:bidi w:val="0"/>
              <w:snapToGrid w:val="0"/>
              <w:ind w:left="0"/>
              <w:jc w:val="center"/>
              <w:rPr>
                <w:noProof/>
                <w:sz w:val="20"/>
                <w:szCs w:val="20"/>
              </w:rPr>
            </w:pPr>
            <w:r w:rsidRPr="00450C00">
              <w:rPr>
                <w:sz w:val="20"/>
                <w:szCs w:val="20"/>
              </w:rPr>
              <w:pict>
                <v:shape id="_x0000_i1027" type="#_x0000_t75" style="width:215.35pt;height:123.95pt">
                  <v:imagedata r:id="rId19" o:title=""/>
                </v:shape>
              </w:pict>
            </w:r>
          </w:p>
          <w:p w:rsidR="00FF2B7F" w:rsidRPr="00450C00" w:rsidRDefault="00FF2B7F" w:rsidP="000162D9">
            <w:pPr>
              <w:widowControl w:val="0"/>
              <w:autoSpaceDE w:val="0"/>
              <w:autoSpaceDN w:val="0"/>
              <w:bidi w:val="0"/>
              <w:snapToGrid w:val="0"/>
              <w:jc w:val="both"/>
              <w:rPr>
                <w:sz w:val="20"/>
                <w:szCs w:val="20"/>
              </w:rPr>
            </w:pPr>
            <w:r w:rsidRPr="00450C00">
              <w:rPr>
                <w:b/>
                <w:bCs/>
                <w:sz w:val="20"/>
                <w:szCs w:val="20"/>
                <w:lang w:bidi="ar-EG"/>
              </w:rPr>
              <w:t xml:space="preserve">Figure 3. </w:t>
            </w:r>
            <w:r w:rsidRPr="00450C00">
              <w:rPr>
                <w:sz w:val="20"/>
                <w:szCs w:val="20"/>
                <w:lang w:bidi="ar-EG"/>
              </w:rPr>
              <w:t>Distribution of the two studied groups regarding clinical pregnancy rate.</w:t>
            </w:r>
          </w:p>
        </w:tc>
        <w:tc>
          <w:tcPr>
            <w:tcW w:w="2508" w:type="pct"/>
            <w:vAlign w:val="center"/>
          </w:tcPr>
          <w:p w:rsidR="00FF2B7F" w:rsidRPr="00450C00" w:rsidRDefault="00450C00" w:rsidP="000162D9">
            <w:pPr>
              <w:pStyle w:val="ListParagraph"/>
              <w:bidi w:val="0"/>
              <w:snapToGrid w:val="0"/>
              <w:ind w:left="0"/>
              <w:jc w:val="center"/>
              <w:rPr>
                <w:noProof/>
                <w:sz w:val="20"/>
                <w:szCs w:val="20"/>
              </w:rPr>
            </w:pPr>
            <w:r w:rsidRPr="00450C00">
              <w:rPr>
                <w:sz w:val="20"/>
                <w:szCs w:val="20"/>
              </w:rPr>
              <w:pict>
                <v:shape id="_x0000_i1028" type="#_x0000_t75" style="width:215.35pt;height:117.1pt">
                  <v:imagedata r:id="rId20" o:title=""/>
                </v:shape>
              </w:pict>
            </w:r>
          </w:p>
          <w:p w:rsidR="00FF2B7F" w:rsidRPr="00450C00" w:rsidRDefault="00FF2B7F" w:rsidP="000162D9">
            <w:pPr>
              <w:bidi w:val="0"/>
              <w:snapToGrid w:val="0"/>
              <w:jc w:val="both"/>
              <w:rPr>
                <w:b/>
                <w:bCs/>
                <w:sz w:val="20"/>
                <w:szCs w:val="20"/>
                <w:lang w:bidi="ar-EG"/>
              </w:rPr>
            </w:pPr>
            <w:r w:rsidRPr="00450C00">
              <w:rPr>
                <w:b/>
                <w:bCs/>
                <w:sz w:val="20"/>
                <w:szCs w:val="20"/>
                <w:lang w:bidi="ar-EG"/>
              </w:rPr>
              <w:t xml:space="preserve">Figure 4. </w:t>
            </w:r>
            <w:r w:rsidRPr="00450C00">
              <w:rPr>
                <w:sz w:val="20"/>
                <w:szCs w:val="20"/>
                <w:lang w:bidi="ar-EG"/>
              </w:rPr>
              <w:t xml:space="preserve">Distribution of the two studied groups regarding </w:t>
            </w:r>
            <w:r w:rsidRPr="00450C00">
              <w:rPr>
                <w:sz w:val="20"/>
                <w:szCs w:val="20"/>
              </w:rPr>
              <w:t xml:space="preserve">Ovarian </w:t>
            </w:r>
            <w:proofErr w:type="spellStart"/>
            <w:r w:rsidRPr="00450C00">
              <w:rPr>
                <w:sz w:val="20"/>
                <w:szCs w:val="20"/>
              </w:rPr>
              <w:t>hyperstimulation</w:t>
            </w:r>
            <w:proofErr w:type="spellEnd"/>
            <w:r w:rsidRPr="00450C00">
              <w:rPr>
                <w:sz w:val="20"/>
                <w:szCs w:val="20"/>
                <w:lang w:bidi="ar-EG"/>
              </w:rPr>
              <w:t>.</w:t>
            </w:r>
          </w:p>
        </w:tc>
      </w:tr>
      <w:tr w:rsidR="00FF2B7F" w:rsidRPr="00450C00" w:rsidTr="000162D9">
        <w:trPr>
          <w:jc w:val="center"/>
        </w:trPr>
        <w:tc>
          <w:tcPr>
            <w:tcW w:w="5000" w:type="pct"/>
            <w:gridSpan w:val="2"/>
            <w:vAlign w:val="center"/>
          </w:tcPr>
          <w:p w:rsidR="00FF2B7F" w:rsidRPr="00450C00" w:rsidRDefault="00FF2B7F" w:rsidP="000162D9">
            <w:pPr>
              <w:pStyle w:val="ListParagraph"/>
              <w:bidi w:val="0"/>
              <w:snapToGrid w:val="0"/>
              <w:ind w:left="0"/>
              <w:jc w:val="both"/>
              <w:rPr>
                <w:noProof/>
                <w:sz w:val="20"/>
                <w:szCs w:val="20"/>
              </w:rPr>
            </w:pPr>
          </w:p>
          <w:p w:rsidR="00450C00" w:rsidRDefault="00450C00" w:rsidP="000162D9">
            <w:pPr>
              <w:pStyle w:val="ListParagraph"/>
              <w:bidi w:val="0"/>
              <w:snapToGrid w:val="0"/>
              <w:ind w:left="0"/>
              <w:jc w:val="center"/>
              <w:rPr>
                <w:rFonts w:hint="eastAsia"/>
                <w:sz w:val="20"/>
                <w:szCs w:val="20"/>
                <w:lang w:eastAsia="zh-CN"/>
              </w:rPr>
            </w:pPr>
          </w:p>
          <w:p w:rsidR="00450C00" w:rsidRDefault="00450C00" w:rsidP="00450C00">
            <w:pPr>
              <w:pStyle w:val="ListParagraph"/>
              <w:bidi w:val="0"/>
              <w:snapToGrid w:val="0"/>
              <w:ind w:left="0"/>
              <w:jc w:val="center"/>
              <w:rPr>
                <w:rFonts w:hint="eastAsia"/>
                <w:sz w:val="20"/>
                <w:szCs w:val="20"/>
                <w:lang w:eastAsia="zh-CN"/>
              </w:rPr>
            </w:pPr>
          </w:p>
          <w:p w:rsidR="00FF2B7F" w:rsidRPr="00450C00" w:rsidRDefault="00450C00" w:rsidP="00450C00">
            <w:pPr>
              <w:pStyle w:val="ListParagraph"/>
              <w:bidi w:val="0"/>
              <w:snapToGrid w:val="0"/>
              <w:ind w:left="0"/>
              <w:jc w:val="center"/>
              <w:rPr>
                <w:noProof/>
                <w:sz w:val="20"/>
                <w:szCs w:val="20"/>
              </w:rPr>
            </w:pPr>
            <w:r w:rsidRPr="00450C00">
              <w:rPr>
                <w:sz w:val="20"/>
                <w:szCs w:val="20"/>
              </w:rPr>
              <w:pict>
                <v:shape id="_x0000_i1029" type="#_x0000_t75" style="width:406.95pt;height:237.9pt">
                  <v:imagedata r:id="rId21" o:title=""/>
                </v:shape>
              </w:pict>
            </w:r>
          </w:p>
          <w:p w:rsidR="00FF2B7F" w:rsidRPr="00450C00" w:rsidRDefault="00FF2B7F" w:rsidP="000162D9">
            <w:pPr>
              <w:bidi w:val="0"/>
              <w:snapToGrid w:val="0"/>
              <w:jc w:val="center"/>
              <w:rPr>
                <w:b/>
                <w:bCs/>
                <w:sz w:val="20"/>
                <w:szCs w:val="20"/>
                <w:lang w:bidi="ar-EG"/>
              </w:rPr>
            </w:pPr>
            <w:r w:rsidRPr="00450C00">
              <w:rPr>
                <w:b/>
                <w:bCs/>
                <w:sz w:val="20"/>
                <w:szCs w:val="20"/>
                <w:lang w:bidi="ar-EG"/>
              </w:rPr>
              <w:t xml:space="preserve">Figure 5. </w:t>
            </w:r>
            <w:r w:rsidRPr="00450C00">
              <w:rPr>
                <w:sz w:val="20"/>
                <w:szCs w:val="20"/>
                <w:lang w:bidi="ar-EG"/>
              </w:rPr>
              <w:t xml:space="preserve">Distribution of the two studied groups regarding </w:t>
            </w:r>
            <w:r w:rsidRPr="00450C00">
              <w:rPr>
                <w:sz w:val="20"/>
                <w:szCs w:val="20"/>
              </w:rPr>
              <w:t>incidence of twins</w:t>
            </w:r>
            <w:r w:rsidRPr="00450C00">
              <w:rPr>
                <w:sz w:val="20"/>
                <w:szCs w:val="20"/>
                <w:lang w:bidi="ar-EG"/>
              </w:rPr>
              <w:t>.</w:t>
            </w:r>
          </w:p>
        </w:tc>
      </w:tr>
    </w:tbl>
    <w:p w:rsidR="00036C1D" w:rsidRDefault="00036C1D" w:rsidP="000162D9">
      <w:pPr>
        <w:widowControl w:val="0"/>
        <w:autoSpaceDE w:val="0"/>
        <w:autoSpaceDN w:val="0"/>
        <w:bidi w:val="0"/>
        <w:snapToGrid w:val="0"/>
        <w:jc w:val="both"/>
        <w:rPr>
          <w:rFonts w:hint="eastAsia"/>
          <w:b/>
          <w:bCs/>
          <w:sz w:val="20"/>
          <w:szCs w:val="20"/>
          <w:lang w:eastAsia="zh-CN" w:bidi="ar-EG"/>
        </w:rPr>
      </w:pPr>
    </w:p>
    <w:p w:rsidR="00450C00" w:rsidRPr="00450C00" w:rsidRDefault="00450C00" w:rsidP="00450C00">
      <w:pPr>
        <w:widowControl w:val="0"/>
        <w:autoSpaceDE w:val="0"/>
        <w:autoSpaceDN w:val="0"/>
        <w:bidi w:val="0"/>
        <w:snapToGrid w:val="0"/>
        <w:jc w:val="both"/>
        <w:rPr>
          <w:rFonts w:hint="eastAsia"/>
          <w:b/>
          <w:bCs/>
          <w:sz w:val="20"/>
          <w:szCs w:val="20"/>
          <w:lang w:eastAsia="zh-CN" w:bidi="ar-EG"/>
        </w:rPr>
      </w:pPr>
    </w:p>
    <w:p w:rsidR="00036C1D" w:rsidRPr="00450C00" w:rsidRDefault="00036C1D" w:rsidP="000162D9">
      <w:pPr>
        <w:widowControl w:val="0"/>
        <w:autoSpaceDE w:val="0"/>
        <w:autoSpaceDN w:val="0"/>
        <w:bidi w:val="0"/>
        <w:snapToGrid w:val="0"/>
        <w:jc w:val="both"/>
        <w:rPr>
          <w:b/>
          <w:bCs/>
          <w:sz w:val="20"/>
          <w:szCs w:val="20"/>
          <w:lang w:bidi="ar-EG"/>
        </w:rPr>
        <w:sectPr w:rsidR="00036C1D" w:rsidRPr="00450C00" w:rsidSect="00036C1D">
          <w:type w:val="continuous"/>
          <w:pgSz w:w="12242" w:h="15842" w:code="1"/>
          <w:pgMar w:top="1440" w:right="1440" w:bottom="1440" w:left="1440" w:header="720" w:footer="720" w:gutter="0"/>
          <w:cols w:space="708"/>
          <w:bidi/>
          <w:docGrid w:linePitch="360"/>
        </w:sectPr>
      </w:pPr>
    </w:p>
    <w:p w:rsidR="00EF5C89" w:rsidRPr="00450C00" w:rsidRDefault="00F03D7B" w:rsidP="000162D9">
      <w:pPr>
        <w:widowControl w:val="0"/>
        <w:autoSpaceDE w:val="0"/>
        <w:autoSpaceDN w:val="0"/>
        <w:bidi w:val="0"/>
        <w:snapToGrid w:val="0"/>
        <w:jc w:val="both"/>
        <w:rPr>
          <w:b/>
          <w:bCs/>
          <w:sz w:val="20"/>
          <w:szCs w:val="20"/>
          <w:lang w:bidi="ar-EG"/>
        </w:rPr>
      </w:pPr>
      <w:r w:rsidRPr="00450C00">
        <w:rPr>
          <w:b/>
          <w:bCs/>
          <w:sz w:val="20"/>
          <w:szCs w:val="20"/>
          <w:lang w:bidi="ar-EG"/>
        </w:rPr>
        <w:lastRenderedPageBreak/>
        <w:t>4. Discussion</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In the current study, it was found that no statistically significant differences between studied groups in the clinical criteria of patients regarding their age and body mass index with mean age of (27.52</w:t>
      </w:r>
      <w:r w:rsidR="00C70B0D" w:rsidRPr="00450C00">
        <w:rPr>
          <w:sz w:val="20"/>
          <w:szCs w:val="20"/>
          <w:lang w:bidi="ar-EG"/>
        </w:rPr>
        <w:t>, 27.50</w:t>
      </w:r>
      <w:r w:rsidR="000162D9" w:rsidRPr="00450C00">
        <w:rPr>
          <w:sz w:val="20"/>
          <w:szCs w:val="20"/>
          <w:lang w:bidi="ar-EG"/>
        </w:rPr>
        <w:t xml:space="preserve"> </w:t>
      </w:r>
      <w:r w:rsidR="00036C1D" w:rsidRPr="00450C00">
        <w:rPr>
          <w:sz w:val="20"/>
          <w:szCs w:val="20"/>
          <w:lang w:bidi="ar-EG"/>
        </w:rPr>
        <w:t>&amp;</w:t>
      </w:r>
      <w:r w:rsidR="000162D9" w:rsidRPr="00450C00">
        <w:rPr>
          <w:sz w:val="20"/>
          <w:szCs w:val="20"/>
          <w:lang w:bidi="ar-EG"/>
        </w:rPr>
        <w:t xml:space="preserve"> </w:t>
      </w:r>
      <w:r w:rsidRPr="00450C00">
        <w:rPr>
          <w:sz w:val="20"/>
          <w:szCs w:val="20"/>
          <w:lang w:bidi="ar-EG"/>
        </w:rPr>
        <w:t>27.50) and mean of BMI (27.06</w:t>
      </w:r>
      <w:r w:rsidR="00C70B0D" w:rsidRPr="00450C00">
        <w:rPr>
          <w:sz w:val="20"/>
          <w:szCs w:val="20"/>
          <w:lang w:bidi="ar-EG"/>
        </w:rPr>
        <w:t>, 27.14</w:t>
      </w:r>
      <w:r w:rsidRPr="00450C00">
        <w:rPr>
          <w:sz w:val="20"/>
          <w:szCs w:val="20"/>
          <w:lang w:bidi="ar-EG"/>
        </w:rPr>
        <w:t xml:space="preserve"> </w:t>
      </w:r>
      <w:r w:rsidRPr="00450C00">
        <w:rPr>
          <w:sz w:val="20"/>
          <w:szCs w:val="20"/>
          <w:lang w:bidi="ar-EG"/>
        </w:rPr>
        <w:sym w:font="Symbol" w:char="F026"/>
      </w:r>
      <w:r w:rsidRPr="00450C00">
        <w:rPr>
          <w:sz w:val="20"/>
          <w:szCs w:val="20"/>
          <w:lang w:bidi="ar-EG"/>
        </w:rPr>
        <w:t xml:space="preserve"> 27.14) in </w:t>
      </w:r>
      <w:r w:rsidR="00F76092" w:rsidRPr="00450C00">
        <w:rPr>
          <w:sz w:val="20"/>
          <w:szCs w:val="20"/>
          <w:lang w:bidi="ar-EG"/>
        </w:rPr>
        <w:t xml:space="preserve">traditional, stair step </w:t>
      </w:r>
      <w:r w:rsidR="004F01AA" w:rsidRPr="00450C00">
        <w:rPr>
          <w:sz w:val="20"/>
          <w:szCs w:val="20"/>
          <w:lang w:bidi="ar-EG"/>
        </w:rPr>
        <w:t xml:space="preserve">protocol </w:t>
      </w:r>
      <w:r w:rsidR="00F76092" w:rsidRPr="00450C00">
        <w:rPr>
          <w:sz w:val="20"/>
          <w:szCs w:val="20"/>
          <w:lang w:bidi="ar-EG"/>
        </w:rPr>
        <w:t xml:space="preserve">and control groups </w:t>
      </w:r>
      <w:r w:rsidRPr="00450C00">
        <w:rPr>
          <w:sz w:val="20"/>
          <w:szCs w:val="20"/>
          <w:lang w:bidi="ar-EG"/>
        </w:rPr>
        <w:t>respectively</w:t>
      </w:r>
      <w:r w:rsidRPr="00450C00">
        <w:rPr>
          <w:b/>
          <w:bCs/>
          <w:sz w:val="20"/>
          <w:szCs w:val="20"/>
          <w:lang w:bidi="ar-EG"/>
        </w:rPr>
        <w:t xml:space="preserve">. </w:t>
      </w:r>
      <w:r w:rsidRPr="00450C00">
        <w:rPr>
          <w:sz w:val="20"/>
          <w:szCs w:val="20"/>
          <w:lang w:bidi="ar-EG"/>
        </w:rPr>
        <w:t xml:space="preserve">These comes in agreement with several studies. </w:t>
      </w:r>
      <w:proofErr w:type="spellStart"/>
      <w:r w:rsidR="0092316D" w:rsidRPr="00450C00">
        <w:rPr>
          <w:b/>
          <w:bCs/>
          <w:sz w:val="20"/>
          <w:szCs w:val="20"/>
          <w:lang w:bidi="ar-EG"/>
        </w:rPr>
        <w:t>Moubarak</w:t>
      </w:r>
      <w:proofErr w:type="spellEnd"/>
      <w:r w:rsidR="0092316D" w:rsidRPr="00450C00">
        <w:rPr>
          <w:b/>
          <w:bCs/>
          <w:sz w:val="20"/>
          <w:szCs w:val="20"/>
          <w:lang w:bidi="ar-EG"/>
        </w:rPr>
        <w:t>, (10</w:t>
      </w:r>
      <w:r w:rsidRPr="00450C00">
        <w:rPr>
          <w:b/>
          <w:bCs/>
          <w:sz w:val="20"/>
          <w:szCs w:val="20"/>
          <w:lang w:bidi="ar-EG"/>
        </w:rPr>
        <w:t>)</w:t>
      </w:r>
      <w:r w:rsidRPr="00450C00">
        <w:rPr>
          <w:sz w:val="20"/>
          <w:szCs w:val="20"/>
          <w:lang w:bidi="ar-EG"/>
        </w:rPr>
        <w:t xml:space="preserve"> who found that no significant differences between stair step and traditional protocol patients regarding age with mean age (23.8</w:t>
      </w:r>
      <w:r w:rsidR="000162D9" w:rsidRPr="00450C00">
        <w:rPr>
          <w:sz w:val="20"/>
          <w:szCs w:val="20"/>
          <w:lang w:bidi="ar-EG"/>
        </w:rPr>
        <w:t xml:space="preserve"> </w:t>
      </w:r>
      <w:r w:rsidR="00036C1D" w:rsidRPr="00450C00">
        <w:rPr>
          <w:sz w:val="20"/>
          <w:szCs w:val="20"/>
          <w:lang w:bidi="ar-EG"/>
        </w:rPr>
        <w:t>&amp;</w:t>
      </w:r>
      <w:r w:rsidR="000162D9" w:rsidRPr="00450C00">
        <w:rPr>
          <w:sz w:val="20"/>
          <w:szCs w:val="20"/>
          <w:lang w:bidi="ar-EG"/>
        </w:rPr>
        <w:t xml:space="preserve"> </w:t>
      </w:r>
      <w:r w:rsidRPr="00450C00">
        <w:rPr>
          <w:sz w:val="20"/>
          <w:szCs w:val="20"/>
          <w:lang w:bidi="ar-EG"/>
        </w:rPr>
        <w:t xml:space="preserve">24.7) in stair step and traditional protocol respectively. In addition, </w:t>
      </w:r>
      <w:proofErr w:type="spellStart"/>
      <w:r w:rsidR="0092316D" w:rsidRPr="00450C00">
        <w:rPr>
          <w:b/>
          <w:bCs/>
          <w:sz w:val="20"/>
          <w:szCs w:val="20"/>
          <w:lang w:bidi="ar-EG"/>
        </w:rPr>
        <w:t>Algezawy</w:t>
      </w:r>
      <w:proofErr w:type="spellEnd"/>
      <w:r w:rsidR="0092316D" w:rsidRPr="00450C00">
        <w:rPr>
          <w:b/>
          <w:bCs/>
          <w:sz w:val="20"/>
          <w:szCs w:val="20"/>
          <w:lang w:bidi="ar-EG"/>
        </w:rPr>
        <w:t>, (11</w:t>
      </w:r>
      <w:r w:rsidRPr="00450C00">
        <w:rPr>
          <w:b/>
          <w:bCs/>
          <w:sz w:val="20"/>
          <w:szCs w:val="20"/>
          <w:lang w:bidi="ar-EG"/>
        </w:rPr>
        <w:t>)</w:t>
      </w:r>
      <w:r w:rsidRPr="00450C00">
        <w:rPr>
          <w:sz w:val="20"/>
          <w:szCs w:val="20"/>
          <w:lang w:bidi="ar-EG"/>
        </w:rPr>
        <w:t xml:space="preserve"> found that age was insignificant between two groups with p-value 0. 734. mean age in Stair-step group I was 28.33 years and 28.73 years in control group II. Also, results added that, BMI was insignificant between two groups with p-value 0.642, Mean BMI in group I was 26.5 kg/m</w:t>
      </w:r>
      <w:r w:rsidRPr="00450C00">
        <w:rPr>
          <w:sz w:val="20"/>
          <w:szCs w:val="20"/>
          <w:vertAlign w:val="superscript"/>
          <w:lang w:bidi="ar-EG"/>
        </w:rPr>
        <w:t>2</w:t>
      </w:r>
      <w:r w:rsidRPr="00450C00">
        <w:rPr>
          <w:sz w:val="20"/>
          <w:szCs w:val="20"/>
          <w:lang w:bidi="ar-EG"/>
        </w:rPr>
        <w:t xml:space="preserve"> and 26.26 kg/m</w:t>
      </w:r>
      <w:r w:rsidRPr="00450C00">
        <w:rPr>
          <w:sz w:val="20"/>
          <w:szCs w:val="20"/>
          <w:vertAlign w:val="superscript"/>
          <w:lang w:bidi="ar-EG"/>
        </w:rPr>
        <w:t>2</w:t>
      </w:r>
      <w:r w:rsidRPr="00450C00">
        <w:rPr>
          <w:sz w:val="20"/>
          <w:szCs w:val="20"/>
          <w:lang w:bidi="ar-EG"/>
        </w:rPr>
        <w:t xml:space="preserve"> in group II.</w:t>
      </w:r>
      <w:r w:rsidR="000162D9" w:rsidRPr="00450C00">
        <w:rPr>
          <w:b/>
          <w:bCs/>
          <w:sz w:val="20"/>
          <w:szCs w:val="20"/>
          <w:lang w:bidi="ar-EG"/>
        </w:rPr>
        <w:t xml:space="preserve"> </w:t>
      </w:r>
      <w:r w:rsidRPr="00450C00">
        <w:rPr>
          <w:sz w:val="20"/>
          <w:szCs w:val="20"/>
          <w:lang w:bidi="ar-EG"/>
        </w:rPr>
        <w:t xml:space="preserve">Moreover, </w:t>
      </w:r>
      <w:r w:rsidR="0092316D" w:rsidRPr="00450C00">
        <w:rPr>
          <w:b/>
          <w:bCs/>
          <w:sz w:val="20"/>
          <w:szCs w:val="20"/>
          <w:lang w:bidi="ar-EG"/>
        </w:rPr>
        <w:t xml:space="preserve">Abdel </w:t>
      </w:r>
      <w:proofErr w:type="spellStart"/>
      <w:r w:rsidR="0092316D" w:rsidRPr="00450C00">
        <w:rPr>
          <w:b/>
          <w:bCs/>
          <w:sz w:val="20"/>
          <w:szCs w:val="20"/>
          <w:lang w:bidi="ar-EG"/>
        </w:rPr>
        <w:t>Hamid</w:t>
      </w:r>
      <w:proofErr w:type="spellEnd"/>
      <w:r w:rsidR="0092316D" w:rsidRPr="00450C00">
        <w:rPr>
          <w:b/>
          <w:bCs/>
          <w:sz w:val="20"/>
          <w:szCs w:val="20"/>
          <w:lang w:bidi="ar-EG"/>
        </w:rPr>
        <w:t xml:space="preserve"> et al (12</w:t>
      </w:r>
      <w:r w:rsidRPr="00450C00">
        <w:rPr>
          <w:b/>
          <w:bCs/>
          <w:sz w:val="20"/>
          <w:szCs w:val="20"/>
          <w:lang w:bidi="ar-EG"/>
        </w:rPr>
        <w:t>)</w:t>
      </w:r>
      <w:r w:rsidRPr="00450C00">
        <w:rPr>
          <w:sz w:val="20"/>
          <w:szCs w:val="20"/>
          <w:lang w:bidi="ar-EG"/>
        </w:rPr>
        <w:t xml:space="preserve"> found that no difference between the two groups regarding age, BMI, race or infertility status.</w:t>
      </w:r>
      <w:r w:rsidR="000162D9" w:rsidRPr="00450C00">
        <w:rPr>
          <w:sz w:val="20"/>
          <w:szCs w:val="20"/>
          <w:lang w:bidi="ar-EG"/>
        </w:rPr>
        <w:t xml:space="preserve"> </w:t>
      </w:r>
      <w:r w:rsidRPr="00450C00">
        <w:rPr>
          <w:sz w:val="20"/>
          <w:szCs w:val="20"/>
          <w:lang w:bidi="ar-EG"/>
        </w:rPr>
        <w:t xml:space="preserve">Also, </w:t>
      </w:r>
      <w:r w:rsidR="0092316D" w:rsidRPr="00450C00">
        <w:rPr>
          <w:b/>
          <w:bCs/>
          <w:sz w:val="20"/>
          <w:szCs w:val="20"/>
          <w:lang w:bidi="ar-EG"/>
        </w:rPr>
        <w:t>Dong, (13</w:t>
      </w:r>
      <w:r w:rsidRPr="00450C00">
        <w:rPr>
          <w:b/>
          <w:bCs/>
          <w:sz w:val="20"/>
          <w:szCs w:val="20"/>
          <w:lang w:bidi="ar-EG"/>
        </w:rPr>
        <w:t>)</w:t>
      </w:r>
      <w:r w:rsidRPr="00450C00">
        <w:rPr>
          <w:sz w:val="20"/>
          <w:szCs w:val="20"/>
          <w:lang w:bidi="ar-EG"/>
        </w:rPr>
        <w:t xml:space="preserve"> found that no differences were found in terms of age, BMI, duration of infertility between the two groups. While, </w:t>
      </w:r>
      <w:proofErr w:type="spellStart"/>
      <w:r w:rsidR="0092316D" w:rsidRPr="00450C00">
        <w:rPr>
          <w:b/>
          <w:bCs/>
          <w:sz w:val="20"/>
          <w:szCs w:val="20"/>
          <w:lang w:bidi="ar-EG"/>
        </w:rPr>
        <w:t>Deveci</w:t>
      </w:r>
      <w:proofErr w:type="spellEnd"/>
      <w:r w:rsidR="0092316D" w:rsidRPr="00450C00">
        <w:rPr>
          <w:b/>
          <w:bCs/>
          <w:sz w:val="20"/>
          <w:szCs w:val="20"/>
          <w:lang w:bidi="ar-EG"/>
        </w:rPr>
        <w:t>, et al (9</w:t>
      </w:r>
      <w:r w:rsidRPr="00450C00">
        <w:rPr>
          <w:b/>
          <w:bCs/>
          <w:sz w:val="20"/>
          <w:szCs w:val="20"/>
          <w:lang w:bidi="ar-EG"/>
        </w:rPr>
        <w:t>)</w:t>
      </w:r>
      <w:r w:rsidRPr="00450C00">
        <w:rPr>
          <w:sz w:val="20"/>
          <w:szCs w:val="20"/>
          <w:lang w:bidi="ar-EG"/>
        </w:rPr>
        <w:t xml:space="preserve"> found that insignificant differences between two groups regarding age and BMI p-value 0.86, 0.06 respectively, mean age in Stair-step group was 23.1 years and BMI was 25.2 kg/m</w:t>
      </w:r>
      <w:r w:rsidRPr="00450C00">
        <w:rPr>
          <w:sz w:val="20"/>
          <w:szCs w:val="20"/>
          <w:vertAlign w:val="superscript"/>
          <w:lang w:bidi="ar-EG"/>
        </w:rPr>
        <w:t>2</w:t>
      </w:r>
      <w:r w:rsidRPr="00450C00">
        <w:rPr>
          <w:sz w:val="20"/>
          <w:szCs w:val="20"/>
          <w:lang w:bidi="ar-EG"/>
        </w:rPr>
        <w:t>, in control group mean age was 24.9 years and BMI was 27.1 kg/m</w:t>
      </w:r>
      <w:r w:rsidRPr="00450C00">
        <w:rPr>
          <w:sz w:val="20"/>
          <w:szCs w:val="20"/>
          <w:vertAlign w:val="superscript"/>
          <w:lang w:bidi="ar-EG"/>
        </w:rPr>
        <w:t>2</w:t>
      </w:r>
      <w:r w:rsidRPr="00450C00">
        <w:rPr>
          <w:sz w:val="20"/>
          <w:szCs w:val="20"/>
          <w:lang w:bidi="ar-EG"/>
        </w:rPr>
        <w:t>.</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 xml:space="preserve">Our finding results revealed that duration of </w:t>
      </w:r>
      <w:r w:rsidRPr="00450C00">
        <w:rPr>
          <w:sz w:val="20"/>
          <w:szCs w:val="20"/>
          <w:lang w:bidi="ar-EG"/>
        </w:rPr>
        <w:lastRenderedPageBreak/>
        <w:t>infertility increased in stair step protocol with mean (3.96) but not reached to significantly level (0.05) t</w:t>
      </w:r>
      <w:r w:rsidR="00927FF0" w:rsidRPr="00450C00">
        <w:rPr>
          <w:sz w:val="20"/>
          <w:szCs w:val="20"/>
          <w:lang w:bidi="ar-EG"/>
        </w:rPr>
        <w:t>hen traditional protocols and control groups</w:t>
      </w:r>
      <w:r w:rsidRPr="00450C00">
        <w:rPr>
          <w:sz w:val="20"/>
          <w:szCs w:val="20"/>
          <w:lang w:bidi="ar-EG"/>
        </w:rPr>
        <w:t xml:space="preserve">. These comes in agreement with </w:t>
      </w:r>
      <w:proofErr w:type="spellStart"/>
      <w:r w:rsidR="0092316D" w:rsidRPr="00450C00">
        <w:rPr>
          <w:b/>
          <w:bCs/>
          <w:sz w:val="20"/>
          <w:szCs w:val="20"/>
          <w:lang w:bidi="ar-EG"/>
        </w:rPr>
        <w:t>Algezawy</w:t>
      </w:r>
      <w:proofErr w:type="spellEnd"/>
      <w:r w:rsidR="0092316D" w:rsidRPr="00450C00">
        <w:rPr>
          <w:b/>
          <w:bCs/>
          <w:sz w:val="20"/>
          <w:szCs w:val="20"/>
          <w:lang w:bidi="ar-EG"/>
        </w:rPr>
        <w:t xml:space="preserve"> (11</w:t>
      </w:r>
      <w:r w:rsidRPr="00450C00">
        <w:rPr>
          <w:b/>
          <w:bCs/>
          <w:sz w:val="20"/>
          <w:szCs w:val="20"/>
          <w:lang w:bidi="ar-EG"/>
        </w:rPr>
        <w:t>)</w:t>
      </w:r>
      <w:r w:rsidRPr="00450C00">
        <w:rPr>
          <w:sz w:val="20"/>
          <w:szCs w:val="20"/>
          <w:lang w:bidi="ar-EG"/>
        </w:rPr>
        <w:t xml:space="preserve"> who found that mean duration of infertility in group I was 25. 87 months and 22.43 months in group II, duration of infertility was insignificant between two groups with p-value 0.254.</w:t>
      </w:r>
      <w:r w:rsidRPr="00450C00">
        <w:rPr>
          <w:b/>
          <w:bCs/>
          <w:sz w:val="20"/>
          <w:szCs w:val="20"/>
          <w:lang w:bidi="ar-EG"/>
        </w:rPr>
        <w:t xml:space="preserve"> </w:t>
      </w:r>
      <w:r w:rsidRPr="00450C00">
        <w:rPr>
          <w:sz w:val="20"/>
          <w:szCs w:val="20"/>
          <w:lang w:bidi="ar-EG"/>
        </w:rPr>
        <w:t>In addition</w:t>
      </w:r>
      <w:r w:rsidR="0092316D" w:rsidRPr="00450C00">
        <w:rPr>
          <w:b/>
          <w:bCs/>
          <w:sz w:val="20"/>
          <w:szCs w:val="20"/>
          <w:lang w:bidi="ar-EG"/>
        </w:rPr>
        <w:t xml:space="preserve">, </w:t>
      </w:r>
      <w:proofErr w:type="spellStart"/>
      <w:r w:rsidR="0092316D" w:rsidRPr="00450C00">
        <w:rPr>
          <w:b/>
          <w:bCs/>
          <w:sz w:val="20"/>
          <w:szCs w:val="20"/>
          <w:lang w:bidi="ar-EG"/>
        </w:rPr>
        <w:t>Deveci</w:t>
      </w:r>
      <w:proofErr w:type="spellEnd"/>
      <w:r w:rsidR="0092316D" w:rsidRPr="00450C00">
        <w:rPr>
          <w:b/>
          <w:bCs/>
          <w:sz w:val="20"/>
          <w:szCs w:val="20"/>
          <w:lang w:bidi="ar-EG"/>
        </w:rPr>
        <w:t xml:space="preserve"> et al (9</w:t>
      </w:r>
      <w:r w:rsidRPr="00450C00">
        <w:rPr>
          <w:b/>
          <w:bCs/>
          <w:sz w:val="20"/>
          <w:szCs w:val="20"/>
          <w:lang w:bidi="ar-EG"/>
        </w:rPr>
        <w:t>)</w:t>
      </w:r>
      <w:r w:rsidRPr="00450C00">
        <w:rPr>
          <w:sz w:val="20"/>
          <w:szCs w:val="20"/>
          <w:lang w:bidi="ar-EG"/>
        </w:rPr>
        <w:t xml:space="preserve"> found that insignificant differences between two groups regarding duration of infertility p-value 0.17. Duration of infertility in stair-step was 22.4 months and in control group it was 28.2 months. Moreover</w:t>
      </w:r>
      <w:r w:rsidRPr="00450C00">
        <w:rPr>
          <w:b/>
          <w:bCs/>
          <w:sz w:val="20"/>
          <w:szCs w:val="20"/>
          <w:lang w:bidi="ar-EG"/>
        </w:rPr>
        <w:t>, Begum et</w:t>
      </w:r>
      <w:r w:rsidR="00E5033C" w:rsidRPr="00450C00">
        <w:rPr>
          <w:b/>
          <w:bCs/>
          <w:sz w:val="20"/>
          <w:szCs w:val="20"/>
          <w:lang w:bidi="ar-EG"/>
        </w:rPr>
        <w:t xml:space="preserve"> al (14</w:t>
      </w:r>
      <w:r w:rsidRPr="00450C00">
        <w:rPr>
          <w:b/>
          <w:bCs/>
          <w:sz w:val="20"/>
          <w:szCs w:val="20"/>
          <w:lang w:bidi="ar-EG"/>
        </w:rPr>
        <w:t>)</w:t>
      </w:r>
      <w:r w:rsidRPr="00450C00">
        <w:rPr>
          <w:sz w:val="20"/>
          <w:szCs w:val="20"/>
          <w:lang w:bidi="ar-EG"/>
        </w:rPr>
        <w:t xml:space="preserve"> found that insignificant differences between three groups regarding duration of infertility p-value 0.603. duration of infertility in group I was 6.13 years, 5.06 years in group II.</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 xml:space="preserve">In the current study, it was found that no significant differences in stair-step and traditional protocol </w:t>
      </w:r>
      <w:r w:rsidR="00927FF0" w:rsidRPr="00450C00">
        <w:rPr>
          <w:sz w:val="20"/>
          <w:szCs w:val="20"/>
          <w:lang w:bidi="ar-EG"/>
        </w:rPr>
        <w:t xml:space="preserve">and control </w:t>
      </w:r>
      <w:r w:rsidRPr="00450C00">
        <w:rPr>
          <w:sz w:val="20"/>
          <w:szCs w:val="20"/>
          <w:lang w:bidi="ar-EG"/>
        </w:rPr>
        <w:t>groups regarding FSH, LH and LH\FSH levels at day 3 with mean value (3.88, 5.39 IU/L and 1.48) in stair-step group respectively, and (3.72, 5.33 IU/L and 1.51) in traditional group</w:t>
      </w:r>
      <w:r w:rsidRPr="00450C00">
        <w:rPr>
          <w:b/>
          <w:bCs/>
          <w:sz w:val="20"/>
          <w:szCs w:val="20"/>
          <w:lang w:bidi="ar-EG"/>
        </w:rPr>
        <w:t>.</w:t>
      </w:r>
      <w:r w:rsidRPr="00450C00">
        <w:rPr>
          <w:sz w:val="20"/>
          <w:szCs w:val="20"/>
          <w:lang w:bidi="ar-EG"/>
        </w:rPr>
        <w:t xml:space="preserve"> This comes in agreement with </w:t>
      </w:r>
      <w:proofErr w:type="spellStart"/>
      <w:r w:rsidR="00E5033C" w:rsidRPr="00450C00">
        <w:rPr>
          <w:b/>
          <w:bCs/>
          <w:sz w:val="20"/>
          <w:szCs w:val="20"/>
          <w:lang w:bidi="ar-EG"/>
        </w:rPr>
        <w:t>Deveci</w:t>
      </w:r>
      <w:proofErr w:type="spellEnd"/>
      <w:r w:rsidR="00E5033C" w:rsidRPr="00450C00">
        <w:rPr>
          <w:b/>
          <w:bCs/>
          <w:sz w:val="20"/>
          <w:szCs w:val="20"/>
          <w:lang w:bidi="ar-EG"/>
        </w:rPr>
        <w:t xml:space="preserve"> et al (9</w:t>
      </w:r>
      <w:r w:rsidRPr="00450C00">
        <w:rPr>
          <w:b/>
          <w:bCs/>
          <w:sz w:val="20"/>
          <w:szCs w:val="20"/>
          <w:lang w:bidi="ar-EG"/>
        </w:rPr>
        <w:t>)</w:t>
      </w:r>
      <w:r w:rsidRPr="00450C00">
        <w:rPr>
          <w:sz w:val="20"/>
          <w:szCs w:val="20"/>
          <w:lang w:bidi="ar-EG"/>
        </w:rPr>
        <w:t xml:space="preserve"> who found that FSH and LH levels at day 3 were insignificant differences between two groups with p-value 0.51, 0.38 respectively. FSH and LH levels at day 3 were 5.5 IU/L and 10.7 IU/L in Stair-step group while 5.7 IU/L and 9.7 IU/L in Control Group.</w:t>
      </w:r>
      <w:r w:rsidRPr="00450C00">
        <w:rPr>
          <w:b/>
          <w:bCs/>
          <w:sz w:val="20"/>
          <w:szCs w:val="20"/>
          <w:lang w:bidi="ar-EG"/>
        </w:rPr>
        <w:t xml:space="preserve"> </w:t>
      </w:r>
      <w:r w:rsidRPr="00450C00">
        <w:rPr>
          <w:sz w:val="20"/>
          <w:szCs w:val="20"/>
          <w:lang w:bidi="ar-EG"/>
        </w:rPr>
        <w:t>As well as</w:t>
      </w:r>
      <w:r w:rsidR="00E5033C" w:rsidRPr="00450C00">
        <w:rPr>
          <w:b/>
          <w:bCs/>
          <w:sz w:val="20"/>
          <w:szCs w:val="20"/>
          <w:lang w:bidi="ar-EG"/>
        </w:rPr>
        <w:t xml:space="preserve">, Al </w:t>
      </w:r>
      <w:proofErr w:type="spellStart"/>
      <w:r w:rsidR="00E5033C" w:rsidRPr="00450C00">
        <w:rPr>
          <w:b/>
          <w:bCs/>
          <w:sz w:val="20"/>
          <w:szCs w:val="20"/>
          <w:lang w:bidi="ar-EG"/>
        </w:rPr>
        <w:t>Ghazali</w:t>
      </w:r>
      <w:proofErr w:type="spellEnd"/>
      <w:r w:rsidR="00E5033C" w:rsidRPr="00450C00">
        <w:rPr>
          <w:b/>
          <w:bCs/>
          <w:sz w:val="20"/>
          <w:szCs w:val="20"/>
          <w:lang w:bidi="ar-EG"/>
        </w:rPr>
        <w:t xml:space="preserve"> (15</w:t>
      </w:r>
      <w:r w:rsidRPr="00450C00">
        <w:rPr>
          <w:b/>
          <w:bCs/>
          <w:sz w:val="20"/>
          <w:szCs w:val="20"/>
          <w:lang w:bidi="ar-EG"/>
        </w:rPr>
        <w:t>)</w:t>
      </w:r>
      <w:r w:rsidRPr="00450C00">
        <w:rPr>
          <w:sz w:val="20"/>
          <w:szCs w:val="20"/>
          <w:lang w:bidi="ar-EG"/>
        </w:rPr>
        <w:t xml:space="preserve"> found that for the stair step protocol mean FSH level were 5.39±1.547, LH 8.67±5.471, For the traditional protocol mean FSH level </w:t>
      </w:r>
      <w:r w:rsidRPr="00450C00">
        <w:rPr>
          <w:sz w:val="20"/>
          <w:szCs w:val="20"/>
          <w:lang w:bidi="ar-EG"/>
        </w:rPr>
        <w:lastRenderedPageBreak/>
        <w:t>5.43±2.29, LH 7.59±4.251. LH: FSH ratio for the stair step and the traditional protocol was1.804±1.201 and 1.78±1.304 respectively. For both protocol, there were no statistical significant differences among the two groups with respect to hormonal parameters.</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 xml:space="preserve">In the results of the current study, it was found that ovarian rate and chemical pregnancy were significantly increased in stair-step group that recorded 72% and 60% of patients respectively, </w:t>
      </w:r>
      <w:r w:rsidR="00311BE5" w:rsidRPr="00450C00">
        <w:rPr>
          <w:sz w:val="20"/>
          <w:szCs w:val="20"/>
          <w:lang w:bidi="ar-EG"/>
        </w:rPr>
        <w:t>more than</w:t>
      </w:r>
      <w:r w:rsidRPr="00450C00">
        <w:rPr>
          <w:sz w:val="20"/>
          <w:szCs w:val="20"/>
          <w:lang w:bidi="ar-EG"/>
        </w:rPr>
        <w:t xml:space="preserve"> traditional </w:t>
      </w:r>
      <w:r w:rsidR="00311BE5" w:rsidRPr="00450C00">
        <w:rPr>
          <w:sz w:val="20"/>
          <w:szCs w:val="20"/>
          <w:lang w:bidi="ar-EG"/>
        </w:rPr>
        <w:t>protocol and control groups</w:t>
      </w:r>
      <w:r w:rsidRPr="00450C00">
        <w:rPr>
          <w:sz w:val="20"/>
          <w:szCs w:val="20"/>
          <w:lang w:bidi="ar-EG"/>
        </w:rPr>
        <w:t xml:space="preserve">. Our results confirmed by </w:t>
      </w:r>
      <w:proofErr w:type="spellStart"/>
      <w:r w:rsidR="00E5033C" w:rsidRPr="00450C00">
        <w:rPr>
          <w:b/>
          <w:bCs/>
          <w:sz w:val="20"/>
          <w:szCs w:val="20"/>
          <w:lang w:bidi="ar-EG"/>
        </w:rPr>
        <w:t>Algezawy</w:t>
      </w:r>
      <w:proofErr w:type="spellEnd"/>
      <w:r w:rsidR="00E5033C" w:rsidRPr="00450C00">
        <w:rPr>
          <w:b/>
          <w:bCs/>
          <w:sz w:val="20"/>
          <w:szCs w:val="20"/>
          <w:lang w:bidi="ar-EG"/>
        </w:rPr>
        <w:t xml:space="preserve"> (11</w:t>
      </w:r>
      <w:r w:rsidRPr="00450C00">
        <w:rPr>
          <w:b/>
          <w:bCs/>
          <w:sz w:val="20"/>
          <w:szCs w:val="20"/>
          <w:lang w:bidi="ar-EG"/>
        </w:rPr>
        <w:t>)</w:t>
      </w:r>
      <w:r w:rsidRPr="00450C00">
        <w:rPr>
          <w:sz w:val="20"/>
          <w:szCs w:val="20"/>
          <w:lang w:bidi="ar-EG"/>
        </w:rPr>
        <w:t xml:space="preserve"> who found that clinically pregnancy rate it was significantly higher in group I 66.7% than group II 40% p-value 0.038. In addition</w:t>
      </w:r>
      <w:r w:rsidR="00D840C9" w:rsidRPr="00450C00">
        <w:rPr>
          <w:b/>
          <w:bCs/>
          <w:sz w:val="20"/>
          <w:szCs w:val="20"/>
          <w:lang w:bidi="ar-EG"/>
        </w:rPr>
        <w:t xml:space="preserve">, </w:t>
      </w:r>
      <w:proofErr w:type="spellStart"/>
      <w:r w:rsidR="00D840C9" w:rsidRPr="00450C00">
        <w:rPr>
          <w:b/>
          <w:bCs/>
          <w:sz w:val="20"/>
          <w:szCs w:val="20"/>
          <w:lang w:bidi="ar-EG"/>
        </w:rPr>
        <w:t>Abd</w:t>
      </w:r>
      <w:proofErr w:type="spellEnd"/>
      <w:r w:rsidR="00D840C9" w:rsidRPr="00450C00">
        <w:rPr>
          <w:b/>
          <w:bCs/>
          <w:sz w:val="20"/>
          <w:szCs w:val="20"/>
          <w:lang w:bidi="ar-EG"/>
        </w:rPr>
        <w:t xml:space="preserve"> </w:t>
      </w:r>
      <w:proofErr w:type="spellStart"/>
      <w:r w:rsidR="00D840C9" w:rsidRPr="00450C00">
        <w:rPr>
          <w:b/>
          <w:bCs/>
          <w:sz w:val="20"/>
          <w:szCs w:val="20"/>
          <w:lang w:bidi="ar-EG"/>
        </w:rPr>
        <w:t>Elsalam</w:t>
      </w:r>
      <w:proofErr w:type="spellEnd"/>
      <w:r w:rsidR="00D840C9" w:rsidRPr="00450C00">
        <w:rPr>
          <w:b/>
          <w:bCs/>
          <w:sz w:val="20"/>
          <w:szCs w:val="20"/>
          <w:lang w:bidi="ar-EG"/>
        </w:rPr>
        <w:t>, et al (16</w:t>
      </w:r>
      <w:r w:rsidRPr="00450C00">
        <w:rPr>
          <w:b/>
          <w:bCs/>
          <w:sz w:val="20"/>
          <w:szCs w:val="20"/>
          <w:lang w:bidi="ar-EG"/>
        </w:rPr>
        <w:t>)</w:t>
      </w:r>
      <w:r w:rsidRPr="00450C00">
        <w:rPr>
          <w:sz w:val="20"/>
          <w:szCs w:val="20"/>
          <w:lang w:bidi="ar-EG"/>
        </w:rPr>
        <w:t xml:space="preserve"> found that ovulation and pregnancy rates were significantly higher in the stair-step (46.7 vs. 30 %, respectively) compared the control group (20% vs. 6.7 %, respectively). Moreover</w:t>
      </w:r>
      <w:r w:rsidR="00D840C9" w:rsidRPr="00450C00">
        <w:rPr>
          <w:b/>
          <w:bCs/>
          <w:sz w:val="20"/>
          <w:szCs w:val="20"/>
          <w:lang w:bidi="ar-EG"/>
        </w:rPr>
        <w:t xml:space="preserve">, Abdel </w:t>
      </w:r>
      <w:proofErr w:type="spellStart"/>
      <w:r w:rsidR="00D840C9" w:rsidRPr="00450C00">
        <w:rPr>
          <w:b/>
          <w:bCs/>
          <w:sz w:val="20"/>
          <w:szCs w:val="20"/>
          <w:lang w:bidi="ar-EG"/>
        </w:rPr>
        <w:t>Hamid</w:t>
      </w:r>
      <w:proofErr w:type="spellEnd"/>
      <w:r w:rsidR="00D840C9" w:rsidRPr="00450C00">
        <w:rPr>
          <w:b/>
          <w:bCs/>
          <w:sz w:val="20"/>
          <w:szCs w:val="20"/>
          <w:lang w:bidi="ar-EG"/>
        </w:rPr>
        <w:t xml:space="preserve"> et al (12</w:t>
      </w:r>
      <w:r w:rsidRPr="00450C00">
        <w:rPr>
          <w:b/>
          <w:bCs/>
          <w:sz w:val="20"/>
          <w:szCs w:val="20"/>
          <w:lang w:bidi="ar-EG"/>
        </w:rPr>
        <w:t>)</w:t>
      </w:r>
      <w:r w:rsidRPr="00450C00">
        <w:rPr>
          <w:sz w:val="20"/>
          <w:szCs w:val="20"/>
          <w:lang w:bidi="ar-EG"/>
        </w:rPr>
        <w:t xml:space="preserve"> found that the ovulation rate was significantly higher at a dose of 100 mg (64% </w:t>
      </w:r>
      <w:proofErr w:type="spellStart"/>
      <w:r w:rsidRPr="00450C00">
        <w:rPr>
          <w:sz w:val="20"/>
          <w:szCs w:val="20"/>
          <w:lang w:bidi="ar-EG"/>
        </w:rPr>
        <w:t>vs</w:t>
      </w:r>
      <w:proofErr w:type="spellEnd"/>
      <w:r w:rsidRPr="00450C00">
        <w:rPr>
          <w:sz w:val="20"/>
          <w:szCs w:val="20"/>
          <w:lang w:bidi="ar-EG"/>
        </w:rPr>
        <w:t xml:space="preserve"> 22%). A total of 74% of their patients ovulated on 100 or 150 mg CC, and this too was significantly higher than the expected ovulation rate of 35.5% with a traditional protocol.</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On the other hand, our results are disagreement with</w:t>
      </w:r>
      <w:r w:rsidR="003D336E" w:rsidRPr="00450C00">
        <w:rPr>
          <w:b/>
          <w:bCs/>
          <w:sz w:val="20"/>
          <w:szCs w:val="20"/>
          <w:lang w:bidi="ar-EG"/>
        </w:rPr>
        <w:t xml:space="preserve"> </w:t>
      </w:r>
      <w:proofErr w:type="spellStart"/>
      <w:r w:rsidR="003D336E" w:rsidRPr="00450C00">
        <w:rPr>
          <w:b/>
          <w:bCs/>
          <w:sz w:val="20"/>
          <w:szCs w:val="20"/>
          <w:lang w:bidi="ar-EG"/>
        </w:rPr>
        <w:t>Algezawy</w:t>
      </w:r>
      <w:proofErr w:type="spellEnd"/>
      <w:r w:rsidR="003D336E" w:rsidRPr="00450C00">
        <w:rPr>
          <w:b/>
          <w:bCs/>
          <w:sz w:val="20"/>
          <w:szCs w:val="20"/>
          <w:lang w:bidi="ar-EG"/>
        </w:rPr>
        <w:t xml:space="preserve"> (11</w:t>
      </w:r>
      <w:r w:rsidRPr="00450C00">
        <w:rPr>
          <w:b/>
          <w:bCs/>
          <w:sz w:val="20"/>
          <w:szCs w:val="20"/>
          <w:lang w:bidi="ar-EG"/>
        </w:rPr>
        <w:t>)</w:t>
      </w:r>
      <w:r w:rsidRPr="00450C00">
        <w:rPr>
          <w:sz w:val="20"/>
          <w:szCs w:val="20"/>
          <w:lang w:bidi="ar-EG"/>
        </w:rPr>
        <w:t xml:space="preserve"> who found that ovarian rate was higher in group I as 80% of patients in this group had increase in ovarian rate regarding group II were 63.3% but this difference was insignificant between two groups p value 0. 152. Also,</w:t>
      </w:r>
      <w:r w:rsidR="003D336E" w:rsidRPr="00450C00">
        <w:rPr>
          <w:b/>
          <w:bCs/>
          <w:sz w:val="20"/>
          <w:szCs w:val="20"/>
          <w:lang w:bidi="ar-EG"/>
        </w:rPr>
        <w:t xml:space="preserve"> Hurst et al (17</w:t>
      </w:r>
      <w:r w:rsidRPr="00450C00">
        <w:rPr>
          <w:b/>
          <w:bCs/>
          <w:sz w:val="20"/>
          <w:szCs w:val="20"/>
          <w:lang w:bidi="ar-EG"/>
        </w:rPr>
        <w:t>)</w:t>
      </w:r>
      <w:r w:rsidRPr="00450C00">
        <w:rPr>
          <w:sz w:val="20"/>
          <w:szCs w:val="20"/>
          <w:lang w:bidi="ar-EG"/>
        </w:rPr>
        <w:t xml:space="preserve"> who found that the clinical pregnancy rate for the stair step protocol of (13%) was similar to the traditional protocol (15%). While,</w:t>
      </w:r>
      <w:r w:rsidR="003D336E" w:rsidRPr="00450C00">
        <w:rPr>
          <w:b/>
          <w:bCs/>
          <w:sz w:val="20"/>
          <w:szCs w:val="20"/>
          <w:lang w:bidi="ar-EG"/>
        </w:rPr>
        <w:t xml:space="preserve"> Abdel </w:t>
      </w:r>
      <w:proofErr w:type="spellStart"/>
      <w:r w:rsidR="003D336E" w:rsidRPr="00450C00">
        <w:rPr>
          <w:b/>
          <w:bCs/>
          <w:sz w:val="20"/>
          <w:szCs w:val="20"/>
          <w:lang w:bidi="ar-EG"/>
        </w:rPr>
        <w:t>Hamid</w:t>
      </w:r>
      <w:proofErr w:type="spellEnd"/>
      <w:r w:rsidR="003D336E" w:rsidRPr="00450C00">
        <w:rPr>
          <w:b/>
          <w:bCs/>
          <w:sz w:val="20"/>
          <w:szCs w:val="20"/>
          <w:lang w:bidi="ar-EG"/>
        </w:rPr>
        <w:t xml:space="preserve"> et al., (12</w:t>
      </w:r>
      <w:r w:rsidRPr="00450C00">
        <w:rPr>
          <w:b/>
          <w:bCs/>
          <w:sz w:val="20"/>
          <w:szCs w:val="20"/>
          <w:lang w:bidi="ar-EG"/>
        </w:rPr>
        <w:t>)</w:t>
      </w:r>
      <w:r w:rsidRPr="00450C00">
        <w:rPr>
          <w:sz w:val="20"/>
          <w:szCs w:val="20"/>
          <w:lang w:bidi="ar-EG"/>
        </w:rPr>
        <w:t xml:space="preserve"> found that the clinical pregnancy rate was nevertheless not different between the two groups (15, 30% vs13, 26%). This may be explained by the large sample size and the long duration of their study. In addition, they depended on historical result from published data and not from a controlled study group to compare the result of both protocols as compared to our study.</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Our finding results revealed that, number of follicles was significantly increased (P=0.047) in stair-step protocol (grou</w:t>
      </w:r>
      <w:r w:rsidR="000162D9" w:rsidRPr="00450C00">
        <w:rPr>
          <w:sz w:val="20"/>
          <w:szCs w:val="20"/>
          <w:lang w:bidi="ar-EG"/>
        </w:rPr>
        <w:t>p I</w:t>
      </w:r>
      <w:r w:rsidR="002E664F" w:rsidRPr="00450C00">
        <w:rPr>
          <w:sz w:val="20"/>
          <w:szCs w:val="20"/>
          <w:lang w:bidi="ar-EG"/>
        </w:rPr>
        <w:t>I</w:t>
      </w:r>
      <w:r w:rsidRPr="00450C00">
        <w:rPr>
          <w:sz w:val="20"/>
          <w:szCs w:val="20"/>
          <w:lang w:bidi="ar-EG"/>
        </w:rPr>
        <w:t xml:space="preserve">) more than traditional protocol </w:t>
      </w:r>
      <w:r w:rsidR="002E664F" w:rsidRPr="00450C00">
        <w:rPr>
          <w:sz w:val="20"/>
          <w:szCs w:val="20"/>
          <w:lang w:bidi="ar-EG"/>
        </w:rPr>
        <w:t xml:space="preserve">and control groups </w:t>
      </w:r>
      <w:r w:rsidRPr="00450C00">
        <w:rPr>
          <w:sz w:val="20"/>
          <w:szCs w:val="20"/>
          <w:lang w:bidi="ar-EG"/>
        </w:rPr>
        <w:t>which scored the lowest number of follicles.</w:t>
      </w:r>
      <w:r w:rsidRPr="00450C00">
        <w:rPr>
          <w:b/>
          <w:bCs/>
          <w:sz w:val="20"/>
          <w:szCs w:val="20"/>
          <w:lang w:bidi="ar-EG"/>
        </w:rPr>
        <w:t xml:space="preserve"> </w:t>
      </w:r>
      <w:r w:rsidRPr="00450C00">
        <w:rPr>
          <w:sz w:val="20"/>
          <w:szCs w:val="20"/>
          <w:lang w:bidi="ar-EG"/>
        </w:rPr>
        <w:t>Our results are in line with</w:t>
      </w:r>
      <w:r w:rsidR="003D336E" w:rsidRPr="00450C00">
        <w:rPr>
          <w:b/>
          <w:bCs/>
          <w:sz w:val="20"/>
          <w:szCs w:val="20"/>
          <w:lang w:bidi="ar-EG"/>
        </w:rPr>
        <w:t xml:space="preserve"> </w:t>
      </w:r>
      <w:proofErr w:type="spellStart"/>
      <w:r w:rsidR="003D336E" w:rsidRPr="00450C00">
        <w:rPr>
          <w:b/>
          <w:bCs/>
          <w:sz w:val="20"/>
          <w:szCs w:val="20"/>
          <w:lang w:bidi="ar-EG"/>
        </w:rPr>
        <w:t>Moubarak</w:t>
      </w:r>
      <w:proofErr w:type="spellEnd"/>
      <w:r w:rsidR="003D336E" w:rsidRPr="00450C00">
        <w:rPr>
          <w:b/>
          <w:bCs/>
          <w:sz w:val="20"/>
          <w:szCs w:val="20"/>
          <w:lang w:bidi="ar-EG"/>
        </w:rPr>
        <w:t>, (10</w:t>
      </w:r>
      <w:r w:rsidRPr="00450C00">
        <w:rPr>
          <w:b/>
          <w:bCs/>
          <w:sz w:val="20"/>
          <w:szCs w:val="20"/>
          <w:lang w:bidi="ar-EG"/>
        </w:rPr>
        <w:t>)</w:t>
      </w:r>
      <w:r w:rsidRPr="00450C00">
        <w:rPr>
          <w:sz w:val="20"/>
          <w:szCs w:val="20"/>
          <w:lang w:bidi="ar-EG"/>
        </w:rPr>
        <w:t xml:space="preserve"> who found that there were significantly increase in number of follicles in stair step protocol with mean value (2</w:t>
      </w:r>
      <w:r w:rsidR="000162D9" w:rsidRPr="00450C00">
        <w:rPr>
          <w:sz w:val="20"/>
          <w:szCs w:val="20"/>
          <w:lang w:bidi="ar-EG"/>
        </w:rPr>
        <w:t xml:space="preserve"> </w:t>
      </w:r>
      <w:r w:rsidR="00036C1D" w:rsidRPr="00450C00">
        <w:rPr>
          <w:sz w:val="20"/>
          <w:szCs w:val="20"/>
          <w:lang w:bidi="ar-EG"/>
        </w:rPr>
        <w:t>&amp;</w:t>
      </w:r>
      <w:r w:rsidR="000162D9" w:rsidRPr="00450C00">
        <w:rPr>
          <w:sz w:val="20"/>
          <w:szCs w:val="20"/>
          <w:lang w:bidi="ar-EG"/>
        </w:rPr>
        <w:t xml:space="preserve"> </w:t>
      </w:r>
      <w:r w:rsidRPr="00450C00">
        <w:rPr>
          <w:sz w:val="20"/>
          <w:szCs w:val="20"/>
          <w:lang w:bidi="ar-EG"/>
        </w:rPr>
        <w:t xml:space="preserve">1) in stair step and traditional protocols respectively. In addition, </w:t>
      </w:r>
      <w:proofErr w:type="spellStart"/>
      <w:r w:rsidR="003D336E" w:rsidRPr="00450C00">
        <w:rPr>
          <w:b/>
          <w:bCs/>
          <w:sz w:val="20"/>
          <w:szCs w:val="20"/>
          <w:lang w:bidi="ar-EG"/>
        </w:rPr>
        <w:t>Ghosh</w:t>
      </w:r>
      <w:proofErr w:type="spellEnd"/>
      <w:r w:rsidR="003D336E" w:rsidRPr="00450C00">
        <w:rPr>
          <w:b/>
          <w:bCs/>
          <w:sz w:val="20"/>
          <w:szCs w:val="20"/>
          <w:lang w:bidi="ar-EG"/>
        </w:rPr>
        <w:t xml:space="preserve"> et al (18</w:t>
      </w:r>
      <w:r w:rsidRPr="00450C00">
        <w:rPr>
          <w:b/>
          <w:bCs/>
          <w:sz w:val="20"/>
          <w:szCs w:val="20"/>
          <w:lang w:bidi="ar-EG"/>
        </w:rPr>
        <w:t>)</w:t>
      </w:r>
      <w:r w:rsidRPr="00450C00">
        <w:rPr>
          <w:sz w:val="20"/>
          <w:szCs w:val="20"/>
          <w:lang w:bidi="ar-EG"/>
        </w:rPr>
        <w:t xml:space="preserve"> found that women with follicular diameter of 20mm and more are less likely to become pregnant as compared to women of follicular diameter of 15-19mm. He concludes that women with the largest follicular diameter of ≥20 mm in a cycle appeared to have a 40% less chance of conceiving as compared to women with the largest follicular diameter between 15 </w:t>
      </w:r>
      <w:r w:rsidRPr="00450C00">
        <w:rPr>
          <w:sz w:val="20"/>
          <w:szCs w:val="20"/>
          <w:lang w:bidi="ar-EG"/>
        </w:rPr>
        <w:lastRenderedPageBreak/>
        <w:t>and 19.99 mm.</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 xml:space="preserve">Results of the current study showed that no statistically significant difference (P=0.67) between </w:t>
      </w:r>
      <w:r w:rsidR="006B1705" w:rsidRPr="00450C00">
        <w:rPr>
          <w:sz w:val="20"/>
          <w:szCs w:val="20"/>
          <w:lang w:bidi="ar-EG"/>
        </w:rPr>
        <w:t>studied groups</w:t>
      </w:r>
      <w:r w:rsidRPr="00450C00">
        <w:rPr>
          <w:sz w:val="20"/>
          <w:szCs w:val="20"/>
          <w:lang w:bidi="ar-EG"/>
        </w:rPr>
        <w:t xml:space="preserve"> regarding Endometrial thickness. This comes in agreement with </w:t>
      </w:r>
      <w:proofErr w:type="spellStart"/>
      <w:r w:rsidR="003D336E" w:rsidRPr="00450C00">
        <w:rPr>
          <w:b/>
          <w:bCs/>
          <w:sz w:val="20"/>
          <w:szCs w:val="20"/>
          <w:lang w:bidi="ar-EG"/>
        </w:rPr>
        <w:t>Deveci</w:t>
      </w:r>
      <w:proofErr w:type="spellEnd"/>
      <w:r w:rsidR="003D336E" w:rsidRPr="00450C00">
        <w:rPr>
          <w:b/>
          <w:bCs/>
          <w:sz w:val="20"/>
          <w:szCs w:val="20"/>
          <w:lang w:bidi="ar-EG"/>
        </w:rPr>
        <w:t xml:space="preserve"> et al (9</w:t>
      </w:r>
      <w:r w:rsidRPr="00450C00">
        <w:rPr>
          <w:b/>
          <w:bCs/>
          <w:sz w:val="20"/>
          <w:szCs w:val="20"/>
          <w:lang w:bidi="ar-EG"/>
        </w:rPr>
        <w:t>)</w:t>
      </w:r>
      <w:r w:rsidRPr="00450C00">
        <w:rPr>
          <w:sz w:val="20"/>
          <w:szCs w:val="20"/>
          <w:lang w:bidi="ar-EG"/>
        </w:rPr>
        <w:t xml:space="preserve"> who found that no statistically significant difference between the stair-step and control groups in endometrial thickness (8.3 ± 2.1 vs. 9.3 ± 2.4 mm, respectively) on the day of </w:t>
      </w:r>
      <w:proofErr w:type="spellStart"/>
      <w:r w:rsidRPr="00450C00">
        <w:rPr>
          <w:sz w:val="20"/>
          <w:szCs w:val="20"/>
          <w:lang w:bidi="ar-EG"/>
        </w:rPr>
        <w:t>hCG</w:t>
      </w:r>
      <w:proofErr w:type="spellEnd"/>
      <w:r w:rsidRPr="00450C00">
        <w:rPr>
          <w:sz w:val="20"/>
          <w:szCs w:val="20"/>
          <w:lang w:bidi="ar-EG"/>
        </w:rPr>
        <w:t xml:space="preserve"> p-value 0.24. The changes in uterine artery </w:t>
      </w:r>
      <w:proofErr w:type="spellStart"/>
      <w:r w:rsidRPr="00450C00">
        <w:rPr>
          <w:sz w:val="20"/>
          <w:szCs w:val="20"/>
          <w:lang w:bidi="ar-EG"/>
        </w:rPr>
        <w:t>pulsatility</w:t>
      </w:r>
      <w:proofErr w:type="spellEnd"/>
      <w:r w:rsidRPr="00450C00">
        <w:rPr>
          <w:sz w:val="20"/>
          <w:szCs w:val="20"/>
          <w:lang w:bidi="ar-EG"/>
        </w:rPr>
        <w:t xml:space="preserve"> index and resistivity index were similar between the groups p-value 0.39, 0.20 respectively.</w:t>
      </w:r>
      <w:r w:rsidRPr="00450C00">
        <w:rPr>
          <w:b/>
          <w:bCs/>
          <w:sz w:val="20"/>
          <w:szCs w:val="20"/>
          <w:lang w:bidi="ar-EG"/>
        </w:rPr>
        <w:t xml:space="preserve"> </w:t>
      </w:r>
      <w:r w:rsidRPr="00450C00">
        <w:rPr>
          <w:sz w:val="20"/>
          <w:szCs w:val="20"/>
          <w:lang w:bidi="ar-EG"/>
        </w:rPr>
        <w:t>Also,</w:t>
      </w:r>
      <w:r w:rsidR="003D336E" w:rsidRPr="00450C00">
        <w:rPr>
          <w:b/>
          <w:bCs/>
          <w:sz w:val="20"/>
          <w:szCs w:val="20"/>
          <w:lang w:bidi="ar-EG"/>
        </w:rPr>
        <w:t xml:space="preserve"> </w:t>
      </w:r>
      <w:proofErr w:type="spellStart"/>
      <w:r w:rsidR="003D336E" w:rsidRPr="00450C00">
        <w:rPr>
          <w:b/>
          <w:bCs/>
          <w:sz w:val="20"/>
          <w:szCs w:val="20"/>
          <w:lang w:bidi="ar-EG"/>
        </w:rPr>
        <w:t>Shahin</w:t>
      </w:r>
      <w:proofErr w:type="spellEnd"/>
      <w:r w:rsidR="003D336E" w:rsidRPr="00450C00">
        <w:rPr>
          <w:b/>
          <w:bCs/>
          <w:sz w:val="20"/>
          <w:szCs w:val="20"/>
          <w:lang w:bidi="ar-EG"/>
        </w:rPr>
        <w:t xml:space="preserve"> (19</w:t>
      </w:r>
      <w:r w:rsidRPr="00450C00">
        <w:rPr>
          <w:b/>
          <w:bCs/>
          <w:sz w:val="20"/>
          <w:szCs w:val="20"/>
          <w:lang w:bidi="ar-EG"/>
        </w:rPr>
        <w:t>)</w:t>
      </w:r>
      <w:r w:rsidRPr="00450C00">
        <w:rPr>
          <w:sz w:val="20"/>
          <w:szCs w:val="20"/>
          <w:lang w:bidi="ar-EG"/>
        </w:rPr>
        <w:t xml:space="preserve"> suggested that endometrial thickness in the range 5.5–8.25 mm and triple line pattern is highly predictive for pregnancy. Therefore, the potential side effects on the </w:t>
      </w:r>
      <w:proofErr w:type="spellStart"/>
      <w:r w:rsidRPr="00450C00">
        <w:rPr>
          <w:sz w:val="20"/>
          <w:szCs w:val="20"/>
          <w:lang w:bidi="ar-EG"/>
        </w:rPr>
        <w:t>endometrium</w:t>
      </w:r>
      <w:proofErr w:type="spellEnd"/>
      <w:r w:rsidRPr="00450C00">
        <w:rPr>
          <w:sz w:val="20"/>
          <w:szCs w:val="20"/>
          <w:lang w:bidi="ar-EG"/>
        </w:rPr>
        <w:t xml:space="preserve"> related to the cumulative doses of CC in the stair-step protocol were evaluated on ultrasound. No significant adverse effects were observed on the endometrial thickness in the stair-step protocol.</w:t>
      </w:r>
      <w:r w:rsidRPr="00450C00">
        <w:rPr>
          <w:b/>
          <w:bCs/>
          <w:sz w:val="20"/>
          <w:szCs w:val="20"/>
          <w:lang w:bidi="ar-EG"/>
        </w:rPr>
        <w:t xml:space="preserve"> </w:t>
      </w:r>
      <w:r w:rsidRPr="00450C00">
        <w:rPr>
          <w:sz w:val="20"/>
          <w:szCs w:val="20"/>
          <w:lang w:bidi="ar-EG"/>
        </w:rPr>
        <w:t>While</w:t>
      </w:r>
      <w:r w:rsidR="003D336E" w:rsidRPr="00450C00">
        <w:rPr>
          <w:b/>
          <w:bCs/>
          <w:sz w:val="20"/>
          <w:szCs w:val="20"/>
          <w:lang w:bidi="ar-EG"/>
        </w:rPr>
        <w:t xml:space="preserve"> </w:t>
      </w:r>
      <w:proofErr w:type="spellStart"/>
      <w:r w:rsidR="003D336E" w:rsidRPr="00450C00">
        <w:rPr>
          <w:b/>
          <w:bCs/>
          <w:sz w:val="20"/>
          <w:szCs w:val="20"/>
          <w:lang w:bidi="ar-EG"/>
        </w:rPr>
        <w:t>Palomba</w:t>
      </w:r>
      <w:proofErr w:type="spellEnd"/>
      <w:r w:rsidR="003D336E" w:rsidRPr="00450C00">
        <w:rPr>
          <w:b/>
          <w:bCs/>
          <w:sz w:val="20"/>
          <w:szCs w:val="20"/>
          <w:lang w:bidi="ar-EG"/>
        </w:rPr>
        <w:t xml:space="preserve"> et al (6</w:t>
      </w:r>
      <w:r w:rsidRPr="00450C00">
        <w:rPr>
          <w:b/>
          <w:bCs/>
          <w:sz w:val="20"/>
          <w:szCs w:val="20"/>
          <w:lang w:bidi="ar-EG"/>
        </w:rPr>
        <w:t>).</w:t>
      </w:r>
      <w:r w:rsidRPr="00450C00">
        <w:rPr>
          <w:sz w:val="20"/>
          <w:szCs w:val="20"/>
          <w:lang w:bidi="ar-EG"/>
        </w:rPr>
        <w:t xml:space="preserve"> demonstrated that CC acts on human </w:t>
      </w:r>
      <w:proofErr w:type="spellStart"/>
      <w:r w:rsidRPr="00450C00">
        <w:rPr>
          <w:sz w:val="20"/>
          <w:szCs w:val="20"/>
          <w:lang w:bidi="ar-EG"/>
        </w:rPr>
        <w:t>endometrium</w:t>
      </w:r>
      <w:proofErr w:type="spellEnd"/>
      <w:r w:rsidRPr="00450C00">
        <w:rPr>
          <w:sz w:val="20"/>
          <w:szCs w:val="20"/>
          <w:lang w:bidi="ar-EG"/>
        </w:rPr>
        <w:t xml:space="preserve"> with an </w:t>
      </w:r>
      <w:proofErr w:type="spellStart"/>
      <w:r w:rsidRPr="00450C00">
        <w:rPr>
          <w:sz w:val="20"/>
          <w:szCs w:val="20"/>
          <w:lang w:bidi="ar-EG"/>
        </w:rPr>
        <w:t>antiestrogenic</w:t>
      </w:r>
      <w:proofErr w:type="spellEnd"/>
      <w:r w:rsidRPr="00450C00">
        <w:rPr>
          <w:sz w:val="20"/>
          <w:szCs w:val="20"/>
          <w:lang w:bidi="ar-EG"/>
        </w:rPr>
        <w:t xml:space="preserve"> effect, reducing endometrial thickness and impairing endometrial pattern and </w:t>
      </w:r>
      <w:proofErr w:type="spellStart"/>
      <w:r w:rsidRPr="00450C00">
        <w:rPr>
          <w:sz w:val="20"/>
          <w:szCs w:val="20"/>
          <w:lang w:bidi="ar-EG"/>
        </w:rPr>
        <w:t>vascularization</w:t>
      </w:r>
      <w:proofErr w:type="spellEnd"/>
      <w:r w:rsidRPr="00450C00">
        <w:rPr>
          <w:sz w:val="20"/>
          <w:szCs w:val="20"/>
          <w:lang w:bidi="ar-EG"/>
        </w:rPr>
        <w:t>.</w:t>
      </w:r>
    </w:p>
    <w:p w:rsidR="00EF5C89" w:rsidRPr="00450C00" w:rsidRDefault="00EF5C89" w:rsidP="000162D9">
      <w:pPr>
        <w:widowControl w:val="0"/>
        <w:autoSpaceDE w:val="0"/>
        <w:autoSpaceDN w:val="0"/>
        <w:bidi w:val="0"/>
        <w:snapToGrid w:val="0"/>
        <w:ind w:firstLine="425"/>
        <w:jc w:val="both"/>
        <w:rPr>
          <w:sz w:val="20"/>
          <w:szCs w:val="20"/>
          <w:lang w:bidi="ar-EG"/>
        </w:rPr>
      </w:pPr>
      <w:r w:rsidRPr="00450C00">
        <w:rPr>
          <w:sz w:val="20"/>
          <w:szCs w:val="20"/>
          <w:lang w:bidi="ar-EG"/>
        </w:rPr>
        <w:t xml:space="preserve">On contrast our results </w:t>
      </w:r>
      <w:proofErr w:type="spellStart"/>
      <w:r w:rsidR="003D336E" w:rsidRPr="00450C00">
        <w:rPr>
          <w:b/>
          <w:bCs/>
          <w:sz w:val="20"/>
          <w:szCs w:val="20"/>
          <w:lang w:bidi="ar-EG"/>
        </w:rPr>
        <w:t>Algezawy</w:t>
      </w:r>
      <w:proofErr w:type="spellEnd"/>
      <w:r w:rsidR="003D336E" w:rsidRPr="00450C00">
        <w:rPr>
          <w:b/>
          <w:bCs/>
          <w:sz w:val="20"/>
          <w:szCs w:val="20"/>
          <w:lang w:bidi="ar-EG"/>
        </w:rPr>
        <w:t xml:space="preserve"> (11</w:t>
      </w:r>
      <w:r w:rsidRPr="00450C00">
        <w:rPr>
          <w:b/>
          <w:bCs/>
          <w:sz w:val="20"/>
          <w:szCs w:val="20"/>
          <w:lang w:bidi="ar-EG"/>
        </w:rPr>
        <w:t xml:space="preserve">) </w:t>
      </w:r>
      <w:r w:rsidRPr="00450C00">
        <w:rPr>
          <w:sz w:val="20"/>
          <w:szCs w:val="20"/>
          <w:lang w:bidi="ar-EG"/>
        </w:rPr>
        <w:t>who found that mean endometrial thickness in group I was 7.41 and 8.42 in group II, endometrial thickness was significant better in group II p-value 0.004. Mean RI was 0.71,0.61 in group I and II respectively RI was significant between two groups with p-value 0. 005. Regarding PI mean level was 1.27 in group I and 1.18 in group II, there was insignificant differences between two groups regarding PI p-value 0.163.</w:t>
      </w:r>
    </w:p>
    <w:p w:rsidR="001E0A08" w:rsidRPr="00450C00" w:rsidRDefault="001E0A08" w:rsidP="000162D9">
      <w:pPr>
        <w:widowControl w:val="0"/>
        <w:autoSpaceDE w:val="0"/>
        <w:autoSpaceDN w:val="0"/>
        <w:bidi w:val="0"/>
        <w:snapToGrid w:val="0"/>
        <w:ind w:firstLine="425"/>
        <w:jc w:val="both"/>
        <w:rPr>
          <w:sz w:val="20"/>
          <w:szCs w:val="20"/>
          <w:lang w:bidi="ar-EG"/>
        </w:rPr>
      </w:pPr>
    </w:p>
    <w:p w:rsidR="00EF5C89" w:rsidRPr="00450C00" w:rsidRDefault="00F03D7B" w:rsidP="000162D9">
      <w:pPr>
        <w:widowControl w:val="0"/>
        <w:autoSpaceDE w:val="0"/>
        <w:autoSpaceDN w:val="0"/>
        <w:bidi w:val="0"/>
        <w:snapToGrid w:val="0"/>
        <w:jc w:val="both"/>
        <w:rPr>
          <w:b/>
          <w:bCs/>
          <w:sz w:val="20"/>
          <w:szCs w:val="20"/>
          <w:lang w:bidi="ar-EG"/>
        </w:rPr>
      </w:pPr>
      <w:r w:rsidRPr="00450C00">
        <w:rPr>
          <w:b/>
          <w:bCs/>
          <w:sz w:val="20"/>
          <w:szCs w:val="20"/>
          <w:lang w:bidi="ar-EG"/>
        </w:rPr>
        <w:t>Conclusion</w:t>
      </w:r>
    </w:p>
    <w:p w:rsidR="00284357" w:rsidRPr="00450C00" w:rsidRDefault="00494934" w:rsidP="000162D9">
      <w:pPr>
        <w:widowControl w:val="0"/>
        <w:autoSpaceDE w:val="0"/>
        <w:autoSpaceDN w:val="0"/>
        <w:bidi w:val="0"/>
        <w:snapToGrid w:val="0"/>
        <w:ind w:firstLine="425"/>
        <w:jc w:val="both"/>
        <w:rPr>
          <w:sz w:val="20"/>
          <w:szCs w:val="20"/>
          <w:lang w:bidi="ar-EG"/>
        </w:rPr>
      </w:pPr>
      <w:r w:rsidRPr="00450C00">
        <w:rPr>
          <w:sz w:val="20"/>
          <w:szCs w:val="20"/>
          <w:lang w:bidi="ar-EG"/>
        </w:rPr>
        <w:t>U</w:t>
      </w:r>
      <w:r w:rsidR="00284357" w:rsidRPr="00450C00">
        <w:rPr>
          <w:sz w:val="20"/>
          <w:szCs w:val="20"/>
          <w:lang w:bidi="ar-EG"/>
        </w:rPr>
        <w:t>nder the conditions of the present study, CC in the stair step protocol is safe and more effective than the traditional protocol in terms of ovulation and pregnancy rates. Lager studies are warranted to confirm or refute our findings.</w:t>
      </w:r>
    </w:p>
    <w:p w:rsidR="001E0A08" w:rsidRPr="00450C00" w:rsidRDefault="001E0A08" w:rsidP="000162D9">
      <w:pPr>
        <w:widowControl w:val="0"/>
        <w:autoSpaceDE w:val="0"/>
        <w:autoSpaceDN w:val="0"/>
        <w:bidi w:val="0"/>
        <w:snapToGrid w:val="0"/>
        <w:ind w:firstLine="425"/>
        <w:jc w:val="both"/>
        <w:rPr>
          <w:sz w:val="20"/>
          <w:szCs w:val="20"/>
          <w:lang w:bidi="ar-EG"/>
        </w:rPr>
      </w:pPr>
    </w:p>
    <w:p w:rsidR="00EF5C89" w:rsidRPr="00450C00" w:rsidRDefault="00FF2B7F" w:rsidP="000162D9">
      <w:pPr>
        <w:widowControl w:val="0"/>
        <w:autoSpaceDE w:val="0"/>
        <w:autoSpaceDN w:val="0"/>
        <w:bidi w:val="0"/>
        <w:snapToGrid w:val="0"/>
        <w:jc w:val="both"/>
        <w:rPr>
          <w:bCs/>
          <w:sz w:val="20"/>
          <w:szCs w:val="20"/>
          <w:lang w:bidi="ar-EG"/>
        </w:rPr>
      </w:pPr>
      <w:r w:rsidRPr="00450C00">
        <w:rPr>
          <w:b/>
          <w:bCs/>
          <w:sz w:val="20"/>
          <w:szCs w:val="20"/>
          <w:lang w:bidi="ar-EG"/>
        </w:rPr>
        <w:t>References</w:t>
      </w:r>
    </w:p>
    <w:p w:rsidR="00AD2CD6" w:rsidRPr="00450C00" w:rsidRDefault="002135B0"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Kansra</w:t>
      </w:r>
      <w:proofErr w:type="spellEnd"/>
      <w:r w:rsidRPr="00450C00">
        <w:rPr>
          <w:bCs/>
          <w:sz w:val="20"/>
          <w:szCs w:val="20"/>
          <w:lang w:bidi="ar-EG"/>
        </w:rPr>
        <w:t xml:space="preserve"> AR and </w:t>
      </w:r>
      <w:proofErr w:type="spellStart"/>
      <w:r w:rsidRPr="00450C00">
        <w:rPr>
          <w:bCs/>
          <w:sz w:val="20"/>
          <w:szCs w:val="20"/>
          <w:lang w:bidi="ar-EG"/>
        </w:rPr>
        <w:t>Marquart</w:t>
      </w:r>
      <w:proofErr w:type="spellEnd"/>
      <w:r w:rsidRPr="00450C00">
        <w:rPr>
          <w:bCs/>
          <w:sz w:val="20"/>
          <w:szCs w:val="20"/>
          <w:lang w:bidi="ar-EG"/>
        </w:rPr>
        <w:t xml:space="preserve"> K</w:t>
      </w:r>
      <w:r w:rsidR="00AD2CD6" w:rsidRPr="00450C00">
        <w:rPr>
          <w:bCs/>
          <w:sz w:val="20"/>
          <w:szCs w:val="20"/>
          <w:lang w:bidi="ar-EG"/>
        </w:rPr>
        <w:t xml:space="preserve">. </w:t>
      </w:r>
      <w:r w:rsidR="00AD2CD6" w:rsidRPr="00450C00">
        <w:rPr>
          <w:sz w:val="20"/>
          <w:szCs w:val="20"/>
          <w:lang w:bidi="ar-EG"/>
        </w:rPr>
        <w:t>Comparison of Clinical and Biochemical Parameters in Adolescent Girls with Polycystic Ovary Syndrome in Different Clinical Settings</w:t>
      </w:r>
      <w:r w:rsidRPr="00450C00">
        <w:rPr>
          <w:sz w:val="20"/>
          <w:szCs w:val="20"/>
          <w:lang w:bidi="ar-EG"/>
        </w:rPr>
        <w:t>. J Women’s Health Care. 2016, 5:133-139.</w:t>
      </w:r>
    </w:p>
    <w:p w:rsidR="00AD2CD6" w:rsidRPr="00450C00" w:rsidRDefault="002135B0"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Unfer</w:t>
      </w:r>
      <w:proofErr w:type="spellEnd"/>
      <w:r w:rsidRPr="00450C00">
        <w:rPr>
          <w:bCs/>
          <w:sz w:val="20"/>
          <w:szCs w:val="20"/>
          <w:lang w:bidi="ar-EG"/>
        </w:rPr>
        <w:t xml:space="preserve"> V</w:t>
      </w:r>
      <w:r w:rsidR="00AD2CD6" w:rsidRPr="00450C00">
        <w:rPr>
          <w:bCs/>
          <w:sz w:val="20"/>
          <w:szCs w:val="20"/>
          <w:lang w:bidi="ar-EG"/>
        </w:rPr>
        <w:t>.</w:t>
      </w:r>
      <w:r w:rsidR="00AD2CD6" w:rsidRPr="00450C00">
        <w:rPr>
          <w:sz w:val="20"/>
          <w:szCs w:val="20"/>
          <w:lang w:bidi="ar-EG"/>
        </w:rPr>
        <w:t xml:space="preserve"> Polycystic Ovary Syndrome: Features, Diagnostic Criteria and Treatments. </w:t>
      </w:r>
      <w:proofErr w:type="spellStart"/>
      <w:r w:rsidR="00AD2CD6" w:rsidRPr="00450C00">
        <w:rPr>
          <w:sz w:val="20"/>
          <w:szCs w:val="20"/>
          <w:lang w:bidi="ar-EG"/>
        </w:rPr>
        <w:t>Endocrinol</w:t>
      </w:r>
      <w:proofErr w:type="spellEnd"/>
      <w:r w:rsidR="00AD2CD6" w:rsidRPr="00450C00">
        <w:rPr>
          <w:sz w:val="20"/>
          <w:szCs w:val="20"/>
          <w:lang w:bidi="ar-EG"/>
        </w:rPr>
        <w:t xml:space="preserve"> </w:t>
      </w:r>
      <w:proofErr w:type="spellStart"/>
      <w:r w:rsidR="00AD2CD6" w:rsidRPr="00450C00">
        <w:rPr>
          <w:sz w:val="20"/>
          <w:szCs w:val="20"/>
          <w:lang w:bidi="ar-EG"/>
        </w:rPr>
        <w:t>Metab</w:t>
      </w:r>
      <w:proofErr w:type="spellEnd"/>
      <w:r w:rsidR="00AD2CD6" w:rsidRPr="00450C00">
        <w:rPr>
          <w:sz w:val="20"/>
          <w:szCs w:val="20"/>
          <w:lang w:bidi="ar-EG"/>
        </w:rPr>
        <w:t xml:space="preserve"> </w:t>
      </w:r>
      <w:proofErr w:type="spellStart"/>
      <w:r w:rsidR="00AD2CD6" w:rsidRPr="00450C00">
        <w:rPr>
          <w:sz w:val="20"/>
          <w:szCs w:val="20"/>
          <w:lang w:bidi="ar-EG"/>
        </w:rPr>
        <w:t>Syndr</w:t>
      </w:r>
      <w:proofErr w:type="spellEnd"/>
      <w:r w:rsidR="00AD2CD6" w:rsidRPr="00450C00">
        <w:rPr>
          <w:sz w:val="20"/>
          <w:szCs w:val="20"/>
          <w:lang w:bidi="ar-EG"/>
        </w:rPr>
        <w:t>. 2014; 3:136</w:t>
      </w:r>
      <w:r w:rsidRPr="00450C00">
        <w:rPr>
          <w:sz w:val="20"/>
          <w:szCs w:val="20"/>
          <w:lang w:bidi="ar-EG"/>
        </w:rPr>
        <w:t>-141</w:t>
      </w:r>
      <w:r w:rsidR="00AD2CD6" w:rsidRPr="00450C00">
        <w:rPr>
          <w:sz w:val="20"/>
          <w:szCs w:val="20"/>
          <w:lang w:bidi="ar-EG"/>
        </w:rPr>
        <w:t>.</w:t>
      </w:r>
    </w:p>
    <w:p w:rsidR="00AD2CD6" w:rsidRPr="00450C00" w:rsidRDefault="00AD2CD6"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Teede</w:t>
      </w:r>
      <w:proofErr w:type="spellEnd"/>
      <w:r w:rsidRPr="00450C00">
        <w:rPr>
          <w:bCs/>
          <w:sz w:val="20"/>
          <w:szCs w:val="20"/>
          <w:lang w:bidi="ar-EG"/>
        </w:rPr>
        <w:t xml:space="preserve"> H, </w:t>
      </w:r>
      <w:proofErr w:type="spellStart"/>
      <w:r w:rsidRPr="00450C00">
        <w:rPr>
          <w:bCs/>
          <w:sz w:val="20"/>
          <w:szCs w:val="20"/>
          <w:lang w:bidi="ar-EG"/>
        </w:rPr>
        <w:t>Deeks</w:t>
      </w:r>
      <w:proofErr w:type="spellEnd"/>
      <w:r w:rsidRPr="00450C00">
        <w:rPr>
          <w:bCs/>
          <w:sz w:val="20"/>
          <w:szCs w:val="20"/>
          <w:lang w:bidi="ar-EG"/>
        </w:rPr>
        <w:t xml:space="preserve"> A, Moran L</w:t>
      </w:r>
      <w:r w:rsidRPr="00450C00">
        <w:rPr>
          <w:sz w:val="20"/>
          <w:szCs w:val="20"/>
          <w:lang w:bidi="ar-EG"/>
        </w:rPr>
        <w:t>. Polycystic ovary syndrome: a complex condition with psychological, reproductive and metabolic manifestations that impacts on health across the lifespan. BMC Med</w:t>
      </w:r>
      <w:r w:rsidR="002135B0" w:rsidRPr="00450C00">
        <w:rPr>
          <w:sz w:val="20"/>
          <w:szCs w:val="20"/>
          <w:lang w:bidi="ar-EG"/>
        </w:rPr>
        <w:t>, 2010,</w:t>
      </w:r>
      <w:r w:rsidRPr="00450C00">
        <w:rPr>
          <w:sz w:val="20"/>
          <w:szCs w:val="20"/>
          <w:lang w:bidi="ar-EG"/>
        </w:rPr>
        <w:t xml:space="preserve"> 8: 41</w:t>
      </w:r>
      <w:r w:rsidR="002135B0" w:rsidRPr="00450C00">
        <w:rPr>
          <w:sz w:val="20"/>
          <w:szCs w:val="20"/>
          <w:lang w:bidi="ar-EG"/>
        </w:rPr>
        <w:t>-50</w:t>
      </w:r>
      <w:r w:rsidRPr="00450C00">
        <w:rPr>
          <w:sz w:val="20"/>
          <w:szCs w:val="20"/>
          <w:lang w:bidi="ar-EG"/>
        </w:rPr>
        <w:t>.</w:t>
      </w:r>
    </w:p>
    <w:p w:rsidR="00AD2CD6" w:rsidRPr="00450C00" w:rsidRDefault="002135B0"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Junfen</w:t>
      </w:r>
      <w:proofErr w:type="spellEnd"/>
      <w:r w:rsidRPr="00450C00">
        <w:rPr>
          <w:bCs/>
          <w:sz w:val="20"/>
          <w:szCs w:val="20"/>
          <w:lang w:bidi="ar-EG"/>
        </w:rPr>
        <w:t xml:space="preserve"> L</w:t>
      </w:r>
      <w:r w:rsidR="00AD2CD6" w:rsidRPr="00450C00">
        <w:rPr>
          <w:bCs/>
          <w:sz w:val="20"/>
          <w:szCs w:val="20"/>
          <w:lang w:bidi="ar-EG"/>
        </w:rPr>
        <w:t>.</w:t>
      </w:r>
      <w:r w:rsidR="00AD2CD6" w:rsidRPr="00450C00">
        <w:rPr>
          <w:sz w:val="20"/>
          <w:szCs w:val="20"/>
          <w:lang w:bidi="ar-EG"/>
        </w:rPr>
        <w:t xml:space="preserve"> Bone Morphogenetic Proteins are Significantly Reduced in the Follicular Fluid of </w:t>
      </w:r>
      <w:r w:rsidR="00AD2CD6" w:rsidRPr="00450C00">
        <w:rPr>
          <w:sz w:val="20"/>
          <w:szCs w:val="20"/>
          <w:lang w:bidi="ar-EG"/>
        </w:rPr>
        <w:lastRenderedPageBreak/>
        <w:t>Han Chinese Polycystic Ovary Syndrome Patients</w:t>
      </w:r>
      <w:r w:rsidRPr="00450C00">
        <w:rPr>
          <w:sz w:val="20"/>
          <w:szCs w:val="20"/>
          <w:lang w:bidi="ar-EG"/>
        </w:rPr>
        <w:t xml:space="preserve">. </w:t>
      </w:r>
      <w:proofErr w:type="spellStart"/>
      <w:r w:rsidRPr="00450C00">
        <w:rPr>
          <w:sz w:val="20"/>
          <w:szCs w:val="20"/>
          <w:lang w:bidi="ar-EG"/>
        </w:rPr>
        <w:t>Reprod</w:t>
      </w:r>
      <w:proofErr w:type="spellEnd"/>
      <w:r w:rsidRPr="00450C00">
        <w:rPr>
          <w:sz w:val="20"/>
          <w:szCs w:val="20"/>
          <w:lang w:bidi="ar-EG"/>
        </w:rPr>
        <w:t xml:space="preserve"> </w:t>
      </w:r>
      <w:proofErr w:type="spellStart"/>
      <w:r w:rsidRPr="00450C00">
        <w:rPr>
          <w:sz w:val="20"/>
          <w:szCs w:val="20"/>
          <w:lang w:bidi="ar-EG"/>
        </w:rPr>
        <w:t>Syst</w:t>
      </w:r>
      <w:proofErr w:type="spellEnd"/>
      <w:r w:rsidRPr="00450C00">
        <w:rPr>
          <w:sz w:val="20"/>
          <w:szCs w:val="20"/>
          <w:lang w:bidi="ar-EG"/>
        </w:rPr>
        <w:t xml:space="preserve"> Sex </w:t>
      </w:r>
      <w:proofErr w:type="spellStart"/>
      <w:r w:rsidRPr="00450C00">
        <w:rPr>
          <w:sz w:val="20"/>
          <w:szCs w:val="20"/>
          <w:lang w:bidi="ar-EG"/>
        </w:rPr>
        <w:t>Disord</w:t>
      </w:r>
      <w:proofErr w:type="spellEnd"/>
      <w:r w:rsidRPr="00450C00">
        <w:rPr>
          <w:sz w:val="20"/>
          <w:szCs w:val="20"/>
          <w:lang w:bidi="ar-EG"/>
        </w:rPr>
        <w:t>. 2016, 5:150-157</w:t>
      </w:r>
      <w:r w:rsidR="00AD2CD6" w:rsidRPr="00450C00">
        <w:rPr>
          <w:sz w:val="20"/>
          <w:szCs w:val="20"/>
          <w:lang w:bidi="ar-EG"/>
        </w:rPr>
        <w:t>.</w:t>
      </w:r>
    </w:p>
    <w:p w:rsidR="00AD2CD6" w:rsidRPr="00450C00" w:rsidRDefault="00E05A48"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Mahdi</w:t>
      </w:r>
      <w:proofErr w:type="spellEnd"/>
      <w:r w:rsidRPr="00450C00">
        <w:rPr>
          <w:bCs/>
          <w:sz w:val="20"/>
          <w:szCs w:val="20"/>
          <w:lang w:bidi="ar-EG"/>
        </w:rPr>
        <w:t xml:space="preserve"> WKM</w:t>
      </w:r>
      <w:r w:rsidR="00AD2CD6" w:rsidRPr="00450C00">
        <w:rPr>
          <w:bCs/>
          <w:sz w:val="20"/>
          <w:szCs w:val="20"/>
          <w:lang w:bidi="ar-EG"/>
        </w:rPr>
        <w:t>.</w:t>
      </w:r>
      <w:r w:rsidR="00AD2CD6" w:rsidRPr="00450C00">
        <w:rPr>
          <w:sz w:val="20"/>
          <w:szCs w:val="20"/>
          <w:lang w:bidi="ar-EG"/>
        </w:rPr>
        <w:t xml:space="preserve"> Association of Polycystic Ovary Syndrome and </w:t>
      </w:r>
      <w:proofErr w:type="spellStart"/>
      <w:r w:rsidR="00AD2CD6" w:rsidRPr="00450C00">
        <w:rPr>
          <w:sz w:val="20"/>
          <w:szCs w:val="20"/>
          <w:lang w:bidi="ar-EG"/>
        </w:rPr>
        <w:t>Adiponectin</w:t>
      </w:r>
      <w:proofErr w:type="spellEnd"/>
      <w:r w:rsidR="00AD2CD6" w:rsidRPr="00450C00">
        <w:rPr>
          <w:sz w:val="20"/>
          <w:szCs w:val="20"/>
          <w:lang w:bidi="ar-EG"/>
        </w:rPr>
        <w:t xml:space="preserve"> Gene Pol</w:t>
      </w:r>
      <w:r w:rsidR="00D5584D" w:rsidRPr="00450C00">
        <w:rPr>
          <w:sz w:val="20"/>
          <w:szCs w:val="20"/>
          <w:lang w:bidi="ar-EG"/>
        </w:rPr>
        <w:t xml:space="preserve">ymorphisms. Arch </w:t>
      </w:r>
      <w:proofErr w:type="spellStart"/>
      <w:r w:rsidR="00D5584D" w:rsidRPr="00450C00">
        <w:rPr>
          <w:sz w:val="20"/>
          <w:szCs w:val="20"/>
          <w:lang w:bidi="ar-EG"/>
        </w:rPr>
        <w:t>Clin</w:t>
      </w:r>
      <w:proofErr w:type="spellEnd"/>
      <w:r w:rsidR="00D5584D" w:rsidRPr="00450C00">
        <w:rPr>
          <w:sz w:val="20"/>
          <w:szCs w:val="20"/>
          <w:lang w:bidi="ar-EG"/>
        </w:rPr>
        <w:t xml:space="preserve"> </w:t>
      </w:r>
      <w:proofErr w:type="spellStart"/>
      <w:r w:rsidR="00D5584D" w:rsidRPr="00450C00">
        <w:rPr>
          <w:sz w:val="20"/>
          <w:szCs w:val="20"/>
          <w:lang w:bidi="ar-EG"/>
        </w:rPr>
        <w:t>Microbiol</w:t>
      </w:r>
      <w:proofErr w:type="spellEnd"/>
      <w:r w:rsidR="00D5584D" w:rsidRPr="00450C00">
        <w:rPr>
          <w:sz w:val="20"/>
          <w:szCs w:val="20"/>
          <w:lang w:bidi="ar-EG"/>
        </w:rPr>
        <w:t>, 2016,</w:t>
      </w:r>
      <w:r w:rsidR="00AD2CD6" w:rsidRPr="00450C00">
        <w:rPr>
          <w:sz w:val="20"/>
          <w:szCs w:val="20"/>
          <w:lang w:bidi="ar-EG"/>
        </w:rPr>
        <w:t xml:space="preserve"> 7:3</w:t>
      </w:r>
      <w:r w:rsidR="00D5584D" w:rsidRPr="00450C00">
        <w:rPr>
          <w:sz w:val="20"/>
          <w:szCs w:val="20"/>
          <w:lang w:bidi="ar-EG"/>
        </w:rPr>
        <w:t>-12</w:t>
      </w:r>
      <w:r w:rsidR="00AD2CD6" w:rsidRPr="00450C00">
        <w:rPr>
          <w:sz w:val="20"/>
          <w:szCs w:val="20"/>
          <w:lang w:bidi="ar-EG"/>
        </w:rPr>
        <w:t>.</w:t>
      </w:r>
    </w:p>
    <w:p w:rsidR="00AD2CD6" w:rsidRPr="00450C00" w:rsidRDefault="00AD2CD6"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Palomba</w:t>
      </w:r>
      <w:proofErr w:type="spellEnd"/>
      <w:r w:rsidRPr="00450C00">
        <w:rPr>
          <w:bCs/>
          <w:sz w:val="20"/>
          <w:szCs w:val="20"/>
          <w:lang w:bidi="ar-EG"/>
        </w:rPr>
        <w:t xml:space="preserve"> S, </w:t>
      </w:r>
      <w:proofErr w:type="spellStart"/>
      <w:r w:rsidRPr="00450C00">
        <w:rPr>
          <w:bCs/>
          <w:sz w:val="20"/>
          <w:szCs w:val="20"/>
          <w:lang w:bidi="ar-EG"/>
        </w:rPr>
        <w:t>Santag</w:t>
      </w:r>
      <w:r w:rsidR="00D5584D" w:rsidRPr="00450C00">
        <w:rPr>
          <w:bCs/>
          <w:sz w:val="20"/>
          <w:szCs w:val="20"/>
          <w:lang w:bidi="ar-EG"/>
        </w:rPr>
        <w:t>ni</w:t>
      </w:r>
      <w:proofErr w:type="spellEnd"/>
      <w:r w:rsidR="00D5584D" w:rsidRPr="00450C00">
        <w:rPr>
          <w:bCs/>
          <w:sz w:val="20"/>
          <w:szCs w:val="20"/>
          <w:lang w:bidi="ar-EG"/>
        </w:rPr>
        <w:t xml:space="preserve"> S, </w:t>
      </w:r>
      <w:proofErr w:type="spellStart"/>
      <w:r w:rsidR="00D5584D" w:rsidRPr="00450C00">
        <w:rPr>
          <w:bCs/>
          <w:sz w:val="20"/>
          <w:szCs w:val="20"/>
          <w:lang w:bidi="ar-EG"/>
        </w:rPr>
        <w:t>Falbo</w:t>
      </w:r>
      <w:proofErr w:type="spellEnd"/>
      <w:r w:rsidR="00D5584D" w:rsidRPr="00450C00">
        <w:rPr>
          <w:bCs/>
          <w:sz w:val="20"/>
          <w:szCs w:val="20"/>
          <w:lang w:bidi="ar-EG"/>
        </w:rPr>
        <w:t xml:space="preserve"> A, La </w:t>
      </w:r>
      <w:proofErr w:type="spellStart"/>
      <w:r w:rsidR="00D5584D" w:rsidRPr="00450C00">
        <w:rPr>
          <w:bCs/>
          <w:sz w:val="20"/>
          <w:szCs w:val="20"/>
          <w:lang w:bidi="ar-EG"/>
        </w:rPr>
        <w:t>Sala</w:t>
      </w:r>
      <w:proofErr w:type="spellEnd"/>
      <w:r w:rsidR="00D5584D" w:rsidRPr="00450C00">
        <w:rPr>
          <w:bCs/>
          <w:sz w:val="20"/>
          <w:szCs w:val="20"/>
          <w:lang w:bidi="ar-EG"/>
        </w:rPr>
        <w:t xml:space="preserve"> GB</w:t>
      </w:r>
      <w:r w:rsidRPr="00450C00">
        <w:rPr>
          <w:bCs/>
          <w:sz w:val="20"/>
          <w:szCs w:val="20"/>
          <w:lang w:bidi="ar-EG"/>
        </w:rPr>
        <w:t>.</w:t>
      </w:r>
      <w:r w:rsidRPr="00450C00">
        <w:rPr>
          <w:sz w:val="20"/>
          <w:szCs w:val="20"/>
          <w:lang w:bidi="ar-EG"/>
        </w:rPr>
        <w:t xml:space="preserve"> Complications and challenges associated with polycystic ovary syndrome: current perspectives. </w:t>
      </w:r>
      <w:proofErr w:type="spellStart"/>
      <w:r w:rsidRPr="00450C00">
        <w:rPr>
          <w:sz w:val="20"/>
          <w:szCs w:val="20"/>
          <w:lang w:bidi="ar-EG"/>
        </w:rPr>
        <w:t>Int</w:t>
      </w:r>
      <w:proofErr w:type="spellEnd"/>
      <w:r w:rsidRPr="00450C00">
        <w:rPr>
          <w:sz w:val="20"/>
          <w:szCs w:val="20"/>
          <w:lang w:bidi="ar-EG"/>
        </w:rPr>
        <w:t xml:space="preserve"> J </w:t>
      </w:r>
      <w:proofErr w:type="spellStart"/>
      <w:r w:rsidRPr="00450C00">
        <w:rPr>
          <w:sz w:val="20"/>
          <w:szCs w:val="20"/>
          <w:lang w:bidi="ar-EG"/>
        </w:rPr>
        <w:t>Womens</w:t>
      </w:r>
      <w:proofErr w:type="spellEnd"/>
      <w:r w:rsidRPr="00450C00">
        <w:rPr>
          <w:sz w:val="20"/>
          <w:szCs w:val="20"/>
          <w:lang w:bidi="ar-EG"/>
        </w:rPr>
        <w:t xml:space="preserve"> Health; </w:t>
      </w:r>
      <w:r w:rsidR="00D5584D" w:rsidRPr="00450C00">
        <w:rPr>
          <w:sz w:val="20"/>
          <w:szCs w:val="20"/>
          <w:lang w:bidi="ar-EG"/>
        </w:rPr>
        <w:t xml:space="preserve">2015, </w:t>
      </w:r>
      <w:r w:rsidRPr="00450C00">
        <w:rPr>
          <w:sz w:val="20"/>
          <w:szCs w:val="20"/>
          <w:lang w:bidi="ar-EG"/>
        </w:rPr>
        <w:t>7:745-</w:t>
      </w:r>
      <w:r w:rsidR="00D5584D" w:rsidRPr="00450C00">
        <w:rPr>
          <w:sz w:val="20"/>
          <w:szCs w:val="20"/>
          <w:lang w:bidi="ar-EG"/>
        </w:rPr>
        <w:t>7</w:t>
      </w:r>
      <w:r w:rsidRPr="00450C00">
        <w:rPr>
          <w:sz w:val="20"/>
          <w:szCs w:val="20"/>
          <w:lang w:bidi="ar-EG"/>
        </w:rPr>
        <w:t>63.</w:t>
      </w:r>
    </w:p>
    <w:p w:rsidR="000162D9" w:rsidRPr="00450C00" w:rsidRDefault="00AD2CD6" w:rsidP="000162D9">
      <w:pPr>
        <w:pStyle w:val="ListParagraph"/>
        <w:numPr>
          <w:ilvl w:val="0"/>
          <w:numId w:val="1"/>
        </w:numPr>
        <w:bidi w:val="0"/>
        <w:snapToGrid w:val="0"/>
        <w:ind w:left="425" w:hanging="425"/>
        <w:jc w:val="both"/>
        <w:rPr>
          <w:sz w:val="20"/>
          <w:szCs w:val="20"/>
        </w:rPr>
      </w:pPr>
      <w:r w:rsidRPr="00450C00">
        <w:rPr>
          <w:bCs/>
          <w:sz w:val="20"/>
          <w:szCs w:val="20"/>
        </w:rPr>
        <w:t>Andra</w:t>
      </w:r>
      <w:r w:rsidR="00D5584D" w:rsidRPr="00450C00">
        <w:rPr>
          <w:bCs/>
          <w:sz w:val="20"/>
          <w:szCs w:val="20"/>
        </w:rPr>
        <w:t xml:space="preserve">de, JP, </w:t>
      </w:r>
      <w:proofErr w:type="spellStart"/>
      <w:r w:rsidR="00D5584D" w:rsidRPr="00450C00">
        <w:rPr>
          <w:bCs/>
          <w:sz w:val="20"/>
          <w:szCs w:val="20"/>
        </w:rPr>
        <w:t>Fausto</w:t>
      </w:r>
      <w:proofErr w:type="spellEnd"/>
      <w:r w:rsidR="00D5584D" w:rsidRPr="00450C00">
        <w:rPr>
          <w:bCs/>
          <w:sz w:val="20"/>
          <w:szCs w:val="20"/>
        </w:rPr>
        <w:t xml:space="preserve"> J, Donna K</w:t>
      </w:r>
      <w:r w:rsidRPr="00450C00">
        <w:rPr>
          <w:bCs/>
          <w:sz w:val="20"/>
          <w:szCs w:val="20"/>
        </w:rPr>
        <w:t>.</w:t>
      </w:r>
      <w:r w:rsidRPr="00450C00">
        <w:rPr>
          <w:sz w:val="20"/>
          <w:szCs w:val="20"/>
        </w:rPr>
        <w:t xml:space="preserve"> Prevention of Cardiovascular Diseases. Springer International Publishing Switzerland 2015 DOI 10.1007/978-3-319-22357-5_</w:t>
      </w:r>
      <w:r w:rsidR="000162D9" w:rsidRPr="00450C00">
        <w:rPr>
          <w:sz w:val="20"/>
          <w:szCs w:val="20"/>
        </w:rPr>
        <w:t>2.</w:t>
      </w:r>
    </w:p>
    <w:p w:rsidR="00AD2CD6" w:rsidRPr="00450C00" w:rsidRDefault="00AD2CD6" w:rsidP="000162D9">
      <w:pPr>
        <w:pStyle w:val="ListParagraph"/>
        <w:widowControl w:val="0"/>
        <w:numPr>
          <w:ilvl w:val="0"/>
          <w:numId w:val="1"/>
        </w:numPr>
        <w:autoSpaceDE w:val="0"/>
        <w:autoSpaceDN w:val="0"/>
        <w:bidi w:val="0"/>
        <w:snapToGrid w:val="0"/>
        <w:ind w:left="425" w:hanging="425"/>
        <w:jc w:val="both"/>
        <w:rPr>
          <w:sz w:val="20"/>
          <w:szCs w:val="20"/>
        </w:rPr>
      </w:pPr>
      <w:proofErr w:type="spellStart"/>
      <w:r w:rsidRPr="00450C00">
        <w:rPr>
          <w:bCs/>
          <w:sz w:val="20"/>
          <w:szCs w:val="20"/>
        </w:rPr>
        <w:t>Abd-Alla</w:t>
      </w:r>
      <w:proofErr w:type="spellEnd"/>
      <w:r w:rsidR="002478F8" w:rsidRPr="00450C00">
        <w:rPr>
          <w:bCs/>
          <w:sz w:val="20"/>
          <w:szCs w:val="20"/>
        </w:rPr>
        <w:t xml:space="preserve"> M, </w:t>
      </w:r>
      <w:proofErr w:type="spellStart"/>
      <w:r w:rsidRPr="00450C00">
        <w:rPr>
          <w:bCs/>
          <w:sz w:val="20"/>
          <w:szCs w:val="20"/>
        </w:rPr>
        <w:t>Ead</w:t>
      </w:r>
      <w:proofErr w:type="spellEnd"/>
      <w:r w:rsidR="002478F8" w:rsidRPr="00450C00">
        <w:rPr>
          <w:bCs/>
          <w:sz w:val="20"/>
          <w:szCs w:val="20"/>
        </w:rPr>
        <w:t xml:space="preserve"> M, </w:t>
      </w:r>
      <w:r w:rsidRPr="00450C00">
        <w:rPr>
          <w:bCs/>
          <w:sz w:val="20"/>
          <w:szCs w:val="20"/>
        </w:rPr>
        <w:t>El-</w:t>
      </w:r>
      <w:proofErr w:type="spellStart"/>
      <w:r w:rsidRPr="00450C00">
        <w:rPr>
          <w:bCs/>
          <w:sz w:val="20"/>
          <w:szCs w:val="20"/>
        </w:rPr>
        <w:t>Sorogy</w:t>
      </w:r>
      <w:proofErr w:type="spellEnd"/>
      <w:r w:rsidRPr="00450C00">
        <w:rPr>
          <w:bCs/>
          <w:sz w:val="20"/>
          <w:szCs w:val="20"/>
        </w:rPr>
        <w:t xml:space="preserve"> </w:t>
      </w:r>
      <w:r w:rsidR="002478F8" w:rsidRPr="00450C00">
        <w:rPr>
          <w:bCs/>
          <w:sz w:val="20"/>
          <w:szCs w:val="20"/>
        </w:rPr>
        <w:t xml:space="preserve">H, </w:t>
      </w:r>
      <w:r w:rsidRPr="00450C00">
        <w:rPr>
          <w:bCs/>
          <w:sz w:val="20"/>
          <w:szCs w:val="20"/>
        </w:rPr>
        <w:t>El-</w:t>
      </w:r>
      <w:proofErr w:type="spellStart"/>
      <w:r w:rsidRPr="00450C00">
        <w:rPr>
          <w:bCs/>
          <w:sz w:val="20"/>
          <w:szCs w:val="20"/>
        </w:rPr>
        <w:t>Bendary</w:t>
      </w:r>
      <w:proofErr w:type="spellEnd"/>
      <w:r w:rsidRPr="00450C00">
        <w:rPr>
          <w:bCs/>
          <w:sz w:val="20"/>
          <w:szCs w:val="20"/>
        </w:rPr>
        <w:t xml:space="preserve"> </w:t>
      </w:r>
      <w:r w:rsidR="002478F8" w:rsidRPr="00450C00">
        <w:rPr>
          <w:bCs/>
          <w:sz w:val="20"/>
          <w:szCs w:val="20"/>
        </w:rPr>
        <w:t>A.</w:t>
      </w:r>
      <w:r w:rsidRPr="00450C00">
        <w:rPr>
          <w:bCs/>
          <w:sz w:val="20"/>
          <w:szCs w:val="20"/>
        </w:rPr>
        <w:t xml:space="preserve"> </w:t>
      </w:r>
      <w:r w:rsidRPr="00450C00">
        <w:rPr>
          <w:sz w:val="20"/>
          <w:szCs w:val="20"/>
        </w:rPr>
        <w:t xml:space="preserve">Comparing two protocols of ovulation in </w:t>
      </w:r>
      <w:proofErr w:type="spellStart"/>
      <w:r w:rsidRPr="00450C00">
        <w:rPr>
          <w:sz w:val="20"/>
          <w:szCs w:val="20"/>
        </w:rPr>
        <w:t>clomiphene</w:t>
      </w:r>
      <w:proofErr w:type="spellEnd"/>
      <w:r w:rsidRPr="00450C00">
        <w:rPr>
          <w:sz w:val="20"/>
          <w:szCs w:val="20"/>
        </w:rPr>
        <w:t xml:space="preserve"> Citrate Resistant Patients. Tanta medical </w:t>
      </w:r>
      <w:r w:rsidR="002478F8" w:rsidRPr="00450C00">
        <w:rPr>
          <w:sz w:val="20"/>
          <w:szCs w:val="20"/>
        </w:rPr>
        <w:t>sciences j 2007,</w:t>
      </w:r>
      <w:r w:rsidRPr="00450C00">
        <w:rPr>
          <w:sz w:val="20"/>
          <w:szCs w:val="20"/>
        </w:rPr>
        <w:t xml:space="preserve"> </w:t>
      </w:r>
      <w:r w:rsidR="002478F8" w:rsidRPr="00450C00">
        <w:rPr>
          <w:sz w:val="20"/>
          <w:szCs w:val="20"/>
        </w:rPr>
        <w:t>2(1): 315-</w:t>
      </w:r>
      <w:r w:rsidRPr="00450C00">
        <w:rPr>
          <w:sz w:val="20"/>
          <w:szCs w:val="20"/>
        </w:rPr>
        <w:t>321.</w:t>
      </w:r>
    </w:p>
    <w:p w:rsidR="00AD2CD6" w:rsidRPr="00450C00" w:rsidRDefault="00AD2CD6" w:rsidP="000162D9">
      <w:pPr>
        <w:pStyle w:val="ListParagraph"/>
        <w:numPr>
          <w:ilvl w:val="0"/>
          <w:numId w:val="1"/>
        </w:numPr>
        <w:bidi w:val="0"/>
        <w:snapToGrid w:val="0"/>
        <w:ind w:left="425" w:hanging="425"/>
        <w:jc w:val="both"/>
        <w:rPr>
          <w:bCs/>
          <w:sz w:val="20"/>
          <w:szCs w:val="20"/>
        </w:rPr>
      </w:pPr>
      <w:proofErr w:type="spellStart"/>
      <w:r w:rsidRPr="00450C00">
        <w:rPr>
          <w:bCs/>
          <w:sz w:val="20"/>
          <w:szCs w:val="20"/>
        </w:rPr>
        <w:t>Deveci</w:t>
      </w:r>
      <w:proofErr w:type="spellEnd"/>
      <w:r w:rsidRPr="00450C00">
        <w:rPr>
          <w:bCs/>
          <w:sz w:val="20"/>
          <w:szCs w:val="20"/>
        </w:rPr>
        <w:t xml:space="preserve"> CD, </w:t>
      </w:r>
      <w:proofErr w:type="spellStart"/>
      <w:r w:rsidRPr="00450C00">
        <w:rPr>
          <w:bCs/>
          <w:sz w:val="20"/>
          <w:szCs w:val="20"/>
        </w:rPr>
        <w:t>Demir</w:t>
      </w:r>
      <w:proofErr w:type="spellEnd"/>
      <w:r w:rsidRPr="00450C00">
        <w:rPr>
          <w:bCs/>
          <w:sz w:val="20"/>
          <w:szCs w:val="20"/>
        </w:rPr>
        <w:t xml:space="preserve"> B, </w:t>
      </w:r>
      <w:proofErr w:type="spellStart"/>
      <w:r w:rsidRPr="00450C00">
        <w:rPr>
          <w:bCs/>
          <w:sz w:val="20"/>
          <w:szCs w:val="20"/>
        </w:rPr>
        <w:t>Sengu</w:t>
      </w:r>
      <w:r w:rsidR="002478F8" w:rsidRPr="00450C00">
        <w:rPr>
          <w:bCs/>
          <w:sz w:val="20"/>
          <w:szCs w:val="20"/>
        </w:rPr>
        <w:t>l</w:t>
      </w:r>
      <w:proofErr w:type="spellEnd"/>
      <w:r w:rsidR="002478F8" w:rsidRPr="00450C00">
        <w:rPr>
          <w:bCs/>
          <w:sz w:val="20"/>
          <w:szCs w:val="20"/>
        </w:rPr>
        <w:t xml:space="preserve"> O, </w:t>
      </w:r>
      <w:proofErr w:type="spellStart"/>
      <w:r w:rsidR="002478F8" w:rsidRPr="00450C00">
        <w:rPr>
          <w:bCs/>
          <w:sz w:val="20"/>
          <w:szCs w:val="20"/>
        </w:rPr>
        <w:t>Dilbaz</w:t>
      </w:r>
      <w:proofErr w:type="spellEnd"/>
      <w:r w:rsidR="002478F8" w:rsidRPr="00450C00">
        <w:rPr>
          <w:bCs/>
          <w:sz w:val="20"/>
          <w:szCs w:val="20"/>
        </w:rPr>
        <w:t xml:space="preserve"> B, </w:t>
      </w:r>
      <w:proofErr w:type="spellStart"/>
      <w:r w:rsidR="002478F8" w:rsidRPr="00450C00">
        <w:rPr>
          <w:bCs/>
          <w:sz w:val="20"/>
          <w:szCs w:val="20"/>
        </w:rPr>
        <w:t>Goktolga</w:t>
      </w:r>
      <w:proofErr w:type="spellEnd"/>
      <w:r w:rsidR="002478F8" w:rsidRPr="00450C00">
        <w:rPr>
          <w:bCs/>
          <w:sz w:val="20"/>
          <w:szCs w:val="20"/>
        </w:rPr>
        <w:t xml:space="preserve"> U</w:t>
      </w:r>
      <w:r w:rsidRPr="00450C00">
        <w:rPr>
          <w:bCs/>
          <w:sz w:val="20"/>
          <w:szCs w:val="20"/>
        </w:rPr>
        <w:t xml:space="preserve">. </w:t>
      </w:r>
      <w:proofErr w:type="spellStart"/>
      <w:r w:rsidRPr="00450C00">
        <w:rPr>
          <w:sz w:val="20"/>
          <w:szCs w:val="20"/>
        </w:rPr>
        <w:t>Clomiphene</w:t>
      </w:r>
      <w:proofErr w:type="spellEnd"/>
      <w:r w:rsidRPr="00450C00">
        <w:rPr>
          <w:sz w:val="20"/>
          <w:szCs w:val="20"/>
        </w:rPr>
        <w:t xml:space="preserve"> citrate 'stair-step' protocol vs. traditional protocol in patients with polycystic ovary syndrome: a randomized controlled trial. Arch </w:t>
      </w:r>
      <w:proofErr w:type="spellStart"/>
      <w:r w:rsidRPr="00450C00">
        <w:rPr>
          <w:sz w:val="20"/>
          <w:szCs w:val="20"/>
        </w:rPr>
        <w:t>Gynecol</w:t>
      </w:r>
      <w:proofErr w:type="spellEnd"/>
      <w:r w:rsidRPr="00450C00">
        <w:rPr>
          <w:sz w:val="20"/>
          <w:szCs w:val="20"/>
        </w:rPr>
        <w:t xml:space="preserve"> Obstet.</w:t>
      </w:r>
      <w:r w:rsidR="00930C24" w:rsidRPr="00450C00">
        <w:rPr>
          <w:sz w:val="20"/>
          <w:szCs w:val="20"/>
        </w:rPr>
        <w:t xml:space="preserve"> 2015,</w:t>
      </w:r>
      <w:r w:rsidRPr="00450C00">
        <w:rPr>
          <w:sz w:val="20"/>
          <w:szCs w:val="20"/>
        </w:rPr>
        <w:t xml:space="preserve"> 291(1):179-84.</w:t>
      </w:r>
    </w:p>
    <w:p w:rsidR="00AD2CD6" w:rsidRPr="00450C00" w:rsidRDefault="006319E2" w:rsidP="000162D9">
      <w:pPr>
        <w:pStyle w:val="ListParagraph"/>
        <w:numPr>
          <w:ilvl w:val="0"/>
          <w:numId w:val="1"/>
        </w:numPr>
        <w:bidi w:val="0"/>
        <w:snapToGrid w:val="0"/>
        <w:ind w:left="425" w:hanging="425"/>
        <w:jc w:val="both"/>
        <w:rPr>
          <w:sz w:val="20"/>
          <w:szCs w:val="20"/>
          <w:shd w:val="clear" w:color="auto" w:fill="FFFFFF"/>
        </w:rPr>
      </w:pPr>
      <w:proofErr w:type="spellStart"/>
      <w:r w:rsidRPr="00450C00">
        <w:rPr>
          <w:bCs/>
          <w:sz w:val="20"/>
          <w:szCs w:val="20"/>
        </w:rPr>
        <w:t>Moubarak</w:t>
      </w:r>
      <w:proofErr w:type="spellEnd"/>
      <w:r w:rsidRPr="00450C00">
        <w:rPr>
          <w:bCs/>
          <w:sz w:val="20"/>
          <w:szCs w:val="20"/>
        </w:rPr>
        <w:t xml:space="preserve"> OS</w:t>
      </w:r>
      <w:r w:rsidR="00AD2CD6" w:rsidRPr="00450C00">
        <w:rPr>
          <w:bCs/>
          <w:sz w:val="20"/>
          <w:szCs w:val="20"/>
        </w:rPr>
        <w:t>.</w:t>
      </w:r>
      <w:r w:rsidR="00AD2CD6" w:rsidRPr="00450C00">
        <w:rPr>
          <w:sz w:val="20"/>
          <w:szCs w:val="20"/>
          <w:shd w:val="clear" w:color="auto" w:fill="FFFFFF"/>
        </w:rPr>
        <w:t xml:space="preserve"> </w:t>
      </w:r>
      <w:proofErr w:type="spellStart"/>
      <w:r w:rsidR="00AD2CD6" w:rsidRPr="00450C00">
        <w:rPr>
          <w:sz w:val="20"/>
          <w:szCs w:val="20"/>
          <w:shd w:val="clear" w:color="auto" w:fill="FFFFFF"/>
        </w:rPr>
        <w:t>Clomiphene</w:t>
      </w:r>
      <w:proofErr w:type="spellEnd"/>
      <w:r w:rsidR="00AD2CD6" w:rsidRPr="00450C00">
        <w:rPr>
          <w:sz w:val="20"/>
          <w:szCs w:val="20"/>
          <w:shd w:val="clear" w:color="auto" w:fill="FFFFFF"/>
        </w:rPr>
        <w:t xml:space="preserve"> stair-step protocol for ovulation induction in women with polycystic ovarian syndrome. </w:t>
      </w:r>
      <w:proofErr w:type="spellStart"/>
      <w:r w:rsidR="00AD2CD6" w:rsidRPr="00450C00">
        <w:rPr>
          <w:sz w:val="20"/>
          <w:szCs w:val="20"/>
        </w:rPr>
        <w:t>MSc</w:t>
      </w:r>
      <w:proofErr w:type="spellEnd"/>
      <w:r w:rsidR="00AD2CD6" w:rsidRPr="00450C00">
        <w:rPr>
          <w:sz w:val="20"/>
          <w:szCs w:val="20"/>
        </w:rPr>
        <w:t>. Degree in Obstetrics and Gynecology</w:t>
      </w:r>
      <w:r w:rsidR="00AD2CD6" w:rsidRPr="00450C00">
        <w:rPr>
          <w:sz w:val="20"/>
          <w:szCs w:val="20"/>
          <w:shd w:val="clear" w:color="auto" w:fill="FFFFFF"/>
        </w:rPr>
        <w:t>,</w:t>
      </w:r>
      <w:r w:rsidR="00AD2CD6" w:rsidRPr="00450C00">
        <w:rPr>
          <w:sz w:val="20"/>
          <w:szCs w:val="20"/>
        </w:rPr>
        <w:t xml:space="preserve"> </w:t>
      </w:r>
      <w:r w:rsidR="00AD2CD6" w:rsidRPr="00450C00">
        <w:rPr>
          <w:sz w:val="20"/>
          <w:szCs w:val="20"/>
          <w:shd w:val="clear" w:color="auto" w:fill="FFFFFF"/>
        </w:rPr>
        <w:t xml:space="preserve">Faculty of Medicine, </w:t>
      </w:r>
      <w:proofErr w:type="spellStart"/>
      <w:r w:rsidR="00AD2CD6" w:rsidRPr="00450C00">
        <w:rPr>
          <w:sz w:val="20"/>
          <w:szCs w:val="20"/>
          <w:shd w:val="clear" w:color="auto" w:fill="FFFFFF"/>
        </w:rPr>
        <w:t>Ain</w:t>
      </w:r>
      <w:proofErr w:type="spellEnd"/>
      <w:r w:rsidR="00AD2CD6" w:rsidRPr="00450C00">
        <w:rPr>
          <w:sz w:val="20"/>
          <w:szCs w:val="20"/>
          <w:shd w:val="clear" w:color="auto" w:fill="FFFFFF"/>
        </w:rPr>
        <w:t xml:space="preserve"> Shams University, </w:t>
      </w:r>
      <w:r w:rsidRPr="00450C00">
        <w:rPr>
          <w:sz w:val="20"/>
          <w:szCs w:val="20"/>
          <w:shd w:val="clear" w:color="auto" w:fill="FFFFFF"/>
        </w:rPr>
        <w:t xml:space="preserve">2011, </w:t>
      </w:r>
      <w:r w:rsidR="00AD2CD6" w:rsidRPr="00450C00">
        <w:rPr>
          <w:sz w:val="20"/>
          <w:szCs w:val="20"/>
          <w:shd w:val="clear" w:color="auto" w:fill="FFFFFF"/>
        </w:rPr>
        <w:t>page, 107.</w:t>
      </w:r>
    </w:p>
    <w:p w:rsidR="00AD2CD6" w:rsidRPr="00450C00" w:rsidRDefault="0010047C" w:rsidP="000162D9">
      <w:pPr>
        <w:pStyle w:val="ListParagraph"/>
        <w:numPr>
          <w:ilvl w:val="0"/>
          <w:numId w:val="1"/>
        </w:numPr>
        <w:bidi w:val="0"/>
        <w:snapToGrid w:val="0"/>
        <w:ind w:left="425" w:hanging="425"/>
        <w:jc w:val="both"/>
        <w:rPr>
          <w:sz w:val="20"/>
          <w:szCs w:val="20"/>
          <w:shd w:val="clear" w:color="auto" w:fill="FFFFFF"/>
        </w:rPr>
      </w:pPr>
      <w:proofErr w:type="spellStart"/>
      <w:r w:rsidRPr="00450C00">
        <w:rPr>
          <w:bCs/>
          <w:sz w:val="20"/>
          <w:szCs w:val="20"/>
          <w:lang w:bidi="ar-EG"/>
        </w:rPr>
        <w:t>Algezawy</w:t>
      </w:r>
      <w:proofErr w:type="spellEnd"/>
      <w:r w:rsidRPr="00450C00">
        <w:rPr>
          <w:bCs/>
          <w:sz w:val="20"/>
          <w:szCs w:val="20"/>
          <w:lang w:bidi="ar-EG"/>
        </w:rPr>
        <w:t xml:space="preserve"> AEA</w:t>
      </w:r>
      <w:r w:rsidR="00AD2CD6" w:rsidRPr="00450C00">
        <w:rPr>
          <w:bCs/>
          <w:sz w:val="20"/>
          <w:szCs w:val="20"/>
          <w:lang w:bidi="ar-EG"/>
        </w:rPr>
        <w:t xml:space="preserve">. </w:t>
      </w:r>
      <w:proofErr w:type="spellStart"/>
      <w:r w:rsidR="00AD2CD6" w:rsidRPr="00450C00">
        <w:rPr>
          <w:sz w:val="20"/>
          <w:szCs w:val="20"/>
          <w:lang w:bidi="ar-EG"/>
        </w:rPr>
        <w:t>Clomiphene</w:t>
      </w:r>
      <w:proofErr w:type="spellEnd"/>
      <w:r w:rsidR="00AD2CD6" w:rsidRPr="00450C00">
        <w:rPr>
          <w:sz w:val="20"/>
          <w:szCs w:val="20"/>
          <w:lang w:bidi="ar-EG"/>
        </w:rPr>
        <w:t xml:space="preserve"> Citrate and </w:t>
      </w:r>
      <w:proofErr w:type="spellStart"/>
      <w:r w:rsidR="00AD2CD6" w:rsidRPr="00450C00">
        <w:rPr>
          <w:sz w:val="20"/>
          <w:szCs w:val="20"/>
          <w:lang w:bidi="ar-EG"/>
        </w:rPr>
        <w:t>Metformin</w:t>
      </w:r>
      <w:proofErr w:type="spellEnd"/>
      <w:r w:rsidR="00AD2CD6" w:rsidRPr="00450C00">
        <w:rPr>
          <w:sz w:val="20"/>
          <w:szCs w:val="20"/>
          <w:lang w:bidi="ar-EG"/>
        </w:rPr>
        <w:t xml:space="preserve"> Stair Step Protocol Vs. Traditional Protocol in Patients with Polycystic Ovary Syndrome</w:t>
      </w:r>
      <w:r w:rsidR="00AD2CD6" w:rsidRPr="00450C00">
        <w:rPr>
          <w:bCs/>
          <w:sz w:val="20"/>
          <w:szCs w:val="20"/>
          <w:lang w:bidi="ar-EG"/>
        </w:rPr>
        <w:t xml:space="preserve">. </w:t>
      </w:r>
      <w:proofErr w:type="spellStart"/>
      <w:r w:rsidR="00AD2CD6" w:rsidRPr="00450C00">
        <w:rPr>
          <w:sz w:val="20"/>
          <w:szCs w:val="20"/>
        </w:rPr>
        <w:t>MSc</w:t>
      </w:r>
      <w:proofErr w:type="spellEnd"/>
      <w:r w:rsidR="00AD2CD6" w:rsidRPr="00450C00">
        <w:rPr>
          <w:sz w:val="20"/>
          <w:szCs w:val="20"/>
        </w:rPr>
        <w:t>. Degree in Obstetrics and Gynecology</w:t>
      </w:r>
      <w:r w:rsidR="00AD2CD6" w:rsidRPr="00450C00">
        <w:rPr>
          <w:sz w:val="20"/>
          <w:szCs w:val="20"/>
          <w:shd w:val="clear" w:color="auto" w:fill="FFFFFF"/>
        </w:rPr>
        <w:t>,</w:t>
      </w:r>
      <w:r w:rsidR="00AD2CD6" w:rsidRPr="00450C00">
        <w:rPr>
          <w:sz w:val="20"/>
          <w:szCs w:val="20"/>
        </w:rPr>
        <w:t xml:space="preserve"> </w:t>
      </w:r>
      <w:r w:rsidR="00AD2CD6" w:rsidRPr="00450C00">
        <w:rPr>
          <w:sz w:val="20"/>
          <w:szCs w:val="20"/>
          <w:shd w:val="clear" w:color="auto" w:fill="FFFFFF"/>
        </w:rPr>
        <w:t xml:space="preserve">Faculty of Medicine, </w:t>
      </w:r>
      <w:proofErr w:type="spellStart"/>
      <w:r w:rsidR="00AD2CD6" w:rsidRPr="00450C00">
        <w:rPr>
          <w:sz w:val="20"/>
          <w:szCs w:val="20"/>
          <w:shd w:val="clear" w:color="auto" w:fill="FFFFFF"/>
        </w:rPr>
        <w:t>Menoufia</w:t>
      </w:r>
      <w:proofErr w:type="spellEnd"/>
      <w:r w:rsidR="00AD2CD6" w:rsidRPr="00450C00">
        <w:rPr>
          <w:sz w:val="20"/>
          <w:szCs w:val="20"/>
          <w:shd w:val="clear" w:color="auto" w:fill="FFFFFF"/>
        </w:rPr>
        <w:t xml:space="preserve"> University, </w:t>
      </w:r>
      <w:r w:rsidRPr="00450C00">
        <w:rPr>
          <w:sz w:val="20"/>
          <w:szCs w:val="20"/>
          <w:shd w:val="clear" w:color="auto" w:fill="FFFFFF"/>
        </w:rPr>
        <w:t xml:space="preserve">2016, </w:t>
      </w:r>
      <w:r w:rsidR="00AD2CD6" w:rsidRPr="00450C00">
        <w:rPr>
          <w:sz w:val="20"/>
          <w:szCs w:val="20"/>
          <w:shd w:val="clear" w:color="auto" w:fill="FFFFFF"/>
        </w:rPr>
        <w:t>page, 107.</w:t>
      </w:r>
    </w:p>
    <w:p w:rsidR="00AD2CD6" w:rsidRPr="00450C00" w:rsidRDefault="0010047C" w:rsidP="000162D9">
      <w:pPr>
        <w:pStyle w:val="ListParagraph"/>
        <w:numPr>
          <w:ilvl w:val="0"/>
          <w:numId w:val="1"/>
        </w:numPr>
        <w:bidi w:val="0"/>
        <w:snapToGrid w:val="0"/>
        <w:ind w:left="425" w:hanging="425"/>
        <w:jc w:val="both"/>
        <w:rPr>
          <w:sz w:val="20"/>
          <w:szCs w:val="20"/>
        </w:rPr>
      </w:pPr>
      <w:r w:rsidRPr="00450C00">
        <w:rPr>
          <w:bCs/>
          <w:sz w:val="20"/>
          <w:szCs w:val="20"/>
        </w:rPr>
        <w:t xml:space="preserve">Abdel </w:t>
      </w:r>
      <w:proofErr w:type="spellStart"/>
      <w:r w:rsidRPr="00450C00">
        <w:rPr>
          <w:bCs/>
          <w:sz w:val="20"/>
          <w:szCs w:val="20"/>
        </w:rPr>
        <w:t>Hamid</w:t>
      </w:r>
      <w:proofErr w:type="spellEnd"/>
      <w:r w:rsidRPr="00450C00">
        <w:rPr>
          <w:bCs/>
          <w:sz w:val="20"/>
          <w:szCs w:val="20"/>
        </w:rPr>
        <w:t xml:space="preserve"> SA, </w:t>
      </w:r>
      <w:proofErr w:type="spellStart"/>
      <w:r w:rsidRPr="00450C00">
        <w:rPr>
          <w:bCs/>
          <w:sz w:val="20"/>
          <w:szCs w:val="20"/>
        </w:rPr>
        <w:t>Rateb</w:t>
      </w:r>
      <w:proofErr w:type="spellEnd"/>
      <w:r w:rsidRPr="00450C00">
        <w:rPr>
          <w:bCs/>
          <w:sz w:val="20"/>
          <w:szCs w:val="20"/>
        </w:rPr>
        <w:t xml:space="preserve">, AM, Ismail </w:t>
      </w:r>
      <w:proofErr w:type="spellStart"/>
      <w:r w:rsidRPr="00450C00">
        <w:rPr>
          <w:bCs/>
          <w:sz w:val="20"/>
          <w:szCs w:val="20"/>
        </w:rPr>
        <w:t>Madkour</w:t>
      </w:r>
      <w:proofErr w:type="spellEnd"/>
      <w:r w:rsidRPr="00450C00">
        <w:rPr>
          <w:bCs/>
          <w:sz w:val="20"/>
          <w:szCs w:val="20"/>
        </w:rPr>
        <w:t xml:space="preserve"> WA</w:t>
      </w:r>
      <w:r w:rsidR="00AD2CD6" w:rsidRPr="00450C00">
        <w:rPr>
          <w:bCs/>
          <w:sz w:val="20"/>
          <w:szCs w:val="20"/>
        </w:rPr>
        <w:t>.</w:t>
      </w:r>
      <w:r w:rsidR="00AD2CD6" w:rsidRPr="00450C00">
        <w:rPr>
          <w:sz w:val="20"/>
          <w:szCs w:val="20"/>
        </w:rPr>
        <w:t xml:space="preserve"> Does </w:t>
      </w:r>
      <w:proofErr w:type="spellStart"/>
      <w:r w:rsidR="00AD2CD6" w:rsidRPr="00450C00">
        <w:rPr>
          <w:sz w:val="20"/>
          <w:szCs w:val="20"/>
        </w:rPr>
        <w:t>clomiphene</w:t>
      </w:r>
      <w:proofErr w:type="spellEnd"/>
      <w:r w:rsidR="00AD2CD6" w:rsidRPr="00450C00">
        <w:rPr>
          <w:sz w:val="20"/>
          <w:szCs w:val="20"/>
        </w:rPr>
        <w:t xml:space="preserve"> citrate stair-step protocol </w:t>
      </w:r>
      <w:r w:rsidR="00AD2CD6" w:rsidRPr="00450C00">
        <w:rPr>
          <w:sz w:val="20"/>
          <w:szCs w:val="20"/>
        </w:rPr>
        <w:lastRenderedPageBreak/>
        <w:t xml:space="preserve">a good alternative to </w:t>
      </w:r>
      <w:proofErr w:type="spellStart"/>
      <w:r w:rsidR="00AD2CD6" w:rsidRPr="00450C00">
        <w:rPr>
          <w:sz w:val="20"/>
          <w:szCs w:val="20"/>
        </w:rPr>
        <w:t>gonadotrophins</w:t>
      </w:r>
      <w:proofErr w:type="spellEnd"/>
      <w:r w:rsidR="00AD2CD6" w:rsidRPr="00450C00">
        <w:rPr>
          <w:sz w:val="20"/>
          <w:szCs w:val="20"/>
        </w:rPr>
        <w:t xml:space="preserve"> in </w:t>
      </w:r>
      <w:proofErr w:type="spellStart"/>
      <w:r w:rsidR="00AD2CD6" w:rsidRPr="00450C00">
        <w:rPr>
          <w:sz w:val="20"/>
          <w:szCs w:val="20"/>
        </w:rPr>
        <w:t>clomiphene</w:t>
      </w:r>
      <w:proofErr w:type="spellEnd"/>
      <w:r w:rsidR="00AD2CD6" w:rsidRPr="00450C00">
        <w:rPr>
          <w:sz w:val="20"/>
          <w:szCs w:val="20"/>
        </w:rPr>
        <w:t xml:space="preserve">-resistant PCO patients? Prospective study. J. Obstet. </w:t>
      </w:r>
      <w:proofErr w:type="spellStart"/>
      <w:r w:rsidR="00AD2CD6" w:rsidRPr="00450C00">
        <w:rPr>
          <w:sz w:val="20"/>
          <w:szCs w:val="20"/>
        </w:rPr>
        <w:t>Gynaecol</w:t>
      </w:r>
      <w:proofErr w:type="spellEnd"/>
      <w:r w:rsidR="00AD2CD6" w:rsidRPr="00450C00">
        <w:rPr>
          <w:sz w:val="20"/>
          <w:szCs w:val="20"/>
        </w:rPr>
        <w:t xml:space="preserve">. Res., </w:t>
      </w:r>
      <w:r w:rsidRPr="00450C00">
        <w:rPr>
          <w:sz w:val="20"/>
          <w:szCs w:val="20"/>
        </w:rPr>
        <w:t xml:space="preserve">2016, </w:t>
      </w:r>
      <w:r w:rsidR="00AD2CD6" w:rsidRPr="00450C00">
        <w:rPr>
          <w:sz w:val="20"/>
          <w:szCs w:val="20"/>
        </w:rPr>
        <w:t>42: 547–553.</w:t>
      </w:r>
    </w:p>
    <w:p w:rsidR="00AD2CD6" w:rsidRPr="00450C00" w:rsidRDefault="00AD2CD6" w:rsidP="000162D9">
      <w:pPr>
        <w:pStyle w:val="ListParagraph"/>
        <w:numPr>
          <w:ilvl w:val="0"/>
          <w:numId w:val="1"/>
        </w:numPr>
        <w:bidi w:val="0"/>
        <w:snapToGrid w:val="0"/>
        <w:ind w:left="425" w:hanging="425"/>
        <w:jc w:val="both"/>
        <w:rPr>
          <w:sz w:val="20"/>
          <w:szCs w:val="20"/>
        </w:rPr>
      </w:pPr>
      <w:r w:rsidRPr="00450C00">
        <w:rPr>
          <w:bCs/>
          <w:sz w:val="20"/>
          <w:szCs w:val="20"/>
        </w:rPr>
        <w:t>Dang ZC</w:t>
      </w:r>
      <w:r w:rsidR="0010047C" w:rsidRPr="00450C00">
        <w:rPr>
          <w:bCs/>
          <w:sz w:val="20"/>
          <w:szCs w:val="20"/>
        </w:rPr>
        <w:t xml:space="preserve">. </w:t>
      </w:r>
      <w:r w:rsidRPr="00450C00">
        <w:rPr>
          <w:sz w:val="20"/>
          <w:szCs w:val="20"/>
        </w:rPr>
        <w:t xml:space="preserve">Dose-dependent effects of soy </w:t>
      </w:r>
      <w:proofErr w:type="spellStart"/>
      <w:r w:rsidR="0010047C" w:rsidRPr="00450C00">
        <w:rPr>
          <w:sz w:val="20"/>
          <w:szCs w:val="20"/>
        </w:rPr>
        <w:t>phytoestrogen</w:t>
      </w:r>
      <w:proofErr w:type="spellEnd"/>
      <w:r w:rsidRPr="00450C00">
        <w:rPr>
          <w:sz w:val="20"/>
          <w:szCs w:val="20"/>
        </w:rPr>
        <w:t xml:space="preserve"> </w:t>
      </w:r>
      <w:proofErr w:type="spellStart"/>
      <w:r w:rsidRPr="00450C00">
        <w:rPr>
          <w:sz w:val="20"/>
          <w:szCs w:val="20"/>
        </w:rPr>
        <w:t>genistein</w:t>
      </w:r>
      <w:proofErr w:type="spellEnd"/>
      <w:r w:rsidRPr="00450C00">
        <w:rPr>
          <w:sz w:val="20"/>
          <w:szCs w:val="20"/>
        </w:rPr>
        <w:t xml:space="preserve"> on </w:t>
      </w:r>
      <w:proofErr w:type="spellStart"/>
      <w:r w:rsidRPr="00450C00">
        <w:rPr>
          <w:sz w:val="20"/>
          <w:szCs w:val="20"/>
        </w:rPr>
        <w:t>adipocytes</w:t>
      </w:r>
      <w:proofErr w:type="spellEnd"/>
      <w:r w:rsidRPr="00450C00">
        <w:rPr>
          <w:sz w:val="20"/>
          <w:szCs w:val="20"/>
        </w:rPr>
        <w:t>: mechanisms of action". Obesity Reviews.</w:t>
      </w:r>
      <w:r w:rsidR="0010047C" w:rsidRPr="00450C00">
        <w:rPr>
          <w:sz w:val="20"/>
          <w:szCs w:val="20"/>
        </w:rPr>
        <w:t xml:space="preserve"> 2009,</w:t>
      </w:r>
      <w:r w:rsidR="00450C00">
        <w:rPr>
          <w:rFonts w:hint="eastAsia"/>
          <w:sz w:val="20"/>
          <w:szCs w:val="20"/>
          <w:lang w:eastAsia="zh-CN"/>
        </w:rPr>
        <w:t xml:space="preserve"> </w:t>
      </w:r>
      <w:r w:rsidRPr="00450C00">
        <w:rPr>
          <w:sz w:val="20"/>
          <w:szCs w:val="20"/>
        </w:rPr>
        <w:t>10 (3): 342–9.</w:t>
      </w:r>
    </w:p>
    <w:p w:rsidR="00AD2CD6" w:rsidRPr="00450C00" w:rsidRDefault="00AD2CD6" w:rsidP="000162D9">
      <w:pPr>
        <w:pStyle w:val="ListParagraph"/>
        <w:numPr>
          <w:ilvl w:val="0"/>
          <w:numId w:val="1"/>
        </w:numPr>
        <w:bidi w:val="0"/>
        <w:snapToGrid w:val="0"/>
        <w:ind w:left="425" w:hanging="425"/>
        <w:jc w:val="both"/>
        <w:rPr>
          <w:sz w:val="20"/>
          <w:szCs w:val="20"/>
        </w:rPr>
      </w:pPr>
      <w:r w:rsidRPr="00450C00">
        <w:rPr>
          <w:bCs/>
          <w:sz w:val="20"/>
          <w:szCs w:val="20"/>
        </w:rPr>
        <w:t xml:space="preserve">Begum MR, </w:t>
      </w:r>
      <w:proofErr w:type="spellStart"/>
      <w:r w:rsidRPr="00450C00">
        <w:rPr>
          <w:bCs/>
          <w:sz w:val="20"/>
          <w:szCs w:val="20"/>
        </w:rPr>
        <w:t>Ferdous</w:t>
      </w:r>
      <w:proofErr w:type="spellEnd"/>
      <w:r w:rsidRPr="00450C00">
        <w:rPr>
          <w:bCs/>
          <w:sz w:val="20"/>
          <w:szCs w:val="20"/>
        </w:rPr>
        <w:t xml:space="preserve"> J, Begum A, </w:t>
      </w:r>
      <w:proofErr w:type="spellStart"/>
      <w:r w:rsidRPr="00450C00">
        <w:rPr>
          <w:bCs/>
          <w:sz w:val="20"/>
          <w:szCs w:val="20"/>
        </w:rPr>
        <w:t>Quadir</w:t>
      </w:r>
      <w:proofErr w:type="spellEnd"/>
      <w:r w:rsidRPr="00450C00">
        <w:rPr>
          <w:bCs/>
          <w:sz w:val="20"/>
          <w:szCs w:val="20"/>
        </w:rPr>
        <w:t xml:space="preserve"> E.</w:t>
      </w:r>
      <w:r w:rsidRPr="00450C00">
        <w:rPr>
          <w:sz w:val="20"/>
          <w:szCs w:val="20"/>
        </w:rPr>
        <w:t xml:space="preserve"> Comparison of efficacy of </w:t>
      </w:r>
      <w:proofErr w:type="spellStart"/>
      <w:r w:rsidRPr="00450C00">
        <w:rPr>
          <w:sz w:val="20"/>
          <w:szCs w:val="20"/>
        </w:rPr>
        <w:t>aromatase</w:t>
      </w:r>
      <w:proofErr w:type="spellEnd"/>
      <w:r w:rsidRPr="00450C00">
        <w:rPr>
          <w:sz w:val="20"/>
          <w:szCs w:val="20"/>
        </w:rPr>
        <w:t xml:space="preserve"> inhibitor and </w:t>
      </w:r>
      <w:proofErr w:type="spellStart"/>
      <w:r w:rsidRPr="00450C00">
        <w:rPr>
          <w:sz w:val="20"/>
          <w:szCs w:val="20"/>
        </w:rPr>
        <w:t>clomiphene</w:t>
      </w:r>
      <w:proofErr w:type="spellEnd"/>
      <w:r w:rsidRPr="00450C00">
        <w:rPr>
          <w:sz w:val="20"/>
          <w:szCs w:val="20"/>
        </w:rPr>
        <w:t xml:space="preserve"> citrate in induction of ovulation in polycysti</w:t>
      </w:r>
      <w:r w:rsidR="00090F78" w:rsidRPr="00450C00">
        <w:rPr>
          <w:sz w:val="20"/>
          <w:szCs w:val="20"/>
        </w:rPr>
        <w:t xml:space="preserve">c ovary syndrome. </w:t>
      </w:r>
      <w:proofErr w:type="spellStart"/>
      <w:r w:rsidR="00090F78" w:rsidRPr="00450C00">
        <w:rPr>
          <w:sz w:val="20"/>
          <w:szCs w:val="20"/>
        </w:rPr>
        <w:t>Fertil</w:t>
      </w:r>
      <w:proofErr w:type="spellEnd"/>
      <w:r w:rsidR="00090F78" w:rsidRPr="00450C00">
        <w:rPr>
          <w:sz w:val="20"/>
          <w:szCs w:val="20"/>
        </w:rPr>
        <w:t xml:space="preserve"> </w:t>
      </w:r>
      <w:proofErr w:type="spellStart"/>
      <w:r w:rsidR="00090F78" w:rsidRPr="00450C00">
        <w:rPr>
          <w:sz w:val="20"/>
          <w:szCs w:val="20"/>
        </w:rPr>
        <w:t>Steril</w:t>
      </w:r>
      <w:proofErr w:type="spellEnd"/>
      <w:r w:rsidR="00090F78" w:rsidRPr="00450C00">
        <w:rPr>
          <w:sz w:val="20"/>
          <w:szCs w:val="20"/>
        </w:rPr>
        <w:t>, 2013,</w:t>
      </w:r>
      <w:r w:rsidRPr="00450C00">
        <w:rPr>
          <w:sz w:val="20"/>
          <w:szCs w:val="20"/>
        </w:rPr>
        <w:t xml:space="preserve"> 92: 853–857.</w:t>
      </w:r>
    </w:p>
    <w:p w:rsidR="00AD2CD6" w:rsidRPr="00450C00" w:rsidRDefault="00AD2CD6" w:rsidP="000162D9">
      <w:pPr>
        <w:pStyle w:val="ListParagraph"/>
        <w:numPr>
          <w:ilvl w:val="0"/>
          <w:numId w:val="1"/>
        </w:numPr>
        <w:bidi w:val="0"/>
        <w:snapToGrid w:val="0"/>
        <w:ind w:left="425" w:hanging="425"/>
        <w:jc w:val="both"/>
        <w:rPr>
          <w:sz w:val="20"/>
          <w:szCs w:val="20"/>
        </w:rPr>
      </w:pPr>
      <w:r w:rsidRPr="00450C00">
        <w:rPr>
          <w:bCs/>
          <w:sz w:val="20"/>
          <w:szCs w:val="20"/>
        </w:rPr>
        <w:t xml:space="preserve">Al </w:t>
      </w:r>
      <w:proofErr w:type="spellStart"/>
      <w:r w:rsidRPr="00450C00">
        <w:rPr>
          <w:bCs/>
          <w:sz w:val="20"/>
          <w:szCs w:val="20"/>
        </w:rPr>
        <w:t>Gha</w:t>
      </w:r>
      <w:r w:rsidR="00A250AF" w:rsidRPr="00450C00">
        <w:rPr>
          <w:bCs/>
          <w:sz w:val="20"/>
          <w:szCs w:val="20"/>
        </w:rPr>
        <w:t>zali</w:t>
      </w:r>
      <w:proofErr w:type="spellEnd"/>
      <w:r w:rsidR="00A250AF" w:rsidRPr="00450C00">
        <w:rPr>
          <w:bCs/>
          <w:sz w:val="20"/>
          <w:szCs w:val="20"/>
        </w:rPr>
        <w:t xml:space="preserve"> B</w:t>
      </w:r>
      <w:r w:rsidRPr="00450C00">
        <w:rPr>
          <w:bCs/>
          <w:sz w:val="20"/>
          <w:szCs w:val="20"/>
        </w:rPr>
        <w:t>.</w:t>
      </w:r>
      <w:r w:rsidRPr="00450C00">
        <w:rPr>
          <w:sz w:val="20"/>
          <w:szCs w:val="20"/>
        </w:rPr>
        <w:t xml:space="preserve"> </w:t>
      </w:r>
      <w:proofErr w:type="spellStart"/>
      <w:r w:rsidRPr="00450C00">
        <w:rPr>
          <w:sz w:val="20"/>
          <w:szCs w:val="20"/>
        </w:rPr>
        <w:t>Clomiphene</w:t>
      </w:r>
      <w:proofErr w:type="spellEnd"/>
      <w:r w:rsidRPr="00450C00">
        <w:rPr>
          <w:sz w:val="20"/>
          <w:szCs w:val="20"/>
        </w:rPr>
        <w:t xml:space="preserve"> Stair-Step Protocol for Ovulation Induction in women with Polycystic Ovarian Syndrome. American Journal of Bio Medicine; </w:t>
      </w:r>
      <w:r w:rsidR="004F2066" w:rsidRPr="00450C00">
        <w:rPr>
          <w:sz w:val="20"/>
          <w:szCs w:val="20"/>
        </w:rPr>
        <w:t xml:space="preserve">2014, </w:t>
      </w:r>
      <w:r w:rsidRPr="00450C00">
        <w:rPr>
          <w:sz w:val="20"/>
          <w:szCs w:val="20"/>
        </w:rPr>
        <w:t>2(7): 840-854.</w:t>
      </w:r>
    </w:p>
    <w:p w:rsidR="00AD2CD6" w:rsidRPr="00450C00" w:rsidRDefault="00AD2CD6" w:rsidP="000162D9">
      <w:pPr>
        <w:pStyle w:val="ListParagraph"/>
        <w:numPr>
          <w:ilvl w:val="0"/>
          <w:numId w:val="1"/>
        </w:numPr>
        <w:bidi w:val="0"/>
        <w:snapToGrid w:val="0"/>
        <w:ind w:left="425" w:hanging="425"/>
        <w:jc w:val="both"/>
        <w:rPr>
          <w:sz w:val="20"/>
          <w:szCs w:val="20"/>
          <w:lang w:bidi="ar-EG"/>
        </w:rPr>
      </w:pPr>
      <w:proofErr w:type="spellStart"/>
      <w:r w:rsidRPr="00450C00">
        <w:rPr>
          <w:bCs/>
          <w:sz w:val="20"/>
          <w:szCs w:val="20"/>
          <w:lang w:bidi="ar-EG"/>
        </w:rPr>
        <w:t>Abd</w:t>
      </w:r>
      <w:proofErr w:type="spellEnd"/>
      <w:r w:rsidRPr="00450C00">
        <w:rPr>
          <w:bCs/>
          <w:sz w:val="20"/>
          <w:szCs w:val="20"/>
          <w:lang w:bidi="ar-EG"/>
        </w:rPr>
        <w:t xml:space="preserve"> </w:t>
      </w:r>
      <w:proofErr w:type="spellStart"/>
      <w:r w:rsidRPr="00450C00">
        <w:rPr>
          <w:bCs/>
          <w:sz w:val="20"/>
          <w:szCs w:val="20"/>
          <w:lang w:bidi="ar-EG"/>
        </w:rPr>
        <w:t>Elsal</w:t>
      </w:r>
      <w:r w:rsidR="004F2066" w:rsidRPr="00450C00">
        <w:rPr>
          <w:bCs/>
          <w:sz w:val="20"/>
          <w:szCs w:val="20"/>
          <w:lang w:bidi="ar-EG"/>
        </w:rPr>
        <w:t>am</w:t>
      </w:r>
      <w:proofErr w:type="spellEnd"/>
      <w:r w:rsidR="004F2066" w:rsidRPr="00450C00">
        <w:rPr>
          <w:bCs/>
          <w:sz w:val="20"/>
          <w:szCs w:val="20"/>
          <w:lang w:bidi="ar-EG"/>
        </w:rPr>
        <w:t xml:space="preserve"> W, </w:t>
      </w:r>
      <w:proofErr w:type="spellStart"/>
      <w:r w:rsidR="004F2066" w:rsidRPr="00450C00">
        <w:rPr>
          <w:bCs/>
          <w:sz w:val="20"/>
          <w:szCs w:val="20"/>
          <w:lang w:bidi="ar-EG"/>
        </w:rPr>
        <w:t>Eissa</w:t>
      </w:r>
      <w:proofErr w:type="spellEnd"/>
      <w:r w:rsidR="004F2066" w:rsidRPr="00450C00">
        <w:rPr>
          <w:bCs/>
          <w:sz w:val="20"/>
          <w:szCs w:val="20"/>
          <w:lang w:bidi="ar-EG"/>
        </w:rPr>
        <w:t xml:space="preserve"> MM, Hassan IS</w:t>
      </w:r>
      <w:r w:rsidRPr="00450C00">
        <w:rPr>
          <w:bCs/>
          <w:sz w:val="20"/>
          <w:szCs w:val="20"/>
          <w:lang w:bidi="ar-EG"/>
        </w:rPr>
        <w:t xml:space="preserve">. </w:t>
      </w:r>
      <w:proofErr w:type="spellStart"/>
      <w:r w:rsidRPr="00450C00">
        <w:rPr>
          <w:sz w:val="20"/>
          <w:szCs w:val="20"/>
          <w:lang w:bidi="ar-EG"/>
        </w:rPr>
        <w:t>Clomiphene</w:t>
      </w:r>
      <w:proofErr w:type="spellEnd"/>
      <w:r w:rsidRPr="00450C00">
        <w:rPr>
          <w:sz w:val="20"/>
          <w:szCs w:val="20"/>
          <w:lang w:bidi="ar-EG"/>
        </w:rPr>
        <w:t xml:space="preserve"> citrate stair-step protocol vs. traditional protocol in patients with polycystic ovary syndrome: a randomized controlled trial. N Y </w:t>
      </w:r>
      <w:proofErr w:type="spellStart"/>
      <w:r w:rsidRPr="00450C00">
        <w:rPr>
          <w:sz w:val="20"/>
          <w:szCs w:val="20"/>
          <w:lang w:bidi="ar-EG"/>
        </w:rPr>
        <w:t>Sci</w:t>
      </w:r>
      <w:proofErr w:type="spellEnd"/>
      <w:r w:rsidRPr="00450C00">
        <w:rPr>
          <w:sz w:val="20"/>
          <w:szCs w:val="20"/>
          <w:lang w:bidi="ar-EG"/>
        </w:rPr>
        <w:t xml:space="preserve"> J;</w:t>
      </w:r>
      <w:r w:rsidR="004F2066" w:rsidRPr="00450C00">
        <w:rPr>
          <w:sz w:val="20"/>
          <w:szCs w:val="20"/>
          <w:lang w:bidi="ar-EG"/>
        </w:rPr>
        <w:t xml:space="preserve"> 2017, </w:t>
      </w:r>
      <w:r w:rsidRPr="00450C00">
        <w:rPr>
          <w:sz w:val="20"/>
          <w:szCs w:val="20"/>
          <w:lang w:bidi="ar-EG"/>
        </w:rPr>
        <w:t>10(1):113-119.</w:t>
      </w:r>
    </w:p>
    <w:p w:rsidR="00AD2CD6" w:rsidRPr="00450C00" w:rsidRDefault="00AD2CD6" w:rsidP="000162D9">
      <w:pPr>
        <w:pStyle w:val="ListParagraph"/>
        <w:numPr>
          <w:ilvl w:val="0"/>
          <w:numId w:val="1"/>
        </w:numPr>
        <w:bidi w:val="0"/>
        <w:snapToGrid w:val="0"/>
        <w:ind w:left="425" w:hanging="425"/>
        <w:jc w:val="both"/>
        <w:rPr>
          <w:sz w:val="20"/>
          <w:szCs w:val="20"/>
        </w:rPr>
      </w:pPr>
      <w:r w:rsidRPr="00450C00">
        <w:rPr>
          <w:bCs/>
          <w:sz w:val="20"/>
          <w:szCs w:val="20"/>
        </w:rPr>
        <w:t>Hurst BS, Hickman JM, Matthews M</w:t>
      </w:r>
      <w:r w:rsidR="00FB5F98" w:rsidRPr="00450C00">
        <w:rPr>
          <w:bCs/>
          <w:sz w:val="20"/>
          <w:szCs w:val="20"/>
        </w:rPr>
        <w:t xml:space="preserve">L, </w:t>
      </w:r>
      <w:proofErr w:type="spellStart"/>
      <w:r w:rsidR="00FB5F98" w:rsidRPr="00450C00">
        <w:rPr>
          <w:bCs/>
          <w:sz w:val="20"/>
          <w:szCs w:val="20"/>
        </w:rPr>
        <w:t>Usadi</w:t>
      </w:r>
      <w:proofErr w:type="spellEnd"/>
      <w:r w:rsidR="00FB5F98" w:rsidRPr="00450C00">
        <w:rPr>
          <w:bCs/>
          <w:sz w:val="20"/>
          <w:szCs w:val="20"/>
        </w:rPr>
        <w:t xml:space="preserve"> RS, </w:t>
      </w:r>
      <w:proofErr w:type="spellStart"/>
      <w:r w:rsidR="00FB5F98" w:rsidRPr="00450C00">
        <w:rPr>
          <w:bCs/>
          <w:sz w:val="20"/>
          <w:szCs w:val="20"/>
        </w:rPr>
        <w:t>Marshburn</w:t>
      </w:r>
      <w:proofErr w:type="spellEnd"/>
      <w:r w:rsidR="00FB5F98" w:rsidRPr="00450C00">
        <w:rPr>
          <w:bCs/>
          <w:sz w:val="20"/>
          <w:szCs w:val="20"/>
        </w:rPr>
        <w:t xml:space="preserve"> PB</w:t>
      </w:r>
      <w:r w:rsidRPr="00450C00">
        <w:rPr>
          <w:bCs/>
          <w:sz w:val="20"/>
          <w:szCs w:val="20"/>
        </w:rPr>
        <w:t>.</w:t>
      </w:r>
      <w:r w:rsidRPr="00450C00">
        <w:rPr>
          <w:sz w:val="20"/>
          <w:szCs w:val="20"/>
        </w:rPr>
        <w:t xml:space="preserve"> Novel </w:t>
      </w:r>
      <w:proofErr w:type="spellStart"/>
      <w:r w:rsidRPr="00450C00">
        <w:rPr>
          <w:sz w:val="20"/>
          <w:szCs w:val="20"/>
        </w:rPr>
        <w:t>clomiphene</w:t>
      </w:r>
      <w:proofErr w:type="spellEnd"/>
      <w:r w:rsidRPr="00450C00">
        <w:rPr>
          <w:sz w:val="20"/>
          <w:szCs w:val="20"/>
        </w:rPr>
        <w:t xml:space="preserve"> stair-step protocol reduces time to ovulation citrate in women with polycystic ovarian syndrome. Am J </w:t>
      </w:r>
      <w:proofErr w:type="spellStart"/>
      <w:r w:rsidRPr="00450C00">
        <w:rPr>
          <w:sz w:val="20"/>
          <w:szCs w:val="20"/>
        </w:rPr>
        <w:t>Obstet</w:t>
      </w:r>
      <w:proofErr w:type="spellEnd"/>
      <w:r w:rsidRPr="00450C00">
        <w:rPr>
          <w:sz w:val="20"/>
          <w:szCs w:val="20"/>
        </w:rPr>
        <w:t xml:space="preserve"> </w:t>
      </w:r>
      <w:proofErr w:type="spellStart"/>
      <w:r w:rsidRPr="00450C00">
        <w:rPr>
          <w:sz w:val="20"/>
          <w:szCs w:val="20"/>
        </w:rPr>
        <w:t>Gynecol</w:t>
      </w:r>
      <w:proofErr w:type="spellEnd"/>
      <w:r w:rsidRPr="00450C00">
        <w:rPr>
          <w:sz w:val="20"/>
          <w:szCs w:val="20"/>
        </w:rPr>
        <w:t xml:space="preserve">, </w:t>
      </w:r>
      <w:r w:rsidR="00FB5F98" w:rsidRPr="00450C00">
        <w:rPr>
          <w:sz w:val="20"/>
          <w:szCs w:val="20"/>
        </w:rPr>
        <w:t xml:space="preserve">2009, </w:t>
      </w:r>
      <w:r w:rsidRPr="00450C00">
        <w:rPr>
          <w:sz w:val="20"/>
          <w:szCs w:val="20"/>
        </w:rPr>
        <w:t>2(5):510–510.</w:t>
      </w:r>
    </w:p>
    <w:p w:rsidR="00AD2CD6" w:rsidRPr="00450C00" w:rsidRDefault="00AD2CD6" w:rsidP="000162D9">
      <w:pPr>
        <w:pStyle w:val="ListParagraph"/>
        <w:numPr>
          <w:ilvl w:val="0"/>
          <w:numId w:val="1"/>
        </w:numPr>
        <w:bidi w:val="0"/>
        <w:snapToGrid w:val="0"/>
        <w:ind w:left="425" w:hanging="425"/>
        <w:jc w:val="both"/>
        <w:rPr>
          <w:sz w:val="20"/>
          <w:szCs w:val="20"/>
        </w:rPr>
      </w:pPr>
      <w:proofErr w:type="spellStart"/>
      <w:r w:rsidRPr="00450C00">
        <w:rPr>
          <w:bCs/>
          <w:sz w:val="20"/>
          <w:szCs w:val="20"/>
        </w:rPr>
        <w:t>Ghosh</w:t>
      </w:r>
      <w:proofErr w:type="spellEnd"/>
      <w:r w:rsidRPr="00450C00">
        <w:rPr>
          <w:bCs/>
          <w:sz w:val="20"/>
          <w:szCs w:val="20"/>
        </w:rPr>
        <w:t xml:space="preserve"> C, Buck G, </w:t>
      </w:r>
      <w:proofErr w:type="spellStart"/>
      <w:r w:rsidRPr="00450C00">
        <w:rPr>
          <w:bCs/>
          <w:sz w:val="20"/>
          <w:szCs w:val="20"/>
        </w:rPr>
        <w:t>Priore</w:t>
      </w:r>
      <w:proofErr w:type="spellEnd"/>
      <w:r w:rsidRPr="00450C00">
        <w:rPr>
          <w:bCs/>
          <w:sz w:val="20"/>
          <w:szCs w:val="20"/>
        </w:rPr>
        <w:t xml:space="preserve"> R, </w:t>
      </w:r>
      <w:proofErr w:type="spellStart"/>
      <w:r w:rsidRPr="00450C00">
        <w:rPr>
          <w:bCs/>
          <w:sz w:val="20"/>
          <w:szCs w:val="20"/>
        </w:rPr>
        <w:t>Wackt</w:t>
      </w:r>
      <w:r w:rsidR="000B133F" w:rsidRPr="00450C00">
        <w:rPr>
          <w:bCs/>
          <w:sz w:val="20"/>
          <w:szCs w:val="20"/>
        </w:rPr>
        <w:t>awski-Wende</w:t>
      </w:r>
      <w:proofErr w:type="spellEnd"/>
      <w:r w:rsidR="000B133F" w:rsidRPr="00450C00">
        <w:rPr>
          <w:bCs/>
          <w:sz w:val="20"/>
          <w:szCs w:val="20"/>
        </w:rPr>
        <w:t xml:space="preserve"> J, </w:t>
      </w:r>
      <w:proofErr w:type="spellStart"/>
      <w:r w:rsidR="000B133F" w:rsidRPr="00450C00">
        <w:rPr>
          <w:bCs/>
          <w:sz w:val="20"/>
          <w:szCs w:val="20"/>
        </w:rPr>
        <w:t>Severino</w:t>
      </w:r>
      <w:proofErr w:type="spellEnd"/>
      <w:r w:rsidR="000B133F" w:rsidRPr="00450C00">
        <w:rPr>
          <w:bCs/>
          <w:sz w:val="20"/>
          <w:szCs w:val="20"/>
        </w:rPr>
        <w:t xml:space="preserve"> M</w:t>
      </w:r>
      <w:r w:rsidRPr="00450C00">
        <w:rPr>
          <w:bCs/>
          <w:sz w:val="20"/>
          <w:szCs w:val="20"/>
        </w:rPr>
        <w:t>.</w:t>
      </w:r>
      <w:r w:rsidR="000162D9" w:rsidRPr="00450C00">
        <w:rPr>
          <w:bCs/>
          <w:sz w:val="20"/>
          <w:szCs w:val="20"/>
        </w:rPr>
        <w:t xml:space="preserve"> </w:t>
      </w:r>
      <w:r w:rsidRPr="00450C00">
        <w:rPr>
          <w:sz w:val="20"/>
          <w:szCs w:val="20"/>
        </w:rPr>
        <w:t xml:space="preserve">Follicular response and pregnancy among infertile women undergoing ovulation induction and intrauterine insemination. </w:t>
      </w:r>
      <w:proofErr w:type="spellStart"/>
      <w:r w:rsidRPr="00450C00">
        <w:rPr>
          <w:sz w:val="20"/>
          <w:szCs w:val="20"/>
        </w:rPr>
        <w:t>Fertil</w:t>
      </w:r>
      <w:proofErr w:type="spellEnd"/>
      <w:r w:rsidRPr="00450C00">
        <w:rPr>
          <w:sz w:val="20"/>
          <w:szCs w:val="20"/>
        </w:rPr>
        <w:t xml:space="preserve"> </w:t>
      </w:r>
      <w:proofErr w:type="spellStart"/>
      <w:r w:rsidRPr="00450C00">
        <w:rPr>
          <w:sz w:val="20"/>
          <w:szCs w:val="20"/>
        </w:rPr>
        <w:t>Steril</w:t>
      </w:r>
      <w:proofErr w:type="spellEnd"/>
      <w:r w:rsidRPr="00450C00">
        <w:rPr>
          <w:sz w:val="20"/>
          <w:szCs w:val="20"/>
        </w:rPr>
        <w:t xml:space="preserve">; </w:t>
      </w:r>
      <w:r w:rsidR="00916258" w:rsidRPr="00450C00">
        <w:rPr>
          <w:sz w:val="20"/>
          <w:szCs w:val="20"/>
        </w:rPr>
        <w:t xml:space="preserve">2003, </w:t>
      </w:r>
      <w:r w:rsidRPr="00450C00">
        <w:rPr>
          <w:sz w:val="20"/>
          <w:szCs w:val="20"/>
        </w:rPr>
        <w:t>80(2): 328-335.</w:t>
      </w:r>
    </w:p>
    <w:p w:rsidR="00AD2CD6" w:rsidRPr="00450C00" w:rsidRDefault="007E60A9" w:rsidP="000162D9">
      <w:pPr>
        <w:pStyle w:val="ListParagraph"/>
        <w:widowControl w:val="0"/>
        <w:numPr>
          <w:ilvl w:val="0"/>
          <w:numId w:val="1"/>
        </w:numPr>
        <w:autoSpaceDE w:val="0"/>
        <w:autoSpaceDN w:val="0"/>
        <w:bidi w:val="0"/>
        <w:snapToGrid w:val="0"/>
        <w:ind w:left="425" w:hanging="425"/>
        <w:jc w:val="both"/>
        <w:rPr>
          <w:sz w:val="20"/>
          <w:szCs w:val="20"/>
        </w:rPr>
      </w:pPr>
      <w:proofErr w:type="spellStart"/>
      <w:r w:rsidRPr="00450C00">
        <w:rPr>
          <w:bCs/>
          <w:sz w:val="20"/>
          <w:szCs w:val="20"/>
        </w:rPr>
        <w:t>Shahin</w:t>
      </w:r>
      <w:proofErr w:type="spellEnd"/>
      <w:r w:rsidRPr="00450C00">
        <w:rPr>
          <w:bCs/>
          <w:sz w:val="20"/>
          <w:szCs w:val="20"/>
        </w:rPr>
        <w:t xml:space="preserve"> AY</w:t>
      </w:r>
      <w:r w:rsidR="00AD2CD6" w:rsidRPr="00450C00">
        <w:rPr>
          <w:bCs/>
          <w:sz w:val="20"/>
          <w:szCs w:val="20"/>
        </w:rPr>
        <w:t>.</w:t>
      </w:r>
      <w:r w:rsidR="00AD2CD6" w:rsidRPr="00450C00">
        <w:rPr>
          <w:sz w:val="20"/>
          <w:szCs w:val="20"/>
        </w:rPr>
        <w:t xml:space="preserve"> Endometrial </w:t>
      </w:r>
      <w:proofErr w:type="spellStart"/>
      <w:r w:rsidR="00AD2CD6" w:rsidRPr="00450C00">
        <w:rPr>
          <w:sz w:val="20"/>
          <w:szCs w:val="20"/>
        </w:rPr>
        <w:t>sonographic</w:t>
      </w:r>
      <w:proofErr w:type="spellEnd"/>
      <w:r w:rsidR="00AD2CD6" w:rsidRPr="00450C00">
        <w:rPr>
          <w:sz w:val="20"/>
          <w:szCs w:val="20"/>
        </w:rPr>
        <w:t xml:space="preserve"> characters predicting pregnancy following recurrent </w:t>
      </w:r>
      <w:proofErr w:type="spellStart"/>
      <w:r w:rsidR="00AD2CD6" w:rsidRPr="00450C00">
        <w:rPr>
          <w:sz w:val="20"/>
          <w:szCs w:val="20"/>
        </w:rPr>
        <w:t>clomiphene</w:t>
      </w:r>
      <w:proofErr w:type="spellEnd"/>
      <w:r w:rsidR="00AD2CD6" w:rsidRPr="00450C00">
        <w:rPr>
          <w:sz w:val="20"/>
          <w:szCs w:val="20"/>
        </w:rPr>
        <w:t xml:space="preserve"> induction in unexplained infertility. </w:t>
      </w:r>
      <w:proofErr w:type="spellStart"/>
      <w:r w:rsidR="00AD2CD6" w:rsidRPr="00450C00">
        <w:rPr>
          <w:sz w:val="20"/>
          <w:szCs w:val="20"/>
        </w:rPr>
        <w:t>Reprod</w:t>
      </w:r>
      <w:proofErr w:type="spellEnd"/>
      <w:r w:rsidR="00AD2CD6" w:rsidRPr="00450C00">
        <w:rPr>
          <w:sz w:val="20"/>
          <w:szCs w:val="20"/>
        </w:rPr>
        <w:t xml:space="preserve"> Biomed Online. </w:t>
      </w:r>
      <w:r w:rsidRPr="00450C00">
        <w:rPr>
          <w:sz w:val="20"/>
          <w:szCs w:val="20"/>
        </w:rPr>
        <w:t xml:space="preserve">2008, </w:t>
      </w:r>
      <w:r w:rsidR="00AD2CD6" w:rsidRPr="00450C00">
        <w:rPr>
          <w:sz w:val="20"/>
          <w:szCs w:val="20"/>
        </w:rPr>
        <w:t>17(6):795– 802.</w:t>
      </w:r>
    </w:p>
    <w:bookmarkEnd w:id="1"/>
    <w:p w:rsidR="00036C1D" w:rsidRPr="00450C00" w:rsidRDefault="00036C1D" w:rsidP="000162D9">
      <w:pPr>
        <w:bidi w:val="0"/>
        <w:snapToGrid w:val="0"/>
        <w:ind w:left="425" w:hanging="425"/>
        <w:jc w:val="both"/>
        <w:rPr>
          <w:bCs/>
          <w:sz w:val="20"/>
          <w:szCs w:val="20"/>
          <w:lang w:bidi="ar-EG"/>
        </w:rPr>
        <w:sectPr w:rsidR="00036C1D" w:rsidRPr="00450C00" w:rsidSect="000162D9">
          <w:headerReference w:type="default" r:id="rId22"/>
          <w:footerReference w:type="default" r:id="rId23"/>
          <w:type w:val="continuous"/>
          <w:pgSz w:w="12242" w:h="15842" w:code="1"/>
          <w:pgMar w:top="1440" w:right="1440" w:bottom="1440" w:left="1440" w:header="720" w:footer="720" w:gutter="0"/>
          <w:cols w:num="2" w:space="600"/>
          <w:docGrid w:linePitch="360"/>
        </w:sectPr>
      </w:pPr>
    </w:p>
    <w:p w:rsidR="00036C1D" w:rsidRPr="00450C00" w:rsidRDefault="00036C1D" w:rsidP="000162D9">
      <w:pPr>
        <w:bidi w:val="0"/>
        <w:snapToGrid w:val="0"/>
        <w:ind w:left="425" w:hanging="425"/>
        <w:jc w:val="both"/>
        <w:rPr>
          <w:bCs/>
          <w:sz w:val="20"/>
          <w:szCs w:val="20"/>
          <w:lang w:eastAsia="zh-CN" w:bidi="ar-EG"/>
        </w:rPr>
      </w:pPr>
    </w:p>
    <w:p w:rsidR="000162D9" w:rsidRPr="00450C00" w:rsidRDefault="000162D9" w:rsidP="000162D9">
      <w:pPr>
        <w:bidi w:val="0"/>
        <w:snapToGrid w:val="0"/>
        <w:ind w:left="425" w:hanging="425"/>
        <w:jc w:val="both"/>
        <w:rPr>
          <w:bCs/>
          <w:sz w:val="20"/>
          <w:szCs w:val="20"/>
          <w:lang w:eastAsia="zh-CN" w:bidi="ar-EG"/>
        </w:rPr>
      </w:pPr>
    </w:p>
    <w:p w:rsidR="000162D9" w:rsidRPr="00450C00" w:rsidRDefault="000162D9" w:rsidP="000162D9">
      <w:pPr>
        <w:bidi w:val="0"/>
        <w:snapToGrid w:val="0"/>
        <w:ind w:left="425" w:hanging="425"/>
        <w:jc w:val="both"/>
        <w:rPr>
          <w:b/>
          <w:bCs/>
          <w:sz w:val="20"/>
          <w:szCs w:val="20"/>
          <w:lang w:eastAsia="zh-CN" w:bidi="ar-EG"/>
        </w:rPr>
      </w:pPr>
    </w:p>
    <w:p w:rsidR="005462B5" w:rsidRPr="00450C00" w:rsidRDefault="00036C1D" w:rsidP="000162D9">
      <w:pPr>
        <w:bidi w:val="0"/>
        <w:snapToGrid w:val="0"/>
        <w:ind w:left="425" w:hanging="425"/>
        <w:jc w:val="both"/>
        <w:rPr>
          <w:bCs/>
          <w:sz w:val="20"/>
          <w:szCs w:val="20"/>
          <w:lang w:bidi="ar-EG"/>
        </w:rPr>
      </w:pPr>
      <w:r w:rsidRPr="00450C00">
        <w:rPr>
          <w:bCs/>
          <w:sz w:val="20"/>
          <w:szCs w:val="20"/>
          <w:lang w:bidi="ar-EG"/>
        </w:rPr>
        <w:t>8/9/2017</w:t>
      </w:r>
    </w:p>
    <w:sectPr w:rsidR="005462B5" w:rsidRPr="00450C00" w:rsidSect="00036C1D">
      <w:headerReference w:type="default" r:id="rId24"/>
      <w:footerReference w:type="default" r:id="rId2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AF" w:rsidRDefault="005F26AF">
      <w:r>
        <w:separator/>
      </w:r>
    </w:p>
  </w:endnote>
  <w:endnote w:type="continuationSeparator" w:id="0">
    <w:p w:rsidR="005F26AF" w:rsidRDefault="005F2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1D" w:rsidRPr="00044EB2" w:rsidRDefault="00524728" w:rsidP="00044EB2">
    <w:pPr>
      <w:bidi w:val="0"/>
      <w:jc w:val="center"/>
      <w:rPr>
        <w:sz w:val="20"/>
      </w:rPr>
    </w:pPr>
    <w:r w:rsidRPr="00044EB2">
      <w:rPr>
        <w:sz w:val="20"/>
      </w:rPr>
      <w:fldChar w:fldCharType="begin"/>
    </w:r>
    <w:r w:rsidR="00044EB2" w:rsidRPr="00044EB2">
      <w:rPr>
        <w:sz w:val="20"/>
      </w:rPr>
      <w:instrText xml:space="preserve"> page </w:instrText>
    </w:r>
    <w:r w:rsidRPr="00044EB2">
      <w:rPr>
        <w:sz w:val="20"/>
      </w:rPr>
      <w:fldChar w:fldCharType="separate"/>
    </w:r>
    <w:r w:rsidR="00450C00">
      <w:rPr>
        <w:noProof/>
        <w:sz w:val="20"/>
      </w:rPr>
      <w:t>206</w:t>
    </w:r>
    <w:r w:rsidRPr="00044EB2">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1D" w:rsidRPr="00044EB2" w:rsidRDefault="00524728" w:rsidP="00044EB2">
    <w:pPr>
      <w:bidi w:val="0"/>
      <w:jc w:val="center"/>
      <w:rPr>
        <w:sz w:val="20"/>
      </w:rPr>
    </w:pPr>
    <w:r w:rsidRPr="00044EB2">
      <w:rPr>
        <w:sz w:val="20"/>
      </w:rPr>
      <w:fldChar w:fldCharType="begin"/>
    </w:r>
    <w:r w:rsidR="00044EB2" w:rsidRPr="00044EB2">
      <w:rPr>
        <w:sz w:val="20"/>
      </w:rPr>
      <w:instrText xml:space="preserve"> page </w:instrText>
    </w:r>
    <w:r w:rsidRPr="00044EB2">
      <w:rPr>
        <w:sz w:val="20"/>
      </w:rPr>
      <w:fldChar w:fldCharType="separate"/>
    </w:r>
    <w:r w:rsidR="00450C00">
      <w:rPr>
        <w:noProof/>
        <w:sz w:val="20"/>
      </w:rPr>
      <w:t>208</w:t>
    </w:r>
    <w:r w:rsidRPr="00044EB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1D" w:rsidRPr="00044EB2" w:rsidRDefault="00524728" w:rsidP="00044EB2">
    <w:pPr>
      <w:bidi w:val="0"/>
      <w:jc w:val="center"/>
      <w:rPr>
        <w:sz w:val="20"/>
      </w:rPr>
    </w:pPr>
    <w:r w:rsidRPr="00044EB2">
      <w:rPr>
        <w:sz w:val="20"/>
      </w:rPr>
      <w:fldChar w:fldCharType="begin"/>
    </w:r>
    <w:r w:rsidR="00044EB2" w:rsidRPr="00044EB2">
      <w:rPr>
        <w:sz w:val="20"/>
      </w:rPr>
      <w:instrText xml:space="preserve"> page </w:instrText>
    </w:r>
    <w:r w:rsidRPr="00044EB2">
      <w:rPr>
        <w:sz w:val="20"/>
      </w:rPr>
      <w:fldChar w:fldCharType="separate"/>
    </w:r>
    <w:r w:rsidR="00450C00">
      <w:rPr>
        <w:noProof/>
        <w:sz w:val="20"/>
      </w:rPr>
      <w:t>210</w:t>
    </w:r>
    <w:r w:rsidRPr="00044EB2">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1D" w:rsidRPr="00044EB2" w:rsidRDefault="00524728" w:rsidP="00044EB2">
    <w:pPr>
      <w:bidi w:val="0"/>
      <w:jc w:val="center"/>
      <w:rPr>
        <w:sz w:val="20"/>
      </w:rPr>
    </w:pPr>
    <w:r w:rsidRPr="00044EB2">
      <w:rPr>
        <w:sz w:val="20"/>
      </w:rPr>
      <w:fldChar w:fldCharType="begin"/>
    </w:r>
    <w:r w:rsidR="00044EB2" w:rsidRPr="00044EB2">
      <w:rPr>
        <w:sz w:val="20"/>
      </w:rPr>
      <w:instrText xml:space="preserve"> page </w:instrText>
    </w:r>
    <w:r w:rsidRPr="00044EB2">
      <w:rPr>
        <w:sz w:val="20"/>
      </w:rPr>
      <w:fldChar w:fldCharType="separate"/>
    </w:r>
    <w:r w:rsidR="00450C00">
      <w:rPr>
        <w:noProof/>
        <w:sz w:val="20"/>
      </w:rPr>
      <w:t>212</w:t>
    </w:r>
    <w:r w:rsidRPr="00044EB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C6" w:rsidRDefault="00524728" w:rsidP="00526FC6">
    <w:pPr>
      <w:pStyle w:val="Footer"/>
      <w:bidi w:val="0"/>
      <w:jc w:val="center"/>
    </w:pPr>
    <w:fldSimple w:instr=" PAGE   \* MERGEFORMAT ">
      <w:r w:rsidR="00036C1D">
        <w:rPr>
          <w:noProof/>
        </w:rPr>
        <w:t>1</w:t>
      </w:r>
    </w:fldSimple>
  </w:p>
  <w:p w:rsidR="00526FC6" w:rsidRDefault="00526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AF" w:rsidRDefault="005F26AF">
      <w:r>
        <w:separator/>
      </w:r>
    </w:p>
  </w:footnote>
  <w:footnote w:type="continuationSeparator" w:id="0">
    <w:p w:rsidR="005F26AF" w:rsidRDefault="005F2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B2" w:rsidRPr="00044EB2" w:rsidRDefault="00044EB2" w:rsidP="00044EB2">
    <w:pPr>
      <w:pBdr>
        <w:bottom w:val="thinThickMediumGap" w:sz="12" w:space="1" w:color="auto"/>
      </w:pBdr>
      <w:tabs>
        <w:tab w:val="left" w:pos="851"/>
        <w:tab w:val="right" w:pos="8364"/>
      </w:tabs>
      <w:bidi w:val="0"/>
      <w:adjustRightInd w:val="0"/>
      <w:snapToGrid w:val="0"/>
      <w:jc w:val="both"/>
      <w:rPr>
        <w:iCs/>
        <w:sz w:val="20"/>
        <w:szCs w:val="20"/>
      </w:rPr>
    </w:pPr>
    <w:r w:rsidRPr="00044EB2">
      <w:rPr>
        <w:rFonts w:hint="eastAsia"/>
        <w:sz w:val="20"/>
        <w:szCs w:val="20"/>
      </w:rPr>
      <w:tab/>
    </w:r>
    <w:r w:rsidRPr="00044EB2">
      <w:rPr>
        <w:sz w:val="20"/>
        <w:szCs w:val="20"/>
      </w:rPr>
      <w:t>New York Science Journal 201</w:t>
    </w:r>
    <w:r w:rsidRPr="00044EB2">
      <w:rPr>
        <w:rFonts w:hint="eastAsia"/>
        <w:sz w:val="20"/>
        <w:szCs w:val="20"/>
      </w:rPr>
      <w:t>7</w:t>
    </w:r>
    <w:r w:rsidRPr="00044EB2">
      <w:rPr>
        <w:sz w:val="20"/>
        <w:szCs w:val="20"/>
      </w:rPr>
      <w:t>;</w:t>
    </w:r>
    <w:r w:rsidRPr="00044EB2">
      <w:rPr>
        <w:rFonts w:hint="eastAsia"/>
        <w:sz w:val="20"/>
        <w:szCs w:val="20"/>
      </w:rPr>
      <w:t>10</w:t>
    </w:r>
    <w:r w:rsidRPr="00044EB2">
      <w:rPr>
        <w:sz w:val="20"/>
        <w:szCs w:val="20"/>
      </w:rPr>
      <w:t>(</w:t>
    </w:r>
    <w:r w:rsidRPr="00044EB2">
      <w:rPr>
        <w:rFonts w:hint="eastAsia"/>
        <w:sz w:val="20"/>
        <w:szCs w:val="20"/>
      </w:rPr>
      <w:t>8</w:t>
    </w:r>
    <w:r w:rsidRPr="00044EB2">
      <w:rPr>
        <w:sz w:val="20"/>
        <w:szCs w:val="20"/>
      </w:rPr>
      <w:t>)</w:t>
    </w:r>
    <w:r w:rsidRPr="00044EB2">
      <w:rPr>
        <w:iCs/>
        <w:sz w:val="20"/>
        <w:szCs w:val="20"/>
      </w:rPr>
      <w:t xml:space="preserve">     </w:t>
    </w:r>
    <w:r w:rsidRPr="00044EB2">
      <w:rPr>
        <w:rFonts w:hint="eastAsia"/>
        <w:iCs/>
        <w:sz w:val="20"/>
        <w:szCs w:val="20"/>
      </w:rPr>
      <w:tab/>
    </w:r>
    <w:r w:rsidRPr="00044EB2">
      <w:rPr>
        <w:iCs/>
        <w:sz w:val="20"/>
        <w:szCs w:val="20"/>
      </w:rPr>
      <w:t xml:space="preserve"> </w:t>
    </w:r>
    <w:r w:rsidRPr="00044EB2">
      <w:rPr>
        <w:rFonts w:hint="eastAsia"/>
        <w:iCs/>
        <w:sz w:val="20"/>
        <w:szCs w:val="20"/>
      </w:rPr>
      <w:t xml:space="preserve"> </w:t>
    </w:r>
    <w:r w:rsidRPr="00044EB2">
      <w:rPr>
        <w:iCs/>
        <w:sz w:val="20"/>
        <w:szCs w:val="20"/>
      </w:rPr>
      <w:t xml:space="preserve">   </w:t>
    </w:r>
    <w:hyperlink r:id="rId1" w:history="1">
      <w:r w:rsidRPr="00044EB2">
        <w:rPr>
          <w:rStyle w:val="Hyperlink"/>
          <w:sz w:val="20"/>
          <w:szCs w:val="20"/>
        </w:rPr>
        <w:t>http://www.sciencepub.net/newyork</w:t>
      </w:r>
    </w:hyperlink>
  </w:p>
  <w:p w:rsidR="00044EB2" w:rsidRPr="00044EB2" w:rsidRDefault="00044EB2" w:rsidP="00044EB2">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B2" w:rsidRPr="00044EB2" w:rsidRDefault="00044EB2" w:rsidP="00044EB2">
    <w:pPr>
      <w:pBdr>
        <w:bottom w:val="thinThickMediumGap" w:sz="12" w:space="1" w:color="auto"/>
      </w:pBdr>
      <w:tabs>
        <w:tab w:val="left" w:pos="851"/>
        <w:tab w:val="right" w:pos="8364"/>
      </w:tabs>
      <w:bidi w:val="0"/>
      <w:adjustRightInd w:val="0"/>
      <w:snapToGrid w:val="0"/>
      <w:jc w:val="both"/>
      <w:rPr>
        <w:iCs/>
        <w:sz w:val="20"/>
        <w:szCs w:val="20"/>
      </w:rPr>
    </w:pPr>
    <w:r w:rsidRPr="00044EB2">
      <w:rPr>
        <w:rFonts w:hint="eastAsia"/>
        <w:sz w:val="20"/>
        <w:szCs w:val="20"/>
      </w:rPr>
      <w:tab/>
    </w:r>
    <w:r w:rsidRPr="00044EB2">
      <w:rPr>
        <w:sz w:val="20"/>
        <w:szCs w:val="20"/>
      </w:rPr>
      <w:t>New York Science Journal 201</w:t>
    </w:r>
    <w:r w:rsidRPr="00044EB2">
      <w:rPr>
        <w:rFonts w:hint="eastAsia"/>
        <w:sz w:val="20"/>
        <w:szCs w:val="20"/>
      </w:rPr>
      <w:t>7</w:t>
    </w:r>
    <w:r w:rsidRPr="00044EB2">
      <w:rPr>
        <w:sz w:val="20"/>
        <w:szCs w:val="20"/>
      </w:rPr>
      <w:t>;</w:t>
    </w:r>
    <w:r w:rsidRPr="00044EB2">
      <w:rPr>
        <w:rFonts w:hint="eastAsia"/>
        <w:sz w:val="20"/>
        <w:szCs w:val="20"/>
      </w:rPr>
      <w:t>10</w:t>
    </w:r>
    <w:r w:rsidRPr="00044EB2">
      <w:rPr>
        <w:sz w:val="20"/>
        <w:szCs w:val="20"/>
      </w:rPr>
      <w:t>(</w:t>
    </w:r>
    <w:r w:rsidRPr="00044EB2">
      <w:rPr>
        <w:rFonts w:hint="eastAsia"/>
        <w:sz w:val="20"/>
        <w:szCs w:val="20"/>
      </w:rPr>
      <w:t>8</w:t>
    </w:r>
    <w:r w:rsidRPr="00044EB2">
      <w:rPr>
        <w:sz w:val="20"/>
        <w:szCs w:val="20"/>
      </w:rPr>
      <w:t>)</w:t>
    </w:r>
    <w:r w:rsidRPr="00044EB2">
      <w:rPr>
        <w:iCs/>
        <w:sz w:val="20"/>
        <w:szCs w:val="20"/>
      </w:rPr>
      <w:t xml:space="preserve">     </w:t>
    </w:r>
    <w:r w:rsidRPr="00044EB2">
      <w:rPr>
        <w:rFonts w:hint="eastAsia"/>
        <w:iCs/>
        <w:sz w:val="20"/>
        <w:szCs w:val="20"/>
      </w:rPr>
      <w:tab/>
    </w:r>
    <w:r w:rsidRPr="00044EB2">
      <w:rPr>
        <w:iCs/>
        <w:sz w:val="20"/>
        <w:szCs w:val="20"/>
      </w:rPr>
      <w:t xml:space="preserve"> </w:t>
    </w:r>
    <w:r w:rsidRPr="00044EB2">
      <w:rPr>
        <w:rFonts w:hint="eastAsia"/>
        <w:iCs/>
        <w:sz w:val="20"/>
        <w:szCs w:val="20"/>
      </w:rPr>
      <w:t xml:space="preserve"> </w:t>
    </w:r>
    <w:r w:rsidRPr="00044EB2">
      <w:rPr>
        <w:iCs/>
        <w:sz w:val="20"/>
        <w:szCs w:val="20"/>
      </w:rPr>
      <w:t xml:space="preserve">   </w:t>
    </w:r>
    <w:hyperlink r:id="rId1" w:history="1">
      <w:r w:rsidRPr="00044EB2">
        <w:rPr>
          <w:rStyle w:val="Hyperlink"/>
          <w:sz w:val="20"/>
          <w:szCs w:val="20"/>
        </w:rPr>
        <w:t>http://www.sciencepub.net/newyork</w:t>
      </w:r>
    </w:hyperlink>
  </w:p>
  <w:p w:rsidR="00044EB2" w:rsidRPr="00044EB2" w:rsidRDefault="00044EB2" w:rsidP="00044EB2">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B2" w:rsidRPr="00044EB2" w:rsidRDefault="00044EB2" w:rsidP="00044EB2">
    <w:pPr>
      <w:pBdr>
        <w:bottom w:val="thinThickMediumGap" w:sz="12" w:space="1" w:color="auto"/>
      </w:pBdr>
      <w:tabs>
        <w:tab w:val="left" w:pos="851"/>
        <w:tab w:val="right" w:pos="8364"/>
      </w:tabs>
      <w:bidi w:val="0"/>
      <w:adjustRightInd w:val="0"/>
      <w:snapToGrid w:val="0"/>
      <w:jc w:val="both"/>
      <w:rPr>
        <w:iCs/>
        <w:sz w:val="20"/>
        <w:szCs w:val="20"/>
      </w:rPr>
    </w:pPr>
    <w:r w:rsidRPr="00044EB2">
      <w:rPr>
        <w:rFonts w:hint="eastAsia"/>
        <w:sz w:val="20"/>
        <w:szCs w:val="20"/>
      </w:rPr>
      <w:tab/>
    </w:r>
    <w:r w:rsidRPr="00044EB2">
      <w:rPr>
        <w:sz w:val="20"/>
        <w:szCs w:val="20"/>
      </w:rPr>
      <w:t>New York Science Journal 201</w:t>
    </w:r>
    <w:r w:rsidRPr="00044EB2">
      <w:rPr>
        <w:rFonts w:hint="eastAsia"/>
        <w:sz w:val="20"/>
        <w:szCs w:val="20"/>
      </w:rPr>
      <w:t>7</w:t>
    </w:r>
    <w:r w:rsidRPr="00044EB2">
      <w:rPr>
        <w:sz w:val="20"/>
        <w:szCs w:val="20"/>
      </w:rPr>
      <w:t>;</w:t>
    </w:r>
    <w:r w:rsidRPr="00044EB2">
      <w:rPr>
        <w:rFonts w:hint="eastAsia"/>
        <w:sz w:val="20"/>
        <w:szCs w:val="20"/>
      </w:rPr>
      <w:t>10</w:t>
    </w:r>
    <w:r w:rsidRPr="00044EB2">
      <w:rPr>
        <w:sz w:val="20"/>
        <w:szCs w:val="20"/>
      </w:rPr>
      <w:t>(</w:t>
    </w:r>
    <w:r w:rsidRPr="00044EB2">
      <w:rPr>
        <w:rFonts w:hint="eastAsia"/>
        <w:sz w:val="20"/>
        <w:szCs w:val="20"/>
      </w:rPr>
      <w:t>8</w:t>
    </w:r>
    <w:r w:rsidRPr="00044EB2">
      <w:rPr>
        <w:sz w:val="20"/>
        <w:szCs w:val="20"/>
      </w:rPr>
      <w:t>)</w:t>
    </w:r>
    <w:r w:rsidRPr="00044EB2">
      <w:rPr>
        <w:iCs/>
        <w:sz w:val="20"/>
        <w:szCs w:val="20"/>
      </w:rPr>
      <w:t xml:space="preserve">     </w:t>
    </w:r>
    <w:r w:rsidRPr="00044EB2">
      <w:rPr>
        <w:rFonts w:hint="eastAsia"/>
        <w:iCs/>
        <w:sz w:val="20"/>
        <w:szCs w:val="20"/>
      </w:rPr>
      <w:tab/>
    </w:r>
    <w:r w:rsidRPr="00044EB2">
      <w:rPr>
        <w:iCs/>
        <w:sz w:val="20"/>
        <w:szCs w:val="20"/>
      </w:rPr>
      <w:t xml:space="preserve"> </w:t>
    </w:r>
    <w:r w:rsidRPr="00044EB2">
      <w:rPr>
        <w:rFonts w:hint="eastAsia"/>
        <w:iCs/>
        <w:sz w:val="20"/>
        <w:szCs w:val="20"/>
      </w:rPr>
      <w:t xml:space="preserve"> </w:t>
    </w:r>
    <w:r w:rsidRPr="00044EB2">
      <w:rPr>
        <w:iCs/>
        <w:sz w:val="20"/>
        <w:szCs w:val="20"/>
      </w:rPr>
      <w:t xml:space="preserve">   </w:t>
    </w:r>
    <w:hyperlink r:id="rId1" w:history="1">
      <w:r w:rsidRPr="00044EB2">
        <w:rPr>
          <w:rStyle w:val="Hyperlink"/>
          <w:sz w:val="20"/>
          <w:szCs w:val="20"/>
        </w:rPr>
        <w:t>http://www.sciencepub.net/newyork</w:t>
      </w:r>
    </w:hyperlink>
  </w:p>
  <w:p w:rsidR="00044EB2" w:rsidRPr="00044EB2" w:rsidRDefault="00044EB2" w:rsidP="00044EB2">
    <w:pPr>
      <w:tabs>
        <w:tab w:val="left" w:pos="851"/>
        <w:tab w:val="left" w:pos="7200"/>
        <w:tab w:val="right" w:pos="8364"/>
      </w:tabs>
      <w:bidi w:val="0"/>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EB2" w:rsidRPr="00044EB2" w:rsidRDefault="00044EB2" w:rsidP="00044EB2">
    <w:pPr>
      <w:pBdr>
        <w:bottom w:val="thinThickMediumGap" w:sz="12" w:space="1" w:color="auto"/>
      </w:pBdr>
      <w:tabs>
        <w:tab w:val="left" w:pos="851"/>
        <w:tab w:val="right" w:pos="8364"/>
      </w:tabs>
      <w:bidi w:val="0"/>
      <w:adjustRightInd w:val="0"/>
      <w:snapToGrid w:val="0"/>
      <w:jc w:val="both"/>
      <w:rPr>
        <w:iCs/>
        <w:sz w:val="20"/>
        <w:szCs w:val="20"/>
      </w:rPr>
    </w:pPr>
    <w:r w:rsidRPr="00044EB2">
      <w:rPr>
        <w:rFonts w:hint="eastAsia"/>
        <w:sz w:val="20"/>
        <w:szCs w:val="20"/>
      </w:rPr>
      <w:tab/>
    </w:r>
    <w:r w:rsidRPr="00044EB2">
      <w:rPr>
        <w:sz w:val="20"/>
        <w:szCs w:val="20"/>
      </w:rPr>
      <w:t>New York Science Journal 201</w:t>
    </w:r>
    <w:r w:rsidRPr="00044EB2">
      <w:rPr>
        <w:rFonts w:hint="eastAsia"/>
        <w:sz w:val="20"/>
        <w:szCs w:val="20"/>
      </w:rPr>
      <w:t>7</w:t>
    </w:r>
    <w:r w:rsidRPr="00044EB2">
      <w:rPr>
        <w:sz w:val="20"/>
        <w:szCs w:val="20"/>
      </w:rPr>
      <w:t>;</w:t>
    </w:r>
    <w:r w:rsidRPr="00044EB2">
      <w:rPr>
        <w:rFonts w:hint="eastAsia"/>
        <w:sz w:val="20"/>
        <w:szCs w:val="20"/>
      </w:rPr>
      <w:t>10</w:t>
    </w:r>
    <w:r w:rsidRPr="00044EB2">
      <w:rPr>
        <w:sz w:val="20"/>
        <w:szCs w:val="20"/>
      </w:rPr>
      <w:t>(</w:t>
    </w:r>
    <w:r w:rsidRPr="00044EB2">
      <w:rPr>
        <w:rFonts w:hint="eastAsia"/>
        <w:sz w:val="20"/>
        <w:szCs w:val="20"/>
      </w:rPr>
      <w:t>8</w:t>
    </w:r>
    <w:r w:rsidRPr="00044EB2">
      <w:rPr>
        <w:sz w:val="20"/>
        <w:szCs w:val="20"/>
      </w:rPr>
      <w:t>)</w:t>
    </w:r>
    <w:r w:rsidRPr="00044EB2">
      <w:rPr>
        <w:iCs/>
        <w:sz w:val="20"/>
        <w:szCs w:val="20"/>
      </w:rPr>
      <w:t xml:space="preserve">     </w:t>
    </w:r>
    <w:r w:rsidRPr="00044EB2">
      <w:rPr>
        <w:rFonts w:hint="eastAsia"/>
        <w:iCs/>
        <w:sz w:val="20"/>
        <w:szCs w:val="20"/>
      </w:rPr>
      <w:tab/>
    </w:r>
    <w:r w:rsidRPr="00044EB2">
      <w:rPr>
        <w:iCs/>
        <w:sz w:val="20"/>
        <w:szCs w:val="20"/>
      </w:rPr>
      <w:t xml:space="preserve"> </w:t>
    </w:r>
    <w:r w:rsidRPr="00044EB2">
      <w:rPr>
        <w:rFonts w:hint="eastAsia"/>
        <w:iCs/>
        <w:sz w:val="20"/>
        <w:szCs w:val="20"/>
      </w:rPr>
      <w:t xml:space="preserve"> </w:t>
    </w:r>
    <w:r w:rsidRPr="00044EB2">
      <w:rPr>
        <w:iCs/>
        <w:sz w:val="20"/>
        <w:szCs w:val="20"/>
      </w:rPr>
      <w:t xml:space="preserve">   </w:t>
    </w:r>
    <w:hyperlink r:id="rId1" w:history="1">
      <w:r w:rsidRPr="00044EB2">
        <w:rPr>
          <w:rStyle w:val="Hyperlink"/>
          <w:sz w:val="20"/>
          <w:szCs w:val="20"/>
        </w:rPr>
        <w:t>http://www.sciencepub.net/newyork</w:t>
      </w:r>
    </w:hyperlink>
  </w:p>
  <w:p w:rsidR="00044EB2" w:rsidRPr="00044EB2" w:rsidRDefault="00044EB2" w:rsidP="00044EB2">
    <w:pPr>
      <w:tabs>
        <w:tab w:val="left" w:pos="851"/>
        <w:tab w:val="left" w:pos="7200"/>
        <w:tab w:val="right" w:pos="8364"/>
      </w:tabs>
      <w:bidi w:val="0"/>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7F" w:rsidRPr="00FF2B7F" w:rsidRDefault="00FF2B7F" w:rsidP="00FF2B7F">
    <w:pPr>
      <w:pBdr>
        <w:bottom w:val="thinThickMediumGap" w:sz="12" w:space="1" w:color="auto"/>
      </w:pBdr>
      <w:suppressAutoHyphens/>
      <w:bidi w:val="0"/>
      <w:jc w:val="center"/>
      <w:rPr>
        <w:iCs/>
        <w:sz w:val="20"/>
        <w:lang w:eastAsia="ar-SA" w:bidi="ar-EG"/>
      </w:rPr>
    </w:pPr>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sidRPr="00DF21FB">
      <w:rPr>
        <w:sz w:val="20"/>
        <w:lang w:eastAsia="ar-SA"/>
      </w:rPr>
      <w:t>New York Science Journal 2017;10(x)</w:t>
    </w:r>
    <w:r w:rsidRPr="00DF21FB">
      <w:rPr>
        <w:iCs/>
        <w:sz w:val="20"/>
        <w:lang w:eastAsia="ar-SA"/>
      </w:rPr>
      <w:t xml:space="preserve">                                                </w:t>
    </w:r>
    <w:hyperlink r:id="rId1" w:history="1">
      <w:r w:rsidRPr="00DF21FB">
        <w:rPr>
          <w:color w:val="0000FF"/>
          <w:sz w:val="20"/>
          <w:u w:val="single"/>
          <w:lang w:eastAsia="ar-SA"/>
        </w:rPr>
        <w:t>http://www.sciencepub.net/newyork</w:t>
      </w:r>
    </w:hyperlink>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32DB9"/>
    <w:multiLevelType w:val="hybridMultilevel"/>
    <w:tmpl w:val="A09A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5C89"/>
    <w:rsid w:val="000162D9"/>
    <w:rsid w:val="00020238"/>
    <w:rsid w:val="00021694"/>
    <w:rsid w:val="00036C1D"/>
    <w:rsid w:val="00044EB2"/>
    <w:rsid w:val="000454AB"/>
    <w:rsid w:val="00064E0E"/>
    <w:rsid w:val="00070E35"/>
    <w:rsid w:val="000731AF"/>
    <w:rsid w:val="000876D3"/>
    <w:rsid w:val="00090F78"/>
    <w:rsid w:val="00091BF4"/>
    <w:rsid w:val="00095B8D"/>
    <w:rsid w:val="000A1204"/>
    <w:rsid w:val="000B133F"/>
    <w:rsid w:val="000D6B18"/>
    <w:rsid w:val="000E599E"/>
    <w:rsid w:val="0010047C"/>
    <w:rsid w:val="001149F3"/>
    <w:rsid w:val="00116872"/>
    <w:rsid w:val="00121CEE"/>
    <w:rsid w:val="001361B1"/>
    <w:rsid w:val="00136FC6"/>
    <w:rsid w:val="00154135"/>
    <w:rsid w:val="0015482A"/>
    <w:rsid w:val="00186B59"/>
    <w:rsid w:val="0019784C"/>
    <w:rsid w:val="001A3E90"/>
    <w:rsid w:val="001A3F06"/>
    <w:rsid w:val="001D4660"/>
    <w:rsid w:val="001E0A08"/>
    <w:rsid w:val="001E2C98"/>
    <w:rsid w:val="001E7B85"/>
    <w:rsid w:val="002035A3"/>
    <w:rsid w:val="00206A42"/>
    <w:rsid w:val="002135B0"/>
    <w:rsid w:val="00214992"/>
    <w:rsid w:val="00230029"/>
    <w:rsid w:val="0024784D"/>
    <w:rsid w:val="002478F8"/>
    <w:rsid w:val="00252161"/>
    <w:rsid w:val="00254315"/>
    <w:rsid w:val="0026439F"/>
    <w:rsid w:val="00272F43"/>
    <w:rsid w:val="00284357"/>
    <w:rsid w:val="00286094"/>
    <w:rsid w:val="00292AB7"/>
    <w:rsid w:val="002A5232"/>
    <w:rsid w:val="002C6326"/>
    <w:rsid w:val="002E664F"/>
    <w:rsid w:val="00311BE5"/>
    <w:rsid w:val="003221BC"/>
    <w:rsid w:val="00363FC4"/>
    <w:rsid w:val="00374E80"/>
    <w:rsid w:val="003B3A0B"/>
    <w:rsid w:val="003D336E"/>
    <w:rsid w:val="003E150A"/>
    <w:rsid w:val="003E6D92"/>
    <w:rsid w:val="0041632D"/>
    <w:rsid w:val="004403D3"/>
    <w:rsid w:val="00440AB0"/>
    <w:rsid w:val="00446D71"/>
    <w:rsid w:val="0045002D"/>
    <w:rsid w:val="00450C00"/>
    <w:rsid w:val="00455CE9"/>
    <w:rsid w:val="00455E7B"/>
    <w:rsid w:val="00462386"/>
    <w:rsid w:val="00465E8E"/>
    <w:rsid w:val="00470FFB"/>
    <w:rsid w:val="00476726"/>
    <w:rsid w:val="00480DE0"/>
    <w:rsid w:val="00494934"/>
    <w:rsid w:val="00496EBC"/>
    <w:rsid w:val="004B4D43"/>
    <w:rsid w:val="004C61C2"/>
    <w:rsid w:val="004D201D"/>
    <w:rsid w:val="004D2BB8"/>
    <w:rsid w:val="004D75FE"/>
    <w:rsid w:val="004E024A"/>
    <w:rsid w:val="004E2484"/>
    <w:rsid w:val="004E766C"/>
    <w:rsid w:val="004F01AA"/>
    <w:rsid w:val="004F2066"/>
    <w:rsid w:val="00500265"/>
    <w:rsid w:val="00504929"/>
    <w:rsid w:val="005135FB"/>
    <w:rsid w:val="0051420F"/>
    <w:rsid w:val="00514D54"/>
    <w:rsid w:val="00516FEB"/>
    <w:rsid w:val="00524360"/>
    <w:rsid w:val="00524728"/>
    <w:rsid w:val="00526F96"/>
    <w:rsid w:val="00526FC6"/>
    <w:rsid w:val="00531168"/>
    <w:rsid w:val="005354A1"/>
    <w:rsid w:val="00536FE6"/>
    <w:rsid w:val="005462B5"/>
    <w:rsid w:val="00547CA2"/>
    <w:rsid w:val="0056688D"/>
    <w:rsid w:val="005A0B0D"/>
    <w:rsid w:val="005A1214"/>
    <w:rsid w:val="005B190C"/>
    <w:rsid w:val="005C2960"/>
    <w:rsid w:val="005C55BA"/>
    <w:rsid w:val="005D0DF3"/>
    <w:rsid w:val="005D15FC"/>
    <w:rsid w:val="005E29F4"/>
    <w:rsid w:val="005E5F52"/>
    <w:rsid w:val="005F26AF"/>
    <w:rsid w:val="00601001"/>
    <w:rsid w:val="006117BD"/>
    <w:rsid w:val="00616F16"/>
    <w:rsid w:val="006319E2"/>
    <w:rsid w:val="006450DC"/>
    <w:rsid w:val="006B1705"/>
    <w:rsid w:val="006C7E40"/>
    <w:rsid w:val="006D08CF"/>
    <w:rsid w:val="006F2BCF"/>
    <w:rsid w:val="007160E1"/>
    <w:rsid w:val="00722C0F"/>
    <w:rsid w:val="007424FF"/>
    <w:rsid w:val="00774B08"/>
    <w:rsid w:val="0079038E"/>
    <w:rsid w:val="007A3A21"/>
    <w:rsid w:val="007B0BC8"/>
    <w:rsid w:val="007C1EFC"/>
    <w:rsid w:val="007D181C"/>
    <w:rsid w:val="007D5667"/>
    <w:rsid w:val="007D6234"/>
    <w:rsid w:val="007E60A9"/>
    <w:rsid w:val="007F6F8B"/>
    <w:rsid w:val="007F74A1"/>
    <w:rsid w:val="008009FB"/>
    <w:rsid w:val="00810822"/>
    <w:rsid w:val="00821CE5"/>
    <w:rsid w:val="00875E37"/>
    <w:rsid w:val="008937BC"/>
    <w:rsid w:val="008A2613"/>
    <w:rsid w:val="008C5BB7"/>
    <w:rsid w:val="008D7C61"/>
    <w:rsid w:val="008E5B26"/>
    <w:rsid w:val="008E7D2E"/>
    <w:rsid w:val="00910659"/>
    <w:rsid w:val="009137D7"/>
    <w:rsid w:val="0091603F"/>
    <w:rsid w:val="00916258"/>
    <w:rsid w:val="0092316D"/>
    <w:rsid w:val="00927FF0"/>
    <w:rsid w:val="00930C24"/>
    <w:rsid w:val="0094320C"/>
    <w:rsid w:val="00946E91"/>
    <w:rsid w:val="009504C8"/>
    <w:rsid w:val="009854A6"/>
    <w:rsid w:val="00997CDA"/>
    <w:rsid w:val="009C52A1"/>
    <w:rsid w:val="009D46BE"/>
    <w:rsid w:val="009D6353"/>
    <w:rsid w:val="009F72EA"/>
    <w:rsid w:val="00A07E51"/>
    <w:rsid w:val="00A250AF"/>
    <w:rsid w:val="00A25AF2"/>
    <w:rsid w:val="00A25DC7"/>
    <w:rsid w:val="00A422BF"/>
    <w:rsid w:val="00A559D9"/>
    <w:rsid w:val="00A60F9D"/>
    <w:rsid w:val="00A615CB"/>
    <w:rsid w:val="00A7556C"/>
    <w:rsid w:val="00A93C9E"/>
    <w:rsid w:val="00A95491"/>
    <w:rsid w:val="00AC33D9"/>
    <w:rsid w:val="00AD2CD6"/>
    <w:rsid w:val="00AF23C2"/>
    <w:rsid w:val="00B123A0"/>
    <w:rsid w:val="00B20188"/>
    <w:rsid w:val="00B25D7D"/>
    <w:rsid w:val="00B5340F"/>
    <w:rsid w:val="00B63D50"/>
    <w:rsid w:val="00B75E5D"/>
    <w:rsid w:val="00B8723C"/>
    <w:rsid w:val="00BA2DA5"/>
    <w:rsid w:val="00BC7A08"/>
    <w:rsid w:val="00BD6958"/>
    <w:rsid w:val="00BF0CD9"/>
    <w:rsid w:val="00C06E8B"/>
    <w:rsid w:val="00C32FC2"/>
    <w:rsid w:val="00C37FDB"/>
    <w:rsid w:val="00C50654"/>
    <w:rsid w:val="00C52E6F"/>
    <w:rsid w:val="00C70B0D"/>
    <w:rsid w:val="00C738F8"/>
    <w:rsid w:val="00C80C50"/>
    <w:rsid w:val="00C92C0B"/>
    <w:rsid w:val="00C9408E"/>
    <w:rsid w:val="00C940EF"/>
    <w:rsid w:val="00CA4586"/>
    <w:rsid w:val="00CB10E5"/>
    <w:rsid w:val="00CB6725"/>
    <w:rsid w:val="00CC57C3"/>
    <w:rsid w:val="00CD0625"/>
    <w:rsid w:val="00CD5097"/>
    <w:rsid w:val="00CD7CC5"/>
    <w:rsid w:val="00CF3D76"/>
    <w:rsid w:val="00D2187A"/>
    <w:rsid w:val="00D2680B"/>
    <w:rsid w:val="00D3467D"/>
    <w:rsid w:val="00D35D12"/>
    <w:rsid w:val="00D44846"/>
    <w:rsid w:val="00D448FA"/>
    <w:rsid w:val="00D451C5"/>
    <w:rsid w:val="00D477D8"/>
    <w:rsid w:val="00D544F3"/>
    <w:rsid w:val="00D5584D"/>
    <w:rsid w:val="00D719A4"/>
    <w:rsid w:val="00D840C9"/>
    <w:rsid w:val="00DA0543"/>
    <w:rsid w:val="00DC5B44"/>
    <w:rsid w:val="00DC62D3"/>
    <w:rsid w:val="00DD5534"/>
    <w:rsid w:val="00DF3170"/>
    <w:rsid w:val="00E01CC3"/>
    <w:rsid w:val="00E05A48"/>
    <w:rsid w:val="00E118F8"/>
    <w:rsid w:val="00E21C6A"/>
    <w:rsid w:val="00E35939"/>
    <w:rsid w:val="00E5033C"/>
    <w:rsid w:val="00E869FE"/>
    <w:rsid w:val="00EC55FF"/>
    <w:rsid w:val="00EF5C89"/>
    <w:rsid w:val="00EF684E"/>
    <w:rsid w:val="00F03D7B"/>
    <w:rsid w:val="00F145FB"/>
    <w:rsid w:val="00F34995"/>
    <w:rsid w:val="00F43033"/>
    <w:rsid w:val="00F47450"/>
    <w:rsid w:val="00F53201"/>
    <w:rsid w:val="00F648B1"/>
    <w:rsid w:val="00F67880"/>
    <w:rsid w:val="00F76092"/>
    <w:rsid w:val="00F91546"/>
    <w:rsid w:val="00FA39D2"/>
    <w:rsid w:val="00FA6830"/>
    <w:rsid w:val="00FB5F98"/>
    <w:rsid w:val="00FC4E6D"/>
    <w:rsid w:val="00FE6D50"/>
    <w:rsid w:val="00FE797F"/>
    <w:rsid w:val="00FF2B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Typewriter" w:semiHidden="0" w:unhideWhenUsed="0"/>
    <w:lsdException w:name="annotation subject" w:semiHidden="0" w:unhideWhenUsed="0"/>
    <w:lsdException w:name="No Lis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89"/>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5C89"/>
    <w:pPr>
      <w:tabs>
        <w:tab w:val="center" w:pos="4153"/>
        <w:tab w:val="right" w:pos="8306"/>
      </w:tabs>
    </w:pPr>
    <w:rPr>
      <w:lang/>
    </w:rPr>
  </w:style>
  <w:style w:type="character" w:customStyle="1" w:styleId="FooterChar">
    <w:name w:val="Footer Char"/>
    <w:link w:val="Footer"/>
    <w:uiPriority w:val="99"/>
    <w:rsid w:val="00EF5C89"/>
    <w:rPr>
      <w:sz w:val="24"/>
      <w:szCs w:val="24"/>
    </w:rPr>
  </w:style>
  <w:style w:type="paragraph" w:customStyle="1" w:styleId="Style1">
    <w:name w:val="Style 1"/>
    <w:rsid w:val="00EF5C89"/>
    <w:pPr>
      <w:widowControl w:val="0"/>
      <w:autoSpaceDE w:val="0"/>
      <w:autoSpaceDN w:val="0"/>
      <w:adjustRightInd w:val="0"/>
    </w:pPr>
    <w:rPr>
      <w:lang w:eastAsia="en-US"/>
    </w:rPr>
  </w:style>
  <w:style w:type="paragraph" w:customStyle="1" w:styleId="Default">
    <w:name w:val="Default"/>
    <w:rsid w:val="00EF5C89"/>
    <w:pPr>
      <w:autoSpaceDE w:val="0"/>
      <w:autoSpaceDN w:val="0"/>
      <w:adjustRightInd w:val="0"/>
    </w:pPr>
    <w:rPr>
      <w:color w:val="000000"/>
      <w:sz w:val="24"/>
      <w:szCs w:val="24"/>
      <w:lang w:eastAsia="en-US"/>
    </w:rPr>
  </w:style>
  <w:style w:type="paragraph" w:styleId="ListParagraph">
    <w:name w:val="List Paragraph"/>
    <w:basedOn w:val="Normal"/>
    <w:uiPriority w:val="34"/>
    <w:qFormat/>
    <w:rsid w:val="009137D7"/>
    <w:pPr>
      <w:ind w:left="720"/>
      <w:contextualSpacing/>
    </w:pPr>
  </w:style>
  <w:style w:type="table" w:styleId="TableGrid">
    <w:name w:val="Table Grid"/>
    <w:basedOn w:val="TableNormal"/>
    <w:rsid w:val="00FF2B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FF2B7F"/>
    <w:pPr>
      <w:tabs>
        <w:tab w:val="center" w:pos="4153"/>
        <w:tab w:val="right" w:pos="8306"/>
      </w:tabs>
    </w:pPr>
  </w:style>
  <w:style w:type="character" w:customStyle="1" w:styleId="HeaderChar">
    <w:name w:val="Header Char"/>
    <w:basedOn w:val="DefaultParagraphFont"/>
    <w:link w:val="Header"/>
    <w:rsid w:val="00FF2B7F"/>
    <w:rPr>
      <w:sz w:val="24"/>
      <w:szCs w:val="24"/>
    </w:rPr>
  </w:style>
  <w:style w:type="character" w:styleId="Hyperlink">
    <w:name w:val="Hyperlink"/>
    <w:basedOn w:val="DefaultParagraphFont"/>
    <w:uiPriority w:val="99"/>
    <w:rsid w:val="00F5320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mailto:magro_modeller@yahoo.com" TargetMode="Externa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dx.doi.org/10.7537/marsnys100817.24"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4101</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27423</CharactersWithSpaces>
  <SharedDoc>false</SharedDoc>
  <HLinks>
    <vt:vector size="42" baseType="variant">
      <vt:variant>
        <vt:i4>4522059</vt:i4>
      </vt:variant>
      <vt:variant>
        <vt:i4>3</vt:i4>
      </vt:variant>
      <vt:variant>
        <vt:i4>0</vt:i4>
      </vt:variant>
      <vt:variant>
        <vt:i4>5</vt:i4>
      </vt:variant>
      <vt:variant>
        <vt:lpwstr>http://www.sciencepub.net/newyork</vt:lpwstr>
      </vt:variant>
      <vt:variant>
        <vt:lpwstr/>
      </vt:variant>
      <vt:variant>
        <vt:i4>524303</vt:i4>
      </vt:variant>
      <vt:variant>
        <vt:i4>0</vt:i4>
      </vt:variant>
      <vt:variant>
        <vt:i4>0</vt:i4>
      </vt:variant>
      <vt:variant>
        <vt:i4>5</vt:i4>
      </vt:variant>
      <vt:variant>
        <vt:lpwstr>mailto:magro_modeller@yahoo.com</vt:lpwstr>
      </vt:variant>
      <vt:variant>
        <vt:lpwstr/>
      </vt:variant>
      <vt:variant>
        <vt:i4>4522059</vt:i4>
      </vt:variant>
      <vt:variant>
        <vt:i4>24</vt:i4>
      </vt:variant>
      <vt:variant>
        <vt:i4>0</vt:i4>
      </vt:variant>
      <vt:variant>
        <vt:i4>5</vt:i4>
      </vt:variant>
      <vt:variant>
        <vt:lpwstr>http://www.sciencepub.net/newyork</vt:lpwstr>
      </vt:variant>
      <vt:variant>
        <vt:lpwstr/>
      </vt:variant>
      <vt:variant>
        <vt:i4>4522059</vt:i4>
      </vt:variant>
      <vt:variant>
        <vt:i4>18</vt:i4>
      </vt:variant>
      <vt:variant>
        <vt:i4>0</vt:i4>
      </vt:variant>
      <vt:variant>
        <vt:i4>5</vt:i4>
      </vt:variant>
      <vt:variant>
        <vt:lpwstr>http://www.sciencepub.net/newyork</vt:lpwstr>
      </vt:variant>
      <vt:variant>
        <vt:lpwstr/>
      </vt:variant>
      <vt:variant>
        <vt:i4>4522059</vt:i4>
      </vt:variant>
      <vt:variant>
        <vt:i4>12</vt:i4>
      </vt:variant>
      <vt:variant>
        <vt:i4>0</vt:i4>
      </vt:variant>
      <vt:variant>
        <vt:i4>5</vt:i4>
      </vt:variant>
      <vt:variant>
        <vt:lpwstr>http://www.sciencepub.net/newyork</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 El Enin MM</dc:creator>
  <cp:lastModifiedBy>Administrator</cp:lastModifiedBy>
  <cp:revision>3</cp:revision>
  <dcterms:created xsi:type="dcterms:W3CDTF">2017-08-11T14:07:00Z</dcterms:created>
  <dcterms:modified xsi:type="dcterms:W3CDTF">2017-08-12T01:13:00Z</dcterms:modified>
</cp:coreProperties>
</file>