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70" w:rsidRPr="004B542B" w:rsidRDefault="00B00CA8" w:rsidP="0087797F">
      <w:pPr>
        <w:pStyle w:val="Title"/>
        <w:bidi w:val="0"/>
        <w:snapToGrid w:val="0"/>
        <w:spacing w:before="0" w:after="0" w:line="240" w:lineRule="auto"/>
        <w:rPr>
          <w:rFonts w:ascii="Times New Roman" w:hAnsi="Times New Roman"/>
          <w:kern w:val="0"/>
          <w:sz w:val="20"/>
          <w:szCs w:val="20"/>
          <w:lang w:bidi="ar-EG"/>
        </w:rPr>
      </w:pPr>
      <w:r w:rsidRPr="004B542B">
        <w:rPr>
          <w:rFonts w:ascii="Times New Roman" w:hAnsi="Times New Roman"/>
          <w:kern w:val="0"/>
          <w:sz w:val="20"/>
          <w:szCs w:val="20"/>
          <w:lang w:bidi="ar-EG"/>
        </w:rPr>
        <w:t xml:space="preserve">Role of </w:t>
      </w:r>
      <w:proofErr w:type="spellStart"/>
      <w:r w:rsidRPr="004B542B">
        <w:rPr>
          <w:rFonts w:ascii="Times New Roman" w:hAnsi="Times New Roman"/>
          <w:kern w:val="0"/>
          <w:sz w:val="20"/>
          <w:szCs w:val="20"/>
          <w:lang w:bidi="ar-EG"/>
        </w:rPr>
        <w:t>furosemide</w:t>
      </w:r>
      <w:proofErr w:type="spellEnd"/>
      <w:r w:rsidRPr="004B542B">
        <w:rPr>
          <w:rFonts w:ascii="Times New Roman" w:hAnsi="Times New Roman"/>
          <w:kern w:val="0"/>
          <w:sz w:val="20"/>
          <w:szCs w:val="20"/>
          <w:lang w:bidi="ar-EG"/>
        </w:rPr>
        <w:t xml:space="preserve"> stress test as a novel assessment of tubular function in acute kidney injury</w:t>
      </w:r>
    </w:p>
    <w:p w:rsidR="00C46070" w:rsidRPr="004B542B" w:rsidRDefault="00C46070" w:rsidP="0087797F">
      <w:pPr>
        <w:pStyle w:val="Title"/>
        <w:bidi w:val="0"/>
        <w:snapToGrid w:val="0"/>
        <w:spacing w:before="0" w:after="0" w:line="240" w:lineRule="auto"/>
        <w:rPr>
          <w:rFonts w:ascii="Times New Roman" w:hAnsi="Times New Roman"/>
          <w:kern w:val="0"/>
          <w:sz w:val="20"/>
          <w:szCs w:val="20"/>
          <w:lang w:bidi="ar-EG"/>
        </w:rPr>
      </w:pPr>
    </w:p>
    <w:p w:rsidR="00C46070" w:rsidRPr="004B542B" w:rsidRDefault="00B00CA8" w:rsidP="0087797F">
      <w:pPr>
        <w:pStyle w:val="Title"/>
        <w:bidi w:val="0"/>
        <w:snapToGrid w:val="0"/>
        <w:spacing w:before="0" w:after="0" w:line="240" w:lineRule="auto"/>
        <w:rPr>
          <w:rFonts w:ascii="Times New Roman" w:hAnsi="Times New Roman"/>
          <w:b w:val="0"/>
          <w:bCs w:val="0"/>
          <w:kern w:val="0"/>
          <w:sz w:val="20"/>
          <w:szCs w:val="20"/>
          <w:lang w:bidi="ar-EG"/>
        </w:rPr>
      </w:pPr>
      <w:proofErr w:type="spellStart"/>
      <w:r w:rsidRPr="004B542B">
        <w:rPr>
          <w:rFonts w:ascii="Times New Roman" w:hAnsi="Times New Roman"/>
          <w:b w:val="0"/>
          <w:bCs w:val="0"/>
          <w:kern w:val="0"/>
          <w:sz w:val="20"/>
          <w:szCs w:val="20"/>
          <w:lang w:bidi="ar-EG"/>
        </w:rPr>
        <w:t>Yousry</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Elsaied</w:t>
      </w:r>
      <w:proofErr w:type="spellEnd"/>
      <w:r w:rsidRPr="004B542B">
        <w:rPr>
          <w:rFonts w:ascii="Times New Roman" w:hAnsi="Times New Roman"/>
          <w:b w:val="0"/>
          <w:bCs w:val="0"/>
          <w:kern w:val="0"/>
          <w:sz w:val="20"/>
          <w:szCs w:val="20"/>
          <w:lang w:bidi="ar-EG"/>
        </w:rPr>
        <w:t xml:space="preserve"> Rezk</w:t>
      </w:r>
      <w:r w:rsidRPr="004B542B">
        <w:rPr>
          <w:rFonts w:ascii="Times New Roman" w:hAnsi="Times New Roman"/>
          <w:b w:val="0"/>
          <w:bCs w:val="0"/>
          <w:kern w:val="0"/>
          <w:sz w:val="20"/>
          <w:szCs w:val="20"/>
          <w:vertAlign w:val="superscript"/>
          <w:lang w:bidi="ar-EG"/>
        </w:rPr>
        <w:t>1</w:t>
      </w:r>
      <w:r w:rsidRPr="004B542B">
        <w:rPr>
          <w:rFonts w:ascii="Times New Roman" w:hAnsi="Times New Roman"/>
          <w:b w:val="0"/>
          <w:bCs w:val="0"/>
          <w:kern w:val="0"/>
          <w:sz w:val="20"/>
          <w:szCs w:val="20"/>
          <w:lang w:bidi="ar-EG"/>
        </w:rPr>
        <w:t xml:space="preserve">, Ahmed </w:t>
      </w:r>
      <w:proofErr w:type="spellStart"/>
      <w:r w:rsidRPr="004B542B">
        <w:rPr>
          <w:rFonts w:ascii="Times New Roman" w:hAnsi="Times New Roman"/>
          <w:b w:val="0"/>
          <w:bCs w:val="0"/>
          <w:kern w:val="0"/>
          <w:sz w:val="20"/>
          <w:szCs w:val="20"/>
          <w:lang w:bidi="ar-EG"/>
        </w:rPr>
        <w:t>Hamdy</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Abd</w:t>
      </w:r>
      <w:proofErr w:type="spellEnd"/>
      <w:r w:rsidRPr="004B542B">
        <w:rPr>
          <w:rFonts w:ascii="Times New Roman" w:hAnsi="Times New Roman"/>
          <w:b w:val="0"/>
          <w:bCs w:val="0"/>
          <w:kern w:val="0"/>
          <w:sz w:val="20"/>
          <w:szCs w:val="20"/>
          <w:lang w:bidi="ar-EG"/>
        </w:rPr>
        <w:t xml:space="preserve"> El-Rahman</w:t>
      </w:r>
      <w:r w:rsidRPr="004B542B">
        <w:rPr>
          <w:rFonts w:ascii="Times New Roman" w:hAnsi="Times New Roman"/>
          <w:b w:val="0"/>
          <w:bCs w:val="0"/>
          <w:kern w:val="0"/>
          <w:sz w:val="20"/>
          <w:szCs w:val="20"/>
          <w:vertAlign w:val="superscript"/>
          <w:lang w:bidi="ar-EG"/>
        </w:rPr>
        <w:t>2</w:t>
      </w:r>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Ashraf</w:t>
      </w:r>
      <w:proofErr w:type="spellEnd"/>
      <w:r w:rsidR="00C46070"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Mostafa</w:t>
      </w:r>
      <w:proofErr w:type="spellEnd"/>
      <w:r w:rsidRPr="004B542B">
        <w:rPr>
          <w:rFonts w:ascii="Times New Roman" w:hAnsi="Times New Roman"/>
          <w:b w:val="0"/>
          <w:bCs w:val="0"/>
          <w:kern w:val="0"/>
          <w:sz w:val="20"/>
          <w:szCs w:val="20"/>
          <w:lang w:bidi="ar-EG"/>
        </w:rPr>
        <w:t xml:space="preserve"> Elnahas</w:t>
      </w:r>
      <w:r w:rsidRPr="004B542B">
        <w:rPr>
          <w:rFonts w:ascii="Times New Roman" w:hAnsi="Times New Roman"/>
          <w:b w:val="0"/>
          <w:bCs w:val="0"/>
          <w:kern w:val="0"/>
          <w:sz w:val="20"/>
          <w:szCs w:val="20"/>
          <w:vertAlign w:val="superscript"/>
          <w:lang w:bidi="ar-EG"/>
        </w:rPr>
        <w:t>1</w:t>
      </w:r>
      <w:r w:rsidRPr="004B542B">
        <w:rPr>
          <w:rFonts w:ascii="Times New Roman" w:hAnsi="Times New Roman"/>
          <w:b w:val="0"/>
          <w:bCs w:val="0"/>
          <w:kern w:val="0"/>
          <w:sz w:val="20"/>
          <w:szCs w:val="20"/>
          <w:lang w:bidi="ar-EG"/>
        </w:rPr>
        <w:t xml:space="preserve"> and Mohamed </w:t>
      </w:r>
      <w:proofErr w:type="spellStart"/>
      <w:r w:rsidRPr="004B542B">
        <w:rPr>
          <w:rFonts w:ascii="Times New Roman" w:hAnsi="Times New Roman"/>
          <w:b w:val="0"/>
          <w:bCs w:val="0"/>
          <w:kern w:val="0"/>
          <w:sz w:val="20"/>
          <w:szCs w:val="20"/>
          <w:lang w:bidi="ar-EG"/>
        </w:rPr>
        <w:t>Hatem</w:t>
      </w:r>
      <w:proofErr w:type="spellEnd"/>
      <w:r w:rsidRPr="004B542B">
        <w:rPr>
          <w:rFonts w:ascii="Times New Roman" w:hAnsi="Times New Roman"/>
          <w:b w:val="0"/>
          <w:bCs w:val="0"/>
          <w:kern w:val="0"/>
          <w:sz w:val="20"/>
          <w:szCs w:val="20"/>
          <w:lang w:bidi="ar-EG"/>
        </w:rPr>
        <w:t xml:space="preserve"> Onsi</w:t>
      </w:r>
      <w:r w:rsidRPr="004B542B">
        <w:rPr>
          <w:rFonts w:ascii="Times New Roman" w:hAnsi="Times New Roman"/>
          <w:b w:val="0"/>
          <w:bCs w:val="0"/>
          <w:kern w:val="0"/>
          <w:sz w:val="20"/>
          <w:szCs w:val="20"/>
          <w:vertAlign w:val="superscript"/>
          <w:lang w:bidi="ar-EG"/>
        </w:rPr>
        <w:t>3</w:t>
      </w:r>
    </w:p>
    <w:p w:rsidR="00C46070" w:rsidRPr="004B542B" w:rsidRDefault="00C46070" w:rsidP="0087797F">
      <w:pPr>
        <w:pStyle w:val="Title"/>
        <w:bidi w:val="0"/>
        <w:snapToGrid w:val="0"/>
        <w:spacing w:before="0" w:after="0" w:line="240" w:lineRule="auto"/>
        <w:rPr>
          <w:rFonts w:ascii="Times New Roman" w:hAnsi="Times New Roman"/>
          <w:b w:val="0"/>
          <w:bCs w:val="0"/>
          <w:kern w:val="0"/>
          <w:sz w:val="20"/>
          <w:szCs w:val="20"/>
          <w:lang w:bidi="ar-EG"/>
        </w:rPr>
      </w:pPr>
    </w:p>
    <w:p w:rsidR="00B00CA8" w:rsidRPr="004B542B" w:rsidRDefault="00B00CA8" w:rsidP="0087797F">
      <w:pPr>
        <w:bidi w:val="0"/>
        <w:snapToGrid w:val="0"/>
        <w:spacing w:after="0" w:line="240" w:lineRule="auto"/>
        <w:jc w:val="center"/>
        <w:rPr>
          <w:rFonts w:ascii="Times New Roman" w:hAnsi="Times New Roman" w:cs="Times New Roman"/>
          <w:sz w:val="20"/>
          <w:szCs w:val="20"/>
          <w:lang w:bidi="ar-EG"/>
        </w:rPr>
      </w:pPr>
      <w:r w:rsidRPr="004B542B">
        <w:rPr>
          <w:rFonts w:ascii="Times New Roman" w:hAnsi="Times New Roman" w:cs="Times New Roman"/>
          <w:sz w:val="20"/>
          <w:szCs w:val="20"/>
          <w:vertAlign w:val="superscript"/>
          <w:lang w:bidi="ar-EG"/>
        </w:rPr>
        <w:t>1</w:t>
      </w:r>
      <w:r w:rsidRPr="004B542B">
        <w:rPr>
          <w:rFonts w:ascii="Times New Roman" w:hAnsi="Times New Roman" w:cs="Times New Roman"/>
          <w:sz w:val="20"/>
          <w:szCs w:val="20"/>
          <w:lang w:bidi="ar-EG"/>
        </w:rPr>
        <w:t xml:space="preserve">Cardiothoracic Surgery Department, Faculty of Medicine, </w:t>
      </w:r>
      <w:proofErr w:type="spellStart"/>
      <w:r w:rsidRPr="004B542B">
        <w:rPr>
          <w:rFonts w:ascii="Times New Roman" w:hAnsi="Times New Roman" w:cs="Times New Roman"/>
          <w:sz w:val="20"/>
          <w:szCs w:val="20"/>
          <w:lang w:bidi="ar-EG"/>
        </w:rPr>
        <w:t>Benha</w:t>
      </w:r>
      <w:proofErr w:type="spellEnd"/>
      <w:r w:rsidRPr="004B542B">
        <w:rPr>
          <w:rFonts w:ascii="Times New Roman" w:hAnsi="Times New Roman" w:cs="Times New Roman"/>
          <w:sz w:val="20"/>
          <w:szCs w:val="20"/>
          <w:lang w:bidi="ar-EG"/>
        </w:rPr>
        <w:t xml:space="preserve"> University, Egypt</w:t>
      </w:r>
    </w:p>
    <w:p w:rsidR="00B00CA8" w:rsidRPr="004B542B" w:rsidRDefault="00B00CA8" w:rsidP="0087797F">
      <w:pPr>
        <w:bidi w:val="0"/>
        <w:snapToGrid w:val="0"/>
        <w:spacing w:after="0" w:line="240" w:lineRule="auto"/>
        <w:jc w:val="center"/>
        <w:rPr>
          <w:rFonts w:ascii="Times New Roman" w:hAnsi="Times New Roman" w:cs="Times New Roman"/>
          <w:sz w:val="20"/>
          <w:szCs w:val="20"/>
          <w:lang w:bidi="ar-EG"/>
        </w:rPr>
      </w:pPr>
      <w:r w:rsidRPr="004B542B">
        <w:rPr>
          <w:rFonts w:ascii="Times New Roman" w:hAnsi="Times New Roman" w:cs="Times New Roman"/>
          <w:sz w:val="20"/>
          <w:szCs w:val="20"/>
          <w:vertAlign w:val="superscript"/>
          <w:lang w:bidi="ar-EG"/>
        </w:rPr>
        <w:t>2</w:t>
      </w:r>
      <w:r w:rsidRPr="004B542B">
        <w:rPr>
          <w:rFonts w:ascii="Times New Roman" w:hAnsi="Times New Roman" w:cs="Times New Roman"/>
          <w:sz w:val="20"/>
          <w:szCs w:val="20"/>
          <w:lang w:bidi="ar-EG"/>
        </w:rPr>
        <w:t>Anesthesia and intensive Care Medicine Department</w:t>
      </w:r>
      <w:r w:rsidRPr="004B542B">
        <w:rPr>
          <w:rFonts w:ascii="Times New Roman" w:hAnsi="Times New Roman" w:cs="Times New Roman"/>
          <w:b/>
          <w:bCs/>
          <w:sz w:val="20"/>
          <w:szCs w:val="20"/>
          <w:lang w:bidi="ar-EG"/>
        </w:rPr>
        <w:t xml:space="preserve">, </w:t>
      </w:r>
      <w:r w:rsidRPr="004B542B">
        <w:rPr>
          <w:rFonts w:ascii="Times New Roman" w:hAnsi="Times New Roman" w:cs="Times New Roman"/>
          <w:sz w:val="20"/>
          <w:szCs w:val="20"/>
          <w:lang w:bidi="ar-EG"/>
        </w:rPr>
        <w:t xml:space="preserve">Faculty of Medicine, </w:t>
      </w:r>
      <w:proofErr w:type="spellStart"/>
      <w:r w:rsidRPr="004B542B">
        <w:rPr>
          <w:rFonts w:ascii="Times New Roman" w:hAnsi="Times New Roman" w:cs="Times New Roman"/>
          <w:sz w:val="20"/>
          <w:szCs w:val="20"/>
          <w:lang w:bidi="ar-EG"/>
        </w:rPr>
        <w:t>Benha</w:t>
      </w:r>
      <w:proofErr w:type="spellEnd"/>
      <w:r w:rsidRPr="004B542B">
        <w:rPr>
          <w:rFonts w:ascii="Times New Roman" w:hAnsi="Times New Roman" w:cs="Times New Roman"/>
          <w:sz w:val="20"/>
          <w:szCs w:val="20"/>
          <w:lang w:bidi="ar-EG"/>
        </w:rPr>
        <w:t xml:space="preserve"> University, Egypt</w:t>
      </w:r>
    </w:p>
    <w:p w:rsidR="00B00CA8" w:rsidRPr="004B542B" w:rsidRDefault="00B00CA8" w:rsidP="0087797F">
      <w:pPr>
        <w:bidi w:val="0"/>
        <w:snapToGrid w:val="0"/>
        <w:spacing w:after="0" w:line="240" w:lineRule="auto"/>
        <w:jc w:val="center"/>
        <w:rPr>
          <w:rFonts w:ascii="Times New Roman" w:hAnsi="Times New Roman" w:cs="Times New Roman"/>
          <w:sz w:val="20"/>
          <w:szCs w:val="20"/>
          <w:lang w:bidi="ar-EG"/>
        </w:rPr>
      </w:pPr>
      <w:r w:rsidRPr="004B542B">
        <w:rPr>
          <w:rFonts w:ascii="Times New Roman" w:hAnsi="Times New Roman" w:cs="Times New Roman"/>
          <w:sz w:val="20"/>
          <w:szCs w:val="20"/>
          <w:vertAlign w:val="superscript"/>
          <w:lang w:bidi="ar-EG"/>
        </w:rPr>
        <w:t>3</w:t>
      </w:r>
      <w:r w:rsidRPr="004B542B">
        <w:rPr>
          <w:rFonts w:ascii="Times New Roman" w:hAnsi="Times New Roman" w:cs="Times New Roman"/>
          <w:sz w:val="20"/>
          <w:szCs w:val="20"/>
          <w:lang w:bidi="ar-EG"/>
        </w:rPr>
        <w:t xml:space="preserve">Critical Care Medicine, Faculty of Medicine, </w:t>
      </w:r>
      <w:proofErr w:type="spellStart"/>
      <w:r w:rsidRPr="004B542B">
        <w:rPr>
          <w:rFonts w:ascii="Times New Roman" w:hAnsi="Times New Roman" w:cs="Times New Roman"/>
          <w:sz w:val="20"/>
          <w:szCs w:val="20"/>
          <w:lang w:bidi="ar-EG"/>
        </w:rPr>
        <w:t>Benha</w:t>
      </w:r>
      <w:proofErr w:type="spellEnd"/>
      <w:r w:rsidRPr="004B542B">
        <w:rPr>
          <w:rFonts w:ascii="Times New Roman" w:hAnsi="Times New Roman" w:cs="Times New Roman"/>
          <w:sz w:val="20"/>
          <w:szCs w:val="20"/>
          <w:lang w:bidi="ar-EG"/>
        </w:rPr>
        <w:t xml:space="preserve"> University, Egypt</w:t>
      </w:r>
    </w:p>
    <w:p w:rsidR="00C46070" w:rsidRPr="004B542B" w:rsidRDefault="0049253D" w:rsidP="0087797F">
      <w:pPr>
        <w:bidi w:val="0"/>
        <w:snapToGrid w:val="0"/>
        <w:spacing w:after="0" w:line="240" w:lineRule="auto"/>
        <w:jc w:val="center"/>
        <w:rPr>
          <w:rFonts w:ascii="Times New Roman" w:hAnsi="Times New Roman" w:cs="Times New Roman"/>
          <w:sz w:val="20"/>
          <w:szCs w:val="20"/>
          <w:lang w:bidi="ar-EG"/>
        </w:rPr>
      </w:pPr>
      <w:hyperlink r:id="rId8" w:history="1">
        <w:r w:rsidR="009F327B" w:rsidRPr="004B542B">
          <w:rPr>
            <w:rStyle w:val="Hyperlink"/>
            <w:rFonts w:ascii="Times New Roman" w:hAnsi="Times New Roman" w:cs="Times New Roman"/>
            <w:sz w:val="20"/>
            <w:szCs w:val="20"/>
            <w:lang w:bidi="ar-EG"/>
          </w:rPr>
          <w:t>onsi_mohamed@yahoo.com</w:t>
        </w:r>
      </w:hyperlink>
    </w:p>
    <w:p w:rsidR="00C46070" w:rsidRPr="004B542B" w:rsidRDefault="00C46070" w:rsidP="0087797F">
      <w:pPr>
        <w:bidi w:val="0"/>
        <w:snapToGrid w:val="0"/>
        <w:spacing w:after="0" w:line="240" w:lineRule="auto"/>
        <w:jc w:val="center"/>
        <w:rPr>
          <w:rFonts w:ascii="Times New Roman" w:hAnsi="Times New Roman" w:cs="Times New Roman"/>
          <w:sz w:val="20"/>
          <w:szCs w:val="20"/>
          <w:lang w:bidi="ar-EG"/>
        </w:rPr>
      </w:pPr>
    </w:p>
    <w:p w:rsidR="008A62AE" w:rsidRPr="004B542B" w:rsidRDefault="001548CA" w:rsidP="0087797F">
      <w:pPr>
        <w:bidi w:val="0"/>
        <w:snapToGrid w:val="0"/>
        <w:spacing w:after="0" w:line="240" w:lineRule="auto"/>
        <w:jc w:val="both"/>
        <w:rPr>
          <w:rFonts w:ascii="Times New Roman" w:hAnsi="Times New Roman" w:cs="Times New Roman"/>
          <w:sz w:val="20"/>
          <w:szCs w:val="20"/>
          <w:lang w:bidi="ar-EG"/>
        </w:rPr>
      </w:pPr>
      <w:r w:rsidRPr="004B542B">
        <w:rPr>
          <w:rFonts w:ascii="Times New Roman" w:hAnsi="Times New Roman" w:cs="Times New Roman"/>
          <w:b/>
          <w:bCs/>
          <w:sz w:val="20"/>
          <w:szCs w:val="20"/>
          <w:lang w:bidi="ar-EG"/>
        </w:rPr>
        <w:t>Abstract</w:t>
      </w:r>
      <w:r w:rsidR="00494379" w:rsidRPr="004B542B">
        <w:rPr>
          <w:rFonts w:ascii="Times New Roman" w:hAnsi="Times New Roman" w:cs="Times New Roman"/>
          <w:b/>
          <w:bCs/>
          <w:sz w:val="20"/>
          <w:szCs w:val="20"/>
          <w:lang w:bidi="ar-EG"/>
        </w:rPr>
        <w:t xml:space="preserve">: </w:t>
      </w:r>
      <w:r w:rsidRPr="004B542B">
        <w:rPr>
          <w:rFonts w:ascii="Times New Roman" w:hAnsi="Times New Roman" w:cs="Times New Roman"/>
          <w:b/>
          <w:bCs/>
          <w:sz w:val="20"/>
          <w:szCs w:val="20"/>
          <w:lang w:bidi="ar-EG"/>
        </w:rPr>
        <w:t>Introduction</w:t>
      </w:r>
      <w:r w:rsidRPr="004B542B">
        <w:rPr>
          <w:rFonts w:ascii="Times New Roman" w:hAnsi="Times New Roman" w:cs="Times New Roman"/>
          <w:sz w:val="20"/>
          <w:szCs w:val="20"/>
          <w:lang w:bidi="ar-EG"/>
        </w:rPr>
        <w:t>: Acute kidney injury has a high morbidity and mortality outcome so need</w:t>
      </w:r>
      <w:r w:rsidR="00546DCB" w:rsidRPr="004B542B">
        <w:rPr>
          <w:rFonts w:ascii="Times New Roman" w:hAnsi="Times New Roman" w:cs="Times New Roman"/>
          <w:sz w:val="20"/>
          <w:szCs w:val="20"/>
          <w:lang w:bidi="ar-EG"/>
        </w:rPr>
        <w:t xml:space="preserve"> highly</w:t>
      </w:r>
      <w:r w:rsidRPr="004B542B">
        <w:rPr>
          <w:rFonts w:ascii="Times New Roman" w:hAnsi="Times New Roman" w:cs="Times New Roman"/>
          <w:sz w:val="20"/>
          <w:szCs w:val="20"/>
          <w:lang w:bidi="ar-EG"/>
        </w:rPr>
        <w:t xml:space="preserve"> </w:t>
      </w:r>
      <w:r w:rsidR="004C15D6" w:rsidRPr="004B542B">
        <w:rPr>
          <w:rFonts w:ascii="Times New Roman" w:hAnsi="Times New Roman" w:cs="Times New Roman"/>
          <w:sz w:val="20"/>
          <w:szCs w:val="20"/>
          <w:lang w:bidi="ar-EG"/>
        </w:rPr>
        <w:t xml:space="preserve">sensitive </w:t>
      </w:r>
      <w:r w:rsidR="002501F5" w:rsidRPr="004B542B">
        <w:rPr>
          <w:rFonts w:ascii="Times New Roman" w:hAnsi="Times New Roman" w:cs="Times New Roman"/>
          <w:sz w:val="20"/>
          <w:szCs w:val="20"/>
          <w:lang w:bidi="ar-EG"/>
        </w:rPr>
        <w:t>marker to</w:t>
      </w:r>
      <w:r w:rsidR="00546DCB" w:rsidRPr="004B542B">
        <w:rPr>
          <w:rFonts w:ascii="Times New Roman" w:hAnsi="Times New Roman" w:cs="Times New Roman"/>
          <w:sz w:val="20"/>
          <w:szCs w:val="20"/>
          <w:lang w:bidi="ar-EG"/>
        </w:rPr>
        <w:t xml:space="preserve"> assess the degree of tubular affection for early detection and management to prevent further complication.</w:t>
      </w:r>
      <w:r w:rsidR="00494379" w:rsidRPr="004B542B">
        <w:rPr>
          <w:rFonts w:ascii="Times New Roman" w:hAnsi="Times New Roman" w:cs="Times New Roman"/>
          <w:b/>
          <w:bCs/>
          <w:sz w:val="20"/>
          <w:szCs w:val="20"/>
          <w:lang w:bidi="ar-EG"/>
        </w:rPr>
        <w:t xml:space="preserve"> </w:t>
      </w:r>
      <w:r w:rsidR="00546DCB" w:rsidRPr="004B542B">
        <w:rPr>
          <w:rFonts w:ascii="Times New Roman" w:hAnsi="Times New Roman" w:cs="Times New Roman"/>
          <w:b/>
          <w:bCs/>
          <w:sz w:val="20"/>
          <w:szCs w:val="20"/>
          <w:lang w:bidi="ar-EG"/>
        </w:rPr>
        <w:t>Methods</w:t>
      </w:r>
      <w:r w:rsidR="00546DCB" w:rsidRPr="004B542B">
        <w:rPr>
          <w:rFonts w:ascii="Times New Roman" w:hAnsi="Times New Roman" w:cs="Times New Roman"/>
          <w:sz w:val="20"/>
          <w:szCs w:val="20"/>
          <w:lang w:bidi="ar-EG"/>
        </w:rPr>
        <w:t>:</w:t>
      </w:r>
      <w:r w:rsidR="00546DCB" w:rsidRPr="004B542B">
        <w:rPr>
          <w:rFonts w:ascii="Times New Roman" w:hAnsi="Times New Roman" w:cs="Times New Roman"/>
          <w:sz w:val="20"/>
          <w:szCs w:val="20"/>
        </w:rPr>
        <w:t xml:space="preserve"> We investigated the ability of a </w:t>
      </w:r>
      <w:proofErr w:type="spellStart"/>
      <w:r w:rsidR="00546DCB" w:rsidRPr="004B542B">
        <w:rPr>
          <w:rFonts w:ascii="Times New Roman" w:hAnsi="Times New Roman" w:cs="Times New Roman"/>
          <w:sz w:val="20"/>
          <w:szCs w:val="20"/>
        </w:rPr>
        <w:t>furosemide</w:t>
      </w:r>
      <w:proofErr w:type="spellEnd"/>
      <w:r w:rsidR="00546DCB" w:rsidRPr="004B542B">
        <w:rPr>
          <w:rFonts w:ascii="Times New Roman" w:hAnsi="Times New Roman" w:cs="Times New Roman"/>
          <w:sz w:val="20"/>
          <w:szCs w:val="20"/>
        </w:rPr>
        <w:t xml:space="preserve"> stress test (FST) (one-time dose of 1.0 or1.5 mg/kg depending on prior </w:t>
      </w:r>
      <w:proofErr w:type="spellStart"/>
      <w:r w:rsidR="00546DCB" w:rsidRPr="004B542B">
        <w:rPr>
          <w:rFonts w:ascii="Times New Roman" w:hAnsi="Times New Roman" w:cs="Times New Roman"/>
          <w:sz w:val="20"/>
          <w:szCs w:val="20"/>
        </w:rPr>
        <w:t>furosemide</w:t>
      </w:r>
      <w:proofErr w:type="spellEnd"/>
      <w:r w:rsidR="00546DCB" w:rsidRPr="004B542B">
        <w:rPr>
          <w:rFonts w:ascii="Times New Roman" w:hAnsi="Times New Roman" w:cs="Times New Roman"/>
          <w:sz w:val="20"/>
          <w:szCs w:val="20"/>
        </w:rPr>
        <w:t>-exposure) to predict the development of AKIN Stage-</w:t>
      </w:r>
      <w:r w:rsidR="0043780C" w:rsidRPr="004B542B">
        <w:rPr>
          <w:rFonts w:ascii="Times New Roman" w:hAnsi="Times New Roman" w:cs="Times New Roman"/>
          <w:sz w:val="20"/>
          <w:szCs w:val="20"/>
        </w:rPr>
        <w:t>III in</w:t>
      </w:r>
      <w:r w:rsidR="00546DCB" w:rsidRPr="004B542B">
        <w:rPr>
          <w:rFonts w:ascii="Times New Roman" w:hAnsi="Times New Roman" w:cs="Times New Roman"/>
          <w:sz w:val="20"/>
          <w:szCs w:val="20"/>
        </w:rPr>
        <w:t xml:space="preserve"> critically ill subjects</w:t>
      </w:r>
      <w:r w:rsidR="0043780C" w:rsidRPr="004B542B">
        <w:rPr>
          <w:rFonts w:ascii="Times New Roman" w:hAnsi="Times New Roman" w:cs="Times New Roman"/>
          <w:sz w:val="20"/>
          <w:szCs w:val="20"/>
        </w:rPr>
        <w:t xml:space="preserve"> with early AKI which considered group I. and group II</w:t>
      </w:r>
      <w:r w:rsidR="00546DCB" w:rsidRPr="004B542B">
        <w:rPr>
          <w:rFonts w:ascii="Times New Roman" w:hAnsi="Times New Roman" w:cs="Times New Roman"/>
          <w:sz w:val="20"/>
          <w:szCs w:val="20"/>
        </w:rPr>
        <w:t xml:space="preserve"> who</w:t>
      </w:r>
      <w:r w:rsidR="0043780C" w:rsidRPr="004B542B">
        <w:rPr>
          <w:rFonts w:ascii="Times New Roman" w:hAnsi="Times New Roman" w:cs="Times New Roman"/>
          <w:sz w:val="20"/>
          <w:szCs w:val="20"/>
        </w:rPr>
        <w:t xml:space="preserve"> </w:t>
      </w:r>
      <w:r w:rsidR="00546DCB" w:rsidRPr="004B542B">
        <w:rPr>
          <w:rFonts w:ascii="Times New Roman" w:hAnsi="Times New Roman" w:cs="Times New Roman"/>
          <w:sz w:val="20"/>
          <w:szCs w:val="20"/>
        </w:rPr>
        <w:t>received</w:t>
      </w:r>
      <w:r w:rsidR="0043780C" w:rsidRPr="004B542B">
        <w:rPr>
          <w:rFonts w:ascii="Times New Roman" w:hAnsi="Times New Roman" w:cs="Times New Roman"/>
          <w:sz w:val="20"/>
          <w:szCs w:val="20"/>
        </w:rPr>
        <w:t xml:space="preserve"> standard management for AKI.</w:t>
      </w:r>
      <w:r w:rsidR="00494379" w:rsidRPr="004B542B">
        <w:rPr>
          <w:rFonts w:ascii="Times New Roman" w:hAnsi="Times New Roman" w:cs="Times New Roman"/>
          <w:b/>
          <w:bCs/>
          <w:sz w:val="20"/>
          <w:szCs w:val="20"/>
          <w:lang w:bidi="ar-EG"/>
        </w:rPr>
        <w:t xml:space="preserve"> </w:t>
      </w:r>
      <w:r w:rsidR="0043780C" w:rsidRPr="004B542B">
        <w:rPr>
          <w:rFonts w:ascii="Times New Roman" w:hAnsi="Times New Roman" w:cs="Times New Roman"/>
          <w:b/>
          <w:bCs/>
          <w:sz w:val="20"/>
          <w:szCs w:val="20"/>
        </w:rPr>
        <w:t>Result</w:t>
      </w:r>
      <w:r w:rsidR="0043780C"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00125A5C" w:rsidRPr="004B542B">
        <w:rPr>
          <w:rFonts w:ascii="Times New Roman" w:hAnsi="Times New Roman" w:cs="Times New Roman"/>
          <w:sz w:val="20"/>
          <w:szCs w:val="20"/>
        </w:rPr>
        <w:t>We studied 80 subjects; 40 consecutive patients in group I and 40 consecutive patients in group II; 25 (37.5</w:t>
      </w:r>
      <w:r w:rsidR="0043780C" w:rsidRPr="004B542B">
        <w:rPr>
          <w:rFonts w:ascii="Times New Roman" w:hAnsi="Times New Roman" w:cs="Times New Roman"/>
          <w:sz w:val="20"/>
          <w:szCs w:val="20"/>
        </w:rPr>
        <w:t>%)</w:t>
      </w:r>
      <w:r w:rsidR="00125A5C" w:rsidRPr="004B542B">
        <w:rPr>
          <w:rFonts w:ascii="Times New Roman" w:hAnsi="Times New Roman" w:cs="Times New Roman"/>
          <w:sz w:val="20"/>
          <w:szCs w:val="20"/>
        </w:rPr>
        <w:t xml:space="preserve"> and (50%)</w:t>
      </w:r>
      <w:r w:rsidR="0043780C" w:rsidRPr="004B542B">
        <w:rPr>
          <w:rFonts w:ascii="Times New Roman" w:hAnsi="Times New Roman" w:cs="Times New Roman"/>
          <w:sz w:val="20"/>
          <w:szCs w:val="20"/>
        </w:rPr>
        <w:t xml:space="preserve"> met the primary endpoint of progression to AKIN-III</w:t>
      </w:r>
      <w:r w:rsidR="00125A5C" w:rsidRPr="004B542B">
        <w:rPr>
          <w:rFonts w:ascii="Times New Roman" w:hAnsi="Times New Roman" w:cs="Times New Roman"/>
          <w:sz w:val="20"/>
          <w:szCs w:val="20"/>
        </w:rPr>
        <w:t xml:space="preserve"> in group I</w:t>
      </w:r>
      <w:r w:rsidR="0087797F" w:rsidRPr="004B542B">
        <w:rPr>
          <w:rFonts w:ascii="Times New Roman" w:hAnsi="Times New Roman" w:cs="Times New Roman"/>
          <w:sz w:val="20"/>
          <w:szCs w:val="20"/>
        </w:rPr>
        <w:t>, I</w:t>
      </w:r>
      <w:r w:rsidR="00125A5C" w:rsidRPr="004B542B">
        <w:rPr>
          <w:rFonts w:ascii="Times New Roman" w:hAnsi="Times New Roman" w:cs="Times New Roman"/>
          <w:sz w:val="20"/>
          <w:szCs w:val="20"/>
        </w:rPr>
        <w:t xml:space="preserve">I </w:t>
      </w:r>
      <w:r w:rsidR="008A62AE" w:rsidRPr="004B542B">
        <w:rPr>
          <w:rFonts w:ascii="Times New Roman" w:hAnsi="Times New Roman" w:cs="Times New Roman"/>
          <w:sz w:val="20"/>
          <w:szCs w:val="20"/>
        </w:rPr>
        <w:t>consequently</w:t>
      </w:r>
      <w:r w:rsidR="00125A5C" w:rsidRPr="004B542B">
        <w:rPr>
          <w:rFonts w:ascii="Times New Roman" w:hAnsi="Times New Roman" w:cs="Times New Roman"/>
          <w:sz w:val="20"/>
          <w:szCs w:val="20"/>
        </w:rPr>
        <w:t>. patients</w:t>
      </w:r>
      <w:r w:rsidR="0043780C" w:rsidRPr="004B542B">
        <w:rPr>
          <w:rFonts w:ascii="Times New Roman" w:hAnsi="Times New Roman" w:cs="Times New Roman"/>
          <w:sz w:val="20"/>
          <w:szCs w:val="20"/>
        </w:rPr>
        <w:t xml:space="preserve"> with progressive AKI had significantly lower urine </w:t>
      </w:r>
      <w:r w:rsidR="00125A5C" w:rsidRPr="004B542B">
        <w:rPr>
          <w:rFonts w:ascii="Times New Roman" w:hAnsi="Times New Roman" w:cs="Times New Roman"/>
          <w:sz w:val="20"/>
          <w:szCs w:val="20"/>
        </w:rPr>
        <w:t>output following FST in the first 6 hours (p&lt;0.033</w:t>
      </w:r>
      <w:r w:rsidR="0043780C" w:rsidRPr="004B542B">
        <w:rPr>
          <w:rFonts w:ascii="Times New Roman" w:hAnsi="Times New Roman" w:cs="Times New Roman"/>
          <w:sz w:val="20"/>
          <w:szCs w:val="20"/>
        </w:rPr>
        <w:t>). The area under the</w:t>
      </w:r>
      <w:r w:rsidR="00494379" w:rsidRPr="004B542B">
        <w:rPr>
          <w:rFonts w:ascii="Times New Roman" w:hAnsi="Times New Roman" w:cs="Times New Roman"/>
          <w:b/>
          <w:bCs/>
          <w:sz w:val="20"/>
          <w:szCs w:val="20"/>
          <w:lang w:bidi="ar-EG"/>
        </w:rPr>
        <w:t xml:space="preserve"> </w:t>
      </w:r>
      <w:r w:rsidR="0043780C" w:rsidRPr="004B542B">
        <w:rPr>
          <w:rFonts w:ascii="Times New Roman" w:hAnsi="Times New Roman" w:cs="Times New Roman"/>
          <w:sz w:val="20"/>
          <w:szCs w:val="20"/>
        </w:rPr>
        <w:t>receiver operator characteristic curves for the total urine output over the first 2 hours following FST to predict progression to AKIN-III was 0.87 (p = 0.001). The ideal-cutoff for predicting AKI progression during</w:t>
      </w:r>
      <w:r w:rsidR="00125A5C" w:rsidRPr="004B542B">
        <w:rPr>
          <w:rFonts w:ascii="Times New Roman" w:hAnsi="Times New Roman" w:cs="Times New Roman"/>
          <w:sz w:val="20"/>
          <w:szCs w:val="20"/>
        </w:rPr>
        <w:t xml:space="preserve"> the first 2 hours </w:t>
      </w:r>
      <w:r w:rsidR="0043780C" w:rsidRPr="004B542B">
        <w:rPr>
          <w:rFonts w:ascii="Times New Roman" w:hAnsi="Times New Roman" w:cs="Times New Roman"/>
          <w:sz w:val="20"/>
          <w:szCs w:val="20"/>
        </w:rPr>
        <w:t>was a urine volume of less than</w:t>
      </w:r>
      <w:r w:rsidR="008A62AE" w:rsidRPr="004B542B">
        <w:rPr>
          <w:rFonts w:ascii="Times New Roman" w:hAnsi="Times New Roman" w:cs="Times New Roman"/>
          <w:sz w:val="20"/>
          <w:szCs w:val="20"/>
        </w:rPr>
        <w:t>325mls with a sensitivity of 87.1% and specificity 84.1% in group I and 95% sensitivity and 95%specificity in group II.</w:t>
      </w:r>
      <w:r w:rsidR="00494379" w:rsidRPr="004B542B">
        <w:rPr>
          <w:rFonts w:ascii="Times New Roman" w:hAnsi="Times New Roman" w:cs="Times New Roman"/>
          <w:sz w:val="20"/>
          <w:szCs w:val="20"/>
          <w:lang w:bidi="ar-EG"/>
        </w:rPr>
        <w:t xml:space="preserve"> </w:t>
      </w:r>
      <w:r w:rsidR="008A62AE" w:rsidRPr="004B542B">
        <w:rPr>
          <w:rFonts w:ascii="Times New Roman" w:hAnsi="Times New Roman" w:cs="Times New Roman"/>
          <w:b/>
          <w:bCs/>
          <w:sz w:val="20"/>
          <w:szCs w:val="20"/>
          <w:lang w:bidi="ar-EG"/>
        </w:rPr>
        <w:t>Conclusion</w:t>
      </w:r>
      <w:r w:rsidR="008A62AE" w:rsidRPr="004B542B">
        <w:rPr>
          <w:rFonts w:ascii="Times New Roman" w:hAnsi="Times New Roman" w:cs="Times New Roman"/>
          <w:sz w:val="20"/>
          <w:szCs w:val="20"/>
          <w:lang w:bidi="ar-EG"/>
        </w:rPr>
        <w:t>:</w:t>
      </w:r>
      <w:r w:rsidR="008A62AE" w:rsidRPr="004B542B">
        <w:rPr>
          <w:rFonts w:ascii="Times New Roman" w:hAnsi="Times New Roman" w:cs="Times New Roman"/>
          <w:sz w:val="20"/>
          <w:szCs w:val="20"/>
        </w:rPr>
        <w:t xml:space="preserve"> The FST in patients with early AKI serves as a novel assessment of tubular function with predictive capacity to identify those patients with severe and progressive AKI.</w:t>
      </w:r>
      <w:r w:rsidR="007D1BAE" w:rsidRPr="004B542B">
        <w:rPr>
          <w:rFonts w:ascii="Times New Roman" w:hAnsi="Times New Roman" w:cs="Times New Roman"/>
          <w:sz w:val="20"/>
          <w:szCs w:val="20"/>
        </w:rPr>
        <w:t xml:space="preserve"> </w:t>
      </w:r>
      <w:r w:rsidR="008A62AE" w:rsidRPr="004B542B">
        <w:rPr>
          <w:rFonts w:ascii="Times New Roman" w:hAnsi="Times New Roman" w:cs="Times New Roman"/>
          <w:sz w:val="20"/>
          <w:szCs w:val="20"/>
        </w:rPr>
        <w:t>Future studies to validate these findings are warranted.</w:t>
      </w:r>
    </w:p>
    <w:p w:rsidR="0087797F" w:rsidRPr="004B542B" w:rsidRDefault="0087797F" w:rsidP="0087797F">
      <w:pPr>
        <w:pStyle w:val="Title"/>
        <w:bidi w:val="0"/>
        <w:snapToGrid w:val="0"/>
        <w:spacing w:before="0" w:after="0" w:line="240" w:lineRule="auto"/>
        <w:jc w:val="both"/>
        <w:rPr>
          <w:rFonts w:ascii="Times New Roman" w:hAnsi="Times New Roman"/>
          <w:b w:val="0"/>
          <w:bCs w:val="0"/>
          <w:kern w:val="0"/>
          <w:sz w:val="20"/>
          <w:szCs w:val="20"/>
          <w:lang w:bidi="ar-EG"/>
        </w:rPr>
      </w:pPr>
      <w:r w:rsidRPr="004B542B">
        <w:rPr>
          <w:rFonts w:ascii="Times New Roman" w:hAnsi="Times New Roman"/>
          <w:kern w:val="0"/>
          <w:sz w:val="20"/>
          <w:szCs w:val="20"/>
        </w:rPr>
        <w:t>[</w:t>
      </w:r>
      <w:proofErr w:type="spellStart"/>
      <w:r w:rsidRPr="004B542B">
        <w:rPr>
          <w:rFonts w:ascii="Times New Roman" w:hAnsi="Times New Roman"/>
          <w:b w:val="0"/>
          <w:bCs w:val="0"/>
          <w:kern w:val="0"/>
          <w:sz w:val="20"/>
          <w:szCs w:val="20"/>
          <w:lang w:bidi="ar-EG"/>
        </w:rPr>
        <w:t>Yousry</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Elsaied</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Rezk</w:t>
      </w:r>
      <w:proofErr w:type="spellEnd"/>
      <w:r w:rsidRPr="004B542B">
        <w:rPr>
          <w:rFonts w:ascii="Times New Roman" w:hAnsi="Times New Roman"/>
          <w:b w:val="0"/>
          <w:bCs w:val="0"/>
          <w:kern w:val="0"/>
          <w:sz w:val="20"/>
          <w:szCs w:val="20"/>
          <w:lang w:bidi="ar-EG"/>
        </w:rPr>
        <w:t xml:space="preserve">, Ahmed </w:t>
      </w:r>
      <w:proofErr w:type="spellStart"/>
      <w:r w:rsidRPr="004B542B">
        <w:rPr>
          <w:rFonts w:ascii="Times New Roman" w:hAnsi="Times New Roman"/>
          <w:b w:val="0"/>
          <w:bCs w:val="0"/>
          <w:kern w:val="0"/>
          <w:sz w:val="20"/>
          <w:szCs w:val="20"/>
          <w:lang w:bidi="ar-EG"/>
        </w:rPr>
        <w:t>Hamdy</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Abd</w:t>
      </w:r>
      <w:proofErr w:type="spellEnd"/>
      <w:r w:rsidRPr="004B542B">
        <w:rPr>
          <w:rFonts w:ascii="Times New Roman" w:hAnsi="Times New Roman"/>
          <w:b w:val="0"/>
          <w:bCs w:val="0"/>
          <w:kern w:val="0"/>
          <w:sz w:val="20"/>
          <w:szCs w:val="20"/>
          <w:lang w:bidi="ar-EG"/>
        </w:rPr>
        <w:t xml:space="preserve"> El-</w:t>
      </w:r>
      <w:proofErr w:type="spellStart"/>
      <w:r w:rsidRPr="004B542B">
        <w:rPr>
          <w:rFonts w:ascii="Times New Roman" w:hAnsi="Times New Roman"/>
          <w:b w:val="0"/>
          <w:bCs w:val="0"/>
          <w:kern w:val="0"/>
          <w:sz w:val="20"/>
          <w:szCs w:val="20"/>
          <w:lang w:bidi="ar-EG"/>
        </w:rPr>
        <w:t>Rahman</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Ashraf</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Mostafa</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Elnahas</w:t>
      </w:r>
      <w:proofErr w:type="spellEnd"/>
      <w:r w:rsidRPr="004B542B">
        <w:rPr>
          <w:rFonts w:ascii="Times New Roman" w:hAnsi="Times New Roman"/>
          <w:b w:val="0"/>
          <w:bCs w:val="0"/>
          <w:kern w:val="0"/>
          <w:sz w:val="20"/>
          <w:szCs w:val="20"/>
          <w:vertAlign w:val="superscript"/>
          <w:lang w:bidi="ar-EG"/>
        </w:rPr>
        <w:t xml:space="preserve"> </w:t>
      </w:r>
      <w:r w:rsidRPr="004B542B">
        <w:rPr>
          <w:rFonts w:ascii="Times New Roman" w:hAnsi="Times New Roman"/>
          <w:b w:val="0"/>
          <w:bCs w:val="0"/>
          <w:kern w:val="0"/>
          <w:sz w:val="20"/>
          <w:szCs w:val="20"/>
          <w:lang w:bidi="ar-EG"/>
        </w:rPr>
        <w:t xml:space="preserve"> and Mohamed </w:t>
      </w:r>
      <w:proofErr w:type="spellStart"/>
      <w:r w:rsidRPr="004B542B">
        <w:rPr>
          <w:rFonts w:ascii="Times New Roman" w:hAnsi="Times New Roman"/>
          <w:b w:val="0"/>
          <w:bCs w:val="0"/>
          <w:kern w:val="0"/>
          <w:sz w:val="20"/>
          <w:szCs w:val="20"/>
          <w:lang w:bidi="ar-EG"/>
        </w:rPr>
        <w:t>Hatem</w:t>
      </w:r>
      <w:proofErr w:type="spellEnd"/>
      <w:r w:rsidRPr="004B542B">
        <w:rPr>
          <w:rFonts w:ascii="Times New Roman" w:hAnsi="Times New Roman"/>
          <w:b w:val="0"/>
          <w:bCs w:val="0"/>
          <w:kern w:val="0"/>
          <w:sz w:val="20"/>
          <w:szCs w:val="20"/>
          <w:lang w:bidi="ar-EG"/>
        </w:rPr>
        <w:t xml:space="preserve"> </w:t>
      </w:r>
      <w:proofErr w:type="spellStart"/>
      <w:r w:rsidRPr="004B542B">
        <w:rPr>
          <w:rFonts w:ascii="Times New Roman" w:hAnsi="Times New Roman"/>
          <w:b w:val="0"/>
          <w:bCs w:val="0"/>
          <w:kern w:val="0"/>
          <w:sz w:val="20"/>
          <w:szCs w:val="20"/>
          <w:lang w:bidi="ar-EG"/>
        </w:rPr>
        <w:t>Onsi</w:t>
      </w:r>
      <w:proofErr w:type="spellEnd"/>
      <w:r w:rsidRPr="004B542B">
        <w:rPr>
          <w:rFonts w:ascii="Times New Roman" w:hAnsi="Times New Roman"/>
          <w:b w:val="0"/>
          <w:bCs w:val="0"/>
          <w:kern w:val="0"/>
          <w:sz w:val="20"/>
          <w:szCs w:val="20"/>
          <w:vertAlign w:val="superscript"/>
          <w:lang w:bidi="ar-EG"/>
        </w:rPr>
        <w:t xml:space="preserve"> </w:t>
      </w:r>
      <w:r w:rsidRPr="004B542B">
        <w:rPr>
          <w:rFonts w:ascii="Times New Roman" w:hAnsi="Times New Roman"/>
          <w:kern w:val="0"/>
          <w:sz w:val="20"/>
          <w:szCs w:val="20"/>
        </w:rPr>
        <w:t>.</w:t>
      </w:r>
      <w:r w:rsidRPr="004B542B">
        <w:rPr>
          <w:rFonts w:ascii="Times New Roman" w:eastAsiaTheme="minorEastAsia" w:hAnsi="Times New Roman" w:hint="eastAsia"/>
          <w:kern w:val="0"/>
          <w:sz w:val="20"/>
          <w:szCs w:val="20"/>
          <w:lang w:bidi="fa-IR"/>
        </w:rPr>
        <w:t xml:space="preserve"> </w:t>
      </w:r>
      <w:r w:rsidRPr="004B542B">
        <w:rPr>
          <w:rFonts w:ascii="Times New Roman" w:hAnsi="Times New Roman"/>
          <w:kern w:val="0"/>
          <w:sz w:val="20"/>
          <w:szCs w:val="20"/>
          <w:lang w:bidi="ar-EG"/>
        </w:rPr>
        <w:t xml:space="preserve">Role of </w:t>
      </w:r>
      <w:proofErr w:type="spellStart"/>
      <w:r w:rsidRPr="004B542B">
        <w:rPr>
          <w:rFonts w:ascii="Times New Roman" w:hAnsi="Times New Roman"/>
          <w:kern w:val="0"/>
          <w:sz w:val="20"/>
          <w:szCs w:val="20"/>
          <w:lang w:bidi="ar-EG"/>
        </w:rPr>
        <w:t>furosemide</w:t>
      </w:r>
      <w:proofErr w:type="spellEnd"/>
      <w:r w:rsidRPr="004B542B">
        <w:rPr>
          <w:rFonts w:ascii="Times New Roman" w:hAnsi="Times New Roman"/>
          <w:kern w:val="0"/>
          <w:sz w:val="20"/>
          <w:szCs w:val="20"/>
          <w:lang w:bidi="ar-EG"/>
        </w:rPr>
        <w:t xml:space="preserve"> stress test as a novel assessment of tubular function in acute kidney injury</w:t>
      </w:r>
      <w:r w:rsidRPr="004B542B">
        <w:rPr>
          <w:rFonts w:ascii="Times New Roman" w:hAnsi="Times New Roman"/>
          <w:kern w:val="0"/>
          <w:sz w:val="20"/>
          <w:szCs w:val="20"/>
          <w:lang w:bidi="fa-IR"/>
        </w:rPr>
        <w:t>.</w:t>
      </w:r>
      <w:r w:rsidRPr="004B542B">
        <w:rPr>
          <w:rFonts w:ascii="Times New Roman" w:hAnsi="Times New Roman"/>
          <w:b w:val="0"/>
          <w:i/>
          <w:kern w:val="0"/>
          <w:sz w:val="20"/>
          <w:szCs w:val="20"/>
        </w:rPr>
        <w:t xml:space="preserve"> N Y </w:t>
      </w:r>
      <w:proofErr w:type="spellStart"/>
      <w:r w:rsidRPr="004B542B">
        <w:rPr>
          <w:rFonts w:ascii="Times New Roman" w:hAnsi="Times New Roman"/>
          <w:b w:val="0"/>
          <w:i/>
          <w:kern w:val="0"/>
          <w:sz w:val="20"/>
          <w:szCs w:val="20"/>
        </w:rPr>
        <w:t>Sci</w:t>
      </w:r>
      <w:proofErr w:type="spellEnd"/>
      <w:r w:rsidRPr="004B542B">
        <w:rPr>
          <w:rFonts w:ascii="Times New Roman" w:hAnsi="Times New Roman"/>
          <w:b w:val="0"/>
          <w:i/>
          <w:kern w:val="0"/>
          <w:sz w:val="20"/>
          <w:szCs w:val="20"/>
        </w:rPr>
        <w:t xml:space="preserve"> J</w:t>
      </w:r>
      <w:r w:rsidRPr="004B542B">
        <w:rPr>
          <w:rFonts w:ascii="Times New Roman" w:hAnsi="Times New Roman"/>
          <w:b w:val="0"/>
          <w:kern w:val="0"/>
          <w:sz w:val="20"/>
          <w:szCs w:val="20"/>
        </w:rPr>
        <w:t xml:space="preserve"> 201</w:t>
      </w:r>
      <w:r w:rsidRPr="004B542B">
        <w:rPr>
          <w:rFonts w:ascii="Times New Roman" w:hAnsi="Times New Roman" w:hint="eastAsia"/>
          <w:b w:val="0"/>
          <w:kern w:val="0"/>
          <w:sz w:val="20"/>
          <w:szCs w:val="20"/>
        </w:rPr>
        <w:t>7</w:t>
      </w:r>
      <w:r w:rsidRPr="004B542B">
        <w:rPr>
          <w:rFonts w:ascii="Times New Roman" w:hAnsi="Times New Roman"/>
          <w:b w:val="0"/>
          <w:kern w:val="0"/>
          <w:sz w:val="20"/>
          <w:szCs w:val="20"/>
        </w:rPr>
        <w:t>;</w:t>
      </w:r>
      <w:r w:rsidRPr="004B542B">
        <w:rPr>
          <w:rFonts w:ascii="Times New Roman" w:hAnsi="Times New Roman" w:hint="eastAsia"/>
          <w:b w:val="0"/>
          <w:kern w:val="0"/>
          <w:sz w:val="20"/>
          <w:szCs w:val="20"/>
        </w:rPr>
        <w:t>10</w:t>
      </w:r>
      <w:r w:rsidRPr="004B542B">
        <w:rPr>
          <w:rFonts w:ascii="Times New Roman" w:hAnsi="Times New Roman"/>
          <w:b w:val="0"/>
          <w:kern w:val="0"/>
          <w:sz w:val="20"/>
          <w:szCs w:val="20"/>
        </w:rPr>
        <w:t>(</w:t>
      </w:r>
      <w:r w:rsidRPr="004B542B">
        <w:rPr>
          <w:rFonts w:ascii="Times New Roman" w:hAnsi="Times New Roman" w:hint="eastAsia"/>
          <w:b w:val="0"/>
          <w:kern w:val="0"/>
          <w:sz w:val="20"/>
          <w:szCs w:val="20"/>
        </w:rPr>
        <w:t>11</w:t>
      </w:r>
      <w:r w:rsidRPr="004B542B">
        <w:rPr>
          <w:rFonts w:ascii="Times New Roman" w:hAnsi="Times New Roman"/>
          <w:b w:val="0"/>
          <w:kern w:val="0"/>
          <w:sz w:val="20"/>
          <w:szCs w:val="20"/>
        </w:rPr>
        <w:t>):</w:t>
      </w:r>
      <w:r w:rsidR="00FB76CD" w:rsidRPr="004B542B">
        <w:rPr>
          <w:rFonts w:ascii="Times New Roman" w:hAnsi="Times New Roman"/>
          <w:b w:val="0"/>
          <w:noProof/>
          <w:color w:val="000000"/>
          <w:kern w:val="0"/>
          <w:sz w:val="20"/>
          <w:szCs w:val="20"/>
        </w:rPr>
        <w:t>16-21</w:t>
      </w:r>
      <w:r w:rsidRPr="004B542B">
        <w:rPr>
          <w:rFonts w:ascii="Times New Roman" w:hAnsi="Times New Roman"/>
          <w:b w:val="0"/>
          <w:kern w:val="0"/>
          <w:sz w:val="20"/>
          <w:szCs w:val="20"/>
        </w:rPr>
        <w:t xml:space="preserve">]. </w:t>
      </w:r>
      <w:r w:rsidRPr="004B542B">
        <w:rPr>
          <w:rFonts w:ascii="Times New Roman" w:hAnsi="Times New Roman"/>
          <w:b w:val="0"/>
          <w:iCs/>
          <w:color w:val="000000"/>
          <w:kern w:val="0"/>
          <w:sz w:val="20"/>
          <w:szCs w:val="20"/>
        </w:rPr>
        <w:t>ISSN 1554-0200 (print); ISSN 2375-723X (online)</w:t>
      </w:r>
      <w:r w:rsidRPr="004B542B">
        <w:rPr>
          <w:rFonts w:ascii="Times New Roman" w:hAnsi="Times New Roman"/>
          <w:b w:val="0"/>
          <w:kern w:val="0"/>
          <w:sz w:val="20"/>
          <w:szCs w:val="20"/>
        </w:rPr>
        <w:t xml:space="preserve">. </w:t>
      </w:r>
      <w:hyperlink r:id="rId9" w:history="1">
        <w:r w:rsidRPr="004B542B">
          <w:rPr>
            <w:rStyle w:val="Hyperlink"/>
            <w:rFonts w:ascii="Times New Roman" w:hAnsi="Times New Roman"/>
            <w:b w:val="0"/>
            <w:kern w:val="0"/>
            <w:sz w:val="20"/>
            <w:szCs w:val="20"/>
          </w:rPr>
          <w:t>http://www.sciencepub.net/newyork</w:t>
        </w:r>
      </w:hyperlink>
      <w:r w:rsidRPr="004B542B">
        <w:rPr>
          <w:rFonts w:ascii="Times New Roman" w:hAnsi="Times New Roman"/>
          <w:b w:val="0"/>
          <w:kern w:val="0"/>
          <w:sz w:val="20"/>
          <w:szCs w:val="20"/>
        </w:rPr>
        <w:t xml:space="preserve">. </w:t>
      </w:r>
      <w:r w:rsidRPr="004B542B">
        <w:rPr>
          <w:rFonts w:ascii="Times New Roman" w:eastAsiaTheme="minorEastAsia" w:hAnsi="Times New Roman" w:hint="eastAsia"/>
          <w:b w:val="0"/>
          <w:kern w:val="0"/>
          <w:sz w:val="20"/>
          <w:szCs w:val="20"/>
          <w:lang w:eastAsia="zh-CN"/>
        </w:rPr>
        <w:t>3</w:t>
      </w:r>
      <w:r w:rsidRPr="004B542B">
        <w:rPr>
          <w:rFonts w:ascii="Times New Roman" w:hAnsi="Times New Roman" w:hint="eastAsia"/>
          <w:b w:val="0"/>
          <w:kern w:val="0"/>
          <w:sz w:val="20"/>
          <w:szCs w:val="20"/>
        </w:rPr>
        <w:t xml:space="preserve">. </w:t>
      </w:r>
      <w:r w:rsidRPr="004B542B">
        <w:rPr>
          <w:rFonts w:ascii="Times New Roman" w:hAnsi="Times New Roman"/>
          <w:b w:val="0"/>
          <w:color w:val="000000"/>
          <w:kern w:val="0"/>
          <w:sz w:val="20"/>
          <w:szCs w:val="20"/>
          <w:shd w:val="clear" w:color="auto" w:fill="FFFFFF"/>
        </w:rPr>
        <w:t>doi:</w:t>
      </w:r>
      <w:hyperlink r:id="rId10" w:history="1">
        <w:r w:rsidRPr="004B542B">
          <w:rPr>
            <w:rStyle w:val="Hyperlink"/>
            <w:rFonts w:ascii="Times New Roman" w:hAnsi="Times New Roman"/>
            <w:b w:val="0"/>
            <w:kern w:val="0"/>
            <w:sz w:val="20"/>
            <w:szCs w:val="20"/>
            <w:shd w:val="clear" w:color="auto" w:fill="FFFFFF"/>
          </w:rPr>
          <w:t>10.7537/mars</w:t>
        </w:r>
        <w:r w:rsidRPr="004B542B">
          <w:rPr>
            <w:rStyle w:val="Hyperlink"/>
            <w:rFonts w:ascii="Times New Roman" w:hAnsi="Times New Roman" w:hint="eastAsia"/>
            <w:b w:val="0"/>
            <w:kern w:val="0"/>
            <w:sz w:val="20"/>
            <w:szCs w:val="20"/>
            <w:shd w:val="clear" w:color="auto" w:fill="FFFFFF"/>
          </w:rPr>
          <w:t>nys101117.</w:t>
        </w:r>
        <w:r w:rsidRPr="004B542B">
          <w:rPr>
            <w:rStyle w:val="Hyperlink"/>
            <w:rFonts w:ascii="Times New Roman" w:hAnsi="Times New Roman"/>
            <w:b w:val="0"/>
            <w:kern w:val="0"/>
            <w:sz w:val="20"/>
            <w:szCs w:val="20"/>
            <w:shd w:val="clear" w:color="auto" w:fill="FFFFFF"/>
          </w:rPr>
          <w:t>0</w:t>
        </w:r>
        <w:r w:rsidRPr="004B542B">
          <w:rPr>
            <w:rStyle w:val="Hyperlink"/>
            <w:rFonts w:ascii="Times New Roman" w:eastAsiaTheme="minorEastAsia" w:hAnsi="Times New Roman" w:hint="eastAsia"/>
            <w:b w:val="0"/>
            <w:kern w:val="0"/>
            <w:sz w:val="20"/>
            <w:szCs w:val="20"/>
            <w:shd w:val="clear" w:color="auto" w:fill="FFFFFF"/>
            <w:lang w:eastAsia="zh-CN"/>
          </w:rPr>
          <w:t>3</w:t>
        </w:r>
      </w:hyperlink>
      <w:r w:rsidRPr="004B542B">
        <w:rPr>
          <w:rFonts w:ascii="Times New Roman" w:hAnsi="Times New Roman"/>
          <w:b w:val="0"/>
          <w:color w:val="000000"/>
          <w:kern w:val="0"/>
          <w:sz w:val="20"/>
          <w:szCs w:val="20"/>
          <w:shd w:val="clear" w:color="auto" w:fill="FFFFFF"/>
        </w:rPr>
        <w:t>.</w:t>
      </w:r>
    </w:p>
    <w:p w:rsidR="00BC66BB" w:rsidRPr="004B542B" w:rsidRDefault="00BC66BB" w:rsidP="0087797F">
      <w:pPr>
        <w:bidi w:val="0"/>
        <w:snapToGrid w:val="0"/>
        <w:spacing w:after="0" w:line="240" w:lineRule="auto"/>
        <w:jc w:val="both"/>
        <w:rPr>
          <w:rFonts w:ascii="Times New Roman" w:hAnsi="Times New Roman" w:cs="Times New Roman"/>
          <w:sz w:val="20"/>
          <w:szCs w:val="20"/>
          <w:lang w:eastAsia="zh-CN"/>
        </w:rPr>
      </w:pPr>
    </w:p>
    <w:p w:rsidR="00BC66BB" w:rsidRPr="004B542B" w:rsidRDefault="00BC66BB" w:rsidP="0087797F">
      <w:pPr>
        <w:bidi w:val="0"/>
        <w:snapToGrid w:val="0"/>
        <w:spacing w:after="0" w:line="240" w:lineRule="auto"/>
        <w:jc w:val="both"/>
        <w:rPr>
          <w:rFonts w:ascii="Times New Roman" w:hAnsi="Times New Roman" w:cs="Times New Roman"/>
          <w:b/>
          <w:bCs/>
          <w:color w:val="000000"/>
          <w:sz w:val="20"/>
          <w:szCs w:val="20"/>
          <w:lang w:eastAsia="zh-CN" w:bidi="ar-EG"/>
        </w:rPr>
      </w:pPr>
      <w:r w:rsidRPr="004B542B">
        <w:rPr>
          <w:rFonts w:ascii="Times New Roman" w:hAnsi="Times New Roman" w:cs="Times New Roman" w:hint="eastAsia"/>
          <w:b/>
          <w:sz w:val="20"/>
          <w:szCs w:val="20"/>
          <w:lang w:eastAsia="zh-CN"/>
        </w:rPr>
        <w:t xml:space="preserve">Keywords: </w:t>
      </w:r>
      <w:r w:rsidRPr="004B542B">
        <w:rPr>
          <w:rFonts w:ascii="Times New Roman" w:hAnsi="Times New Roman" w:cs="Times New Roman"/>
          <w:sz w:val="20"/>
          <w:szCs w:val="20"/>
          <w:lang w:bidi="ar-EG"/>
        </w:rPr>
        <w:t>Role</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w:t>
      </w:r>
      <w:proofErr w:type="spellStart"/>
      <w:r w:rsidRPr="004B542B">
        <w:rPr>
          <w:rFonts w:ascii="Times New Roman" w:hAnsi="Times New Roman" w:cs="Times New Roman"/>
          <w:sz w:val="20"/>
          <w:szCs w:val="20"/>
          <w:lang w:bidi="ar-EG"/>
        </w:rPr>
        <w:t>furosemide</w:t>
      </w:r>
      <w:proofErr w:type="spellEnd"/>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stress</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test</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novel</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assessment</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tubular</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function</w:t>
      </w:r>
      <w:r w:rsidRPr="004B542B">
        <w:rPr>
          <w:rFonts w:ascii="Times New Roman" w:hAnsi="Times New Roman" w:cs="Times New Roman" w:hint="eastAsia"/>
          <w:sz w:val="20"/>
          <w:szCs w:val="20"/>
          <w:lang w:eastAsia="zh-CN" w:bidi="ar-EG"/>
        </w:rPr>
        <w:t>;</w:t>
      </w:r>
      <w:r w:rsidRPr="004B542B">
        <w:rPr>
          <w:rFonts w:ascii="Times New Roman" w:hAnsi="Times New Roman" w:cs="Times New Roman"/>
          <w:sz w:val="20"/>
          <w:szCs w:val="20"/>
          <w:lang w:bidi="ar-EG"/>
        </w:rPr>
        <w:t xml:space="preserve"> acute kidney injury</w:t>
      </w:r>
    </w:p>
    <w:p w:rsidR="00C46070" w:rsidRPr="004B542B" w:rsidRDefault="00C46070" w:rsidP="0087797F">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C46070" w:rsidRPr="004B542B" w:rsidRDefault="00C46070" w:rsidP="0087797F">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C46070" w:rsidRPr="004B542B" w:rsidSect="00FB76CD">
          <w:headerReference w:type="default" r:id="rId11"/>
          <w:footerReference w:type="default" r:id="rId12"/>
          <w:type w:val="continuous"/>
          <w:pgSz w:w="12242" w:h="15842" w:code="1"/>
          <w:pgMar w:top="1440" w:right="1440" w:bottom="1440" w:left="1440" w:header="720" w:footer="720" w:gutter="0"/>
          <w:pgNumType w:start="16"/>
          <w:cols w:space="708"/>
          <w:docGrid w:linePitch="360"/>
        </w:sectPr>
      </w:pPr>
    </w:p>
    <w:p w:rsidR="008A62AE" w:rsidRPr="004B542B" w:rsidRDefault="00494379" w:rsidP="0087797F">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4B542B">
        <w:rPr>
          <w:rFonts w:ascii="Times New Roman" w:hAnsi="Times New Roman" w:cs="Times New Roman"/>
          <w:b/>
          <w:bCs/>
          <w:sz w:val="20"/>
          <w:szCs w:val="20"/>
          <w:lang w:bidi="ar-EG"/>
        </w:rPr>
        <w:lastRenderedPageBreak/>
        <w:t xml:space="preserve">1. </w:t>
      </w:r>
      <w:r w:rsidR="008A62AE" w:rsidRPr="004B542B">
        <w:rPr>
          <w:rFonts w:ascii="Times New Roman" w:hAnsi="Times New Roman" w:cs="Times New Roman"/>
          <w:b/>
          <w:bCs/>
          <w:sz w:val="20"/>
          <w:szCs w:val="20"/>
          <w:lang w:bidi="ar-EG"/>
        </w:rPr>
        <w:t>Introduction</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 xml:space="preserve">Acute kidney injury (AKI) is a common complication of critical illness, seven to ten percent of intensive care units patients present with AKI during their ICU stay </w:t>
      </w:r>
      <w:r w:rsidRPr="004B542B">
        <w:rPr>
          <w:rFonts w:ascii="Times New Roman" w:hAnsi="Times New Roman" w:cs="Times New Roman"/>
          <w:b/>
          <w:bCs/>
          <w:sz w:val="20"/>
          <w:szCs w:val="20"/>
        </w:rPr>
        <w:t>(</w:t>
      </w:r>
      <w:r w:rsidRPr="004B542B">
        <w:rPr>
          <w:rFonts w:ascii="Times New Roman" w:hAnsi="Times New Roman" w:cs="Times New Roman"/>
          <w:b/>
          <w:bCs/>
          <w:color w:val="231F20"/>
          <w:sz w:val="20"/>
          <w:szCs w:val="20"/>
        </w:rPr>
        <w:t>1).</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 xml:space="preserve">45-60% of them are associated with high mortality </w:t>
      </w:r>
      <w:r w:rsidRPr="004B542B">
        <w:rPr>
          <w:rFonts w:ascii="Times New Roman" w:hAnsi="Times New Roman" w:cs="Times New Roman"/>
          <w:b/>
          <w:bCs/>
          <w:sz w:val="20"/>
          <w:szCs w:val="20"/>
        </w:rPr>
        <w:t>(2|).</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4B542B">
        <w:rPr>
          <w:rFonts w:ascii="Times New Roman" w:hAnsi="Times New Roman" w:cs="Times New Roman"/>
          <w:sz w:val="20"/>
          <w:szCs w:val="20"/>
        </w:rPr>
        <w:t>An early detection of adult patients with acute kidney injury may provide the opportunity to treat and prevent the extension of kidney injury.</w:t>
      </w:r>
      <w:r w:rsidRPr="004B542B">
        <w:rPr>
          <w:rFonts w:ascii="Times New Roman" w:hAnsi="Times New Roman" w:cs="Times New Roman"/>
          <w:b/>
          <w:bCs/>
          <w:sz w:val="20"/>
          <w:szCs w:val="20"/>
        </w:rPr>
        <w:t xml:space="preserve"> (1).</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It is important to prevent and early management of even the mildest forms of ARF to preserve renal functions, to prevent complications of ARF and to prevent the need for chronic dialysis (2).</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Acute kidney injury (AKI) is a clinical syndrome that is associated with significant morbidity and mortality</w:t>
      </w:r>
      <w:r w:rsidRPr="004B542B">
        <w:rPr>
          <w:rFonts w:ascii="Times New Roman" w:hAnsi="Times New Roman" w:cs="Times New Roman"/>
          <w:b/>
          <w:bCs/>
          <w:sz w:val="20"/>
          <w:szCs w:val="20"/>
        </w:rPr>
        <w:t xml:space="preserve"> [1, 2].</w:t>
      </w:r>
      <w:r w:rsidRPr="004B542B">
        <w:rPr>
          <w:rFonts w:ascii="Times New Roman" w:hAnsi="Times New Roman" w:cs="Times New Roman"/>
          <w:sz w:val="20"/>
          <w:szCs w:val="20"/>
        </w:rPr>
        <w:t xml:space="preserve"> The incidence of acute kidney injury (AKI) has doubled in the past decade and is expected to continue increasing </w:t>
      </w:r>
      <w:r w:rsidRPr="004B542B">
        <w:rPr>
          <w:rFonts w:ascii="Times New Roman" w:hAnsi="Times New Roman" w:cs="Times New Roman"/>
          <w:b/>
          <w:bCs/>
          <w:sz w:val="20"/>
          <w:szCs w:val="20"/>
        </w:rPr>
        <w:t>[3].</w:t>
      </w:r>
      <w:r w:rsidRPr="004B542B">
        <w:rPr>
          <w:rFonts w:ascii="Times New Roman" w:hAnsi="Times New Roman" w:cs="Times New Roman"/>
          <w:sz w:val="20"/>
          <w:szCs w:val="20"/>
        </w:rPr>
        <w:t xml:space="preserve"> </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Patients with acute kidney injury (AKI) are cared for by a multitude of specialists including but not limited to: emergency medicine physicians, Patients who develop acute kidney injury (AKI) often require renal replacement therapy (RRT), however clinicians often disagree about the optimal timing of the initiation of renal replacement therapy (RRT)</w:t>
      </w:r>
      <w:r w:rsidRPr="004B542B">
        <w:rPr>
          <w:rFonts w:ascii="Times New Roman" w:hAnsi="Times New Roman" w:cs="Times New Roman"/>
          <w:b/>
          <w:bCs/>
          <w:sz w:val="20"/>
          <w:szCs w:val="20"/>
        </w:rPr>
        <w:t xml:space="preserve"> [3].</w:t>
      </w:r>
    </w:p>
    <w:p w:rsidR="008A62AE" w:rsidRPr="004B542B" w:rsidRDefault="008A62AE"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lastRenderedPageBreak/>
        <w:t>During the Acute Kidney Injury Network (AKIN) multi-disciplinary consensus meeting, the question that was ranked highest was “When renal replacement therapy (RRT) should be initiated?</w:t>
      </w:r>
      <w:r w:rsidRPr="004B542B">
        <w:rPr>
          <w:rFonts w:ascii="Times New Roman" w:hAnsi="Times New Roman" w:cs="Times New Roman"/>
          <w:b/>
          <w:bCs/>
          <w:sz w:val="20"/>
          <w:szCs w:val="20"/>
        </w:rPr>
        <w:t xml:space="preserve"> [4].</w:t>
      </w:r>
      <w:r w:rsidRPr="004B542B">
        <w:rPr>
          <w:rFonts w:ascii="Times New Roman" w:hAnsi="Times New Roman" w:cs="Times New Roman"/>
          <w:sz w:val="20"/>
          <w:szCs w:val="20"/>
        </w:rPr>
        <w:t xml:space="preserve"> Renal replacement therapy (RRT) is an invasive procedure with inherent risks, and one would not want to initiate this therapy if renal function is expected to improve without intervention</w:t>
      </w:r>
      <w:r w:rsidR="00C46070" w:rsidRPr="004B542B">
        <w:rPr>
          <w:rFonts w:ascii="Times New Roman" w:hAnsi="Times New Roman" w:cs="Times New Roman"/>
          <w:sz w:val="20"/>
          <w:szCs w:val="20"/>
        </w:rPr>
        <w:t xml:space="preserve">. </w:t>
      </w:r>
      <w:r w:rsidR="00C46070" w:rsidRPr="004B542B">
        <w:rPr>
          <w:rFonts w:ascii="Times New Roman" w:hAnsi="Times New Roman" w:cs="Times New Roman"/>
          <w:b/>
          <w:bCs/>
          <w:sz w:val="20"/>
          <w:szCs w:val="20"/>
        </w:rPr>
        <w:t>[</w:t>
      </w:r>
      <w:r w:rsidRPr="004B542B">
        <w:rPr>
          <w:rFonts w:ascii="Times New Roman" w:hAnsi="Times New Roman" w:cs="Times New Roman"/>
          <w:b/>
          <w:bCs/>
          <w:sz w:val="20"/>
          <w:szCs w:val="20"/>
        </w:rPr>
        <w:t xml:space="preserve">5]. </w:t>
      </w:r>
      <w:r w:rsidRPr="004B542B">
        <w:rPr>
          <w:rFonts w:ascii="Times New Roman" w:hAnsi="Times New Roman" w:cs="Times New Roman"/>
          <w:sz w:val="20"/>
          <w:szCs w:val="20"/>
        </w:rPr>
        <w:t xml:space="preserve">Because serum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and </w:t>
      </w:r>
      <w:proofErr w:type="spellStart"/>
      <w:r w:rsidRPr="004B542B">
        <w:rPr>
          <w:rFonts w:ascii="Times New Roman" w:hAnsi="Times New Roman" w:cs="Times New Roman"/>
          <w:sz w:val="20"/>
          <w:szCs w:val="20"/>
        </w:rPr>
        <w:t>oliguria</w:t>
      </w:r>
      <w:proofErr w:type="spellEnd"/>
      <w:r w:rsidRPr="004B542B">
        <w:rPr>
          <w:rFonts w:ascii="Times New Roman" w:hAnsi="Times New Roman" w:cs="Times New Roman"/>
          <w:sz w:val="20"/>
          <w:szCs w:val="20"/>
        </w:rPr>
        <w:t xml:space="preserve"> are often late signs of significant acute kidney injury (AKI), more sensitive diagnostic tests are required </w:t>
      </w:r>
      <w:r w:rsidRPr="004B542B">
        <w:rPr>
          <w:rFonts w:ascii="Times New Roman" w:hAnsi="Times New Roman" w:cs="Times New Roman"/>
          <w:b/>
          <w:bCs/>
          <w:sz w:val="20"/>
          <w:szCs w:val="20"/>
        </w:rPr>
        <w:t xml:space="preserve">[6-9]. </w:t>
      </w:r>
      <w:r w:rsidRPr="004B542B">
        <w:rPr>
          <w:rFonts w:ascii="Times New Roman" w:hAnsi="Times New Roman" w:cs="Times New Roman"/>
          <w:sz w:val="20"/>
          <w:szCs w:val="20"/>
        </w:rPr>
        <w:t xml:space="preserve">This clinical need has led to the development of multiple candidate acute kidney injury (AKI) biomarkers </w:t>
      </w:r>
      <w:r w:rsidRPr="004B542B">
        <w:rPr>
          <w:rFonts w:ascii="Times New Roman" w:hAnsi="Times New Roman" w:cs="Times New Roman"/>
          <w:b/>
          <w:bCs/>
          <w:sz w:val="20"/>
          <w:szCs w:val="20"/>
        </w:rPr>
        <w:t xml:space="preserve">[6, 8-10]. </w:t>
      </w:r>
      <w:r w:rsidRPr="004B542B">
        <w:rPr>
          <w:rFonts w:ascii="Times New Roman" w:hAnsi="Times New Roman" w:cs="Times New Roman"/>
          <w:sz w:val="20"/>
          <w:szCs w:val="20"/>
        </w:rPr>
        <w:t xml:space="preserve">Because acute kidney injury (AKI) biomarker levels change over time depending on the timing and severity of injury </w:t>
      </w:r>
      <w:r w:rsidRPr="004B542B">
        <w:rPr>
          <w:rFonts w:ascii="Times New Roman" w:hAnsi="Times New Roman" w:cs="Times New Roman"/>
          <w:b/>
          <w:bCs/>
          <w:sz w:val="20"/>
          <w:szCs w:val="20"/>
        </w:rPr>
        <w:t xml:space="preserve">[9], </w:t>
      </w:r>
      <w:r w:rsidRPr="004B542B">
        <w:rPr>
          <w:rFonts w:ascii="Times New Roman" w:hAnsi="Times New Roman" w:cs="Times New Roman"/>
          <w:sz w:val="20"/>
          <w:szCs w:val="20"/>
        </w:rPr>
        <w:t>a functional assessment of renal function might enhance biomarker performance. Since most common for</w:t>
      </w:r>
      <w:r w:rsidR="00C46070" w:rsidRPr="004B542B">
        <w:rPr>
          <w:rFonts w:ascii="Times New Roman" w:hAnsi="Times New Roman" w:cs="Times New Roman"/>
          <w:sz w:val="20"/>
          <w:szCs w:val="20"/>
        </w:rPr>
        <w:t>m (</w:t>
      </w:r>
      <w:r w:rsidRPr="004B542B">
        <w:rPr>
          <w:rFonts w:ascii="Times New Roman" w:hAnsi="Times New Roman" w:cs="Times New Roman"/>
          <w:sz w:val="20"/>
          <w:szCs w:val="20"/>
        </w:rPr>
        <w:t xml:space="preserve">s) of intrinsic acute kidney injury (AKI) involve acute tubular injury, FST was proposed for the assessment of renal tubular function. </w:t>
      </w:r>
    </w:p>
    <w:p w:rsidR="00494379" w:rsidRPr="004B542B" w:rsidRDefault="00494379"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C111D9" w:rsidRPr="004B542B" w:rsidRDefault="00494379" w:rsidP="0087797F">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4B542B">
        <w:rPr>
          <w:rFonts w:ascii="Times New Roman" w:hAnsi="Times New Roman" w:cs="Times New Roman"/>
          <w:b/>
          <w:bCs/>
          <w:sz w:val="20"/>
          <w:szCs w:val="20"/>
        </w:rPr>
        <w:t xml:space="preserve">2. </w:t>
      </w:r>
      <w:r w:rsidR="00C111D9" w:rsidRPr="004B542B">
        <w:rPr>
          <w:rFonts w:ascii="Times New Roman" w:hAnsi="Times New Roman" w:cs="Times New Roman"/>
          <w:b/>
          <w:bCs/>
          <w:sz w:val="20"/>
          <w:szCs w:val="20"/>
        </w:rPr>
        <w:t>Material and methods:</w:t>
      </w:r>
    </w:p>
    <w:p w:rsidR="00AB634F" w:rsidRPr="004B542B" w:rsidRDefault="00C111D9"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W</w:t>
      </w:r>
      <w:r w:rsidR="00AB634F" w:rsidRPr="004B542B">
        <w:rPr>
          <w:rFonts w:ascii="Times New Roman" w:hAnsi="Times New Roman" w:cs="Times New Roman"/>
          <w:sz w:val="20"/>
          <w:szCs w:val="20"/>
        </w:rPr>
        <w:t>e assembled two separate groups</w:t>
      </w:r>
      <w:r w:rsidRPr="004B542B">
        <w:rPr>
          <w:rFonts w:ascii="Times New Roman" w:hAnsi="Times New Roman" w:cs="Times New Roman"/>
          <w:sz w:val="20"/>
          <w:szCs w:val="20"/>
        </w:rPr>
        <w:t xml:space="preserve"> o</w:t>
      </w:r>
      <w:r w:rsidR="00AB634F" w:rsidRPr="004B542B">
        <w:rPr>
          <w:rFonts w:ascii="Times New Roman" w:hAnsi="Times New Roman" w:cs="Times New Roman"/>
          <w:sz w:val="20"/>
          <w:szCs w:val="20"/>
        </w:rPr>
        <w:t>f critically ill patients with</w:t>
      </w:r>
      <w:r w:rsidRPr="004B542B">
        <w:rPr>
          <w:rFonts w:ascii="Times New Roman" w:hAnsi="Times New Roman" w:cs="Times New Roman"/>
          <w:sz w:val="20"/>
          <w:szCs w:val="20"/>
        </w:rPr>
        <w:t xml:space="preserve"> </w:t>
      </w:r>
      <w:r w:rsidR="00AB634F" w:rsidRPr="004B542B">
        <w:rPr>
          <w:rFonts w:ascii="Times New Roman" w:hAnsi="Times New Roman" w:cs="Times New Roman"/>
          <w:sz w:val="20"/>
          <w:szCs w:val="20"/>
        </w:rPr>
        <w:t>that</w:t>
      </w:r>
      <w:r w:rsidRPr="004B542B">
        <w:rPr>
          <w:rFonts w:ascii="Times New Roman" w:hAnsi="Times New Roman" w:cs="Times New Roman"/>
          <w:sz w:val="20"/>
          <w:szCs w:val="20"/>
        </w:rPr>
        <w:t xml:space="preserve"> were given a standardized dose of</w:t>
      </w:r>
      <w:r w:rsidR="00AB634F" w:rsidRPr="004B542B">
        <w:rPr>
          <w:rFonts w:ascii="Times New Roman" w:hAnsi="Times New Roman" w:cs="Times New Roman"/>
          <w:sz w:val="20"/>
          <w:szCs w:val="20"/>
        </w:rPr>
        <w:t xml:space="preserve"> </w:t>
      </w:r>
      <w:proofErr w:type="spellStart"/>
      <w:r w:rsidR="00AB634F" w:rsidRPr="004B542B">
        <w:rPr>
          <w:rFonts w:ascii="Times New Roman" w:hAnsi="Times New Roman" w:cs="Times New Roman"/>
          <w:sz w:val="20"/>
          <w:szCs w:val="20"/>
        </w:rPr>
        <w:t>furosemide</w:t>
      </w:r>
      <w:proofErr w:type="spellEnd"/>
      <w:r w:rsidR="00AB634F" w:rsidRPr="004B542B">
        <w:rPr>
          <w:rFonts w:ascii="Times New Roman" w:hAnsi="Times New Roman" w:cs="Times New Roman"/>
          <w:sz w:val="20"/>
          <w:szCs w:val="20"/>
        </w:rPr>
        <w:t xml:space="preserve"> and standard management and assessed their response and outcomes.</w:t>
      </w:r>
    </w:p>
    <w:p w:rsidR="00AB634F" w:rsidRPr="004B542B" w:rsidRDefault="00AB634F"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lastRenderedPageBreak/>
        <w:t>Group I</w:t>
      </w:r>
    </w:p>
    <w:p w:rsidR="00754B17" w:rsidRPr="004B542B" w:rsidRDefault="00754B1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40 consecutive patients with AKIN 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II was included in the study which was performed in Nasser institute intensive care unit with the goal of testing the diagnostic and prognostic accuracy of previously described and novel AKI biomarker and line of management. we included the patients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who fulfilled the study criteria and received FST dose.</w:t>
      </w:r>
    </w:p>
    <w:p w:rsidR="00C46070" w:rsidRPr="004B542B" w:rsidRDefault="00754B17"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Group II</w:t>
      </w:r>
    </w:p>
    <w:p w:rsidR="00AB634F" w:rsidRPr="004B542B" w:rsidRDefault="00C46070"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4</w:t>
      </w:r>
      <w:r w:rsidR="00754B17" w:rsidRPr="004B542B">
        <w:rPr>
          <w:rFonts w:ascii="Times New Roman" w:hAnsi="Times New Roman" w:cs="Times New Roman"/>
          <w:sz w:val="20"/>
          <w:szCs w:val="20"/>
        </w:rPr>
        <w:t>0 consecutive patients with AKIN I</w:t>
      </w:r>
      <w:r w:rsidRPr="004B542B">
        <w:rPr>
          <w:rFonts w:ascii="Times New Roman" w:hAnsi="Times New Roman" w:cs="Times New Roman"/>
          <w:sz w:val="20"/>
          <w:szCs w:val="20"/>
        </w:rPr>
        <w:t xml:space="preserve"> &amp; </w:t>
      </w:r>
      <w:r w:rsidR="00754B17" w:rsidRPr="004B542B">
        <w:rPr>
          <w:rFonts w:ascii="Times New Roman" w:hAnsi="Times New Roman" w:cs="Times New Roman"/>
          <w:sz w:val="20"/>
          <w:szCs w:val="20"/>
        </w:rPr>
        <w:t>II was included in the study which was performed in Nasser institute intensive care unit with the goal of testing the diagnostic and prognostic accuracy of previously described as line of management. We included the patients who fulfilled the study criteria and received standard management.</w:t>
      </w:r>
    </w:p>
    <w:p w:rsidR="00B149C1" w:rsidRPr="004B542B" w:rsidRDefault="00B149C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Study criteria (both group 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II)</w:t>
      </w:r>
    </w:p>
    <w:p w:rsidR="00B149C1" w:rsidRPr="004B542B" w:rsidRDefault="00B149C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i/>
          <w:iCs/>
          <w:sz w:val="20"/>
          <w:szCs w:val="20"/>
        </w:rPr>
        <w:t xml:space="preserve">Inclusion Criteria: </w:t>
      </w:r>
      <w:r w:rsidRPr="004B542B">
        <w:rPr>
          <w:rFonts w:ascii="Times New Roman" w:hAnsi="Times New Roman" w:cs="Times New Roman"/>
          <w:sz w:val="20"/>
          <w:szCs w:val="20"/>
        </w:rPr>
        <w:t>(1) age greater than 18 admitted in an ICU, (2) AKIN stage I (6 hours of</w:t>
      </w:r>
      <w:r w:rsidR="00993774"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oliguria</w:t>
      </w:r>
      <w:proofErr w:type="spellEnd"/>
      <w:r w:rsidRPr="004B542B">
        <w:rPr>
          <w:rFonts w:ascii="Times New Roman" w:hAnsi="Times New Roman" w:cs="Times New Roman"/>
          <w:sz w:val="20"/>
          <w:szCs w:val="20"/>
        </w:rPr>
        <w:t xml:space="preserve"> [&lt; 0.5 ml/kg/hour] or 0.3 mg/</w:t>
      </w:r>
      <w:proofErr w:type="spellStart"/>
      <w:r w:rsidRPr="004B542B">
        <w:rPr>
          <w:rFonts w:ascii="Times New Roman" w:hAnsi="Times New Roman" w:cs="Times New Roman"/>
          <w:sz w:val="20"/>
          <w:szCs w:val="20"/>
        </w:rPr>
        <w:t>dL</w:t>
      </w:r>
      <w:proofErr w:type="spellEnd"/>
      <w:r w:rsidRPr="004B542B">
        <w:rPr>
          <w:rFonts w:ascii="Times New Roman" w:hAnsi="Times New Roman" w:cs="Times New Roman"/>
          <w:sz w:val="20"/>
          <w:szCs w:val="20"/>
        </w:rPr>
        <w:t xml:space="preserve"> rise in serum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or, increase in 150-200%</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above baseline serum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OR, AKIN stage II (12 hours of </w:t>
      </w:r>
      <w:proofErr w:type="spellStart"/>
      <w:r w:rsidRPr="004B542B">
        <w:rPr>
          <w:rFonts w:ascii="Times New Roman" w:hAnsi="Times New Roman" w:cs="Times New Roman"/>
          <w:sz w:val="20"/>
          <w:szCs w:val="20"/>
        </w:rPr>
        <w:t>oliguria</w:t>
      </w:r>
      <w:proofErr w:type="spellEnd"/>
      <w:r w:rsidRPr="004B542B">
        <w:rPr>
          <w:rFonts w:ascii="Times New Roman" w:hAnsi="Times New Roman" w:cs="Times New Roman"/>
          <w:sz w:val="20"/>
          <w:szCs w:val="20"/>
        </w:rPr>
        <w:t xml:space="preserve"> [&lt; 0.5 ml/kg/hour] or</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increase in 200-300% above baseline serum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(3) indwelling bladder catheter (4)</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presence of granular or epithelial cell casts on urine sediment [defined by GW USS &gt;2] OR </w:t>
      </w:r>
      <w:proofErr w:type="spellStart"/>
      <w:r w:rsidRPr="004B542B">
        <w:rPr>
          <w:rFonts w:ascii="Times New Roman" w:hAnsi="Times New Roman" w:cs="Times New Roman"/>
          <w:sz w:val="20"/>
          <w:szCs w:val="20"/>
        </w:rPr>
        <w:t>afractional</w:t>
      </w:r>
      <w:proofErr w:type="spellEnd"/>
      <w:r w:rsidRPr="004B542B">
        <w:rPr>
          <w:rFonts w:ascii="Times New Roman" w:hAnsi="Times New Roman" w:cs="Times New Roman"/>
          <w:sz w:val="20"/>
          <w:szCs w:val="20"/>
        </w:rPr>
        <w:t xml:space="preserve"> excretion of sodium (</w:t>
      </w:r>
      <w:proofErr w:type="spellStart"/>
      <w:r w:rsidRPr="004B542B">
        <w:rPr>
          <w:rFonts w:ascii="Times New Roman" w:hAnsi="Times New Roman" w:cs="Times New Roman"/>
          <w:sz w:val="20"/>
          <w:szCs w:val="20"/>
        </w:rPr>
        <w:t>FeNa</w:t>
      </w:r>
      <w:proofErr w:type="spellEnd"/>
      <w:r w:rsidRPr="004B542B">
        <w:rPr>
          <w:rFonts w:ascii="Times New Roman" w:hAnsi="Times New Roman" w:cs="Times New Roman"/>
          <w:sz w:val="20"/>
          <w:szCs w:val="20"/>
        </w:rPr>
        <w:t>) &gt; 1.0%, (5) treating clinical team deemed the patient to be</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well-resuscitated.</w:t>
      </w:r>
    </w:p>
    <w:p w:rsidR="00B149C1" w:rsidRPr="004B542B" w:rsidRDefault="00B149C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b/>
          <w:bCs/>
          <w:sz w:val="20"/>
          <w:szCs w:val="20"/>
        </w:rPr>
        <w:t>Exclusion Criteria:</w:t>
      </w:r>
      <w:r w:rsidRPr="004B542B">
        <w:rPr>
          <w:rFonts w:ascii="Times New Roman" w:hAnsi="Times New Roman" w:cs="Times New Roman"/>
          <w:sz w:val="20"/>
          <w:szCs w:val="20"/>
        </w:rPr>
        <w:t xml:space="preserve"> (1) Baseline </w:t>
      </w:r>
      <w:proofErr w:type="spellStart"/>
      <w:r w:rsidRPr="004B542B">
        <w:rPr>
          <w:rFonts w:ascii="Times New Roman" w:hAnsi="Times New Roman" w:cs="Times New Roman"/>
          <w:sz w:val="20"/>
          <w:szCs w:val="20"/>
        </w:rPr>
        <w:t>eGFR</w:t>
      </w:r>
      <w:proofErr w:type="spellEnd"/>
      <w:r w:rsidRPr="004B542B">
        <w:rPr>
          <w:rFonts w:ascii="Times New Roman" w:hAnsi="Times New Roman" w:cs="Times New Roman"/>
          <w:sz w:val="20"/>
          <w:szCs w:val="20"/>
        </w:rPr>
        <w:t>&lt; 30 ml/min/1.73m2</w:t>
      </w:r>
      <w:r w:rsidR="00C46070" w:rsidRPr="004B542B">
        <w:rPr>
          <w:rFonts w:ascii="Times New Roman" w:hAnsi="Times New Roman" w:cs="Times New Roman"/>
          <w:sz w:val="20"/>
          <w:szCs w:val="20"/>
        </w:rPr>
        <w:t>, (</w:t>
      </w:r>
      <w:r w:rsidRPr="004B542B">
        <w:rPr>
          <w:rFonts w:ascii="Times New Roman" w:hAnsi="Times New Roman" w:cs="Times New Roman"/>
          <w:sz w:val="20"/>
          <w:szCs w:val="20"/>
        </w:rPr>
        <w:t>2) history of renal allograft, (3)</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known pregnancy, (4) evidence of obstructive </w:t>
      </w:r>
      <w:proofErr w:type="spellStart"/>
      <w:r w:rsidRPr="004B542B">
        <w:rPr>
          <w:rFonts w:ascii="Times New Roman" w:hAnsi="Times New Roman" w:cs="Times New Roman"/>
          <w:sz w:val="20"/>
          <w:szCs w:val="20"/>
        </w:rPr>
        <w:t>uropathy</w:t>
      </w:r>
      <w:proofErr w:type="spellEnd"/>
      <w:r w:rsidRPr="004B542B">
        <w:rPr>
          <w:rFonts w:ascii="Times New Roman" w:hAnsi="Times New Roman" w:cs="Times New Roman"/>
          <w:sz w:val="20"/>
          <w:szCs w:val="20"/>
        </w:rPr>
        <w:t xml:space="preserve"> [e.g. </w:t>
      </w:r>
      <w:proofErr w:type="spellStart"/>
      <w:r w:rsidRPr="004B542B">
        <w:rPr>
          <w:rFonts w:ascii="Times New Roman" w:hAnsi="Times New Roman" w:cs="Times New Roman"/>
          <w:sz w:val="20"/>
          <w:szCs w:val="20"/>
        </w:rPr>
        <w:t>hydroureter</w:t>
      </w:r>
      <w:proofErr w:type="spellEnd"/>
      <w:r w:rsidRPr="004B542B">
        <w:rPr>
          <w:rFonts w:ascii="Times New Roman" w:hAnsi="Times New Roman" w:cs="Times New Roman"/>
          <w:sz w:val="20"/>
          <w:szCs w:val="20"/>
        </w:rPr>
        <w:t>], (5) evidence of active</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bleeding, (6) patients with allergy or known sensitivity to loop diuretics, (7) achievement of</w:t>
      </w:r>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AKIN stage III criteria, or (8) evidence of volume depletion at the time of </w:t>
      </w:r>
      <w:proofErr w:type="spellStart"/>
      <w:r w:rsidRPr="004B542B">
        <w:rPr>
          <w:rFonts w:ascii="Times New Roman" w:hAnsi="Times New Roman" w:cs="Times New Roman"/>
          <w:sz w:val="20"/>
          <w:szCs w:val="20"/>
        </w:rPr>
        <w:t>furosemide</w:t>
      </w:r>
      <w:proofErr w:type="spellEnd"/>
      <w:r w:rsidR="00993774" w:rsidRPr="004B542B">
        <w:rPr>
          <w:rFonts w:ascii="Times New Roman" w:hAnsi="Times New Roman" w:cs="Times New Roman"/>
          <w:sz w:val="20"/>
          <w:szCs w:val="20"/>
        </w:rPr>
        <w:t xml:space="preserve"> </w:t>
      </w:r>
      <w:r w:rsidRPr="004B542B">
        <w:rPr>
          <w:rFonts w:ascii="Times New Roman" w:hAnsi="Times New Roman" w:cs="Times New Roman"/>
          <w:sz w:val="20"/>
          <w:szCs w:val="20"/>
        </w:rPr>
        <w:t>administration.</w:t>
      </w:r>
    </w:p>
    <w:p w:rsidR="00C46070" w:rsidRPr="004B542B" w:rsidRDefault="00A94159"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Study procedure</w:t>
      </w:r>
    </w:p>
    <w:p w:rsidR="00A94159" w:rsidRPr="004B542B" w:rsidRDefault="00C46070"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4</w:t>
      </w:r>
      <w:r w:rsidR="00A94159" w:rsidRPr="004B542B">
        <w:rPr>
          <w:rFonts w:ascii="Times New Roman" w:hAnsi="Times New Roman" w:cs="Times New Roman"/>
          <w:sz w:val="20"/>
          <w:szCs w:val="20"/>
        </w:rPr>
        <w:t>0 consecutive patients who fulfilled inclusion criteria were considered study group, the next 40 consecutive patients were considered control group.</w:t>
      </w:r>
      <w:r w:rsidRPr="004B542B">
        <w:rPr>
          <w:rFonts w:ascii="Times New Roman" w:hAnsi="Times New Roman" w:cs="Times New Roman"/>
          <w:sz w:val="20"/>
          <w:szCs w:val="20"/>
        </w:rPr>
        <w:t xml:space="preserve"> </w:t>
      </w:r>
    </w:p>
    <w:p w:rsidR="00A94159" w:rsidRPr="004B542B" w:rsidRDefault="00A94159"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 xml:space="preserve">Study group (Group I): 40 consecutive patients received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stress test dose.</w:t>
      </w:r>
    </w:p>
    <w:p w:rsidR="00A94159" w:rsidRPr="004B542B" w:rsidRDefault="00A94159"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Control group (Group II): 40 consecutive patients received standard management of AKI.</w:t>
      </w:r>
    </w:p>
    <w:p w:rsidR="00C46070" w:rsidRPr="004B542B" w:rsidRDefault="00A94159"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Our results will be presented under the following topics with comparing both groups.</w:t>
      </w:r>
    </w:p>
    <w:p w:rsidR="00A94159" w:rsidRPr="004B542B" w:rsidRDefault="00C46070" w:rsidP="0087797F">
      <w:pPr>
        <w:pStyle w:val="ListParagraph"/>
        <w:snapToGrid w:val="0"/>
        <w:spacing w:after="0" w:line="240" w:lineRule="auto"/>
        <w:ind w:left="0" w:firstLine="425"/>
        <w:jc w:val="both"/>
        <w:rPr>
          <w:rFonts w:ascii="Times New Roman" w:hAnsi="Times New Roman" w:cs="Times New Roman"/>
          <w:i/>
          <w:iCs/>
          <w:sz w:val="20"/>
          <w:szCs w:val="20"/>
        </w:rPr>
      </w:pPr>
      <w:r w:rsidRPr="004B542B">
        <w:rPr>
          <w:rFonts w:ascii="Times New Roman" w:hAnsi="Times New Roman" w:cs="Times New Roman"/>
          <w:i/>
          <w:iCs/>
          <w:sz w:val="20"/>
          <w:szCs w:val="20"/>
        </w:rPr>
        <w:t>D</w:t>
      </w:r>
      <w:r w:rsidR="0079375D" w:rsidRPr="004B542B">
        <w:rPr>
          <w:rFonts w:ascii="Times New Roman" w:hAnsi="Times New Roman" w:cs="Times New Roman"/>
          <w:i/>
          <w:iCs/>
          <w:sz w:val="20"/>
          <w:szCs w:val="20"/>
        </w:rPr>
        <w:t>emographic data (age-sex), Co</w:t>
      </w:r>
      <w:r w:rsidR="00A94159" w:rsidRPr="004B542B">
        <w:rPr>
          <w:rFonts w:ascii="Times New Roman" w:hAnsi="Times New Roman" w:cs="Times New Roman"/>
          <w:i/>
          <w:iCs/>
          <w:sz w:val="20"/>
          <w:szCs w:val="20"/>
        </w:rPr>
        <w:t>-morbidities (hypertension-</w:t>
      </w:r>
      <w:r w:rsidR="0079375D" w:rsidRPr="004B542B">
        <w:rPr>
          <w:rFonts w:ascii="Times New Roman" w:hAnsi="Times New Roman" w:cs="Times New Roman"/>
          <w:i/>
          <w:iCs/>
          <w:sz w:val="20"/>
          <w:szCs w:val="20"/>
        </w:rPr>
        <w:t>diabetes-ischemic heart disease, Clinical</w:t>
      </w:r>
      <w:r w:rsidR="00A94159" w:rsidRPr="004B542B">
        <w:rPr>
          <w:rFonts w:ascii="Times New Roman" w:hAnsi="Times New Roman" w:cs="Times New Roman"/>
          <w:i/>
          <w:iCs/>
          <w:sz w:val="20"/>
          <w:szCs w:val="20"/>
        </w:rPr>
        <w:t xml:space="preserve"> parameters (blood pressure-central venous pressure-urine output within 6 hours of management).</w:t>
      </w:r>
    </w:p>
    <w:p w:rsidR="0079375D" w:rsidRPr="004B542B" w:rsidRDefault="00A94159" w:rsidP="0087797F">
      <w:pPr>
        <w:pStyle w:val="ListParagraph"/>
        <w:snapToGrid w:val="0"/>
        <w:spacing w:after="0" w:line="240" w:lineRule="auto"/>
        <w:ind w:left="0" w:firstLine="425"/>
        <w:jc w:val="both"/>
        <w:rPr>
          <w:rFonts w:ascii="Times New Roman" w:hAnsi="Times New Roman" w:cs="Times New Roman"/>
          <w:i/>
          <w:iCs/>
          <w:sz w:val="20"/>
          <w:szCs w:val="20"/>
        </w:rPr>
      </w:pPr>
      <w:r w:rsidRPr="004B542B">
        <w:rPr>
          <w:rFonts w:ascii="Times New Roman" w:hAnsi="Times New Roman" w:cs="Times New Roman"/>
          <w:i/>
          <w:iCs/>
          <w:sz w:val="20"/>
          <w:szCs w:val="20"/>
        </w:rPr>
        <w:t xml:space="preserve">Lab measurement (urea, serum </w:t>
      </w:r>
      <w:proofErr w:type="spellStart"/>
      <w:r w:rsidRPr="004B542B">
        <w:rPr>
          <w:rFonts w:ascii="Times New Roman" w:hAnsi="Times New Roman" w:cs="Times New Roman"/>
          <w:i/>
          <w:iCs/>
          <w:sz w:val="20"/>
          <w:szCs w:val="20"/>
        </w:rPr>
        <w:t>creatinine</w:t>
      </w:r>
      <w:proofErr w:type="spellEnd"/>
      <w:r w:rsidRPr="004B542B">
        <w:rPr>
          <w:rFonts w:ascii="Times New Roman" w:hAnsi="Times New Roman" w:cs="Times New Roman"/>
          <w:i/>
          <w:iCs/>
          <w:sz w:val="20"/>
          <w:szCs w:val="20"/>
        </w:rPr>
        <w:t xml:space="preserve">-estimated GFR-electrolytes) within 3daysafter inclusion in the </w:t>
      </w:r>
      <w:r w:rsidR="0079375D" w:rsidRPr="004B542B">
        <w:rPr>
          <w:rFonts w:ascii="Times New Roman" w:hAnsi="Times New Roman" w:cs="Times New Roman"/>
          <w:i/>
          <w:iCs/>
          <w:sz w:val="20"/>
          <w:szCs w:val="20"/>
        </w:rPr>
        <w:t>study, Side</w:t>
      </w:r>
      <w:r w:rsidRPr="004B542B">
        <w:rPr>
          <w:rFonts w:ascii="Times New Roman" w:hAnsi="Times New Roman" w:cs="Times New Roman"/>
          <w:i/>
          <w:iCs/>
          <w:sz w:val="20"/>
          <w:szCs w:val="20"/>
        </w:rPr>
        <w:t xml:space="preserve"> effects occurring in both </w:t>
      </w:r>
      <w:r w:rsidR="0079375D" w:rsidRPr="004B542B">
        <w:rPr>
          <w:rFonts w:ascii="Times New Roman" w:hAnsi="Times New Roman" w:cs="Times New Roman"/>
          <w:i/>
          <w:iCs/>
          <w:sz w:val="20"/>
          <w:szCs w:val="20"/>
        </w:rPr>
        <w:t>groups. Outcome</w:t>
      </w:r>
      <w:r w:rsidRPr="004B542B">
        <w:rPr>
          <w:rFonts w:ascii="Times New Roman" w:hAnsi="Times New Roman" w:cs="Times New Roman"/>
          <w:i/>
          <w:iCs/>
          <w:sz w:val="20"/>
          <w:szCs w:val="20"/>
        </w:rPr>
        <w:t xml:space="preserve"> parameters (-progression to </w:t>
      </w:r>
      <w:r w:rsidRPr="004B542B">
        <w:rPr>
          <w:rFonts w:ascii="Times New Roman" w:hAnsi="Times New Roman" w:cs="Times New Roman"/>
          <w:i/>
          <w:iCs/>
          <w:sz w:val="20"/>
          <w:szCs w:val="20"/>
        </w:rPr>
        <w:lastRenderedPageBreak/>
        <w:t>AKINIII, need for dialysis and length of stay in ICU and mortality)</w:t>
      </w:r>
      <w:r w:rsidR="0079375D" w:rsidRPr="004B542B">
        <w:rPr>
          <w:rFonts w:ascii="Times New Roman" w:hAnsi="Times New Roman" w:cs="Times New Roman"/>
          <w:i/>
          <w:iCs/>
          <w:sz w:val="20"/>
          <w:szCs w:val="20"/>
        </w:rPr>
        <w:t>.</w:t>
      </w:r>
    </w:p>
    <w:p w:rsidR="0079375D" w:rsidRPr="004B542B" w:rsidRDefault="0079375D" w:rsidP="0087797F">
      <w:pPr>
        <w:pStyle w:val="ListParagraph"/>
        <w:snapToGrid w:val="0"/>
        <w:spacing w:after="0" w:line="240" w:lineRule="auto"/>
        <w:ind w:left="0"/>
        <w:jc w:val="both"/>
        <w:rPr>
          <w:rFonts w:ascii="Times New Roman" w:hAnsi="Times New Roman" w:cs="Times New Roman"/>
          <w:b/>
          <w:bCs/>
          <w:sz w:val="20"/>
          <w:szCs w:val="20"/>
        </w:rPr>
      </w:pPr>
      <w:r w:rsidRPr="004B542B">
        <w:rPr>
          <w:rFonts w:ascii="Times New Roman" w:hAnsi="Times New Roman" w:cs="Times New Roman"/>
          <w:b/>
          <w:bCs/>
          <w:sz w:val="20"/>
          <w:szCs w:val="20"/>
        </w:rPr>
        <w:t>Out come</w:t>
      </w:r>
    </w:p>
    <w:p w:rsidR="0079375D" w:rsidRPr="004B542B" w:rsidRDefault="0079375D"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1. The primary outcome was the progression to AKIN III after FST dose in group I and standard management in group II.</w:t>
      </w:r>
    </w:p>
    <w:p w:rsidR="0079375D" w:rsidRPr="004B542B" w:rsidRDefault="0079375D"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2. The secondary outcome was the composite of achieving stage AKIN III or intra hospital death.</w:t>
      </w:r>
    </w:p>
    <w:p w:rsidR="00854B26" w:rsidRPr="004B542B" w:rsidRDefault="00854B26"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Statistics</w:t>
      </w:r>
    </w:p>
    <w:p w:rsidR="00494379" w:rsidRPr="004B542B" w:rsidRDefault="00854B26" w:rsidP="0087797F">
      <w:pPr>
        <w:bidi w:val="0"/>
        <w:snapToGrid w:val="0"/>
        <w:spacing w:after="0" w:line="240" w:lineRule="auto"/>
        <w:ind w:firstLine="425"/>
        <w:jc w:val="both"/>
        <w:rPr>
          <w:rFonts w:ascii="Times New Roman" w:hAnsi="Times New Roman" w:cs="Times New Roman"/>
          <w:b/>
          <w:bCs/>
          <w:i/>
          <w:iCs/>
          <w:sz w:val="20"/>
          <w:szCs w:val="20"/>
          <w:lang w:eastAsia="zh-CN"/>
        </w:rPr>
      </w:pPr>
      <w:r w:rsidRPr="004B542B">
        <w:rPr>
          <w:rFonts w:ascii="Times New Roman" w:hAnsi="Times New Roman" w:cs="Times New Roman"/>
          <w:sz w:val="20"/>
          <w:szCs w:val="20"/>
          <w:lang w:bidi="ar-EG"/>
        </w:rPr>
        <w:t>Data were coded and entered using the statistical package SPSS version 22. Data was summarized using mean, standard deviation, median, minimum and maximum for quantitative variables and frequencies (number of cases) and relative frequencies (percentages) for categorical variables. Comparisons between groups were done using the non-parametric Mann-Whitney test. For comparing categorical data, Chi square (</w:t>
      </w:r>
      <w:r w:rsidRPr="004B542B">
        <w:rPr>
          <w:rFonts w:ascii="Times New Roman" w:hAnsi="Times New Roman" w:cs="Times New Roman"/>
          <w:sz w:val="20"/>
          <w:szCs w:val="20"/>
          <w:lang w:bidi="ar-EG"/>
        </w:rPr>
        <w:sym w:font="Symbol" w:char="0063"/>
      </w:r>
      <w:r w:rsidRPr="004B542B">
        <w:rPr>
          <w:rFonts w:ascii="Times New Roman" w:hAnsi="Times New Roman" w:cs="Times New Roman"/>
          <w:sz w:val="20"/>
          <w:szCs w:val="20"/>
          <w:lang w:bidi="ar-EG"/>
        </w:rPr>
        <w:t>2) test was performed. Exact test was used instead when the expected frequency is less than 5. ROC curve for detection of progress using total urine output was constructed and area under curve analysis performed to get the best cutoff value. P-values less than 0.05 were considered as statistically significant.</w:t>
      </w:r>
      <w:r w:rsidRPr="004B542B">
        <w:rPr>
          <w:rFonts w:ascii="Times New Roman" w:hAnsi="Times New Roman" w:cs="Times New Roman"/>
          <w:b/>
          <w:bCs/>
          <w:i/>
          <w:iCs/>
          <w:sz w:val="20"/>
          <w:szCs w:val="20"/>
        </w:rPr>
        <w:t xml:space="preserve"> </w:t>
      </w:r>
    </w:p>
    <w:p w:rsidR="0087797F" w:rsidRPr="004B542B" w:rsidRDefault="0087797F" w:rsidP="0087797F">
      <w:pPr>
        <w:bidi w:val="0"/>
        <w:snapToGrid w:val="0"/>
        <w:spacing w:after="0" w:line="240" w:lineRule="auto"/>
        <w:ind w:firstLine="425"/>
        <w:jc w:val="both"/>
        <w:rPr>
          <w:rFonts w:ascii="Times New Roman" w:hAnsi="Times New Roman" w:cs="Times New Roman"/>
          <w:sz w:val="20"/>
          <w:szCs w:val="20"/>
          <w:lang w:eastAsia="zh-CN" w:bidi="ar-EG"/>
        </w:rPr>
      </w:pPr>
    </w:p>
    <w:p w:rsidR="00494379" w:rsidRPr="004B542B" w:rsidRDefault="00494379" w:rsidP="0087797F">
      <w:pPr>
        <w:bidi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3. Result and Discussion</w:t>
      </w:r>
    </w:p>
    <w:p w:rsidR="000B31E1" w:rsidRPr="004B542B" w:rsidRDefault="000B31E1"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In our study the age mean in group I is 55.8 ± 12.63 with range from 22 years to 76 years while in group II the age mean is 55.28 ± 15.89 with range from 19 years to 85 years.</w:t>
      </w:r>
    </w:p>
    <w:p w:rsidR="000B31E1" w:rsidRPr="004B542B" w:rsidRDefault="000B31E1" w:rsidP="0087797F">
      <w:pPr>
        <w:bidi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While in group I males were 22 representing about 55%</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females were 18 about 45% but in group II males were 28 representing about 70%</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females were 12 about 30% with no statistical difference (p value= 0.166).</w:t>
      </w:r>
    </w:p>
    <w:p w:rsidR="000B31E1" w:rsidRPr="004B542B" w:rsidRDefault="000B31E1" w:rsidP="0087797F">
      <w:pPr>
        <w:bidi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And in group I there were 23 hypertensive patients representing 57% while in group II there were 30 hypertensive patients 75% with no significant difference. But regarding diabetes we found that group I there was 23 diabetic patients 57.5% while in group II there were 15 diabetic patients representing 37% with no significant difference. While concerning ischemic heart diseases in group I there was 11 ischemic patients about 27.5% but in group II there were 12 ischemic patients about 30% with no significant difference.</w:t>
      </w:r>
    </w:p>
    <w:p w:rsidR="000B31E1" w:rsidRPr="004B542B" w:rsidRDefault="000B31E1" w:rsidP="0087797F">
      <w:pPr>
        <w:bidi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In our study we found that in group I the mean of mean arterial blood pressure was 84.86 ± 11.49 with range from 66.7 to 110 mmHg but in group II the mean was 83.64 ± 10.34 with range from 66.7 to 103.3 mmHg with no significant difference. But regarding to CVP the mean was 11.15 ± 3.74 with range from 5 to 19 cmh2o in group I while in group II mean was 9.58 ± 3.23 with range from 5 to 15 cmh2o with no significant difference.</w:t>
      </w:r>
    </w:p>
    <w:p w:rsidR="000B31E1" w:rsidRPr="004B542B" w:rsidRDefault="000B31E1" w:rsidP="0087797F">
      <w:pPr>
        <w:bidi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lastRenderedPageBreak/>
        <w:t>In our study we found that the most significant difference in urine output between group 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group II is found to be on the 1</w:t>
      </w:r>
      <w:r w:rsidRPr="004B542B">
        <w:rPr>
          <w:rFonts w:ascii="Times New Roman" w:hAnsi="Times New Roman" w:cs="Times New Roman"/>
          <w:sz w:val="20"/>
          <w:szCs w:val="20"/>
          <w:vertAlign w:val="superscript"/>
        </w:rPr>
        <w:t>st</w:t>
      </w:r>
      <w:r w:rsidRPr="004B542B">
        <w:rPr>
          <w:rFonts w:ascii="Times New Roman" w:hAnsi="Times New Roman" w:cs="Times New Roman"/>
          <w:sz w:val="20"/>
          <w:szCs w:val="20"/>
        </w:rPr>
        <w:t>, 2nd hours and cumulative urine but there is no difference between the two groups in the following hours, also we found that the mean value of urine output in the first 6 hours is increasing with time hour by hour in group I there is significantly decrease in amount of urine output in group II than in group I.</w:t>
      </w:r>
    </w:p>
    <w:p w:rsidR="000B31E1" w:rsidRPr="004B542B" w:rsidRDefault="000B31E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And the only significant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difference between the two groups were on the day 1 after admission with significant p value = 0.031. Also we found that there is progressive decrease in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levels in the two groups but with more decline in group I than group II.</w:t>
      </w:r>
    </w:p>
    <w:p w:rsidR="000B31E1" w:rsidRPr="004B542B" w:rsidRDefault="0087797F"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hint="eastAsia"/>
          <w:sz w:val="20"/>
          <w:szCs w:val="20"/>
          <w:lang w:eastAsia="zh-CN"/>
        </w:rPr>
        <w:t>A</w:t>
      </w:r>
      <w:r w:rsidR="000B31E1" w:rsidRPr="004B542B">
        <w:rPr>
          <w:rFonts w:ascii="Times New Roman" w:hAnsi="Times New Roman" w:cs="Times New Roman"/>
          <w:sz w:val="20"/>
          <w:szCs w:val="20"/>
        </w:rPr>
        <w:t xml:space="preserve">nd there is highly significant difference between the 2 groups as the p value = 0.002 as in group I the mean of GFR is 15.78 ± 7.42 while the mean in group II is 11.17 ± 7.73 which means that GFR is improved in patients receiving </w:t>
      </w:r>
      <w:proofErr w:type="spellStart"/>
      <w:r w:rsidR="000B31E1" w:rsidRPr="004B542B">
        <w:rPr>
          <w:rFonts w:ascii="Times New Roman" w:hAnsi="Times New Roman" w:cs="Times New Roman"/>
          <w:sz w:val="20"/>
          <w:szCs w:val="20"/>
        </w:rPr>
        <w:t>frusemide</w:t>
      </w:r>
      <w:proofErr w:type="spellEnd"/>
      <w:r w:rsidR="000B31E1" w:rsidRPr="004B542B">
        <w:rPr>
          <w:rFonts w:ascii="Times New Roman" w:hAnsi="Times New Roman" w:cs="Times New Roman"/>
          <w:sz w:val="20"/>
          <w:szCs w:val="20"/>
        </w:rPr>
        <w:t xml:space="preserve"> more than patients standard management.</w:t>
      </w:r>
    </w:p>
    <w:p w:rsidR="00C46070" w:rsidRPr="004B542B" w:rsidRDefault="000B31E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And there is no significant difference between 2 groups in any side effects including all electrolyte </w:t>
      </w:r>
      <w:r w:rsidRPr="004B542B">
        <w:rPr>
          <w:rFonts w:ascii="Times New Roman" w:hAnsi="Times New Roman" w:cs="Times New Roman"/>
          <w:sz w:val="20"/>
          <w:szCs w:val="20"/>
        </w:rPr>
        <w:lastRenderedPageBreak/>
        <w:t xml:space="preserve">disturbance except in hypotension as there is highly significant difference between 2 groups as p value = 0.001. In group I there are 11 patients representing 27.5% who suffered from hypotension as side effect for using </w:t>
      </w:r>
      <w:proofErr w:type="spellStart"/>
      <w:r w:rsidRPr="004B542B">
        <w:rPr>
          <w:rFonts w:ascii="Times New Roman" w:hAnsi="Times New Roman" w:cs="Times New Roman"/>
          <w:sz w:val="20"/>
          <w:szCs w:val="20"/>
        </w:rPr>
        <w:t>frusemide</w:t>
      </w:r>
      <w:proofErr w:type="spellEnd"/>
      <w:r w:rsidRPr="004B542B">
        <w:rPr>
          <w:rFonts w:ascii="Times New Roman" w:hAnsi="Times New Roman" w:cs="Times New Roman"/>
          <w:sz w:val="20"/>
          <w:szCs w:val="20"/>
        </w:rPr>
        <w:t xml:space="preserve"> stress test but in group II there is no patients suffering from hypotension at all which indicates that using </w:t>
      </w:r>
      <w:proofErr w:type="spellStart"/>
      <w:r w:rsidRPr="004B542B">
        <w:rPr>
          <w:rFonts w:ascii="Times New Roman" w:hAnsi="Times New Roman" w:cs="Times New Roman"/>
          <w:sz w:val="20"/>
          <w:szCs w:val="20"/>
        </w:rPr>
        <w:t>frusemide</w:t>
      </w:r>
      <w:proofErr w:type="spellEnd"/>
      <w:r w:rsidRPr="004B542B">
        <w:rPr>
          <w:rFonts w:ascii="Times New Roman" w:hAnsi="Times New Roman" w:cs="Times New Roman"/>
          <w:sz w:val="20"/>
          <w:szCs w:val="20"/>
        </w:rPr>
        <w:t xml:space="preserve"> in treatment of acute kidney injury may cause hypotension as side effect.</w:t>
      </w:r>
    </w:p>
    <w:p w:rsidR="000B31E1" w:rsidRPr="004B542B" w:rsidRDefault="00C46070"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A</w:t>
      </w:r>
      <w:r w:rsidR="000B31E1" w:rsidRPr="004B542B">
        <w:rPr>
          <w:rFonts w:ascii="Times New Roman" w:hAnsi="Times New Roman" w:cs="Times New Roman"/>
          <w:sz w:val="20"/>
          <w:szCs w:val="20"/>
        </w:rPr>
        <w:t>s regards progression in group I, 15(37.5%) patients progressed to AKIN III while in group II, 20 (50%) patients progressed to AKIN III representing about 50%. There is no statistically significant difference between 2 groups (p value= 0.260).</w:t>
      </w:r>
    </w:p>
    <w:p w:rsidR="000B31E1" w:rsidRPr="004B542B" w:rsidRDefault="000B31E1"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Regarding length of intensive care unit there was no significant difference between 2 groups in length of stay as the mean in group I is 4.81 ± 1.85 with range from 3 to 10 days but the mean in group II is 4.8 ± 2.38 with range from 3 to 14 days, And mortality in group I there was 5 (12.5%</w:t>
      </w:r>
      <w:r w:rsidR="0087797F" w:rsidRPr="004B542B">
        <w:rPr>
          <w:rFonts w:ascii="Times New Roman" w:hAnsi="Times New Roman" w:cs="Times New Roman"/>
          <w:sz w:val="20"/>
          <w:szCs w:val="20"/>
        </w:rPr>
        <w:t>) p</w:t>
      </w:r>
      <w:r w:rsidRPr="004B542B">
        <w:rPr>
          <w:rFonts w:ascii="Times New Roman" w:hAnsi="Times New Roman" w:cs="Times New Roman"/>
          <w:sz w:val="20"/>
          <w:szCs w:val="20"/>
        </w:rPr>
        <w:t>atients who died</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while in group II there was only one patien</w:t>
      </w:r>
      <w:r w:rsidR="00C46070" w:rsidRPr="004B542B">
        <w:rPr>
          <w:rFonts w:ascii="Times New Roman" w:hAnsi="Times New Roman" w:cs="Times New Roman"/>
          <w:sz w:val="20"/>
          <w:szCs w:val="20"/>
        </w:rPr>
        <w:t>t (</w:t>
      </w:r>
      <w:r w:rsidRPr="004B542B">
        <w:rPr>
          <w:rFonts w:ascii="Times New Roman" w:hAnsi="Times New Roman" w:cs="Times New Roman"/>
          <w:sz w:val="20"/>
          <w:szCs w:val="20"/>
        </w:rPr>
        <w:t>2.5%) who died</w:t>
      </w:r>
      <w:r w:rsidR="0087797F" w:rsidRPr="004B542B">
        <w:rPr>
          <w:rFonts w:ascii="Times New Roman" w:hAnsi="Times New Roman" w:cs="Times New Roman"/>
          <w:sz w:val="20"/>
          <w:szCs w:val="20"/>
        </w:rPr>
        <w:t>, t</w:t>
      </w:r>
      <w:r w:rsidRPr="004B542B">
        <w:rPr>
          <w:rFonts w:ascii="Times New Roman" w:hAnsi="Times New Roman" w:cs="Times New Roman"/>
          <w:sz w:val="20"/>
          <w:szCs w:val="20"/>
        </w:rPr>
        <w:t>here is no statistically significant difference between 2 groups (p value= 0.201).</w:t>
      </w:r>
    </w:p>
    <w:p w:rsidR="00C46070" w:rsidRPr="004B542B" w:rsidRDefault="00C46070"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C46070" w:rsidRPr="004B542B" w:rsidSect="0087797F">
          <w:headerReference w:type="default" r:id="rId13"/>
          <w:type w:val="continuous"/>
          <w:pgSz w:w="12242" w:h="15842" w:code="1"/>
          <w:pgMar w:top="1440" w:right="1440" w:bottom="1440" w:left="1440" w:header="720" w:footer="720" w:gutter="0"/>
          <w:cols w:num="2" w:space="550"/>
          <w:docGrid w:linePitch="360"/>
        </w:sectPr>
      </w:pPr>
    </w:p>
    <w:p w:rsidR="00854B26" w:rsidRPr="004B542B" w:rsidRDefault="00854B26"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0"/>
        <w:gridCol w:w="1144"/>
        <w:gridCol w:w="612"/>
        <w:gridCol w:w="473"/>
        <w:gridCol w:w="11"/>
        <w:gridCol w:w="126"/>
        <w:gridCol w:w="716"/>
        <w:gridCol w:w="916"/>
        <w:gridCol w:w="278"/>
        <w:gridCol w:w="12"/>
        <w:gridCol w:w="659"/>
        <w:gridCol w:w="384"/>
        <w:gridCol w:w="13"/>
        <w:gridCol w:w="213"/>
        <w:gridCol w:w="610"/>
        <w:gridCol w:w="189"/>
        <w:gridCol w:w="14"/>
        <w:gridCol w:w="514"/>
        <w:gridCol w:w="452"/>
        <w:gridCol w:w="15"/>
        <w:gridCol w:w="450"/>
        <w:gridCol w:w="655"/>
        <w:gridCol w:w="15"/>
        <w:gridCol w:w="280"/>
        <w:gridCol w:w="688"/>
      </w:tblGrid>
      <w:tr w:rsidR="00B432E8" w:rsidRPr="004B542B" w:rsidTr="0087797F">
        <w:trPr>
          <w:gridBefore w:val="1"/>
          <w:wBefore w:w="6" w:type="pct"/>
          <w:cantSplit/>
          <w:tblHeader/>
          <w:jc w:val="center"/>
        </w:trPr>
        <w:tc>
          <w:tcPr>
            <w:tcW w:w="1185" w:type="pct"/>
            <w:gridSpan w:val="4"/>
            <w:tcBorders>
              <w:top w:val="single" w:sz="18" w:space="0" w:color="000000"/>
              <w:left w:val="single" w:sz="18" w:space="0" w:color="000000"/>
              <w:bottom w:val="nil"/>
              <w:right w:val="nil"/>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084" w:type="pct"/>
            <w:gridSpan w:val="5"/>
            <w:tcBorders>
              <w:top w:val="single" w:sz="18" w:space="0" w:color="000000"/>
              <w:left w:val="nil"/>
              <w:bottom w:val="nil"/>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102" w:type="pct"/>
            <w:gridSpan w:val="7"/>
            <w:tcBorders>
              <w:top w:val="single" w:sz="18" w:space="0" w:color="000000"/>
              <w:lef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group I (patients)</w:t>
            </w:r>
          </w:p>
        </w:tc>
        <w:tc>
          <w:tcPr>
            <w:tcW w:w="1111" w:type="pct"/>
            <w:gridSpan w:val="6"/>
            <w:tcBorders>
              <w:top w:val="single" w:sz="18" w:space="0" w:color="000000"/>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group II (control)</w:t>
            </w:r>
          </w:p>
        </w:tc>
        <w:tc>
          <w:tcPr>
            <w:tcW w:w="512" w:type="pct"/>
            <w:gridSpan w:val="2"/>
            <w:vMerge w:val="restart"/>
            <w:tcBorders>
              <w:top w:val="single" w:sz="18" w:space="0" w:color="000000"/>
              <w:right w:val="single" w:sz="18" w:space="0" w:color="000000"/>
            </w:tcBorders>
            <w:shd w:val="clear" w:color="auto" w:fill="E6E6E6"/>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B542B">
              <w:rPr>
                <w:rFonts w:ascii="Times New Roman" w:hAnsi="Times New Roman" w:cs="Times New Roman"/>
                <w:b/>
                <w:bCs/>
                <w:color w:val="000000"/>
                <w:sz w:val="20"/>
                <w:szCs w:val="20"/>
              </w:rPr>
              <w:t>P value</w:t>
            </w:r>
          </w:p>
        </w:tc>
      </w:tr>
      <w:tr w:rsidR="0087797F" w:rsidRPr="004B542B" w:rsidTr="0087797F">
        <w:trPr>
          <w:gridBefore w:val="1"/>
          <w:wBefore w:w="6" w:type="pct"/>
          <w:cantSplit/>
          <w:tblHeader/>
          <w:jc w:val="center"/>
        </w:trPr>
        <w:tc>
          <w:tcPr>
            <w:tcW w:w="1185" w:type="pct"/>
            <w:gridSpan w:val="4"/>
            <w:tcBorders>
              <w:top w:val="nil"/>
              <w:left w:val="single" w:sz="18" w:space="0" w:color="000000"/>
              <w:bottom w:val="single" w:sz="16" w:space="0" w:color="000000"/>
              <w:right w:val="nil"/>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1084" w:type="pct"/>
            <w:gridSpan w:val="5"/>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559" w:type="pct"/>
            <w:gridSpan w:val="3"/>
            <w:tcBorders>
              <w:left w:val="single" w:sz="16" w:space="0" w:color="000000"/>
              <w:bottom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Count</w:t>
            </w:r>
          </w:p>
        </w:tc>
        <w:tc>
          <w:tcPr>
            <w:tcW w:w="543" w:type="pct"/>
            <w:gridSpan w:val="4"/>
            <w:tcBorders>
              <w:bottom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w:t>
            </w:r>
          </w:p>
        </w:tc>
        <w:tc>
          <w:tcPr>
            <w:tcW w:w="519" w:type="pct"/>
            <w:gridSpan w:val="3"/>
            <w:tcBorders>
              <w:bottom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Count</w:t>
            </w:r>
          </w:p>
        </w:tc>
        <w:tc>
          <w:tcPr>
            <w:tcW w:w="592" w:type="pct"/>
            <w:gridSpan w:val="3"/>
            <w:tcBorders>
              <w:bottom w:val="single" w:sz="16" w:space="0" w:color="000000"/>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w:t>
            </w:r>
          </w:p>
        </w:tc>
        <w:tc>
          <w:tcPr>
            <w:tcW w:w="513" w:type="pct"/>
            <w:gridSpan w:val="2"/>
            <w:vMerge/>
            <w:tcBorders>
              <w:bottom w:val="single" w:sz="16" w:space="0" w:color="000000"/>
              <w:right w:val="single" w:sz="18" w:space="0" w:color="000000"/>
            </w:tcBorders>
            <w:shd w:val="clear" w:color="auto" w:fill="E6E6E6"/>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Htn</w:t>
            </w:r>
            <w:proofErr w:type="spellEnd"/>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23</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57.5%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75.0%</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0.098</w:t>
            </w:r>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17</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42.5%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25.0%</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DM</w:t>
            </w: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23</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57.5%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37.5%</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0.073</w:t>
            </w:r>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17</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42.5%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62.5%</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IHD</w:t>
            </w: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27.5%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30.0%</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0.805</w:t>
            </w:r>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29</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72.5%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28</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70.0%</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hypotention</w:t>
            </w:r>
            <w:proofErr w:type="spellEnd"/>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27.5%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.0%</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highlight w:val="yellow"/>
              </w:rPr>
              <w:t>&lt; 0.001</w:t>
            </w:r>
            <w:bookmarkStart w:id="0" w:name="_GoBack"/>
            <w:bookmarkEnd w:id="0"/>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29</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72.5%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hypokalemia</w:t>
            </w:r>
            <w:proofErr w:type="spellEnd"/>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15.0%</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12.5%</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0.745</w:t>
            </w:r>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34</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85.0%</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35</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87.5%</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hypomagnesemia</w:t>
            </w:r>
            <w:proofErr w:type="spellEnd"/>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55.0%</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16</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40.0%</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0.179</w:t>
            </w:r>
          </w:p>
        </w:tc>
      </w:tr>
      <w:tr w:rsidR="0087797F" w:rsidRPr="004B542B" w:rsidTr="0087797F">
        <w:trPr>
          <w:gridBefore w:val="1"/>
          <w:wBefore w:w="6" w:type="pct"/>
          <w:cantSplit/>
          <w:tblHeader/>
          <w:jc w:val="cent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45.0%</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24</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60.0%</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tblHeader/>
          <w:jc w:val="center"/>
        </w:trPr>
        <w:tc>
          <w:tcPr>
            <w:tcW w:w="1185" w:type="pct"/>
            <w:gridSpan w:val="4"/>
            <w:vMerge w:val="restart"/>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hypophosphatemia</w:t>
            </w:r>
            <w:proofErr w:type="spellEnd"/>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13" w:type="pct"/>
            <w:gridSpan w:val="2"/>
            <w:vMerge w:val="restart"/>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1.000</w:t>
            </w:r>
          </w:p>
        </w:tc>
      </w:tr>
      <w:tr w:rsidR="0087797F" w:rsidRPr="004B542B" w:rsidTr="0087797F">
        <w:trPr>
          <w:gridBefore w:val="1"/>
          <w:wBefore w:w="6" w:type="pct"/>
          <w:cantSplit/>
          <w:tblHeader/>
          <w:jc w:val="center"/>
        </w:trPr>
        <w:tc>
          <w:tcPr>
            <w:tcW w:w="1185" w:type="pct"/>
            <w:gridSpan w:val="4"/>
            <w:vMerge/>
            <w:tcBorders>
              <w:left w:val="single" w:sz="18" w:space="0" w:color="000000"/>
              <w:bottom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9" w:type="pct"/>
            <w:gridSpan w:val="3"/>
            <w:tcBorders>
              <w:lef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39</w:t>
            </w:r>
          </w:p>
        </w:tc>
        <w:tc>
          <w:tcPr>
            <w:tcW w:w="543" w:type="pct"/>
            <w:gridSpan w:val="4"/>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97.5%</w:t>
            </w:r>
          </w:p>
        </w:tc>
        <w:tc>
          <w:tcPr>
            <w:tcW w:w="519" w:type="pct"/>
            <w:gridSpan w:val="3"/>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38</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95.0%</w:t>
            </w:r>
          </w:p>
        </w:tc>
        <w:tc>
          <w:tcPr>
            <w:tcW w:w="513" w:type="pct"/>
            <w:gridSpan w:val="2"/>
            <w:vMerge/>
            <w:tcBorders>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rPr>
          <w:gridBefore w:val="1"/>
          <w:wBefore w:w="6" w:type="pct"/>
          <w:cantSplit/>
          <w:jc w:val="center"/>
        </w:trPr>
        <w:tc>
          <w:tcPr>
            <w:tcW w:w="1185" w:type="pct"/>
            <w:gridSpan w:val="4"/>
            <w:vMerge/>
            <w:tcBorders>
              <w:left w:val="single" w:sz="18" w:space="0" w:color="000000"/>
              <w:bottom w:val="single" w:sz="18"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bottom w:val="single" w:sz="18" w:space="0" w:color="000000"/>
              <w:right w:val="single" w:sz="16" w:space="0" w:color="000000"/>
            </w:tcBorders>
            <w:shd w:val="clear" w:color="auto" w:fill="E6E6E6"/>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4B542B">
              <w:rPr>
                <w:rFonts w:ascii="Times New Roman" w:hAnsi="Times New Roman" w:cs="Times New Roman"/>
                <w:b/>
                <w:bCs/>
                <w:color w:val="000000"/>
                <w:sz w:val="20"/>
                <w:szCs w:val="20"/>
              </w:rPr>
              <w:t>hypomagnesemia</w:t>
            </w:r>
            <w:proofErr w:type="spellEnd"/>
          </w:p>
        </w:tc>
        <w:tc>
          <w:tcPr>
            <w:tcW w:w="559" w:type="pct"/>
            <w:gridSpan w:val="3"/>
            <w:tcBorders>
              <w:left w:val="single" w:sz="16" w:space="0" w:color="000000"/>
              <w:bottom w:val="single" w:sz="18"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0</w:t>
            </w:r>
          </w:p>
        </w:tc>
        <w:tc>
          <w:tcPr>
            <w:tcW w:w="543" w:type="pct"/>
            <w:gridSpan w:val="4"/>
            <w:tcBorders>
              <w:bottom w:val="single" w:sz="18"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.0%</w:t>
            </w:r>
          </w:p>
        </w:tc>
        <w:tc>
          <w:tcPr>
            <w:tcW w:w="519" w:type="pct"/>
            <w:gridSpan w:val="3"/>
            <w:tcBorders>
              <w:bottom w:val="single" w:sz="18"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w:t>
            </w:r>
          </w:p>
        </w:tc>
        <w:tc>
          <w:tcPr>
            <w:tcW w:w="592" w:type="pct"/>
            <w:gridSpan w:val="3"/>
            <w:tcBorders>
              <w:bottom w:val="single" w:sz="18" w:space="0" w:color="000000"/>
              <w:right w:val="single" w:sz="16" w:space="0" w:color="000000"/>
            </w:tcBorders>
            <w:shd w:val="clear" w:color="auto" w:fill="FFFFFF"/>
            <w:tcMar>
              <w:top w:w="30" w:type="dxa"/>
              <w:left w:w="30" w:type="dxa"/>
              <w:bottom w:w="30" w:type="dxa"/>
              <w:right w:w="30" w:type="dxa"/>
            </w:tcMar>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13" w:type="pct"/>
            <w:gridSpan w:val="2"/>
            <w:vMerge/>
            <w:tcBorders>
              <w:bottom w:val="single" w:sz="18" w:space="0" w:color="000000"/>
              <w:right w:val="single" w:sz="18" w:space="0" w:color="000000"/>
            </w:tcBorders>
            <w:shd w:val="clear" w:color="auto" w:fill="FFFFFF"/>
            <w:vAlign w:val="center"/>
          </w:tcPr>
          <w:p w:rsidR="00B432E8" w:rsidRPr="004B542B" w:rsidRDefault="00B432E8"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blPrEx>
          <w:jc w:val="left"/>
          <w:tblCellMar>
            <w:left w:w="30" w:type="dxa"/>
            <w:right w:w="30" w:type="dxa"/>
          </w:tblCellMar>
        </w:tblPrEx>
        <w:trPr>
          <w:cantSplit/>
          <w:tblHeader/>
        </w:trPr>
        <w:tc>
          <w:tcPr>
            <w:tcW w:w="1185" w:type="pct"/>
            <w:gridSpan w:val="4"/>
            <w:vMerge w:val="restart"/>
            <w:tcBorders>
              <w:top w:val="single" w:sz="16" w:space="0" w:color="000000"/>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Gender</w:t>
            </w:r>
          </w:p>
        </w:tc>
        <w:tc>
          <w:tcPr>
            <w:tcW w:w="1084" w:type="pct"/>
            <w:gridSpan w:val="5"/>
            <w:tcBorders>
              <w:top w:val="single" w:sz="16" w:space="0" w:color="000000"/>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Female</w:t>
            </w:r>
          </w:p>
        </w:tc>
        <w:tc>
          <w:tcPr>
            <w:tcW w:w="558"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w:t>
            </w:r>
          </w:p>
        </w:tc>
        <w:tc>
          <w:tcPr>
            <w:tcW w:w="543" w:type="pct"/>
            <w:gridSpan w:val="4"/>
            <w:tcBorders>
              <w:top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45.0%</w:t>
            </w:r>
          </w:p>
        </w:tc>
        <w:tc>
          <w:tcPr>
            <w:tcW w:w="518" w:type="pct"/>
            <w:gridSpan w:val="3"/>
            <w:tcBorders>
              <w:top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w:t>
            </w:r>
          </w:p>
        </w:tc>
        <w:tc>
          <w:tcPr>
            <w:tcW w:w="592" w:type="pct"/>
            <w:gridSpan w:val="3"/>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30.0%</w:t>
            </w:r>
          </w:p>
        </w:tc>
        <w:tc>
          <w:tcPr>
            <w:tcW w:w="520" w:type="pct"/>
            <w:gridSpan w:val="3"/>
            <w:vMerge w:val="restart"/>
            <w:tcBorders>
              <w:top w:val="single" w:sz="16" w:space="0" w:color="000000"/>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0.166</w:t>
            </w:r>
          </w:p>
        </w:tc>
      </w:tr>
      <w:tr w:rsidR="0087797F" w:rsidRPr="004B542B" w:rsidTr="0087797F">
        <w:tblPrEx>
          <w:jc w:val="left"/>
          <w:tblCellMar>
            <w:left w:w="30" w:type="dxa"/>
            <w:right w:w="30" w:type="dxa"/>
          </w:tblCellMar>
        </w:tblPrEx>
        <w:trPr>
          <w:cantSplit/>
          <w:tblHeader/>
        </w:trPr>
        <w:tc>
          <w:tcPr>
            <w:tcW w:w="1185" w:type="pct"/>
            <w:gridSpan w:val="4"/>
            <w:vMerge/>
            <w:tcBorders>
              <w:top w:val="single" w:sz="16" w:space="0" w:color="000000"/>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male</w:t>
            </w:r>
          </w:p>
        </w:tc>
        <w:tc>
          <w:tcPr>
            <w:tcW w:w="558" w:type="pct"/>
            <w:gridSpan w:val="3"/>
            <w:tcBorders>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w:t>
            </w:r>
          </w:p>
        </w:tc>
        <w:tc>
          <w:tcPr>
            <w:tcW w:w="543" w:type="pct"/>
            <w:gridSpan w:val="4"/>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55.0%</w:t>
            </w:r>
          </w:p>
        </w:tc>
        <w:tc>
          <w:tcPr>
            <w:tcW w:w="518" w:type="pct"/>
            <w:gridSpan w:val="3"/>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28</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70.0%</w:t>
            </w:r>
          </w:p>
        </w:tc>
        <w:tc>
          <w:tcPr>
            <w:tcW w:w="520" w:type="pct"/>
            <w:gridSpan w:val="3"/>
            <w:vMerge/>
            <w:tcBorders>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blPrEx>
          <w:jc w:val="left"/>
          <w:tblCellMar>
            <w:left w:w="30" w:type="dxa"/>
            <w:right w:w="30" w:type="dxa"/>
          </w:tblCellMar>
        </w:tblPrEx>
        <w:trPr>
          <w:cantSplit/>
          <w:tblHead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Mortality</w:t>
            </w: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8" w:type="pct"/>
            <w:gridSpan w:val="3"/>
            <w:tcBorders>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35</w:t>
            </w:r>
          </w:p>
        </w:tc>
        <w:tc>
          <w:tcPr>
            <w:tcW w:w="543" w:type="pct"/>
            <w:gridSpan w:val="4"/>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87.5%</w:t>
            </w:r>
          </w:p>
        </w:tc>
        <w:tc>
          <w:tcPr>
            <w:tcW w:w="518" w:type="pct"/>
            <w:gridSpan w:val="3"/>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39</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97.5%</w:t>
            </w:r>
          </w:p>
        </w:tc>
        <w:tc>
          <w:tcPr>
            <w:tcW w:w="520" w:type="pct"/>
            <w:gridSpan w:val="3"/>
            <w:vMerge w:val="restart"/>
            <w:tcBorders>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0.201</w:t>
            </w:r>
          </w:p>
        </w:tc>
      </w:tr>
      <w:tr w:rsidR="0087797F" w:rsidRPr="004B542B" w:rsidTr="0087797F">
        <w:tblPrEx>
          <w:jc w:val="left"/>
          <w:tblCellMar>
            <w:left w:w="30" w:type="dxa"/>
            <w:right w:w="30" w:type="dxa"/>
          </w:tblCellMar>
        </w:tblPrEx>
        <w:trPr>
          <w:cantSplit/>
          <w:tblHead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8" w:type="pct"/>
            <w:gridSpan w:val="3"/>
            <w:tcBorders>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w:t>
            </w:r>
          </w:p>
        </w:tc>
        <w:tc>
          <w:tcPr>
            <w:tcW w:w="543" w:type="pct"/>
            <w:gridSpan w:val="4"/>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12.5%</w:t>
            </w:r>
          </w:p>
        </w:tc>
        <w:tc>
          <w:tcPr>
            <w:tcW w:w="518" w:type="pct"/>
            <w:gridSpan w:val="3"/>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20" w:type="pct"/>
            <w:gridSpan w:val="3"/>
            <w:vMerge/>
            <w:tcBorders>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87797F" w:rsidRPr="004B542B" w:rsidTr="0087797F">
        <w:tblPrEx>
          <w:jc w:val="left"/>
          <w:tblCellMar>
            <w:left w:w="30" w:type="dxa"/>
            <w:right w:w="30" w:type="dxa"/>
          </w:tblCellMar>
        </w:tblPrEx>
        <w:trPr>
          <w:cantSplit/>
          <w:trHeight w:val="33"/>
          <w:tblHeader/>
        </w:trPr>
        <w:tc>
          <w:tcPr>
            <w:tcW w:w="1185" w:type="pct"/>
            <w:gridSpan w:val="4"/>
            <w:vMerge w:val="restart"/>
            <w:tcBorders>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Progress</w:t>
            </w: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negative</w:t>
            </w:r>
          </w:p>
        </w:tc>
        <w:tc>
          <w:tcPr>
            <w:tcW w:w="558" w:type="pct"/>
            <w:gridSpan w:val="3"/>
            <w:tcBorders>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w:t>
            </w:r>
          </w:p>
        </w:tc>
        <w:tc>
          <w:tcPr>
            <w:tcW w:w="543" w:type="pct"/>
            <w:gridSpan w:val="4"/>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62.5%</w:t>
            </w:r>
          </w:p>
        </w:tc>
        <w:tc>
          <w:tcPr>
            <w:tcW w:w="518" w:type="pct"/>
            <w:gridSpan w:val="3"/>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w:t>
            </w:r>
          </w:p>
        </w:tc>
        <w:tc>
          <w:tcPr>
            <w:tcW w:w="520" w:type="pct"/>
            <w:gridSpan w:val="3"/>
            <w:vMerge w:val="restart"/>
            <w:tcBorders>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0.260</w:t>
            </w:r>
          </w:p>
        </w:tc>
      </w:tr>
      <w:tr w:rsidR="0087797F" w:rsidRPr="004B542B" w:rsidTr="0087797F">
        <w:tblPrEx>
          <w:jc w:val="left"/>
          <w:tblCellMar>
            <w:left w:w="30" w:type="dxa"/>
            <w:right w:w="30" w:type="dxa"/>
          </w:tblCellMar>
        </w:tblPrEx>
        <w:trPr>
          <w:cantSplit/>
          <w:tblHeader/>
        </w:trPr>
        <w:tc>
          <w:tcPr>
            <w:tcW w:w="1185" w:type="pct"/>
            <w:gridSpan w:val="4"/>
            <w:vMerge/>
            <w:tcBorders>
              <w:left w:val="single" w:sz="18"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84" w:type="pct"/>
            <w:gridSpan w:val="5"/>
            <w:tcBorders>
              <w:left w:val="nil"/>
              <w:right w:val="single" w:sz="16" w:space="0" w:color="000000"/>
            </w:tcBorders>
            <w:shd w:val="clear" w:color="auto" w:fill="E6E6E6"/>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positive</w:t>
            </w:r>
          </w:p>
        </w:tc>
        <w:tc>
          <w:tcPr>
            <w:tcW w:w="558" w:type="pct"/>
            <w:gridSpan w:val="3"/>
            <w:tcBorders>
              <w:lef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w:t>
            </w:r>
          </w:p>
        </w:tc>
        <w:tc>
          <w:tcPr>
            <w:tcW w:w="543" w:type="pct"/>
            <w:gridSpan w:val="4"/>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37.5%</w:t>
            </w:r>
          </w:p>
        </w:tc>
        <w:tc>
          <w:tcPr>
            <w:tcW w:w="518" w:type="pct"/>
            <w:gridSpan w:val="3"/>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20</w:t>
            </w:r>
          </w:p>
        </w:tc>
        <w:tc>
          <w:tcPr>
            <w:tcW w:w="592" w:type="pct"/>
            <w:gridSpan w:val="3"/>
            <w:tcBorders>
              <w:right w:val="single" w:sz="16" w:space="0" w:color="000000"/>
            </w:tcBorders>
            <w:shd w:val="clear" w:color="auto" w:fill="FFFFFF"/>
            <w:tcMar>
              <w:top w:w="30" w:type="dxa"/>
              <w:left w:w="30" w:type="dxa"/>
              <w:bottom w:w="30" w:type="dxa"/>
              <w:right w:w="30" w:type="dxa"/>
            </w:tcMar>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w:t>
            </w:r>
          </w:p>
        </w:tc>
        <w:tc>
          <w:tcPr>
            <w:tcW w:w="520" w:type="pct"/>
            <w:gridSpan w:val="3"/>
            <w:vMerge/>
            <w:tcBorders>
              <w:right w:val="single" w:sz="18" w:space="0" w:color="000000"/>
            </w:tcBorders>
            <w:shd w:val="clear" w:color="auto" w:fill="FFFFFF"/>
            <w:vAlign w:val="center"/>
          </w:tcPr>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p>
        </w:tc>
      </w:tr>
      <w:tr w:rsidR="00E54050" w:rsidRPr="004B542B" w:rsidTr="00C46070">
        <w:trPr>
          <w:cantSplit/>
          <w:tblHeader/>
          <w:jc w:val="center"/>
        </w:trPr>
        <w:tc>
          <w:tcPr>
            <w:tcW w:w="612" w:type="pct"/>
            <w:gridSpan w:val="2"/>
            <w:tcBorders>
              <w:top w:val="single" w:sz="18" w:space="0" w:color="000000"/>
              <w:left w:val="single" w:sz="18" w:space="0" w:color="000000"/>
              <w:bottom w:val="nil"/>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2011" w:type="pct"/>
            <w:gridSpan w:val="9"/>
            <w:tcBorders>
              <w:top w:val="single" w:sz="18" w:space="0" w:color="000000"/>
              <w:lef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Group I</w:t>
            </w:r>
          </w:p>
        </w:tc>
        <w:tc>
          <w:tcPr>
            <w:tcW w:w="2011" w:type="pct"/>
            <w:gridSpan w:val="13"/>
            <w:tcBorders>
              <w:top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Group II</w:t>
            </w:r>
          </w:p>
        </w:tc>
        <w:tc>
          <w:tcPr>
            <w:tcW w:w="366" w:type="pct"/>
            <w:vMerge w:val="restart"/>
            <w:tcBorders>
              <w:top w:val="single" w:sz="18" w:space="0" w:color="000000"/>
              <w:right w:val="single" w:sz="18" w:space="0" w:color="000000"/>
            </w:tcBorders>
            <w:shd w:val="clear" w:color="auto" w:fill="E6E6E6"/>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B542B">
              <w:rPr>
                <w:rFonts w:ascii="Times New Roman" w:hAnsi="Times New Roman" w:cs="Times New Roman"/>
                <w:b/>
                <w:bCs/>
                <w:color w:val="000000"/>
                <w:sz w:val="20"/>
                <w:szCs w:val="20"/>
              </w:rPr>
              <w:t>P value</w:t>
            </w:r>
          </w:p>
        </w:tc>
      </w:tr>
      <w:tr w:rsidR="00C46070" w:rsidRPr="004B542B" w:rsidTr="0087797F">
        <w:trPr>
          <w:cantSplit/>
          <w:tblHeader/>
          <w:jc w:val="center"/>
        </w:trPr>
        <w:tc>
          <w:tcPr>
            <w:tcW w:w="612" w:type="pct"/>
            <w:gridSpan w:val="2"/>
            <w:tcBorders>
              <w:top w:val="nil"/>
              <w:left w:val="single" w:sz="1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323" w:type="pct"/>
            <w:tcBorders>
              <w:left w:val="single" w:sz="16" w:space="0" w:color="000000"/>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Mean</w:t>
            </w:r>
          </w:p>
        </w:tc>
        <w:tc>
          <w:tcPr>
            <w:tcW w:w="323" w:type="pct"/>
            <w:gridSpan w:val="3"/>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SD</w:t>
            </w:r>
          </w:p>
        </w:tc>
        <w:tc>
          <w:tcPr>
            <w:tcW w:w="379" w:type="pct"/>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Median</w:t>
            </w:r>
          </w:p>
        </w:tc>
        <w:tc>
          <w:tcPr>
            <w:tcW w:w="485" w:type="pct"/>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Minimum</w:t>
            </w:r>
          </w:p>
        </w:tc>
        <w:tc>
          <w:tcPr>
            <w:tcW w:w="502" w:type="pct"/>
            <w:gridSpan w:val="3"/>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Maximum</w:t>
            </w:r>
          </w:p>
        </w:tc>
        <w:tc>
          <w:tcPr>
            <w:tcW w:w="323" w:type="pct"/>
            <w:gridSpan w:val="3"/>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Mean</w:t>
            </w:r>
          </w:p>
        </w:tc>
        <w:tc>
          <w:tcPr>
            <w:tcW w:w="323" w:type="pct"/>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SD</w:t>
            </w:r>
          </w:p>
        </w:tc>
        <w:tc>
          <w:tcPr>
            <w:tcW w:w="379" w:type="pct"/>
            <w:gridSpan w:val="3"/>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Median</w:t>
            </w:r>
          </w:p>
        </w:tc>
        <w:tc>
          <w:tcPr>
            <w:tcW w:w="485" w:type="pct"/>
            <w:gridSpan w:val="3"/>
            <w:tcBorders>
              <w:bottom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Minimum</w:t>
            </w:r>
          </w:p>
        </w:tc>
        <w:tc>
          <w:tcPr>
            <w:tcW w:w="502" w:type="pct"/>
            <w:gridSpan w:val="3"/>
            <w:tcBorders>
              <w:bottom w:val="single" w:sz="16"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Maximum</w:t>
            </w:r>
          </w:p>
        </w:tc>
        <w:tc>
          <w:tcPr>
            <w:tcW w:w="364" w:type="pct"/>
            <w:vMerge/>
            <w:tcBorders>
              <w:bottom w:val="single" w:sz="16" w:space="0" w:color="000000"/>
              <w:right w:val="single" w:sz="18" w:space="0" w:color="000000"/>
            </w:tcBorders>
            <w:shd w:val="clear" w:color="auto" w:fill="E6E6E6"/>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r w:rsidR="00C46070" w:rsidRPr="004B542B" w:rsidTr="0087797F">
        <w:trPr>
          <w:cantSplit/>
          <w:tblHeader/>
          <w:jc w:val="center"/>
        </w:trPr>
        <w:tc>
          <w:tcPr>
            <w:tcW w:w="612" w:type="pct"/>
            <w:gridSpan w:val="2"/>
            <w:tcBorders>
              <w:top w:val="single" w:sz="16" w:space="0" w:color="000000"/>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Age</w:t>
            </w:r>
          </w:p>
        </w:tc>
        <w:tc>
          <w:tcPr>
            <w:tcW w:w="323" w:type="pct"/>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55.80</w:t>
            </w:r>
          </w:p>
        </w:tc>
        <w:tc>
          <w:tcPr>
            <w:tcW w:w="323" w:type="pct"/>
            <w:gridSpan w:val="3"/>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12.63</w:t>
            </w:r>
          </w:p>
        </w:tc>
        <w:tc>
          <w:tcPr>
            <w:tcW w:w="379" w:type="pct"/>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58.00</w:t>
            </w:r>
          </w:p>
        </w:tc>
        <w:tc>
          <w:tcPr>
            <w:tcW w:w="485" w:type="pct"/>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22.00</w:t>
            </w:r>
          </w:p>
        </w:tc>
        <w:tc>
          <w:tcPr>
            <w:tcW w:w="502" w:type="pct"/>
            <w:gridSpan w:val="3"/>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76.00</w:t>
            </w:r>
          </w:p>
        </w:tc>
        <w:tc>
          <w:tcPr>
            <w:tcW w:w="323" w:type="pct"/>
            <w:gridSpan w:val="3"/>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55.28</w:t>
            </w:r>
          </w:p>
        </w:tc>
        <w:tc>
          <w:tcPr>
            <w:tcW w:w="323" w:type="pct"/>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15.89</w:t>
            </w:r>
          </w:p>
        </w:tc>
        <w:tc>
          <w:tcPr>
            <w:tcW w:w="379" w:type="pct"/>
            <w:gridSpan w:val="3"/>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59.00</w:t>
            </w:r>
          </w:p>
        </w:tc>
        <w:tc>
          <w:tcPr>
            <w:tcW w:w="485" w:type="pct"/>
            <w:gridSpan w:val="3"/>
            <w:tcBorders>
              <w:top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19.00</w:t>
            </w:r>
          </w:p>
        </w:tc>
        <w:tc>
          <w:tcPr>
            <w:tcW w:w="502" w:type="pct"/>
            <w:gridSpan w:val="3"/>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85.00</w:t>
            </w:r>
          </w:p>
        </w:tc>
        <w:tc>
          <w:tcPr>
            <w:tcW w:w="364" w:type="pct"/>
            <w:tcBorders>
              <w:top w:val="single" w:sz="16" w:space="0" w:color="000000"/>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0.946</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urine output (6 hours)</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671.25</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342.48</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600.00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1500.00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518.75</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271.67</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500.00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200.00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1200.00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highlight w:val="yellow"/>
              </w:rPr>
            </w:pPr>
            <w:r w:rsidRPr="004B542B">
              <w:rPr>
                <w:rFonts w:ascii="Times New Roman" w:hAnsi="Times New Roman" w:cs="Times New Roman"/>
                <w:b/>
                <w:bCs/>
                <w:i/>
                <w:iCs/>
                <w:color w:val="000000"/>
                <w:sz w:val="20"/>
                <w:szCs w:val="20"/>
                <w:highlight w:val="yellow"/>
              </w:rPr>
              <w:t>0.033</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Kidney functions tests OA</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4.53</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2.52</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3.60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6.43</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3.63</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6.50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17.00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highlight w:val="yellow"/>
              </w:rPr>
            </w:pPr>
            <w:r w:rsidRPr="004B542B">
              <w:rPr>
                <w:rFonts w:ascii="Times New Roman" w:hAnsi="Times New Roman" w:cs="Times New Roman"/>
                <w:b/>
                <w:bCs/>
                <w:i/>
                <w:iCs/>
                <w:color w:val="000000"/>
                <w:sz w:val="20"/>
                <w:szCs w:val="20"/>
                <w:highlight w:val="yellow"/>
              </w:rPr>
              <w:t>0.009</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Kidney functions tests 1</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4.12</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2.42</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3.35</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12.20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5.12</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2.50</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5.25</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highlight w:val="yellow"/>
              </w:rPr>
            </w:pPr>
            <w:r w:rsidRPr="004B542B">
              <w:rPr>
                <w:rFonts w:ascii="Times New Roman" w:hAnsi="Times New Roman" w:cs="Times New Roman"/>
                <w:b/>
                <w:bCs/>
                <w:i/>
                <w:iCs/>
                <w:color w:val="000000"/>
                <w:sz w:val="20"/>
                <w:szCs w:val="20"/>
                <w:highlight w:val="yellow"/>
              </w:rPr>
              <w:t>0.031</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Kidney functions tests 2</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3.69</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1.88</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3.25</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9.80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4.30</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2.13</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4.20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0.145</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Kidney functions tests 3</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3.16</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1.97</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2.45</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10.50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3.45</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1.73</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3.15</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8.20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0.242</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NA</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135.00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9.20</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135.50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165.00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132.92</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8.77</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131.00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121.00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157.00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0.223</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K</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4.93</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1.04</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4.80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2.70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7.20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4.79</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1.27</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4.70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1.60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8.20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0.531</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Mg</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2.11</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.46</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2.00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3.50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2.28</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.41</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2.20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1.40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3.20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0.059</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PH</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4.03</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1.52</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9.20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5.22</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1.55</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5.15</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highlight w:val="yellow"/>
              </w:rPr>
              <w:t>&lt;0.001</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SBP</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118.52</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12.02</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120.00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95.00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142.00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111.75</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11.30</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110.00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90.00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130.00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highlight w:val="yellow"/>
              </w:rPr>
              <w:t>0.015</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DBP</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68.70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12.33</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68.00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94.00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70.25</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10.74</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70.00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90.00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0.492</w:t>
            </w:r>
          </w:p>
        </w:tc>
      </w:tr>
      <w:tr w:rsidR="00C46070" w:rsidRPr="004B542B" w:rsidTr="0087797F">
        <w:trPr>
          <w:cantSplit/>
          <w:tblHeader/>
          <w:jc w:val="center"/>
        </w:trPr>
        <w:tc>
          <w:tcPr>
            <w:tcW w:w="612" w:type="pct"/>
            <w:gridSpan w:val="2"/>
            <w:tcBorders>
              <w:left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CVP</w:t>
            </w:r>
          </w:p>
        </w:tc>
        <w:tc>
          <w:tcPr>
            <w:tcW w:w="323" w:type="pct"/>
            <w:tcBorders>
              <w:lef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11.15</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3.74</w:t>
            </w:r>
          </w:p>
        </w:tc>
        <w:tc>
          <w:tcPr>
            <w:tcW w:w="379"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11.50</w:t>
            </w:r>
          </w:p>
        </w:tc>
        <w:tc>
          <w:tcPr>
            <w:tcW w:w="485"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w:t>
            </w:r>
          </w:p>
        </w:tc>
        <w:tc>
          <w:tcPr>
            <w:tcW w:w="502"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18.00</w:t>
            </w:r>
          </w:p>
        </w:tc>
        <w:tc>
          <w:tcPr>
            <w:tcW w:w="323"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9.58</w:t>
            </w:r>
          </w:p>
        </w:tc>
        <w:tc>
          <w:tcPr>
            <w:tcW w:w="323" w:type="pct"/>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3.23</w:t>
            </w:r>
          </w:p>
        </w:tc>
        <w:tc>
          <w:tcPr>
            <w:tcW w:w="379"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w:t>
            </w:r>
          </w:p>
        </w:tc>
        <w:tc>
          <w:tcPr>
            <w:tcW w:w="485" w:type="pct"/>
            <w:gridSpan w:val="3"/>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5.00</w:t>
            </w:r>
          </w:p>
        </w:tc>
        <w:tc>
          <w:tcPr>
            <w:tcW w:w="502" w:type="pct"/>
            <w:gridSpan w:val="3"/>
            <w:tcBorders>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15.00</w:t>
            </w:r>
          </w:p>
        </w:tc>
        <w:tc>
          <w:tcPr>
            <w:tcW w:w="364" w:type="pct"/>
            <w:tcBorders>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0.062</w:t>
            </w:r>
          </w:p>
        </w:tc>
      </w:tr>
      <w:tr w:rsidR="00C46070" w:rsidRPr="004B542B" w:rsidTr="0087797F">
        <w:trPr>
          <w:cantSplit/>
          <w:jc w:val="center"/>
        </w:trPr>
        <w:tc>
          <w:tcPr>
            <w:tcW w:w="612" w:type="pct"/>
            <w:gridSpan w:val="2"/>
            <w:tcBorders>
              <w:left w:val="single" w:sz="18" w:space="0" w:color="000000"/>
              <w:bottom w:val="single" w:sz="18" w:space="0" w:color="000000"/>
              <w:right w:val="single" w:sz="16" w:space="0" w:color="000000"/>
            </w:tcBorders>
            <w:shd w:val="clear" w:color="auto" w:fill="E6E6E6"/>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color w:val="000000"/>
                <w:sz w:val="20"/>
                <w:szCs w:val="20"/>
              </w:rPr>
              <w:t>LOS</w:t>
            </w:r>
          </w:p>
        </w:tc>
        <w:tc>
          <w:tcPr>
            <w:tcW w:w="323" w:type="pct"/>
            <w:tcBorders>
              <w:left w:val="single" w:sz="16" w:space="0" w:color="000000"/>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4.81</w:t>
            </w:r>
          </w:p>
        </w:tc>
        <w:tc>
          <w:tcPr>
            <w:tcW w:w="323" w:type="pct"/>
            <w:gridSpan w:val="3"/>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1.85</w:t>
            </w:r>
          </w:p>
        </w:tc>
        <w:tc>
          <w:tcPr>
            <w:tcW w:w="379" w:type="pct"/>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4.00</w:t>
            </w:r>
          </w:p>
        </w:tc>
        <w:tc>
          <w:tcPr>
            <w:tcW w:w="485" w:type="pct"/>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3.00</w:t>
            </w:r>
          </w:p>
        </w:tc>
        <w:tc>
          <w:tcPr>
            <w:tcW w:w="502" w:type="pct"/>
            <w:gridSpan w:val="3"/>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10.00</w:t>
            </w:r>
          </w:p>
        </w:tc>
        <w:tc>
          <w:tcPr>
            <w:tcW w:w="323" w:type="pct"/>
            <w:gridSpan w:val="3"/>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4.80</w:t>
            </w:r>
          </w:p>
        </w:tc>
        <w:tc>
          <w:tcPr>
            <w:tcW w:w="323" w:type="pct"/>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2.38</w:t>
            </w:r>
          </w:p>
        </w:tc>
        <w:tc>
          <w:tcPr>
            <w:tcW w:w="379" w:type="pct"/>
            <w:gridSpan w:val="3"/>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4.00</w:t>
            </w:r>
          </w:p>
        </w:tc>
        <w:tc>
          <w:tcPr>
            <w:tcW w:w="485" w:type="pct"/>
            <w:gridSpan w:val="3"/>
            <w:tcBorders>
              <w:bottom w:val="single" w:sz="18"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3.00</w:t>
            </w:r>
          </w:p>
        </w:tc>
        <w:tc>
          <w:tcPr>
            <w:tcW w:w="502" w:type="pct"/>
            <w:gridSpan w:val="3"/>
            <w:tcBorders>
              <w:bottom w:val="single" w:sz="18" w:space="0" w:color="000000"/>
              <w:right w:val="single" w:sz="16" w:space="0" w:color="000000"/>
            </w:tcBorders>
            <w:shd w:val="clear" w:color="auto" w:fill="FFFFFF"/>
            <w:tcMar>
              <w:top w:w="30" w:type="dxa"/>
              <w:left w:w="30" w:type="dxa"/>
              <w:bottom w:w="30" w:type="dxa"/>
              <w:right w:w="30" w:type="dxa"/>
            </w:tcMar>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B542B">
              <w:rPr>
                <w:rFonts w:ascii="Times New Roman" w:hAnsi="Times New Roman" w:cs="Times New Roman"/>
                <w:b/>
                <w:bCs/>
                <w:i/>
                <w:iCs/>
                <w:color w:val="000000"/>
                <w:sz w:val="20"/>
                <w:szCs w:val="20"/>
              </w:rPr>
              <w:t>14.00</w:t>
            </w:r>
          </w:p>
        </w:tc>
        <w:tc>
          <w:tcPr>
            <w:tcW w:w="364" w:type="pct"/>
            <w:tcBorders>
              <w:bottom w:val="single" w:sz="18" w:space="0" w:color="000000"/>
              <w:right w:val="single" w:sz="18" w:space="0" w:color="000000"/>
            </w:tcBorders>
            <w:shd w:val="clear" w:color="auto" w:fill="FFFFFF"/>
            <w:vAlign w:val="center"/>
          </w:tcPr>
          <w:p w:rsidR="00E54050" w:rsidRPr="004B542B" w:rsidRDefault="00E54050" w:rsidP="0087797F">
            <w:pPr>
              <w:autoSpaceDE w:val="0"/>
              <w:autoSpaceDN w:val="0"/>
              <w:bidi w:val="0"/>
              <w:adjustRightInd w:val="0"/>
              <w:snapToGrid w:val="0"/>
              <w:spacing w:after="0" w:line="240" w:lineRule="auto"/>
              <w:jc w:val="both"/>
              <w:rPr>
                <w:rFonts w:ascii="Times New Roman" w:hAnsi="Times New Roman" w:cs="Times New Roman"/>
                <w:b/>
                <w:bCs/>
                <w:i/>
                <w:iCs/>
                <w:color w:val="000000"/>
                <w:sz w:val="20"/>
                <w:szCs w:val="20"/>
              </w:rPr>
            </w:pPr>
            <w:r w:rsidRPr="004B542B">
              <w:rPr>
                <w:rFonts w:ascii="Times New Roman" w:hAnsi="Times New Roman" w:cs="Times New Roman"/>
                <w:b/>
                <w:bCs/>
                <w:i/>
                <w:iCs/>
                <w:color w:val="000000"/>
                <w:sz w:val="20"/>
                <w:szCs w:val="20"/>
              </w:rPr>
              <w:t>0.621</w:t>
            </w:r>
          </w:p>
        </w:tc>
      </w:tr>
    </w:tbl>
    <w:p w:rsidR="00FA0383" w:rsidRPr="004B542B" w:rsidRDefault="00FA0383" w:rsidP="0087797F">
      <w:pPr>
        <w:bidi w:val="0"/>
        <w:snapToGrid w:val="0"/>
        <w:spacing w:after="0" w:line="240" w:lineRule="auto"/>
        <w:ind w:firstLine="425"/>
        <w:jc w:val="both"/>
        <w:rPr>
          <w:rFonts w:ascii="Times New Roman" w:hAnsi="Times New Roman" w:cs="Times New Roman"/>
          <w:sz w:val="20"/>
          <w:szCs w:val="20"/>
          <w:lang w:bidi="ar-EG"/>
        </w:rPr>
      </w:pPr>
    </w:p>
    <w:p w:rsidR="0087797F" w:rsidRPr="004B542B" w:rsidRDefault="0087797F" w:rsidP="0087797F">
      <w:pPr>
        <w:autoSpaceDE w:val="0"/>
        <w:autoSpaceDN w:val="0"/>
        <w:bidi w:val="0"/>
        <w:adjustRightInd w:val="0"/>
        <w:snapToGrid w:val="0"/>
        <w:spacing w:after="0" w:line="240" w:lineRule="auto"/>
        <w:jc w:val="center"/>
        <w:rPr>
          <w:rFonts w:ascii="Times New Roman" w:hAnsi="Times New Roman" w:cs="Times New Roman"/>
          <w:sz w:val="20"/>
          <w:szCs w:val="20"/>
          <w:lang w:eastAsia="zh-CN" w:bidi="ar-EG"/>
        </w:rPr>
      </w:pPr>
      <w:r w:rsidRPr="004B542B">
        <w:rPr>
          <w:rFonts w:ascii="Times New Roman" w:hAnsi="Times New Roman" w:cs="Times New Roman"/>
          <w:noProof/>
          <w:sz w:val="20"/>
          <w:szCs w:val="20"/>
          <w:lang w:eastAsia="zh-CN"/>
        </w:rPr>
        <w:drawing>
          <wp:inline distT="0" distB="0" distL="0" distR="0">
            <wp:extent cx="4570857" cy="2667889"/>
            <wp:effectExtent l="19050" t="0" r="20193"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6070" w:rsidRPr="004B542B" w:rsidRDefault="00C46070" w:rsidP="0087797F">
      <w:pPr>
        <w:bidi w:val="0"/>
        <w:snapToGrid w:val="0"/>
        <w:spacing w:after="0" w:line="240" w:lineRule="auto"/>
        <w:jc w:val="both"/>
        <w:rPr>
          <w:rFonts w:ascii="Times New Roman" w:hAnsi="Times New Roman" w:cs="Times New Roman"/>
          <w:b/>
          <w:bCs/>
          <w:sz w:val="20"/>
          <w:szCs w:val="20"/>
        </w:rPr>
      </w:pPr>
    </w:p>
    <w:p w:rsidR="00C46070" w:rsidRPr="004B542B" w:rsidRDefault="00C46070" w:rsidP="0087797F">
      <w:pPr>
        <w:bidi w:val="0"/>
        <w:snapToGrid w:val="0"/>
        <w:spacing w:after="0" w:line="240" w:lineRule="auto"/>
        <w:jc w:val="both"/>
        <w:rPr>
          <w:rFonts w:ascii="Times New Roman" w:hAnsi="Times New Roman" w:cs="Times New Roman"/>
          <w:b/>
          <w:bCs/>
          <w:sz w:val="20"/>
          <w:szCs w:val="20"/>
        </w:rPr>
        <w:sectPr w:rsidR="00C46070" w:rsidRPr="004B542B" w:rsidSect="00C46070">
          <w:headerReference w:type="default" r:id="rId15"/>
          <w:type w:val="continuous"/>
          <w:pgSz w:w="12242" w:h="15842" w:code="1"/>
          <w:pgMar w:top="1440" w:right="1440" w:bottom="1440" w:left="1440" w:header="720" w:footer="720" w:gutter="0"/>
          <w:cols w:space="708"/>
          <w:docGrid w:linePitch="360"/>
        </w:sectPr>
      </w:pPr>
    </w:p>
    <w:p w:rsidR="00D10283" w:rsidRPr="004B542B" w:rsidRDefault="00D10283" w:rsidP="0087797F">
      <w:pPr>
        <w:bidi w:val="0"/>
        <w:snapToGrid w:val="0"/>
        <w:spacing w:after="0" w:line="240" w:lineRule="auto"/>
        <w:jc w:val="both"/>
        <w:rPr>
          <w:rFonts w:ascii="Times New Roman" w:hAnsi="Times New Roman" w:cs="Times New Roman"/>
          <w:b/>
          <w:bCs/>
          <w:sz w:val="20"/>
          <w:szCs w:val="20"/>
        </w:rPr>
      </w:pPr>
      <w:proofErr w:type="spellStart"/>
      <w:r w:rsidRPr="004B542B">
        <w:rPr>
          <w:rFonts w:ascii="Times New Roman" w:hAnsi="Times New Roman" w:cs="Times New Roman"/>
          <w:b/>
          <w:bCs/>
          <w:sz w:val="20"/>
          <w:szCs w:val="20"/>
        </w:rPr>
        <w:lastRenderedPageBreak/>
        <w:t>Furosemide</w:t>
      </w:r>
      <w:proofErr w:type="spellEnd"/>
      <w:r w:rsidRPr="004B542B">
        <w:rPr>
          <w:rFonts w:ascii="Times New Roman" w:hAnsi="Times New Roman" w:cs="Times New Roman"/>
          <w:b/>
          <w:bCs/>
          <w:sz w:val="20"/>
          <w:szCs w:val="20"/>
        </w:rPr>
        <w:t xml:space="preserve"> stress test character</w:t>
      </w:r>
      <w:r w:rsidR="007E5D67" w:rsidRPr="004B542B">
        <w:rPr>
          <w:rFonts w:ascii="Times New Roman" w:hAnsi="Times New Roman" w:cs="Times New Roman"/>
          <w:b/>
          <w:bCs/>
          <w:sz w:val="20"/>
          <w:szCs w:val="20"/>
        </w:rPr>
        <w:t>i</w:t>
      </w:r>
      <w:r w:rsidRPr="004B542B">
        <w:rPr>
          <w:rFonts w:ascii="Times New Roman" w:hAnsi="Times New Roman" w:cs="Times New Roman"/>
          <w:b/>
          <w:bCs/>
          <w:sz w:val="20"/>
          <w:szCs w:val="20"/>
        </w:rPr>
        <w:t>s</w:t>
      </w:r>
      <w:r w:rsidR="007E5D67" w:rsidRPr="004B542B">
        <w:rPr>
          <w:rFonts w:ascii="Times New Roman" w:hAnsi="Times New Roman" w:cs="Times New Roman"/>
          <w:b/>
          <w:bCs/>
          <w:sz w:val="20"/>
          <w:szCs w:val="20"/>
        </w:rPr>
        <w:t>tics</w:t>
      </w:r>
    </w:p>
    <w:p w:rsidR="007E5D67" w:rsidRPr="004B542B" w:rsidRDefault="007E5D6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We assessed the urine flow rate in response to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The</w:t>
      </w:r>
      <w:r w:rsidR="00494379"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Maximum UFR was within the first two hours. We compared the UFR between the two </w:t>
      </w:r>
      <w:r w:rsidRPr="004B542B">
        <w:rPr>
          <w:rFonts w:ascii="Times New Roman" w:hAnsi="Times New Roman" w:cs="Times New Roman"/>
          <w:sz w:val="20"/>
          <w:szCs w:val="20"/>
        </w:rPr>
        <w:lastRenderedPageBreak/>
        <w:t xml:space="preserve">groups </w:t>
      </w:r>
      <w:r w:rsidR="00706993" w:rsidRPr="004B542B">
        <w:rPr>
          <w:rFonts w:ascii="Times New Roman" w:hAnsi="Times New Roman" w:cs="Times New Roman"/>
          <w:sz w:val="20"/>
          <w:szCs w:val="20"/>
        </w:rPr>
        <w:t>for</w:t>
      </w:r>
      <w:r w:rsidRPr="004B542B">
        <w:rPr>
          <w:rFonts w:ascii="Times New Roman" w:hAnsi="Times New Roman" w:cs="Times New Roman"/>
          <w:sz w:val="20"/>
          <w:szCs w:val="20"/>
        </w:rPr>
        <w:t xml:space="preserve"> each hourly </w:t>
      </w:r>
      <w:r w:rsidR="00706993" w:rsidRPr="004B542B">
        <w:rPr>
          <w:rFonts w:ascii="Times New Roman" w:hAnsi="Times New Roman" w:cs="Times New Roman"/>
          <w:sz w:val="20"/>
          <w:szCs w:val="20"/>
        </w:rPr>
        <w:t>interval;</w:t>
      </w:r>
      <w:r w:rsidRPr="004B542B">
        <w:rPr>
          <w:rFonts w:ascii="Times New Roman" w:hAnsi="Times New Roman" w:cs="Times New Roman"/>
          <w:sz w:val="20"/>
          <w:szCs w:val="20"/>
        </w:rPr>
        <w:t xml:space="preserve"> group II had a lower UFR response compared to group I (p&lt; 0.026). </w:t>
      </w:r>
    </w:p>
    <w:p w:rsidR="007E5D67" w:rsidRPr="004B542B" w:rsidRDefault="007E5D6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We tested various combinations of the UO intervals to assess, which had the best discriminative capacity. We found that the sum of the first two hours </w:t>
      </w:r>
      <w:r w:rsidRPr="004B542B">
        <w:rPr>
          <w:rFonts w:ascii="Times New Roman" w:hAnsi="Times New Roman" w:cs="Times New Roman"/>
          <w:sz w:val="20"/>
          <w:szCs w:val="20"/>
        </w:rPr>
        <w:lastRenderedPageBreak/>
        <w:t>of UO after the FST had the highest AUC to predict t</w:t>
      </w:r>
      <w:r w:rsidR="00706993" w:rsidRPr="004B542B">
        <w:rPr>
          <w:rFonts w:ascii="Times New Roman" w:hAnsi="Times New Roman" w:cs="Times New Roman"/>
          <w:sz w:val="20"/>
          <w:szCs w:val="20"/>
        </w:rPr>
        <w:t>he primary outcome (0.84 in group I)</w:t>
      </w:r>
      <w:r w:rsidR="00C46070" w:rsidRPr="004B542B">
        <w:rPr>
          <w:rFonts w:ascii="Times New Roman" w:hAnsi="Times New Roman" w:cs="Times New Roman"/>
          <w:sz w:val="20"/>
          <w:szCs w:val="20"/>
        </w:rPr>
        <w:t>, (</w:t>
      </w:r>
      <w:r w:rsidR="00706993" w:rsidRPr="004B542B">
        <w:rPr>
          <w:rFonts w:ascii="Times New Roman" w:hAnsi="Times New Roman" w:cs="Times New Roman"/>
          <w:sz w:val="20"/>
          <w:szCs w:val="20"/>
        </w:rPr>
        <w:t>93% in group II)</w:t>
      </w:r>
      <w:r w:rsidRPr="004B542B">
        <w:rPr>
          <w:rFonts w:ascii="Times New Roman" w:hAnsi="Times New Roman" w:cs="Times New Roman"/>
          <w:sz w:val="20"/>
          <w:szCs w:val="20"/>
        </w:rPr>
        <w:t xml:space="preserve"> We also</w:t>
      </w:r>
      <w:r w:rsidR="00706993" w:rsidRPr="004B542B">
        <w:rPr>
          <w:rFonts w:ascii="Times New Roman" w:hAnsi="Times New Roman" w:cs="Times New Roman"/>
          <w:sz w:val="20"/>
          <w:szCs w:val="20"/>
        </w:rPr>
        <w:t xml:space="preserve"> assessed the </w:t>
      </w:r>
      <w:r w:rsidRPr="004B542B">
        <w:rPr>
          <w:rFonts w:ascii="Times New Roman" w:hAnsi="Times New Roman" w:cs="Times New Roman"/>
          <w:sz w:val="20"/>
          <w:szCs w:val="20"/>
        </w:rPr>
        <w:t xml:space="preserve">sensitivity and specificity of various two hour urine volumes to predict </w:t>
      </w:r>
      <w:r w:rsidR="00706993" w:rsidRPr="004B542B">
        <w:rPr>
          <w:rFonts w:ascii="Times New Roman" w:hAnsi="Times New Roman" w:cs="Times New Roman"/>
          <w:sz w:val="20"/>
          <w:szCs w:val="20"/>
        </w:rPr>
        <w:t>the outcomes</w:t>
      </w:r>
      <w:r w:rsidR="00C46070" w:rsidRPr="004B542B">
        <w:rPr>
          <w:rFonts w:ascii="Times New Roman" w:hAnsi="Times New Roman" w:cs="Times New Roman"/>
          <w:sz w:val="20"/>
          <w:szCs w:val="20"/>
        </w:rPr>
        <w:t>.</w:t>
      </w:r>
      <w:r w:rsidR="00706993" w:rsidRPr="004B542B">
        <w:rPr>
          <w:rFonts w:ascii="Times New Roman" w:hAnsi="Times New Roman" w:cs="Times New Roman"/>
          <w:sz w:val="20"/>
          <w:szCs w:val="20"/>
        </w:rPr>
        <w:t xml:space="preserve"> The two hour UO of 325</w:t>
      </w:r>
      <w:r w:rsidRPr="004B542B">
        <w:rPr>
          <w:rFonts w:ascii="Times New Roman" w:hAnsi="Times New Roman" w:cs="Times New Roman"/>
          <w:sz w:val="20"/>
          <w:szCs w:val="20"/>
        </w:rPr>
        <w:t xml:space="preserve"> ml or less had the best sensitivity and specificity to predict the primary outcome.</w:t>
      </w:r>
    </w:p>
    <w:p w:rsidR="00C46070"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As regards urine output our study demonstrated that dieresis was maximum within first two hours after inclusion </w:t>
      </w:r>
      <w:r w:rsidR="00706993" w:rsidRPr="004B542B">
        <w:rPr>
          <w:rFonts w:ascii="Times New Roman" w:hAnsi="Times New Roman" w:cs="Times New Roman"/>
          <w:sz w:val="20"/>
          <w:szCs w:val="20"/>
        </w:rPr>
        <w:t xml:space="preserve">This is in </w:t>
      </w:r>
      <w:proofErr w:type="spellStart"/>
      <w:r w:rsidR="00706993" w:rsidRPr="004B542B">
        <w:rPr>
          <w:rFonts w:ascii="Times New Roman" w:hAnsi="Times New Roman" w:cs="Times New Roman"/>
          <w:sz w:val="20"/>
          <w:szCs w:val="20"/>
        </w:rPr>
        <w:t>concordanc</w:t>
      </w:r>
      <w:r w:rsidRPr="004B542B">
        <w:rPr>
          <w:rFonts w:ascii="Times New Roman" w:hAnsi="Times New Roman" w:cs="Times New Roman"/>
          <w:sz w:val="20"/>
          <w:szCs w:val="20"/>
        </w:rPr>
        <w:t>with</w:t>
      </w:r>
      <w:proofErr w:type="spellEnd"/>
      <w:r w:rsidRPr="004B542B">
        <w:rPr>
          <w:rFonts w:ascii="Times New Roman" w:hAnsi="Times New Roman" w:cs="Times New Roman"/>
          <w:sz w:val="20"/>
          <w:szCs w:val="20"/>
        </w:rPr>
        <w:t xml:space="preserve"> </w:t>
      </w:r>
      <w:proofErr w:type="spellStart"/>
      <w:r w:rsidRPr="004B542B">
        <w:rPr>
          <w:rFonts w:ascii="Times New Roman" w:hAnsi="Times New Roman" w:cs="Times New Roman"/>
          <w:b/>
          <w:bCs/>
          <w:sz w:val="20"/>
          <w:szCs w:val="20"/>
        </w:rPr>
        <w:t>Lakhmir</w:t>
      </w:r>
      <w:proofErr w:type="spellEnd"/>
      <w:r w:rsidRPr="004B542B">
        <w:rPr>
          <w:rFonts w:ascii="Times New Roman" w:hAnsi="Times New Roman" w:cs="Times New Roman"/>
          <w:b/>
          <w:bCs/>
          <w:sz w:val="20"/>
          <w:szCs w:val="20"/>
        </w:rPr>
        <w:t xml:space="preserve"> et al 2013</w:t>
      </w:r>
      <w:r w:rsidRPr="004B542B">
        <w:rPr>
          <w:rFonts w:ascii="Times New Roman" w:hAnsi="Times New Roman" w:cs="Times New Roman"/>
          <w:sz w:val="20"/>
          <w:szCs w:val="20"/>
        </w:rPr>
        <w:t xml:space="preserve"> who found that maximum dieresis was in 2</w:t>
      </w:r>
      <w:r w:rsidRPr="004B542B">
        <w:rPr>
          <w:rFonts w:ascii="Times New Roman" w:hAnsi="Times New Roman" w:cs="Times New Roman"/>
          <w:sz w:val="20"/>
          <w:szCs w:val="20"/>
          <w:vertAlign w:val="superscript"/>
        </w:rPr>
        <w:t>nd</w:t>
      </w:r>
      <w:r w:rsidRPr="004B542B">
        <w:rPr>
          <w:rFonts w:ascii="Times New Roman" w:hAnsi="Times New Roman" w:cs="Times New Roman"/>
          <w:sz w:val="20"/>
          <w:szCs w:val="20"/>
        </w:rPr>
        <w:t xml:space="preserve"> and 3</w:t>
      </w:r>
      <w:r w:rsidRPr="004B542B">
        <w:rPr>
          <w:rFonts w:ascii="Times New Roman" w:hAnsi="Times New Roman" w:cs="Times New Roman"/>
          <w:sz w:val="20"/>
          <w:szCs w:val="20"/>
          <w:vertAlign w:val="superscript"/>
        </w:rPr>
        <w:t>rd</w:t>
      </w:r>
      <w:r w:rsidRPr="004B542B">
        <w:rPr>
          <w:rFonts w:ascii="Times New Roman" w:hAnsi="Times New Roman" w:cs="Times New Roman"/>
          <w:sz w:val="20"/>
          <w:szCs w:val="20"/>
        </w:rPr>
        <w:t xml:space="preserve"> hours and</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Koyner</w:t>
      </w:r>
      <w:proofErr w:type="spellEnd"/>
      <w:r w:rsidRPr="004B542B">
        <w:rPr>
          <w:rFonts w:ascii="Times New Roman" w:hAnsi="Times New Roman" w:cs="Times New Roman"/>
          <w:b/>
          <w:bCs/>
          <w:sz w:val="20"/>
          <w:szCs w:val="20"/>
        </w:rPr>
        <w:t xml:space="preserve"> 2015</w:t>
      </w:r>
      <w:r w:rsidRPr="004B542B">
        <w:rPr>
          <w:rFonts w:ascii="Times New Roman" w:hAnsi="Times New Roman" w:cs="Times New Roman"/>
          <w:sz w:val="20"/>
          <w:szCs w:val="20"/>
        </w:rPr>
        <w:t xml:space="preserve"> who found that maximum dieresis was in first two hours als</w:t>
      </w:r>
      <w:r w:rsidR="00C46070" w:rsidRPr="004B542B">
        <w:rPr>
          <w:rFonts w:ascii="Times New Roman" w:hAnsi="Times New Roman" w:cs="Times New Roman"/>
          <w:sz w:val="20"/>
          <w:szCs w:val="20"/>
        </w:rPr>
        <w:t>o [</w:t>
      </w:r>
      <w:r w:rsidR="00917B3B" w:rsidRPr="004B542B">
        <w:rPr>
          <w:rFonts w:ascii="Times New Roman" w:hAnsi="Times New Roman" w:cs="Times New Roman"/>
          <w:sz w:val="20"/>
          <w:szCs w:val="20"/>
        </w:rPr>
        <w:t>6]</w:t>
      </w:r>
      <w:r w:rsidRPr="004B542B">
        <w:rPr>
          <w:rFonts w:ascii="Times New Roman" w:hAnsi="Times New Roman" w:cs="Times New Roman"/>
          <w:sz w:val="20"/>
          <w:szCs w:val="20"/>
        </w:rPr>
        <w:t xml:space="preserve">, And </w:t>
      </w:r>
      <w:proofErr w:type="spellStart"/>
      <w:r w:rsidRPr="004B542B">
        <w:rPr>
          <w:rFonts w:ascii="Times New Roman" w:hAnsi="Times New Roman" w:cs="Times New Roman"/>
          <w:b/>
          <w:bCs/>
          <w:sz w:val="20"/>
          <w:szCs w:val="20"/>
        </w:rPr>
        <w:t>Shilliday</w:t>
      </w:r>
      <w:proofErr w:type="spellEnd"/>
      <w:r w:rsidRPr="004B542B">
        <w:rPr>
          <w:rFonts w:ascii="Times New Roman" w:hAnsi="Times New Roman" w:cs="Times New Roman"/>
          <w:b/>
          <w:bCs/>
          <w:sz w:val="20"/>
          <w:szCs w:val="20"/>
        </w:rPr>
        <w:t xml:space="preserve"> et al 1997</w:t>
      </w:r>
      <w:r w:rsidRPr="004B542B">
        <w:rPr>
          <w:rFonts w:ascii="Times New Roman" w:hAnsi="Times New Roman" w:cs="Times New Roman"/>
          <w:sz w:val="20"/>
          <w:szCs w:val="20"/>
        </w:rPr>
        <w:t xml:space="preserve"> found that maximum UFR was after first 6 hours of first day of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w:t>
      </w:r>
    </w:p>
    <w:p w:rsidR="00074237" w:rsidRPr="004B542B" w:rsidRDefault="00C46070" w:rsidP="0087797F">
      <w:pPr>
        <w:bidi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I</w:t>
      </w:r>
      <w:r w:rsidR="00074237" w:rsidRPr="004B542B">
        <w:rPr>
          <w:rFonts w:ascii="Times New Roman" w:hAnsi="Times New Roman" w:cs="Times New Roman"/>
          <w:sz w:val="20"/>
          <w:szCs w:val="20"/>
        </w:rPr>
        <w:t>n our study the most significant difference in urine output between group I</w:t>
      </w:r>
      <w:r w:rsidRPr="004B542B">
        <w:rPr>
          <w:rFonts w:ascii="Times New Roman" w:hAnsi="Times New Roman" w:cs="Times New Roman"/>
          <w:sz w:val="20"/>
          <w:szCs w:val="20"/>
        </w:rPr>
        <w:t xml:space="preserve"> &amp; </w:t>
      </w:r>
      <w:r w:rsidR="00074237" w:rsidRPr="004B542B">
        <w:rPr>
          <w:rFonts w:ascii="Times New Roman" w:hAnsi="Times New Roman" w:cs="Times New Roman"/>
          <w:sz w:val="20"/>
          <w:szCs w:val="20"/>
        </w:rPr>
        <w:t>group II was found to be on the 1</w:t>
      </w:r>
      <w:r w:rsidR="00074237" w:rsidRPr="004B542B">
        <w:rPr>
          <w:rFonts w:ascii="Times New Roman" w:hAnsi="Times New Roman" w:cs="Times New Roman"/>
          <w:sz w:val="20"/>
          <w:szCs w:val="20"/>
          <w:vertAlign w:val="superscript"/>
        </w:rPr>
        <w:t>st</w:t>
      </w:r>
      <w:r w:rsidRPr="004B542B">
        <w:rPr>
          <w:rFonts w:ascii="Times New Roman" w:hAnsi="Times New Roman" w:cs="Times New Roman"/>
          <w:sz w:val="20"/>
          <w:szCs w:val="20"/>
        </w:rPr>
        <w:t xml:space="preserve"> &amp; </w:t>
      </w:r>
      <w:r w:rsidR="00074237" w:rsidRPr="004B542B">
        <w:rPr>
          <w:rFonts w:ascii="Times New Roman" w:hAnsi="Times New Roman" w:cs="Times New Roman"/>
          <w:sz w:val="20"/>
          <w:szCs w:val="20"/>
        </w:rPr>
        <w:t>2</w:t>
      </w:r>
      <w:r w:rsidR="00074237" w:rsidRPr="004B542B">
        <w:rPr>
          <w:rFonts w:ascii="Times New Roman" w:hAnsi="Times New Roman" w:cs="Times New Roman"/>
          <w:sz w:val="20"/>
          <w:szCs w:val="20"/>
          <w:vertAlign w:val="superscript"/>
        </w:rPr>
        <w:t>nd</w:t>
      </w:r>
      <w:r w:rsidR="00074237" w:rsidRPr="004B542B">
        <w:rPr>
          <w:rFonts w:ascii="Times New Roman" w:hAnsi="Times New Roman" w:cs="Times New Roman"/>
          <w:sz w:val="20"/>
          <w:szCs w:val="20"/>
        </w:rPr>
        <w:t xml:space="preserve"> hours after inclusion as well as cumulative UOP after 6 hours but there was no difference between the 2 groups in the following 4hours.</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B542B">
        <w:rPr>
          <w:rFonts w:ascii="Times New Roman" w:hAnsi="Times New Roman" w:cs="Times New Roman"/>
          <w:sz w:val="20"/>
          <w:szCs w:val="20"/>
        </w:rPr>
        <w:t xml:space="preserve">Upon addressing serum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level, our study showed that gradual decline in both groups over three days with statistical significance only demonstrated as more decline in group I vs. group II on day one, however</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b/>
          <w:bCs/>
          <w:sz w:val="20"/>
          <w:szCs w:val="20"/>
        </w:rPr>
        <w:t>Shilliday</w:t>
      </w:r>
      <w:proofErr w:type="spellEnd"/>
      <w:r w:rsidRPr="004B542B">
        <w:rPr>
          <w:rFonts w:ascii="Times New Roman" w:hAnsi="Times New Roman" w:cs="Times New Roman"/>
          <w:b/>
          <w:bCs/>
          <w:sz w:val="20"/>
          <w:szCs w:val="20"/>
        </w:rPr>
        <w:t xml:space="preserve"> et al 1997</w:t>
      </w:r>
      <w:r w:rsidRPr="004B542B">
        <w:rPr>
          <w:rFonts w:ascii="Times New Roman" w:hAnsi="Times New Roman" w:cs="Times New Roman"/>
          <w:sz w:val="20"/>
          <w:szCs w:val="20"/>
        </w:rPr>
        <w:t xml:space="preserve"> and </w:t>
      </w:r>
      <w:r w:rsidRPr="004B542B">
        <w:rPr>
          <w:rFonts w:ascii="Times New Roman" w:hAnsi="Times New Roman" w:cs="Times New Roman"/>
          <w:b/>
          <w:bCs/>
          <w:sz w:val="20"/>
          <w:szCs w:val="20"/>
        </w:rPr>
        <w:t>Morgan et al 2011</w:t>
      </w:r>
      <w:r w:rsidRPr="004B542B">
        <w:rPr>
          <w:rFonts w:ascii="Times New Roman" w:hAnsi="Times New Roman" w:cs="Times New Roman"/>
          <w:sz w:val="20"/>
          <w:szCs w:val="20"/>
        </w:rPr>
        <w:t xml:space="preserve"> stated that the significant improvement in </w:t>
      </w:r>
      <w:proofErr w:type="spellStart"/>
      <w:r w:rsidRPr="004B542B">
        <w:rPr>
          <w:rFonts w:ascii="Times New Roman" w:hAnsi="Times New Roman" w:cs="Times New Roman"/>
          <w:sz w:val="20"/>
          <w:szCs w:val="20"/>
        </w:rPr>
        <w:t>creatinine</w:t>
      </w:r>
      <w:proofErr w:type="spellEnd"/>
      <w:r w:rsidRPr="004B542B">
        <w:rPr>
          <w:rFonts w:ascii="Times New Roman" w:hAnsi="Times New Roman" w:cs="Times New Roman"/>
          <w:sz w:val="20"/>
          <w:szCs w:val="20"/>
        </w:rPr>
        <w:t xml:space="preserve"> was on 2</w:t>
      </w:r>
      <w:r w:rsidRPr="004B542B">
        <w:rPr>
          <w:rFonts w:ascii="Times New Roman" w:hAnsi="Times New Roman" w:cs="Times New Roman"/>
          <w:sz w:val="20"/>
          <w:szCs w:val="20"/>
          <w:vertAlign w:val="superscript"/>
        </w:rPr>
        <w:t>nd</w:t>
      </w:r>
      <w:r w:rsidRPr="004B542B">
        <w:rPr>
          <w:rFonts w:ascii="Times New Roman" w:hAnsi="Times New Roman" w:cs="Times New Roman"/>
          <w:sz w:val="20"/>
          <w:szCs w:val="20"/>
        </w:rPr>
        <w:t xml:space="preserve"> day after receiving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Similarly GFR showed progressive improvement in our study in follow up period with no significant difference between the two groups which agreed with</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koyner</w:t>
      </w:r>
      <w:proofErr w:type="spellEnd"/>
      <w:r w:rsidRPr="004B542B">
        <w:rPr>
          <w:rFonts w:ascii="Times New Roman" w:hAnsi="Times New Roman" w:cs="Times New Roman"/>
          <w:b/>
          <w:bCs/>
          <w:sz w:val="20"/>
          <w:szCs w:val="20"/>
        </w:rPr>
        <w:t xml:space="preserve"> et al 2015</w:t>
      </w:r>
      <w:r w:rsidRPr="004B542B">
        <w:rPr>
          <w:rFonts w:ascii="Times New Roman" w:hAnsi="Times New Roman" w:cs="Times New Roman"/>
          <w:sz w:val="20"/>
          <w:szCs w:val="20"/>
        </w:rPr>
        <w:t xml:space="preserve"> and </w:t>
      </w:r>
      <w:proofErr w:type="spellStart"/>
      <w:r w:rsidRPr="004B542B">
        <w:rPr>
          <w:rFonts w:ascii="Times New Roman" w:hAnsi="Times New Roman" w:cs="Times New Roman"/>
          <w:b/>
          <w:bCs/>
          <w:sz w:val="20"/>
          <w:szCs w:val="20"/>
        </w:rPr>
        <w:t>Samual</w:t>
      </w:r>
      <w:proofErr w:type="spellEnd"/>
      <w:r w:rsidRPr="004B542B">
        <w:rPr>
          <w:rFonts w:ascii="Times New Roman" w:hAnsi="Times New Roman" w:cs="Times New Roman"/>
          <w:b/>
          <w:bCs/>
          <w:sz w:val="20"/>
          <w:szCs w:val="20"/>
        </w:rPr>
        <w:t xml:space="preserve"> et al 1994</w:t>
      </w:r>
      <w:r w:rsidRPr="004B542B">
        <w:rPr>
          <w:rFonts w:ascii="Times New Roman" w:hAnsi="Times New Roman" w:cs="Times New Roman"/>
          <w:sz w:val="20"/>
          <w:szCs w:val="20"/>
        </w:rPr>
        <w:t xml:space="preserve"> who stated that GFR showed progressive improvement after receiving either high dose of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vs. standard management with no significant difference. </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As regards side effects noticed in both groups; hypotension occurred only in group receiving FST dose in contrast with </w:t>
      </w:r>
      <w:proofErr w:type="spellStart"/>
      <w:r w:rsidRPr="004B542B">
        <w:rPr>
          <w:rFonts w:ascii="Times New Roman" w:hAnsi="Times New Roman" w:cs="Times New Roman"/>
          <w:b/>
          <w:bCs/>
          <w:sz w:val="20"/>
          <w:szCs w:val="20"/>
        </w:rPr>
        <w:t>Lakhmir</w:t>
      </w:r>
      <w:proofErr w:type="spellEnd"/>
      <w:r w:rsidRPr="004B542B">
        <w:rPr>
          <w:rFonts w:ascii="Times New Roman" w:hAnsi="Times New Roman" w:cs="Times New Roman"/>
          <w:b/>
          <w:bCs/>
          <w:sz w:val="20"/>
          <w:szCs w:val="20"/>
        </w:rPr>
        <w:t xml:space="preserve"> et al 2013</w:t>
      </w:r>
      <w:r w:rsidRPr="004B542B">
        <w:rPr>
          <w:rFonts w:ascii="Times New Roman" w:hAnsi="Times New Roman" w:cs="Times New Roman"/>
          <w:sz w:val="20"/>
          <w:szCs w:val="20"/>
        </w:rPr>
        <w:t xml:space="preserve"> where he reported no incidence of hypotension whereas none was seen in group II with P value (0.001).</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On the other hand </w:t>
      </w:r>
      <w:proofErr w:type="spellStart"/>
      <w:r w:rsidRPr="004B542B">
        <w:rPr>
          <w:rFonts w:ascii="Times New Roman" w:hAnsi="Times New Roman" w:cs="Times New Roman"/>
          <w:sz w:val="20"/>
          <w:szCs w:val="20"/>
        </w:rPr>
        <w:t>hypokalemia</w:t>
      </w:r>
      <w:proofErr w:type="spellEnd"/>
      <w:r w:rsidRPr="004B542B">
        <w:rPr>
          <w:rFonts w:ascii="Times New Roman" w:hAnsi="Times New Roman" w:cs="Times New Roman"/>
          <w:sz w:val="20"/>
          <w:szCs w:val="20"/>
        </w:rPr>
        <w:t xml:space="preserve"> was noticed in six patients in group I vs. five patients in group II. </w:t>
      </w:r>
      <w:r w:rsidRPr="004B542B">
        <w:rPr>
          <w:rFonts w:ascii="Times New Roman" w:hAnsi="Times New Roman" w:cs="Times New Roman"/>
          <w:b/>
          <w:bCs/>
          <w:sz w:val="20"/>
          <w:szCs w:val="20"/>
        </w:rPr>
        <w:t>Greenberg</w:t>
      </w:r>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 xml:space="preserve">2000 </w:t>
      </w:r>
      <w:r w:rsidRPr="004B542B">
        <w:rPr>
          <w:rFonts w:ascii="Times New Roman" w:hAnsi="Times New Roman" w:cs="Times New Roman"/>
          <w:sz w:val="20"/>
          <w:szCs w:val="20"/>
        </w:rPr>
        <w:t xml:space="preserve">stated that </w:t>
      </w:r>
      <w:proofErr w:type="spellStart"/>
      <w:r w:rsidRPr="004B542B">
        <w:rPr>
          <w:rFonts w:ascii="Times New Roman" w:hAnsi="Times New Roman" w:cs="Times New Roman"/>
          <w:sz w:val="20"/>
          <w:szCs w:val="20"/>
        </w:rPr>
        <w:t>hypokalemia</w:t>
      </w:r>
      <w:proofErr w:type="spellEnd"/>
      <w:r w:rsidRPr="004B542B">
        <w:rPr>
          <w:rFonts w:ascii="Times New Roman" w:hAnsi="Times New Roman" w:cs="Times New Roman"/>
          <w:sz w:val="20"/>
          <w:szCs w:val="20"/>
        </w:rPr>
        <w:t xml:space="preserve"> tend to occur more in patients receiving FST dose non the less no statistically significance difference concerning </w:t>
      </w:r>
      <w:proofErr w:type="spellStart"/>
      <w:r w:rsidRPr="004B542B">
        <w:rPr>
          <w:rFonts w:ascii="Times New Roman" w:hAnsi="Times New Roman" w:cs="Times New Roman"/>
          <w:sz w:val="20"/>
          <w:szCs w:val="20"/>
        </w:rPr>
        <w:t>hypokalemia</w:t>
      </w:r>
      <w:proofErr w:type="spellEnd"/>
      <w:r w:rsidRPr="004B542B">
        <w:rPr>
          <w:rFonts w:ascii="Times New Roman" w:hAnsi="Times New Roman" w:cs="Times New Roman"/>
          <w:sz w:val="20"/>
          <w:szCs w:val="20"/>
        </w:rPr>
        <w:t xml:space="preserve"> was noticed between the two groups in our study</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Adrogu</w:t>
      </w:r>
      <w:r w:rsidR="0087797F" w:rsidRPr="004B542B">
        <w:rPr>
          <w:rFonts w:ascii="Times New Roman" w:hAnsi="Times New Roman" w:cs="Times New Roman"/>
          <w:b/>
          <w:bCs/>
          <w:sz w:val="20"/>
          <w:szCs w:val="20"/>
        </w:rPr>
        <w:t>e</w:t>
      </w:r>
      <w:proofErr w:type="spellEnd"/>
      <w:r w:rsidR="0087797F" w:rsidRPr="004B542B">
        <w:rPr>
          <w:rFonts w:ascii="Times New Roman" w:hAnsi="Times New Roman" w:cs="Times New Roman"/>
          <w:b/>
          <w:bCs/>
          <w:sz w:val="20"/>
          <w:szCs w:val="20"/>
        </w:rPr>
        <w:t xml:space="preserve"> </w:t>
      </w:r>
      <w:proofErr w:type="spellStart"/>
      <w:r w:rsidR="0087797F" w:rsidRPr="004B542B">
        <w:rPr>
          <w:rFonts w:ascii="Times New Roman" w:hAnsi="Times New Roman" w:cs="Times New Roman"/>
          <w:b/>
          <w:bCs/>
          <w:sz w:val="20"/>
          <w:szCs w:val="20"/>
        </w:rPr>
        <w:t>Hj</w:t>
      </w:r>
      <w:proofErr w:type="spellEnd"/>
      <w:r w:rsidR="0087797F" w:rsidRPr="004B542B">
        <w:rPr>
          <w:rFonts w:ascii="Times New Roman" w:hAnsi="Times New Roman" w:cs="Times New Roman"/>
          <w:b/>
          <w:bCs/>
          <w:sz w:val="20"/>
          <w:szCs w:val="20"/>
        </w:rPr>
        <w:t xml:space="preserve"> </w:t>
      </w:r>
      <w:proofErr w:type="spellStart"/>
      <w:r w:rsidR="0087797F" w:rsidRPr="004B542B">
        <w:rPr>
          <w:rFonts w:ascii="Times New Roman" w:hAnsi="Times New Roman" w:cs="Times New Roman"/>
          <w:b/>
          <w:bCs/>
          <w:sz w:val="20"/>
          <w:szCs w:val="20"/>
        </w:rPr>
        <w:t>M</w:t>
      </w:r>
      <w:r w:rsidRPr="004B542B">
        <w:rPr>
          <w:rFonts w:ascii="Times New Roman" w:hAnsi="Times New Roman" w:cs="Times New Roman"/>
          <w:b/>
          <w:bCs/>
          <w:sz w:val="20"/>
          <w:szCs w:val="20"/>
        </w:rPr>
        <w:t>adias</w:t>
      </w:r>
      <w:proofErr w:type="spellEnd"/>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 xml:space="preserve">2000 stated </w:t>
      </w:r>
      <w:r w:rsidRPr="004B542B">
        <w:rPr>
          <w:rFonts w:ascii="Times New Roman" w:hAnsi="Times New Roman" w:cs="Times New Roman"/>
          <w:sz w:val="20"/>
          <w:szCs w:val="20"/>
        </w:rPr>
        <w:t xml:space="preserve">that </w:t>
      </w:r>
      <w:proofErr w:type="spellStart"/>
      <w:r w:rsidRPr="004B542B">
        <w:rPr>
          <w:rFonts w:ascii="Times New Roman" w:hAnsi="Times New Roman" w:cs="Times New Roman"/>
          <w:sz w:val="20"/>
          <w:szCs w:val="20"/>
        </w:rPr>
        <w:t>hyponatremia</w:t>
      </w:r>
      <w:proofErr w:type="spellEnd"/>
      <w:r w:rsidRPr="004B542B">
        <w:rPr>
          <w:rFonts w:ascii="Times New Roman" w:hAnsi="Times New Roman" w:cs="Times New Roman"/>
          <w:sz w:val="20"/>
          <w:szCs w:val="20"/>
        </w:rPr>
        <w:t xml:space="preserve"> occurred more frequently with FST dose; however no patient included in our study suffered from this side effect.</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Outcome parameters in our study included progression to AKINIII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need for dialysis, length of ICU stay</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mortality.</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lastRenderedPageBreak/>
        <w:t>As for progression of AKI, our study found that group II showed a higher tendency of progression than group I however there was no significant difference.</w:t>
      </w:r>
    </w:p>
    <w:p w:rsidR="00C46070"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Various studies stated that UOP within two hours predict the progression to AKINIII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 xml:space="preserve">dialysis as </w:t>
      </w:r>
      <w:proofErr w:type="spellStart"/>
      <w:r w:rsidRPr="004B542B">
        <w:rPr>
          <w:rFonts w:ascii="Times New Roman" w:hAnsi="Times New Roman" w:cs="Times New Roman"/>
          <w:b/>
          <w:bCs/>
          <w:sz w:val="20"/>
          <w:szCs w:val="20"/>
        </w:rPr>
        <w:t>Lakhmir</w:t>
      </w:r>
      <w:proofErr w:type="spellEnd"/>
      <w:r w:rsidRPr="004B542B">
        <w:rPr>
          <w:rFonts w:ascii="Times New Roman" w:hAnsi="Times New Roman" w:cs="Times New Roman"/>
          <w:b/>
          <w:bCs/>
          <w:sz w:val="20"/>
          <w:szCs w:val="20"/>
        </w:rPr>
        <w:t xml:space="preserve"> et al 2013</w:t>
      </w:r>
      <w:r w:rsidRPr="004B542B">
        <w:rPr>
          <w:rFonts w:ascii="Times New Roman" w:hAnsi="Times New Roman" w:cs="Times New Roman"/>
          <w:sz w:val="20"/>
          <w:szCs w:val="20"/>
        </w:rPr>
        <w:t xml:space="preserve"> found that the sum of the first 2 hours of UOP after the FST had the highest AUC to predict the primary outcome (0.87). He also assessed the sensitivity and specificity of various 2-hour urine volumes to predict the primary and secondary outcomes (progression to AKINIII-dialysis). The 2-hour UO of 200 ml had the best sensitivity and specificity to predict the progression to AKINIII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dialysis.</w:t>
      </w:r>
    </w:p>
    <w:p w:rsidR="00494379" w:rsidRPr="004B542B" w:rsidRDefault="00C46070"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I</w:t>
      </w:r>
      <w:r w:rsidR="00074237" w:rsidRPr="004B542B">
        <w:rPr>
          <w:rFonts w:ascii="Times New Roman" w:hAnsi="Times New Roman" w:cs="Times New Roman"/>
          <w:sz w:val="20"/>
          <w:szCs w:val="20"/>
        </w:rPr>
        <w:t xml:space="preserve">n our study we could determine a cut point for detection of the progression which was in group I (325 ml </w:t>
      </w:r>
      <w:r w:rsidR="0087797F" w:rsidRPr="004B542B">
        <w:rPr>
          <w:rFonts w:ascii="Times New Roman" w:hAnsi="Times New Roman" w:cs="Times New Roman"/>
          <w:sz w:val="20"/>
          <w:szCs w:val="20"/>
        </w:rPr>
        <w:t>) w</w:t>
      </w:r>
      <w:r w:rsidR="00074237" w:rsidRPr="004B542B">
        <w:rPr>
          <w:rFonts w:ascii="Times New Roman" w:hAnsi="Times New Roman" w:cs="Times New Roman"/>
          <w:sz w:val="20"/>
          <w:szCs w:val="20"/>
        </w:rPr>
        <w:t>ith sensitivity 84%</w:t>
      </w:r>
      <w:r w:rsidRPr="004B542B">
        <w:rPr>
          <w:rFonts w:ascii="Times New Roman" w:hAnsi="Times New Roman" w:cs="Times New Roman"/>
          <w:sz w:val="20"/>
          <w:szCs w:val="20"/>
        </w:rPr>
        <w:t xml:space="preserve"> &amp; </w:t>
      </w:r>
      <w:r w:rsidR="00074237" w:rsidRPr="004B542B">
        <w:rPr>
          <w:rFonts w:ascii="Times New Roman" w:hAnsi="Times New Roman" w:cs="Times New Roman"/>
          <w:sz w:val="20"/>
          <w:szCs w:val="20"/>
        </w:rPr>
        <w:t>specificity of 93.3% with high significance (p= 0.001), and in group II wa</w:t>
      </w:r>
      <w:r w:rsidRPr="004B542B">
        <w:rPr>
          <w:rFonts w:ascii="Times New Roman" w:hAnsi="Times New Roman" w:cs="Times New Roman"/>
          <w:sz w:val="20"/>
          <w:szCs w:val="20"/>
        </w:rPr>
        <w:t>s (</w:t>
      </w:r>
      <w:r w:rsidR="00074237" w:rsidRPr="004B542B">
        <w:rPr>
          <w:rFonts w:ascii="Times New Roman" w:hAnsi="Times New Roman" w:cs="Times New Roman"/>
          <w:sz w:val="20"/>
          <w:szCs w:val="20"/>
        </w:rPr>
        <w:t xml:space="preserve"> 325 ml) with sensitivity 84%</w:t>
      </w:r>
      <w:r w:rsidRPr="004B542B">
        <w:rPr>
          <w:rFonts w:ascii="Times New Roman" w:hAnsi="Times New Roman" w:cs="Times New Roman"/>
          <w:sz w:val="20"/>
          <w:szCs w:val="20"/>
        </w:rPr>
        <w:t xml:space="preserve"> &amp; </w:t>
      </w:r>
      <w:r w:rsidR="00074237" w:rsidRPr="004B542B">
        <w:rPr>
          <w:rFonts w:ascii="Times New Roman" w:hAnsi="Times New Roman" w:cs="Times New Roman"/>
          <w:sz w:val="20"/>
          <w:szCs w:val="20"/>
        </w:rPr>
        <w:t>specificity of 86% with high significance ( p value = 0.001) in the first two hours.</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Also</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Koyner</w:t>
      </w:r>
      <w:proofErr w:type="spellEnd"/>
      <w:r w:rsidRPr="004B542B">
        <w:rPr>
          <w:rFonts w:ascii="Times New Roman" w:hAnsi="Times New Roman" w:cs="Times New Roman"/>
          <w:b/>
          <w:bCs/>
          <w:sz w:val="20"/>
          <w:szCs w:val="20"/>
        </w:rPr>
        <w:t xml:space="preserve"> 2015</w:t>
      </w:r>
      <w:r w:rsidRPr="004B542B">
        <w:rPr>
          <w:rFonts w:ascii="Times New Roman" w:hAnsi="Times New Roman" w:cs="Times New Roman"/>
          <w:sz w:val="20"/>
          <w:szCs w:val="20"/>
        </w:rPr>
        <w:t xml:space="preserve"> found that UOP within two hours was good predictor of progression to AKINIII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need for dialysis or not</w:t>
      </w:r>
      <w:r w:rsidR="00C46070" w:rsidRPr="004B542B">
        <w:rPr>
          <w:rFonts w:ascii="Times New Roman" w:hAnsi="Times New Roman" w:cs="Times New Roman"/>
          <w:sz w:val="20"/>
          <w:szCs w:val="20"/>
        </w:rPr>
        <w:t>. [</w:t>
      </w:r>
      <w:r w:rsidR="008B1E72" w:rsidRPr="004B542B">
        <w:rPr>
          <w:rFonts w:ascii="Times New Roman" w:hAnsi="Times New Roman" w:cs="Times New Roman"/>
          <w:sz w:val="20"/>
          <w:szCs w:val="20"/>
        </w:rPr>
        <w:t>6]</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In concordance with</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b/>
          <w:bCs/>
          <w:sz w:val="20"/>
          <w:szCs w:val="20"/>
        </w:rPr>
        <w:t>Chawla</w:t>
      </w:r>
      <w:proofErr w:type="spellEnd"/>
      <w:r w:rsidRPr="004B542B">
        <w:rPr>
          <w:rFonts w:ascii="Times New Roman" w:hAnsi="Times New Roman" w:cs="Times New Roman"/>
          <w:b/>
          <w:bCs/>
          <w:sz w:val="20"/>
          <w:szCs w:val="20"/>
        </w:rPr>
        <w:t xml:space="preserve"> et al 2013</w:t>
      </w:r>
      <w:r w:rsidRPr="004B542B">
        <w:rPr>
          <w:rFonts w:ascii="Times New Roman" w:hAnsi="Times New Roman" w:cs="Times New Roman"/>
          <w:sz w:val="20"/>
          <w:szCs w:val="20"/>
        </w:rPr>
        <w:t xml:space="preserve"> and</w:t>
      </w:r>
      <w:r w:rsidRPr="004B542B">
        <w:rPr>
          <w:rFonts w:ascii="Times New Roman" w:hAnsi="Times New Roman" w:cs="Times New Roman"/>
          <w:b/>
          <w:bCs/>
          <w:sz w:val="20"/>
          <w:szCs w:val="20"/>
        </w:rPr>
        <w:t xml:space="preserve"> HO KM</w:t>
      </w:r>
      <w:r w:rsidR="0087797F" w:rsidRPr="004B542B">
        <w:rPr>
          <w:rFonts w:ascii="Times New Roman" w:hAnsi="Times New Roman" w:cs="Times New Roman"/>
          <w:b/>
          <w:bCs/>
          <w:sz w:val="20"/>
          <w:szCs w:val="20"/>
        </w:rPr>
        <w:t xml:space="preserve">, </w:t>
      </w:r>
      <w:proofErr w:type="spellStart"/>
      <w:r w:rsidR="0087797F" w:rsidRPr="004B542B">
        <w:rPr>
          <w:rFonts w:ascii="Times New Roman" w:hAnsi="Times New Roman" w:cs="Times New Roman"/>
          <w:b/>
          <w:bCs/>
          <w:sz w:val="20"/>
          <w:szCs w:val="20"/>
        </w:rPr>
        <w:t>S</w:t>
      </w:r>
      <w:r w:rsidRPr="004B542B">
        <w:rPr>
          <w:rFonts w:ascii="Times New Roman" w:hAnsi="Times New Roman" w:cs="Times New Roman"/>
          <w:b/>
          <w:bCs/>
          <w:sz w:val="20"/>
          <w:szCs w:val="20"/>
        </w:rPr>
        <w:t>hereda</w:t>
      </w:r>
      <w:r w:rsidR="0087797F" w:rsidRPr="004B542B">
        <w:rPr>
          <w:rFonts w:ascii="Times New Roman" w:hAnsi="Times New Roman" w:cs="Times New Roman"/>
          <w:b/>
          <w:bCs/>
          <w:sz w:val="20"/>
          <w:szCs w:val="20"/>
        </w:rPr>
        <w:t>n</w:t>
      </w:r>
      <w:proofErr w:type="spellEnd"/>
      <w:r w:rsidR="0087797F" w:rsidRPr="004B542B">
        <w:rPr>
          <w:rFonts w:ascii="Times New Roman" w:hAnsi="Times New Roman" w:cs="Times New Roman"/>
          <w:b/>
          <w:bCs/>
          <w:sz w:val="20"/>
          <w:szCs w:val="20"/>
        </w:rPr>
        <w:t xml:space="preserve"> </w:t>
      </w:r>
      <w:proofErr w:type="spellStart"/>
      <w:r w:rsidR="0087797F" w:rsidRPr="004B542B">
        <w:rPr>
          <w:rFonts w:ascii="Times New Roman" w:hAnsi="Times New Roman" w:cs="Times New Roman"/>
          <w:b/>
          <w:bCs/>
          <w:sz w:val="20"/>
          <w:szCs w:val="20"/>
        </w:rPr>
        <w:t>D</w:t>
      </w:r>
      <w:r w:rsidRPr="004B542B">
        <w:rPr>
          <w:rFonts w:ascii="Times New Roman" w:hAnsi="Times New Roman" w:cs="Times New Roman"/>
          <w:b/>
          <w:bCs/>
          <w:sz w:val="20"/>
          <w:szCs w:val="20"/>
        </w:rPr>
        <w:t>j</w:t>
      </w:r>
      <w:proofErr w:type="spellEnd"/>
      <w:r w:rsid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2006</w:t>
      </w:r>
      <w:r w:rsidRPr="004B542B">
        <w:rPr>
          <w:rFonts w:ascii="Times New Roman" w:hAnsi="Times New Roman" w:cs="Times New Roman"/>
          <w:sz w:val="20"/>
          <w:szCs w:val="20"/>
        </w:rPr>
        <w:t xml:space="preserve"> found that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sustained urinary output response to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at the early stage of AKI may be considered as a ‘proxy’ for having a mild AKI and has a lower of risk of requiring dialysis.</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This was in adverse to</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Iqbal</w:t>
      </w:r>
      <w:proofErr w:type="spellEnd"/>
      <w:r w:rsidRPr="004B542B">
        <w:rPr>
          <w:rFonts w:ascii="Times New Roman" w:hAnsi="Times New Roman" w:cs="Times New Roman"/>
          <w:b/>
          <w:bCs/>
          <w:sz w:val="20"/>
          <w:szCs w:val="20"/>
        </w:rPr>
        <w:t xml:space="preserve"> and Akbar 2014</w:t>
      </w:r>
      <w:r w:rsidRPr="004B542B">
        <w:rPr>
          <w:rFonts w:ascii="Times New Roman" w:hAnsi="Times New Roman" w:cs="Times New Roman"/>
          <w:sz w:val="20"/>
          <w:szCs w:val="20"/>
        </w:rPr>
        <w:t xml:space="preserve"> shows no effect of higher doses of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on preventing the progression to AKINIII.</w:t>
      </w:r>
      <w:r w:rsidR="00494379"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And </w:t>
      </w:r>
      <w:r w:rsidRPr="004B542B">
        <w:rPr>
          <w:rFonts w:ascii="Times New Roman" w:hAnsi="Times New Roman" w:cs="Times New Roman"/>
          <w:b/>
          <w:bCs/>
          <w:sz w:val="20"/>
          <w:szCs w:val="20"/>
        </w:rPr>
        <w:t>Mehta 2010, Uchino 2004</w:t>
      </w:r>
      <w:r w:rsidRPr="004B542B">
        <w:rPr>
          <w:rFonts w:ascii="Times New Roman" w:hAnsi="Times New Roman" w:cs="Times New Roman"/>
          <w:sz w:val="20"/>
          <w:szCs w:val="20"/>
        </w:rPr>
        <w:t xml:space="preserve"> who even stated that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increases the risk of progression to AKINIII</w:t>
      </w:r>
      <w:r w:rsidR="00C46070" w:rsidRPr="004B542B">
        <w:rPr>
          <w:rFonts w:ascii="Times New Roman" w:hAnsi="Times New Roman" w:cs="Times New Roman"/>
          <w:sz w:val="20"/>
          <w:szCs w:val="20"/>
        </w:rPr>
        <w:t xml:space="preserve"> &amp; </w:t>
      </w:r>
      <w:r w:rsidRPr="004B542B">
        <w:rPr>
          <w:rFonts w:ascii="Times New Roman" w:hAnsi="Times New Roman" w:cs="Times New Roman"/>
          <w:sz w:val="20"/>
          <w:szCs w:val="20"/>
        </w:rPr>
        <w:t>dialysis.</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Concerning length of ICU stay our study found that there was no statistically significant difference between the two groups in length of ICU stay</w:t>
      </w:r>
      <w:r w:rsidR="00494379" w:rsidRPr="004B542B">
        <w:rPr>
          <w:rFonts w:ascii="Times New Roman" w:hAnsi="Times New Roman" w:cs="Times New Roman"/>
          <w:sz w:val="20"/>
          <w:szCs w:val="20"/>
        </w:rPr>
        <w:t xml:space="preserve"> </w:t>
      </w:r>
      <w:r w:rsidRPr="004B542B">
        <w:rPr>
          <w:rFonts w:ascii="Times New Roman" w:hAnsi="Times New Roman" w:cs="Times New Roman"/>
          <w:sz w:val="20"/>
          <w:szCs w:val="20"/>
        </w:rPr>
        <w:t>Which was in concordance with</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Kwork</w:t>
      </w:r>
      <w:proofErr w:type="spellEnd"/>
      <w:r w:rsidRPr="004B542B">
        <w:rPr>
          <w:rFonts w:ascii="Times New Roman" w:hAnsi="Times New Roman" w:cs="Times New Roman"/>
          <w:b/>
          <w:bCs/>
          <w:sz w:val="20"/>
          <w:szCs w:val="20"/>
        </w:rPr>
        <w:t xml:space="preserve"> et</w:t>
      </w:r>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al 2006</w:t>
      </w:r>
      <w:r w:rsidRPr="004B542B">
        <w:rPr>
          <w:rFonts w:ascii="Times New Roman" w:hAnsi="Times New Roman" w:cs="Times New Roman"/>
          <w:sz w:val="20"/>
          <w:szCs w:val="20"/>
        </w:rPr>
        <w:t xml:space="preserve"> and </w:t>
      </w:r>
      <w:proofErr w:type="spellStart"/>
      <w:r w:rsidRPr="004B542B">
        <w:rPr>
          <w:rFonts w:ascii="Times New Roman" w:hAnsi="Times New Roman" w:cs="Times New Roman"/>
          <w:b/>
          <w:bCs/>
          <w:sz w:val="20"/>
          <w:szCs w:val="20"/>
        </w:rPr>
        <w:t>Iqbal</w:t>
      </w:r>
      <w:proofErr w:type="spellEnd"/>
      <w:r w:rsidRPr="004B542B">
        <w:rPr>
          <w:rFonts w:ascii="Times New Roman" w:hAnsi="Times New Roman" w:cs="Times New Roman"/>
          <w:b/>
          <w:bCs/>
          <w:sz w:val="20"/>
          <w:szCs w:val="20"/>
        </w:rPr>
        <w:t xml:space="preserve"> and Akbar 2014</w:t>
      </w:r>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sz w:val="20"/>
          <w:szCs w:val="20"/>
        </w:rPr>
        <w:t xml:space="preserve">who stated that there was no significant difference of higher dose of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in shorting the length of ICU stay.</w:t>
      </w:r>
    </w:p>
    <w:p w:rsidR="00074237"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This was </w:t>
      </w:r>
      <w:proofErr w:type="spellStart"/>
      <w:r w:rsidRPr="004B542B">
        <w:rPr>
          <w:rFonts w:ascii="Times New Roman" w:hAnsi="Times New Roman" w:cs="Times New Roman"/>
          <w:sz w:val="20"/>
          <w:szCs w:val="20"/>
        </w:rPr>
        <w:t>disconcordance</w:t>
      </w:r>
      <w:proofErr w:type="spellEnd"/>
      <w:r w:rsidRPr="004B542B">
        <w:rPr>
          <w:rFonts w:ascii="Times New Roman" w:hAnsi="Times New Roman" w:cs="Times New Roman"/>
          <w:sz w:val="20"/>
          <w:szCs w:val="20"/>
        </w:rPr>
        <w:t xml:space="preserve"> with </w:t>
      </w:r>
      <w:proofErr w:type="spellStart"/>
      <w:r w:rsidRPr="004B542B">
        <w:rPr>
          <w:rFonts w:ascii="Times New Roman" w:hAnsi="Times New Roman" w:cs="Times New Roman"/>
          <w:b/>
          <w:bCs/>
          <w:sz w:val="20"/>
          <w:szCs w:val="20"/>
        </w:rPr>
        <w:t>Annika</w:t>
      </w:r>
      <w:proofErr w:type="spellEnd"/>
      <w:r w:rsidRPr="004B542B">
        <w:rPr>
          <w:rFonts w:ascii="Times New Roman" w:hAnsi="Times New Roman" w:cs="Times New Roman"/>
          <w:b/>
          <w:bCs/>
          <w:sz w:val="20"/>
          <w:szCs w:val="20"/>
        </w:rPr>
        <w:t xml:space="preserve"> et al 2006</w:t>
      </w:r>
      <w:r w:rsidRPr="004B542B">
        <w:rPr>
          <w:rFonts w:ascii="Times New Roman" w:hAnsi="Times New Roman" w:cs="Times New Roman"/>
          <w:sz w:val="20"/>
          <w:szCs w:val="20"/>
        </w:rPr>
        <w:t xml:space="preserve"> who found that the mean of length of stay was significantly shorter in the group who received FST dose.</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In our study we found that in group I there were 5 patients who died representin</w:t>
      </w:r>
      <w:r w:rsidR="00C46070" w:rsidRPr="004B542B">
        <w:rPr>
          <w:rFonts w:ascii="Times New Roman" w:hAnsi="Times New Roman" w:cs="Times New Roman"/>
          <w:sz w:val="20"/>
          <w:szCs w:val="20"/>
        </w:rPr>
        <w:t>g (</w:t>
      </w:r>
      <w:r w:rsidRPr="004B542B">
        <w:rPr>
          <w:rFonts w:ascii="Times New Roman" w:hAnsi="Times New Roman" w:cs="Times New Roman"/>
          <w:sz w:val="20"/>
          <w:szCs w:val="20"/>
        </w:rPr>
        <w:t>12.5 %) while in group II there was only one patient who died representin</w:t>
      </w:r>
      <w:r w:rsidR="00C46070" w:rsidRPr="004B542B">
        <w:rPr>
          <w:rFonts w:ascii="Times New Roman" w:hAnsi="Times New Roman" w:cs="Times New Roman"/>
          <w:sz w:val="20"/>
          <w:szCs w:val="20"/>
        </w:rPr>
        <w:t>g (</w:t>
      </w:r>
      <w:r w:rsidRPr="004B542B">
        <w:rPr>
          <w:rFonts w:ascii="Times New Roman" w:hAnsi="Times New Roman" w:cs="Times New Roman"/>
          <w:sz w:val="20"/>
          <w:szCs w:val="20"/>
        </w:rPr>
        <w:t>2.5 %), but there was no statistically significant difference between both groups.</w:t>
      </w:r>
    </w:p>
    <w:p w:rsidR="00494379" w:rsidRPr="004B542B" w:rsidRDefault="00074237"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That was in concordance with </w:t>
      </w:r>
      <w:proofErr w:type="spellStart"/>
      <w:r w:rsidRPr="004B542B">
        <w:rPr>
          <w:rFonts w:ascii="Times New Roman" w:hAnsi="Times New Roman" w:cs="Times New Roman"/>
          <w:b/>
          <w:bCs/>
          <w:sz w:val="20"/>
          <w:szCs w:val="20"/>
        </w:rPr>
        <w:t>Shilliday</w:t>
      </w:r>
      <w:proofErr w:type="spellEnd"/>
      <w:r w:rsidRPr="004B542B">
        <w:rPr>
          <w:rFonts w:ascii="Times New Roman" w:hAnsi="Times New Roman" w:cs="Times New Roman"/>
          <w:b/>
          <w:bCs/>
          <w:sz w:val="20"/>
          <w:szCs w:val="20"/>
        </w:rPr>
        <w:t xml:space="preserve"> et al 1997 </w:t>
      </w:r>
      <w:r w:rsidRPr="004B542B">
        <w:rPr>
          <w:rFonts w:ascii="Times New Roman" w:hAnsi="Times New Roman" w:cs="Times New Roman"/>
          <w:sz w:val="20"/>
          <w:szCs w:val="20"/>
        </w:rPr>
        <w:t>and</w:t>
      </w:r>
      <w:r w:rsidRPr="004B542B">
        <w:rPr>
          <w:rFonts w:ascii="Times New Roman" w:hAnsi="Times New Roman" w:cs="Times New Roman"/>
          <w:b/>
          <w:bCs/>
          <w:sz w:val="20"/>
          <w:szCs w:val="20"/>
        </w:rPr>
        <w:t xml:space="preserve"> </w:t>
      </w:r>
      <w:proofErr w:type="spellStart"/>
      <w:r w:rsidRPr="004B542B">
        <w:rPr>
          <w:rFonts w:ascii="Times New Roman" w:hAnsi="Times New Roman" w:cs="Times New Roman"/>
          <w:b/>
          <w:bCs/>
          <w:sz w:val="20"/>
          <w:szCs w:val="20"/>
        </w:rPr>
        <w:t>Iqbal</w:t>
      </w:r>
      <w:proofErr w:type="spellEnd"/>
      <w:r w:rsidRPr="004B542B">
        <w:rPr>
          <w:rFonts w:ascii="Times New Roman" w:hAnsi="Times New Roman" w:cs="Times New Roman"/>
          <w:b/>
          <w:bCs/>
          <w:sz w:val="20"/>
          <w:szCs w:val="20"/>
        </w:rPr>
        <w:t xml:space="preserve"> and Akbar 2014 </w:t>
      </w:r>
      <w:r w:rsidRPr="004B542B">
        <w:rPr>
          <w:rFonts w:ascii="Times New Roman" w:hAnsi="Times New Roman" w:cs="Times New Roman"/>
          <w:sz w:val="20"/>
          <w:szCs w:val="20"/>
        </w:rPr>
        <w:t>and</w:t>
      </w:r>
      <w:r w:rsidRPr="004B542B">
        <w:rPr>
          <w:rFonts w:ascii="Times New Roman" w:hAnsi="Times New Roman" w:cs="Times New Roman"/>
          <w:b/>
          <w:bCs/>
          <w:sz w:val="20"/>
          <w:szCs w:val="20"/>
        </w:rPr>
        <w:t xml:space="preserve"> HO KM</w:t>
      </w:r>
      <w:r w:rsidR="0087797F" w:rsidRPr="004B542B">
        <w:rPr>
          <w:rFonts w:ascii="Times New Roman" w:hAnsi="Times New Roman" w:cs="Times New Roman"/>
          <w:b/>
          <w:bCs/>
          <w:sz w:val="20"/>
          <w:szCs w:val="20"/>
        </w:rPr>
        <w:t xml:space="preserve">, </w:t>
      </w:r>
      <w:proofErr w:type="spellStart"/>
      <w:r w:rsidR="0087797F" w:rsidRPr="004B542B">
        <w:rPr>
          <w:rFonts w:ascii="Times New Roman" w:hAnsi="Times New Roman" w:cs="Times New Roman"/>
          <w:b/>
          <w:bCs/>
          <w:sz w:val="20"/>
          <w:szCs w:val="20"/>
        </w:rPr>
        <w:t>S</w:t>
      </w:r>
      <w:r w:rsidRPr="004B542B">
        <w:rPr>
          <w:rFonts w:ascii="Times New Roman" w:hAnsi="Times New Roman" w:cs="Times New Roman"/>
          <w:b/>
          <w:bCs/>
          <w:sz w:val="20"/>
          <w:szCs w:val="20"/>
        </w:rPr>
        <w:t>heredan</w:t>
      </w:r>
      <w:proofErr w:type="spellEnd"/>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2006</w:t>
      </w:r>
      <w:r w:rsidRPr="004B542B">
        <w:rPr>
          <w:rFonts w:ascii="Times New Roman" w:hAnsi="Times New Roman" w:cs="Times New Roman"/>
          <w:sz w:val="20"/>
          <w:szCs w:val="20"/>
        </w:rPr>
        <w:t xml:space="preserve"> who found that there was no significant difference in decreasing the incidence of mortality in patients received higher doses of </w:t>
      </w:r>
      <w:proofErr w:type="spellStart"/>
      <w:r w:rsidRPr="004B542B">
        <w:rPr>
          <w:rFonts w:ascii="Times New Roman" w:hAnsi="Times New Roman" w:cs="Times New Roman"/>
          <w:sz w:val="20"/>
          <w:szCs w:val="20"/>
        </w:rPr>
        <w:lastRenderedPageBreak/>
        <w:t>furosemide</w:t>
      </w:r>
      <w:proofErr w:type="spellEnd"/>
      <w:r w:rsidRPr="004B542B">
        <w:rPr>
          <w:rFonts w:ascii="Times New Roman" w:hAnsi="Times New Roman" w:cs="Times New Roman"/>
          <w:sz w:val="20"/>
          <w:szCs w:val="20"/>
        </w:rPr>
        <w:t>.</w:t>
      </w:r>
      <w:r w:rsidR="00494379"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And </w:t>
      </w:r>
      <w:proofErr w:type="spellStart"/>
      <w:r w:rsidRPr="004B542B">
        <w:rPr>
          <w:rFonts w:ascii="Times New Roman" w:hAnsi="Times New Roman" w:cs="Times New Roman"/>
          <w:sz w:val="20"/>
          <w:szCs w:val="20"/>
        </w:rPr>
        <w:t>disconcordance</w:t>
      </w:r>
      <w:proofErr w:type="spellEnd"/>
      <w:r w:rsidRPr="004B542B">
        <w:rPr>
          <w:rFonts w:ascii="Times New Roman" w:hAnsi="Times New Roman" w:cs="Times New Roman"/>
          <w:sz w:val="20"/>
          <w:szCs w:val="20"/>
        </w:rPr>
        <w:t xml:space="preserve"> with </w:t>
      </w:r>
      <w:r w:rsidRPr="004B542B">
        <w:rPr>
          <w:rFonts w:ascii="Times New Roman" w:hAnsi="Times New Roman" w:cs="Times New Roman"/>
          <w:b/>
          <w:bCs/>
          <w:sz w:val="20"/>
          <w:szCs w:val="20"/>
        </w:rPr>
        <w:t>Mehta</w:t>
      </w:r>
      <w:r w:rsidR="004B542B" w:rsidRPr="004B542B">
        <w:rPr>
          <w:rFonts w:ascii="Times New Roman" w:hAnsi="Times New Roman" w:cs="Times New Roman" w:hint="eastAsia"/>
          <w:b/>
          <w:bCs/>
          <w:sz w:val="20"/>
          <w:szCs w:val="20"/>
          <w:lang w:eastAsia="zh-CN"/>
        </w:rPr>
        <w:t xml:space="preserve"> </w:t>
      </w:r>
      <w:r w:rsidRPr="004B542B">
        <w:rPr>
          <w:rFonts w:ascii="Times New Roman" w:hAnsi="Times New Roman" w:cs="Times New Roman"/>
          <w:b/>
          <w:bCs/>
          <w:sz w:val="20"/>
          <w:szCs w:val="20"/>
        </w:rPr>
        <w:t>2010, Uchino 2004</w:t>
      </w:r>
      <w:r w:rsidRPr="004B542B">
        <w:rPr>
          <w:rFonts w:ascii="Times New Roman" w:hAnsi="Times New Roman" w:cs="Times New Roman"/>
          <w:sz w:val="20"/>
          <w:szCs w:val="20"/>
        </w:rPr>
        <w:t xml:space="preserve"> who found that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increases the risk of intra hospital mortality.</w:t>
      </w:r>
      <w:r w:rsidR="00494379" w:rsidRPr="004B542B">
        <w:rPr>
          <w:rFonts w:ascii="Times New Roman" w:hAnsi="Times New Roman" w:cs="Times New Roman"/>
          <w:sz w:val="20"/>
          <w:szCs w:val="20"/>
        </w:rPr>
        <w:t xml:space="preserve"> </w:t>
      </w:r>
      <w:r w:rsidRPr="004B542B">
        <w:rPr>
          <w:rFonts w:ascii="Times New Roman" w:hAnsi="Times New Roman" w:cs="Times New Roman"/>
          <w:sz w:val="20"/>
          <w:szCs w:val="20"/>
        </w:rPr>
        <w:t xml:space="preserve">While </w:t>
      </w:r>
      <w:proofErr w:type="spellStart"/>
      <w:r w:rsidRPr="004B542B">
        <w:rPr>
          <w:rFonts w:ascii="Times New Roman" w:hAnsi="Times New Roman" w:cs="Times New Roman"/>
          <w:b/>
          <w:bCs/>
          <w:sz w:val="20"/>
          <w:szCs w:val="20"/>
        </w:rPr>
        <w:t>Koyner</w:t>
      </w:r>
      <w:proofErr w:type="spellEnd"/>
      <w:r w:rsidRPr="004B542B">
        <w:rPr>
          <w:rFonts w:ascii="Times New Roman" w:hAnsi="Times New Roman" w:cs="Times New Roman"/>
          <w:b/>
          <w:bCs/>
          <w:sz w:val="20"/>
          <w:szCs w:val="20"/>
        </w:rPr>
        <w:t xml:space="preserve"> 2015</w:t>
      </w:r>
      <w:r w:rsidRPr="004B542B">
        <w:rPr>
          <w:rFonts w:ascii="Times New Roman" w:hAnsi="Times New Roman" w:cs="Times New Roman"/>
          <w:sz w:val="20"/>
          <w:szCs w:val="20"/>
        </w:rPr>
        <w:t xml:space="preserve"> found that FST was good indicator of mortalit</w:t>
      </w:r>
      <w:r w:rsidR="00C46070" w:rsidRPr="004B542B">
        <w:rPr>
          <w:rFonts w:ascii="Times New Roman" w:hAnsi="Times New Roman" w:cs="Times New Roman"/>
          <w:sz w:val="20"/>
          <w:szCs w:val="20"/>
        </w:rPr>
        <w:t>y [</w:t>
      </w:r>
      <w:r w:rsidR="008B1E72" w:rsidRPr="004B542B">
        <w:rPr>
          <w:rFonts w:ascii="Times New Roman" w:hAnsi="Times New Roman" w:cs="Times New Roman"/>
          <w:sz w:val="20"/>
          <w:szCs w:val="20"/>
        </w:rPr>
        <w:t>6]</w:t>
      </w:r>
      <w:r w:rsidRPr="004B542B">
        <w:rPr>
          <w:rFonts w:ascii="Times New Roman" w:hAnsi="Times New Roman" w:cs="Times New Roman"/>
          <w:b/>
          <w:bCs/>
          <w:sz w:val="20"/>
          <w:szCs w:val="20"/>
        </w:rPr>
        <w:t>.</w:t>
      </w:r>
    </w:p>
    <w:p w:rsidR="0087797F" w:rsidRPr="004B542B" w:rsidRDefault="0087797F" w:rsidP="0087797F">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95133C" w:rsidRPr="004B542B" w:rsidRDefault="00494379"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 xml:space="preserve">4. </w:t>
      </w:r>
      <w:r w:rsidR="0095133C" w:rsidRPr="004B542B">
        <w:rPr>
          <w:rFonts w:ascii="Times New Roman" w:hAnsi="Times New Roman" w:cs="Times New Roman"/>
          <w:b/>
          <w:bCs/>
          <w:sz w:val="20"/>
          <w:szCs w:val="20"/>
        </w:rPr>
        <w:t>Conclusion</w:t>
      </w:r>
    </w:p>
    <w:p w:rsidR="002B4D78" w:rsidRPr="004B542B" w:rsidRDefault="0095133C"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 xml:space="preserve">In summary, the FST is a novel dynamic functional assessment of tubular function that has good predictive capacity to identify those patients that will progress to advanced stage AKI,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has no </w:t>
      </w:r>
      <w:proofErr w:type="spellStart"/>
      <w:r w:rsidRPr="004B542B">
        <w:rPr>
          <w:rFonts w:ascii="Times New Roman" w:hAnsi="Times New Roman" w:cs="Times New Roman"/>
          <w:sz w:val="20"/>
          <w:szCs w:val="20"/>
        </w:rPr>
        <w:t>breveledge</w:t>
      </w:r>
      <w:proofErr w:type="spellEnd"/>
      <w:r w:rsidRPr="004B542B">
        <w:rPr>
          <w:rFonts w:ascii="Times New Roman" w:hAnsi="Times New Roman" w:cs="Times New Roman"/>
          <w:sz w:val="20"/>
          <w:szCs w:val="20"/>
        </w:rPr>
        <w:t xml:space="preserve"> on standard management in treatment </w:t>
      </w:r>
      <w:r w:rsidR="00EB40E8" w:rsidRPr="004B542B">
        <w:rPr>
          <w:rFonts w:ascii="Times New Roman" w:hAnsi="Times New Roman" w:cs="Times New Roman"/>
          <w:sz w:val="20"/>
          <w:szCs w:val="20"/>
        </w:rPr>
        <w:t>of early stages of A</w:t>
      </w:r>
      <w:r w:rsidRPr="004B542B">
        <w:rPr>
          <w:rFonts w:ascii="Times New Roman" w:hAnsi="Times New Roman" w:cs="Times New Roman"/>
          <w:sz w:val="20"/>
          <w:szCs w:val="20"/>
        </w:rPr>
        <w:t>KI.</w:t>
      </w:r>
    </w:p>
    <w:p w:rsidR="002B4D78" w:rsidRPr="004B542B" w:rsidRDefault="00EB40E8" w:rsidP="0087797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B542B">
        <w:rPr>
          <w:rFonts w:ascii="Times New Roman" w:hAnsi="Times New Roman" w:cs="Times New Roman"/>
          <w:b/>
          <w:bCs/>
          <w:sz w:val="20"/>
          <w:szCs w:val="20"/>
        </w:rPr>
        <w:t>Key messages</w:t>
      </w:r>
    </w:p>
    <w:p w:rsidR="00EB40E8" w:rsidRPr="004B542B" w:rsidRDefault="00EB40E8"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B542B">
        <w:rPr>
          <w:rFonts w:ascii="Times New Roman" w:hAnsi="Times New Roman" w:cs="Times New Roman"/>
          <w:sz w:val="20"/>
          <w:szCs w:val="20"/>
        </w:rPr>
        <w:t>The performance of the FST to predict the primary outc</w:t>
      </w:r>
      <w:r w:rsidR="007F12D0" w:rsidRPr="004B542B">
        <w:rPr>
          <w:rFonts w:ascii="Times New Roman" w:hAnsi="Times New Roman" w:cs="Times New Roman"/>
          <w:sz w:val="20"/>
          <w:szCs w:val="20"/>
        </w:rPr>
        <w:t>ome was robust and consistent with a range in ROC AUC of 0.84- 0.86</w:t>
      </w:r>
      <w:r w:rsidRPr="004B542B">
        <w:rPr>
          <w:rFonts w:ascii="Times New Roman" w:hAnsi="Times New Roman" w:cs="Times New Roman"/>
          <w:sz w:val="20"/>
          <w:szCs w:val="20"/>
        </w:rPr>
        <w:t>.</w:t>
      </w:r>
    </w:p>
    <w:p w:rsidR="00EB40E8" w:rsidRPr="004B542B" w:rsidRDefault="00EB40E8" w:rsidP="0087797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sz w:val="20"/>
          <w:szCs w:val="20"/>
        </w:rPr>
        <w:t xml:space="preserve">Patients should be </w:t>
      </w:r>
      <w:proofErr w:type="spellStart"/>
      <w:r w:rsidRPr="004B542B">
        <w:rPr>
          <w:rFonts w:ascii="Times New Roman" w:hAnsi="Times New Roman" w:cs="Times New Roman"/>
          <w:sz w:val="20"/>
          <w:szCs w:val="20"/>
        </w:rPr>
        <w:t>euvolemic</w:t>
      </w:r>
      <w:proofErr w:type="spellEnd"/>
      <w:r w:rsidRPr="004B542B">
        <w:rPr>
          <w:rFonts w:ascii="Times New Roman" w:hAnsi="Times New Roman" w:cs="Times New Roman"/>
          <w:sz w:val="20"/>
          <w:szCs w:val="20"/>
        </w:rPr>
        <w:t xml:space="preserve"> before undertaking any type of </w:t>
      </w:r>
      <w:proofErr w:type="spellStart"/>
      <w:r w:rsidRPr="004B542B">
        <w:rPr>
          <w:rFonts w:ascii="Times New Roman" w:hAnsi="Times New Roman" w:cs="Times New Roman"/>
          <w:sz w:val="20"/>
          <w:szCs w:val="20"/>
        </w:rPr>
        <w:t>furosemide</w:t>
      </w:r>
      <w:proofErr w:type="spellEnd"/>
      <w:r w:rsidRPr="004B542B">
        <w:rPr>
          <w:rFonts w:ascii="Times New Roman" w:hAnsi="Times New Roman" w:cs="Times New Roman"/>
          <w:sz w:val="20"/>
          <w:szCs w:val="20"/>
        </w:rPr>
        <w:t xml:space="preserve"> challenge, and that volume replacement is mandatory in patients who are not obviously volume overloaded.</w:t>
      </w:r>
    </w:p>
    <w:p w:rsidR="00EB40E8" w:rsidRPr="004B542B" w:rsidRDefault="00EB40E8" w:rsidP="0087797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sz w:val="20"/>
          <w:szCs w:val="20"/>
        </w:rPr>
        <w:t>FST should be conducted in an appropriate clinical setting where UO, heart rate, and</w:t>
      </w:r>
      <w:r w:rsidR="007F12D0" w:rsidRPr="004B542B">
        <w:rPr>
          <w:rFonts w:ascii="Times New Roman" w:hAnsi="Times New Roman" w:cs="Times New Roman"/>
          <w:sz w:val="20"/>
          <w:szCs w:val="20"/>
        </w:rPr>
        <w:t xml:space="preserve"> </w:t>
      </w:r>
      <w:r w:rsidRPr="004B542B">
        <w:rPr>
          <w:rFonts w:ascii="Times New Roman" w:hAnsi="Times New Roman" w:cs="Times New Roman"/>
          <w:sz w:val="20"/>
          <w:szCs w:val="20"/>
        </w:rPr>
        <w:t>blood pressure can be monitored frequently.</w:t>
      </w:r>
    </w:p>
    <w:p w:rsidR="00EB40E8" w:rsidRPr="004B542B" w:rsidRDefault="00EB40E8" w:rsidP="0087797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sz w:val="20"/>
          <w:szCs w:val="20"/>
        </w:rPr>
        <w:t>FST is a novel dynamic functional assessment of tubular function that appears to have</w:t>
      </w:r>
      <w:r w:rsidR="007F12D0" w:rsidRPr="004B542B">
        <w:rPr>
          <w:rFonts w:ascii="Times New Roman" w:hAnsi="Times New Roman" w:cs="Times New Roman"/>
          <w:sz w:val="20"/>
          <w:szCs w:val="20"/>
        </w:rPr>
        <w:t xml:space="preserve"> </w:t>
      </w:r>
      <w:r w:rsidRPr="004B542B">
        <w:rPr>
          <w:rFonts w:ascii="Times New Roman" w:hAnsi="Times New Roman" w:cs="Times New Roman"/>
          <w:sz w:val="20"/>
          <w:szCs w:val="20"/>
        </w:rPr>
        <w:t>good predictive capacity to identify those patients that will progress to advanced</w:t>
      </w:r>
      <w:r w:rsidR="007F12D0" w:rsidRPr="004B542B">
        <w:rPr>
          <w:rFonts w:ascii="Times New Roman" w:hAnsi="Times New Roman" w:cs="Times New Roman"/>
          <w:sz w:val="20"/>
          <w:szCs w:val="20"/>
        </w:rPr>
        <w:t xml:space="preserve"> </w:t>
      </w:r>
      <w:r w:rsidRPr="004B542B">
        <w:rPr>
          <w:rFonts w:ascii="Times New Roman" w:hAnsi="Times New Roman" w:cs="Times New Roman"/>
          <w:sz w:val="20"/>
          <w:szCs w:val="20"/>
        </w:rPr>
        <w:t>stage AKI. Further validation studies of the FST are warranted.</w:t>
      </w:r>
    </w:p>
    <w:p w:rsidR="007F12D0" w:rsidRPr="004B542B" w:rsidRDefault="007F12D0" w:rsidP="0087797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95133C" w:rsidRPr="004B542B" w:rsidRDefault="002B4D78" w:rsidP="0087797F">
      <w:pPr>
        <w:autoSpaceDE w:val="0"/>
        <w:autoSpaceDN w:val="0"/>
        <w:bidi w:val="0"/>
        <w:adjustRightInd w:val="0"/>
        <w:snapToGrid w:val="0"/>
        <w:spacing w:after="0" w:line="240" w:lineRule="auto"/>
        <w:jc w:val="both"/>
        <w:rPr>
          <w:rFonts w:ascii="Times New Roman" w:hAnsi="Times New Roman" w:cs="Times New Roman"/>
          <w:bCs/>
          <w:sz w:val="20"/>
          <w:szCs w:val="20"/>
        </w:rPr>
      </w:pPr>
      <w:r w:rsidRPr="004B542B">
        <w:rPr>
          <w:rFonts w:ascii="Times New Roman" w:hAnsi="Times New Roman" w:cs="Times New Roman"/>
          <w:b/>
          <w:bCs/>
          <w:sz w:val="20"/>
          <w:szCs w:val="20"/>
        </w:rPr>
        <w:t>References</w:t>
      </w:r>
      <w:r w:rsidR="00C46070" w:rsidRPr="004B542B">
        <w:rPr>
          <w:rFonts w:ascii="Times New Roman" w:hAnsi="Times New Roman" w:cs="Times New Roman"/>
          <w:b/>
          <w:bCs/>
          <w:sz w:val="20"/>
          <w:szCs w:val="20"/>
        </w:rPr>
        <w:t xml:space="preserve"> </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Bellomo</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R,</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Kellum</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JA</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and</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Ronco</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C:</w:t>
      </w:r>
      <w:r w:rsidR="00C46070" w:rsidRPr="004B542B">
        <w:rPr>
          <w:rFonts w:ascii="Times New Roman" w:hAnsi="Times New Roman" w:cs="Times New Roman"/>
          <w:bCs/>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Lancet;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2012:</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380:</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756-766.</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bCs/>
          <w:sz w:val="20"/>
          <w:szCs w:val="20"/>
        </w:rPr>
        <w:t>Coca</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SG,</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Singanamala</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S</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and</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Parikh</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CR:</w:t>
      </w:r>
      <w:r w:rsidR="00C46070" w:rsidRPr="004B542B">
        <w:rPr>
          <w:rFonts w:ascii="Times New Roman" w:hAnsi="Times New Roman" w:cs="Times New Roman"/>
          <w:bCs/>
          <w:sz w:val="20"/>
          <w:szCs w:val="20"/>
        </w:rPr>
        <w:t xml:space="preserve"> </w:t>
      </w:r>
      <w:r w:rsidRPr="004B542B">
        <w:rPr>
          <w:rFonts w:ascii="Times New Roman" w:hAnsi="Times New Roman" w:cs="Times New Roman"/>
          <w:sz w:val="20"/>
          <w:szCs w:val="20"/>
        </w:rPr>
        <w:t>Chronic</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disease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after</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lastRenderedPageBreak/>
        <w:t>a</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systematic</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review</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and</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meta-analysis.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2012:</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81:</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442-448.</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bCs/>
          <w:sz w:val="20"/>
          <w:szCs w:val="20"/>
        </w:rPr>
        <w:t>Hsu</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RK,</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McCulloch</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CE,</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Dudley</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RA,</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et</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Temporal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changes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incidence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dialysis-requiring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AKI.</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J</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Am</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Soc</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2013:</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24:</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37-42.</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Gibney</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N,</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Hoste</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Burdmann</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EA,</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et</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Timing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initiation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and</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discontinuation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renal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replacement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therapy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AKI:</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unanswered</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questions.</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Clin</w:t>
      </w:r>
      <w:proofErr w:type="spellEnd"/>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J</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Am</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Soc</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2008:</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3:</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876-880.</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Seabra</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VF,</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Balk</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EM,</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Liangos</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O,</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tal</w:t>
      </w:r>
      <w:proofErr w:type="spellEnd"/>
      <w:r w:rsidR="0087797F" w:rsidRPr="004B542B">
        <w:rPr>
          <w:rFonts w:ascii="Times New Roman" w:hAnsi="Times New Roman" w:cs="Times New Roman"/>
          <w:bCs/>
          <w:sz w:val="20"/>
          <w:szCs w:val="20"/>
        </w:rPr>
        <w:t xml:space="preserve">: </w:t>
      </w:r>
      <w:r w:rsidR="0087797F" w:rsidRPr="004B542B">
        <w:rPr>
          <w:rFonts w:ascii="Times New Roman" w:hAnsi="Times New Roman" w:cs="Times New Roman"/>
          <w:sz w:val="20"/>
          <w:szCs w:val="20"/>
        </w:rPr>
        <w:t>T</w:t>
      </w:r>
      <w:r w:rsidRPr="004B542B">
        <w:rPr>
          <w:rFonts w:ascii="Times New Roman" w:hAnsi="Times New Roman" w:cs="Times New Roman"/>
          <w:sz w:val="20"/>
          <w:szCs w:val="20"/>
        </w:rPr>
        <w:t>iming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renal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replacement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therapy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initiation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renal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failure: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meta-analysis.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Am</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J</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Dis.;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2008:</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52:</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272-284.</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Koyner</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JL,</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Garg</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AX,</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Coca</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SG</w:t>
      </w:r>
      <w:r w:rsidR="0087797F" w:rsidRPr="004B542B">
        <w:rPr>
          <w:rFonts w:ascii="Times New Roman" w:hAnsi="Times New Roman" w:cs="Times New Roman"/>
          <w:bCs/>
          <w:sz w:val="20"/>
          <w:szCs w:val="20"/>
        </w:rPr>
        <w:t>, e</w:t>
      </w:r>
      <w:r w:rsidRPr="004B542B">
        <w:rPr>
          <w:rFonts w:ascii="Times New Roman" w:hAnsi="Times New Roman" w:cs="Times New Roman"/>
          <w:bCs/>
          <w:sz w:val="20"/>
          <w:szCs w:val="20"/>
        </w:rPr>
        <w:t>t</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al</w:t>
      </w:r>
      <w:r w:rsidR="00C46070" w:rsidRPr="004B542B">
        <w:rPr>
          <w:rFonts w:ascii="Times New Roman" w:hAnsi="Times New Roman" w:cs="Times New Roman"/>
          <w:bCs/>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Biomarkers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predict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progression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after</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cardiac</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surgery.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J</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Am</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Soc</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2012:</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23:</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905-914.</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Chawla</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LS</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and</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Kellum</w:t>
      </w:r>
      <w:proofErr w:type="spellEnd"/>
      <w:r w:rsidR="00C46070" w:rsidRPr="004B542B">
        <w:rPr>
          <w:rFonts w:ascii="Times New Roman" w:hAnsi="Times New Roman" w:cs="Times New Roman"/>
          <w:bCs/>
          <w:sz w:val="20"/>
          <w:szCs w:val="20"/>
        </w:rPr>
        <w:t xml:space="preserve"> </w:t>
      </w:r>
      <w:r w:rsidR="000B31E1" w:rsidRPr="004B542B">
        <w:rPr>
          <w:rFonts w:ascii="Times New Roman" w:hAnsi="Times New Roman" w:cs="Times New Roman"/>
          <w:bCs/>
          <w:sz w:val="20"/>
          <w:szCs w:val="20"/>
        </w:rPr>
        <w:t>JA:</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2011:</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Biomarkers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are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transforming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our</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understanding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AKI.</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Nat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Rev</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2012:</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8:</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68-70.</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Bonventre</w:t>
      </w:r>
      <w:proofErr w:type="spellEnd"/>
      <w:r w:rsidR="00C46070" w:rsidRPr="004B542B">
        <w:rPr>
          <w:rFonts w:ascii="Times New Roman" w:hAnsi="Times New Roman" w:cs="Times New Roman"/>
          <w:bCs/>
          <w:sz w:val="20"/>
          <w:szCs w:val="20"/>
        </w:rPr>
        <w:t xml:space="preserve"> </w:t>
      </w:r>
      <w:r w:rsidR="000B31E1" w:rsidRPr="004B542B">
        <w:rPr>
          <w:rFonts w:ascii="Times New Roman" w:hAnsi="Times New Roman" w:cs="Times New Roman"/>
          <w:bCs/>
          <w:sz w:val="20"/>
          <w:szCs w:val="20"/>
        </w:rPr>
        <w:t>JV:</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Diagnosis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from</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classic</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parameters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to</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new</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biomarkers.</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Contrib</w:t>
      </w:r>
      <w:proofErr w:type="spellEnd"/>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2007:</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156:</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213-219.</w:t>
      </w:r>
    </w:p>
    <w:p w:rsidR="002B4D78"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Devarajan</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P:</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Emerging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biomarkers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of</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acute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kidney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injury.</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Contrib</w:t>
      </w:r>
      <w:proofErr w:type="spellEnd"/>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Nephrol</w:t>
      </w:r>
      <w:proofErr w:type="spellEnd"/>
      <w:r w:rsidRPr="004B542B">
        <w:rPr>
          <w:rFonts w:ascii="Times New Roman" w:hAnsi="Times New Roman" w:cs="Times New Roman"/>
          <w:sz w:val="20"/>
          <w:szCs w:val="20"/>
        </w:rPr>
        <w:t>.;</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2007:</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156:</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203-212.</w:t>
      </w:r>
    </w:p>
    <w:p w:rsidR="00C46070" w:rsidRPr="004B542B" w:rsidRDefault="002B4D78" w:rsidP="0087797F">
      <w:pPr>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B542B">
        <w:rPr>
          <w:rFonts w:ascii="Times New Roman" w:hAnsi="Times New Roman" w:cs="Times New Roman"/>
          <w:bCs/>
          <w:sz w:val="20"/>
          <w:szCs w:val="20"/>
        </w:rPr>
        <w:t>Doi</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K,</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Noiri</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E</w:t>
      </w:r>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and</w:t>
      </w:r>
      <w:r w:rsidR="00C46070" w:rsidRPr="004B542B">
        <w:rPr>
          <w:rFonts w:ascii="Times New Roman" w:hAnsi="Times New Roman" w:cs="Times New Roman"/>
          <w:bCs/>
          <w:sz w:val="20"/>
          <w:szCs w:val="20"/>
        </w:rPr>
        <w:t xml:space="preserve"> </w:t>
      </w:r>
      <w:proofErr w:type="spellStart"/>
      <w:r w:rsidRPr="004B542B">
        <w:rPr>
          <w:rFonts w:ascii="Times New Roman" w:hAnsi="Times New Roman" w:cs="Times New Roman"/>
          <w:bCs/>
          <w:sz w:val="20"/>
          <w:szCs w:val="20"/>
        </w:rPr>
        <w:t>Sugaya</w:t>
      </w:r>
      <w:proofErr w:type="spellEnd"/>
      <w:r w:rsidR="00C46070" w:rsidRPr="004B542B">
        <w:rPr>
          <w:rFonts w:ascii="Times New Roman" w:hAnsi="Times New Roman" w:cs="Times New Roman"/>
          <w:bCs/>
          <w:sz w:val="20"/>
          <w:szCs w:val="20"/>
        </w:rPr>
        <w:t xml:space="preserve"> </w:t>
      </w:r>
      <w:r w:rsidRPr="004B542B">
        <w:rPr>
          <w:rFonts w:ascii="Times New Roman" w:hAnsi="Times New Roman" w:cs="Times New Roman"/>
          <w:bCs/>
          <w:sz w:val="20"/>
          <w:szCs w:val="20"/>
        </w:rPr>
        <w:t>T.:</w:t>
      </w:r>
      <w:r w:rsidR="00C46070" w:rsidRPr="004B542B">
        <w:rPr>
          <w:rFonts w:ascii="Times New Roman" w:hAnsi="Times New Roman" w:cs="Times New Roman"/>
          <w:bCs/>
          <w:sz w:val="20"/>
          <w:szCs w:val="20"/>
        </w:rPr>
        <w:t xml:space="preserve"> </w:t>
      </w:r>
      <w:r w:rsidRPr="004B542B">
        <w:rPr>
          <w:rFonts w:ascii="Times New Roman" w:hAnsi="Times New Roman" w:cs="Times New Roman"/>
          <w:sz w:val="20"/>
          <w:szCs w:val="20"/>
        </w:rPr>
        <w:t>Urinary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L-type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fatty</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acid-binding</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protein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as</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a</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new</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renal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biomarker</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in</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critical</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care.</w:t>
      </w:r>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Curr</w:t>
      </w:r>
      <w:proofErr w:type="spellEnd"/>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Opin</w:t>
      </w:r>
      <w:proofErr w:type="spellEnd"/>
      <w:r w:rsidR="00C46070" w:rsidRPr="004B542B">
        <w:rPr>
          <w:rFonts w:ascii="Times New Roman" w:hAnsi="Times New Roman" w:cs="Times New Roman"/>
          <w:sz w:val="20"/>
          <w:szCs w:val="20"/>
        </w:rPr>
        <w:t xml:space="preserve"> </w:t>
      </w:r>
      <w:proofErr w:type="spellStart"/>
      <w:r w:rsidRPr="004B542B">
        <w:rPr>
          <w:rFonts w:ascii="Times New Roman" w:hAnsi="Times New Roman" w:cs="Times New Roman"/>
          <w:sz w:val="20"/>
          <w:szCs w:val="20"/>
        </w:rPr>
        <w:t>Crit</w:t>
      </w:r>
      <w:proofErr w:type="spellEnd"/>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Care;</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2010:</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16:</w:t>
      </w:r>
      <w:r w:rsidR="00C46070" w:rsidRPr="004B542B">
        <w:rPr>
          <w:rFonts w:ascii="Times New Roman" w:hAnsi="Times New Roman" w:cs="Times New Roman"/>
          <w:sz w:val="20"/>
          <w:szCs w:val="20"/>
        </w:rPr>
        <w:t xml:space="preserve"> </w:t>
      </w:r>
      <w:r w:rsidRPr="004B542B">
        <w:rPr>
          <w:rFonts w:ascii="Times New Roman" w:hAnsi="Times New Roman" w:cs="Times New Roman"/>
          <w:sz w:val="20"/>
          <w:szCs w:val="20"/>
        </w:rPr>
        <w:t>545-549.</w:t>
      </w:r>
    </w:p>
    <w:p w:rsidR="00C46070" w:rsidRPr="004B542B" w:rsidRDefault="00C46070" w:rsidP="0087797F">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C46070" w:rsidRPr="004B542B" w:rsidSect="0087797F">
          <w:type w:val="continuous"/>
          <w:pgSz w:w="12242" w:h="15842" w:code="1"/>
          <w:pgMar w:top="1440" w:right="1440" w:bottom="1440" w:left="1440" w:header="720" w:footer="720" w:gutter="0"/>
          <w:cols w:num="2" w:space="550"/>
          <w:docGrid w:linePitch="360"/>
        </w:sectPr>
      </w:pPr>
    </w:p>
    <w:p w:rsidR="00C46070" w:rsidRPr="004B542B" w:rsidRDefault="00C46070" w:rsidP="0087797F">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87797F" w:rsidRPr="004B542B" w:rsidRDefault="0087797F" w:rsidP="0087797F">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4B542B">
        <w:rPr>
          <w:rFonts w:ascii="Times New Roman" w:hAnsi="Times New Roman" w:cs="Times New Roman" w:hint="eastAsia"/>
          <w:sz w:val="20"/>
          <w:szCs w:val="20"/>
          <w:lang w:eastAsia="zh-CN"/>
        </w:rPr>
        <w:t xml:space="preserve"> </w:t>
      </w:r>
    </w:p>
    <w:p w:rsidR="0087797F" w:rsidRPr="004B542B" w:rsidRDefault="0087797F" w:rsidP="0087797F">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2B4D78" w:rsidRPr="004B542B" w:rsidRDefault="00C46070" w:rsidP="0087797F">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B542B">
        <w:rPr>
          <w:rFonts w:ascii="Times New Roman" w:hAnsi="Times New Roman" w:cs="Times New Roman"/>
          <w:sz w:val="20"/>
          <w:szCs w:val="20"/>
        </w:rPr>
        <w:t>10/31/2017</w:t>
      </w:r>
    </w:p>
    <w:sectPr w:rsidR="002B4D78" w:rsidRPr="004B542B" w:rsidSect="00C4607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BD" w:rsidRDefault="00FE4BBD" w:rsidP="00C1003C">
      <w:pPr>
        <w:spacing w:after="0" w:line="240" w:lineRule="auto"/>
      </w:pPr>
      <w:r>
        <w:separator/>
      </w:r>
    </w:p>
  </w:endnote>
  <w:endnote w:type="continuationSeparator" w:id="0">
    <w:p w:rsidR="00FE4BBD" w:rsidRDefault="00FE4BBD" w:rsidP="00C1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7F" w:rsidRPr="009D4569" w:rsidRDefault="0049253D" w:rsidP="009D4569">
    <w:pPr>
      <w:bidi w:val="0"/>
      <w:spacing w:after="0" w:line="240" w:lineRule="auto"/>
      <w:jc w:val="center"/>
      <w:rPr>
        <w:rFonts w:ascii="Times New Roman" w:hAnsi="Times New Roman" w:cs="Times New Roman"/>
        <w:sz w:val="20"/>
      </w:rPr>
    </w:pPr>
    <w:r w:rsidRPr="009D4569">
      <w:rPr>
        <w:rFonts w:ascii="Times New Roman" w:hAnsi="Times New Roman" w:cs="Times New Roman"/>
        <w:sz w:val="20"/>
      </w:rPr>
      <w:fldChar w:fldCharType="begin"/>
    </w:r>
    <w:r w:rsidR="009D4569" w:rsidRPr="009D4569">
      <w:rPr>
        <w:rFonts w:ascii="Times New Roman" w:hAnsi="Times New Roman" w:cs="Times New Roman"/>
        <w:sz w:val="20"/>
      </w:rPr>
      <w:instrText xml:space="preserve"> page </w:instrText>
    </w:r>
    <w:r w:rsidRPr="009D4569">
      <w:rPr>
        <w:rFonts w:ascii="Times New Roman" w:hAnsi="Times New Roman" w:cs="Times New Roman"/>
        <w:sz w:val="20"/>
      </w:rPr>
      <w:fldChar w:fldCharType="separate"/>
    </w:r>
    <w:r w:rsidR="004B542B">
      <w:rPr>
        <w:rFonts w:ascii="Times New Roman" w:hAnsi="Times New Roman" w:cs="Times New Roman"/>
        <w:noProof/>
        <w:sz w:val="20"/>
      </w:rPr>
      <w:t>16</w:t>
    </w:r>
    <w:r w:rsidRPr="009D45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BD" w:rsidRDefault="00FE4BBD" w:rsidP="00C1003C">
      <w:pPr>
        <w:spacing w:after="0" w:line="240" w:lineRule="auto"/>
      </w:pPr>
      <w:r>
        <w:separator/>
      </w:r>
    </w:p>
  </w:footnote>
  <w:footnote w:type="continuationSeparator" w:id="0">
    <w:p w:rsidR="00FE4BBD" w:rsidRDefault="00FE4BBD" w:rsidP="00C10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69" w:rsidRPr="009D4569" w:rsidRDefault="009D4569" w:rsidP="009D456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4569">
      <w:rPr>
        <w:rFonts w:ascii="Times New Roman" w:hAnsi="Times New Roman" w:cs="Times New Roman" w:hint="eastAsia"/>
        <w:sz w:val="20"/>
        <w:szCs w:val="20"/>
      </w:rPr>
      <w:tab/>
    </w:r>
    <w:r w:rsidRPr="009D4569">
      <w:rPr>
        <w:rFonts w:ascii="Times New Roman" w:hAnsi="Times New Roman" w:cs="Times New Roman"/>
        <w:sz w:val="20"/>
        <w:szCs w:val="20"/>
      </w:rPr>
      <w:t>New York Science Journal 201</w:t>
    </w:r>
    <w:r w:rsidRPr="009D4569">
      <w:rPr>
        <w:rFonts w:ascii="Times New Roman" w:hAnsi="Times New Roman" w:cs="Times New Roman" w:hint="eastAsia"/>
        <w:sz w:val="20"/>
        <w:szCs w:val="20"/>
      </w:rPr>
      <w:t>7</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10</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11</w:t>
    </w:r>
    <w:r w:rsidRPr="009D4569">
      <w:rPr>
        <w:rFonts w:ascii="Times New Roman" w:hAnsi="Times New Roman" w:cs="Times New Roman"/>
        <w:sz w:val="20"/>
        <w:szCs w:val="20"/>
      </w:rPr>
      <w:t>)</w:t>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ab/>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 xml:space="preserve"> </w:t>
    </w:r>
    <w:r w:rsidRPr="009D4569">
      <w:rPr>
        <w:rFonts w:ascii="Times New Roman" w:hAnsi="Times New Roman" w:cs="Times New Roman"/>
        <w:iCs/>
        <w:sz w:val="20"/>
        <w:szCs w:val="20"/>
      </w:rPr>
      <w:t xml:space="preserve">   </w:t>
    </w:r>
    <w:hyperlink r:id="rId1" w:history="1">
      <w:r w:rsidRPr="009D4569">
        <w:rPr>
          <w:rStyle w:val="Hyperlink"/>
          <w:rFonts w:ascii="Times New Roman" w:hAnsi="Times New Roman" w:cs="Times New Roman"/>
          <w:sz w:val="20"/>
          <w:szCs w:val="20"/>
        </w:rPr>
        <w:t>http://www.sciencepub.net/newyork</w:t>
      </w:r>
    </w:hyperlink>
  </w:p>
  <w:p w:rsidR="009D4569" w:rsidRPr="009D4569" w:rsidRDefault="009D4569" w:rsidP="009D456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69" w:rsidRPr="009D4569" w:rsidRDefault="009D4569" w:rsidP="009D456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4569">
      <w:rPr>
        <w:rFonts w:ascii="Times New Roman" w:hAnsi="Times New Roman" w:cs="Times New Roman" w:hint="eastAsia"/>
        <w:sz w:val="20"/>
        <w:szCs w:val="20"/>
      </w:rPr>
      <w:tab/>
    </w:r>
    <w:r w:rsidRPr="009D4569">
      <w:rPr>
        <w:rFonts w:ascii="Times New Roman" w:hAnsi="Times New Roman" w:cs="Times New Roman"/>
        <w:sz w:val="20"/>
        <w:szCs w:val="20"/>
      </w:rPr>
      <w:t>New York Science Journal 201</w:t>
    </w:r>
    <w:r w:rsidRPr="009D4569">
      <w:rPr>
        <w:rFonts w:ascii="Times New Roman" w:hAnsi="Times New Roman" w:cs="Times New Roman" w:hint="eastAsia"/>
        <w:sz w:val="20"/>
        <w:szCs w:val="20"/>
      </w:rPr>
      <w:t>7</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10</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11</w:t>
    </w:r>
    <w:r w:rsidRPr="009D4569">
      <w:rPr>
        <w:rFonts w:ascii="Times New Roman" w:hAnsi="Times New Roman" w:cs="Times New Roman"/>
        <w:sz w:val="20"/>
        <w:szCs w:val="20"/>
      </w:rPr>
      <w:t>)</w:t>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ab/>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 xml:space="preserve"> </w:t>
    </w:r>
    <w:r w:rsidRPr="009D4569">
      <w:rPr>
        <w:rFonts w:ascii="Times New Roman" w:hAnsi="Times New Roman" w:cs="Times New Roman"/>
        <w:iCs/>
        <w:sz w:val="20"/>
        <w:szCs w:val="20"/>
      </w:rPr>
      <w:t xml:space="preserve">   </w:t>
    </w:r>
    <w:hyperlink r:id="rId1" w:history="1">
      <w:r w:rsidRPr="009D4569">
        <w:rPr>
          <w:rStyle w:val="Hyperlink"/>
          <w:rFonts w:ascii="Times New Roman" w:hAnsi="Times New Roman" w:cs="Times New Roman"/>
          <w:sz w:val="20"/>
          <w:szCs w:val="20"/>
        </w:rPr>
        <w:t>http://www.sciencepub.net/newyork</w:t>
      </w:r>
    </w:hyperlink>
  </w:p>
  <w:p w:rsidR="009D4569" w:rsidRPr="009D4569" w:rsidRDefault="009D4569" w:rsidP="009D456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69" w:rsidRPr="009D4569" w:rsidRDefault="009D4569" w:rsidP="009D456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D4569">
      <w:rPr>
        <w:rFonts w:ascii="Times New Roman" w:hAnsi="Times New Roman" w:cs="Times New Roman" w:hint="eastAsia"/>
        <w:sz w:val="20"/>
        <w:szCs w:val="20"/>
      </w:rPr>
      <w:tab/>
    </w:r>
    <w:r w:rsidRPr="009D4569">
      <w:rPr>
        <w:rFonts w:ascii="Times New Roman" w:hAnsi="Times New Roman" w:cs="Times New Roman"/>
        <w:sz w:val="20"/>
        <w:szCs w:val="20"/>
      </w:rPr>
      <w:t>New York Science Journal 201</w:t>
    </w:r>
    <w:r w:rsidRPr="009D4569">
      <w:rPr>
        <w:rFonts w:ascii="Times New Roman" w:hAnsi="Times New Roman" w:cs="Times New Roman" w:hint="eastAsia"/>
        <w:sz w:val="20"/>
        <w:szCs w:val="20"/>
      </w:rPr>
      <w:t>7</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10</w:t>
    </w:r>
    <w:r w:rsidRPr="009D4569">
      <w:rPr>
        <w:rFonts w:ascii="Times New Roman" w:hAnsi="Times New Roman" w:cs="Times New Roman"/>
        <w:sz w:val="20"/>
        <w:szCs w:val="20"/>
      </w:rPr>
      <w:t>(</w:t>
    </w:r>
    <w:r w:rsidRPr="009D4569">
      <w:rPr>
        <w:rFonts w:ascii="Times New Roman" w:hAnsi="Times New Roman" w:cs="Times New Roman" w:hint="eastAsia"/>
        <w:sz w:val="20"/>
        <w:szCs w:val="20"/>
      </w:rPr>
      <w:t>11</w:t>
    </w:r>
    <w:r w:rsidRPr="009D4569">
      <w:rPr>
        <w:rFonts w:ascii="Times New Roman" w:hAnsi="Times New Roman" w:cs="Times New Roman"/>
        <w:sz w:val="20"/>
        <w:szCs w:val="20"/>
      </w:rPr>
      <w:t>)</w:t>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ab/>
    </w:r>
    <w:r w:rsidRPr="009D4569">
      <w:rPr>
        <w:rFonts w:ascii="Times New Roman" w:hAnsi="Times New Roman" w:cs="Times New Roman"/>
        <w:iCs/>
        <w:sz w:val="20"/>
        <w:szCs w:val="20"/>
      </w:rPr>
      <w:t xml:space="preserve"> </w:t>
    </w:r>
    <w:r w:rsidRPr="009D4569">
      <w:rPr>
        <w:rFonts w:ascii="Times New Roman" w:hAnsi="Times New Roman" w:cs="Times New Roman" w:hint="eastAsia"/>
        <w:iCs/>
        <w:sz w:val="20"/>
        <w:szCs w:val="20"/>
      </w:rPr>
      <w:t xml:space="preserve"> </w:t>
    </w:r>
    <w:r w:rsidRPr="009D4569">
      <w:rPr>
        <w:rFonts w:ascii="Times New Roman" w:hAnsi="Times New Roman" w:cs="Times New Roman"/>
        <w:iCs/>
        <w:sz w:val="20"/>
        <w:szCs w:val="20"/>
      </w:rPr>
      <w:t xml:space="preserve">   </w:t>
    </w:r>
    <w:hyperlink r:id="rId1" w:history="1">
      <w:r w:rsidRPr="009D4569">
        <w:rPr>
          <w:rStyle w:val="Hyperlink"/>
          <w:rFonts w:ascii="Times New Roman" w:hAnsi="Times New Roman" w:cs="Times New Roman"/>
          <w:sz w:val="20"/>
          <w:szCs w:val="20"/>
        </w:rPr>
        <w:t>http://www.sciencepub.net/newyork</w:t>
      </w:r>
    </w:hyperlink>
  </w:p>
  <w:p w:rsidR="009D4569" w:rsidRPr="009D4569" w:rsidRDefault="009D4569" w:rsidP="009D456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67A"/>
    <w:multiLevelType w:val="hybridMultilevel"/>
    <w:tmpl w:val="2FFAE30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0C45780B"/>
    <w:multiLevelType w:val="hybridMultilevel"/>
    <w:tmpl w:val="6E0063BA"/>
    <w:lvl w:ilvl="0" w:tplc="8160B496">
      <w:numFmt w:val="bullet"/>
      <w:lvlText w:val="·"/>
      <w:lvlJc w:val="left"/>
      <w:pPr>
        <w:ind w:left="1145" w:hanging="720"/>
      </w:pPr>
      <w:rPr>
        <w:rFonts w:ascii="Times New Roman" w:eastAsiaTheme="minorEastAsia"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3F36338B"/>
    <w:multiLevelType w:val="hybridMultilevel"/>
    <w:tmpl w:val="532E90C2"/>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E061156"/>
    <w:multiLevelType w:val="hybridMultilevel"/>
    <w:tmpl w:val="8CCC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E6557"/>
    <w:multiLevelType w:val="hybridMultilevel"/>
    <w:tmpl w:val="AEEC1798"/>
    <w:lvl w:ilvl="0" w:tplc="A5CC1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D53DB"/>
    <w:multiLevelType w:val="hybridMultilevel"/>
    <w:tmpl w:val="56B82C98"/>
    <w:lvl w:ilvl="0" w:tplc="04090009">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C1003C"/>
    <w:rsid w:val="000346F4"/>
    <w:rsid w:val="00074237"/>
    <w:rsid w:val="000B31E1"/>
    <w:rsid w:val="0011115A"/>
    <w:rsid w:val="00125A5C"/>
    <w:rsid w:val="001548CA"/>
    <w:rsid w:val="00194089"/>
    <w:rsid w:val="001E4A61"/>
    <w:rsid w:val="001F1F80"/>
    <w:rsid w:val="00207577"/>
    <w:rsid w:val="0021320D"/>
    <w:rsid w:val="002501F5"/>
    <w:rsid w:val="002544B7"/>
    <w:rsid w:val="00254A30"/>
    <w:rsid w:val="0025703F"/>
    <w:rsid w:val="00264809"/>
    <w:rsid w:val="002A56FB"/>
    <w:rsid w:val="002B4D78"/>
    <w:rsid w:val="002D15A3"/>
    <w:rsid w:val="002E25EC"/>
    <w:rsid w:val="002F3A3C"/>
    <w:rsid w:val="00300210"/>
    <w:rsid w:val="00364A7E"/>
    <w:rsid w:val="00370536"/>
    <w:rsid w:val="0037152A"/>
    <w:rsid w:val="003718F9"/>
    <w:rsid w:val="003F3C00"/>
    <w:rsid w:val="0043780C"/>
    <w:rsid w:val="00486E8D"/>
    <w:rsid w:val="0049194E"/>
    <w:rsid w:val="0049253D"/>
    <w:rsid w:val="00494379"/>
    <w:rsid w:val="004B010A"/>
    <w:rsid w:val="004B542B"/>
    <w:rsid w:val="004B5978"/>
    <w:rsid w:val="004C15D6"/>
    <w:rsid w:val="004C4E8C"/>
    <w:rsid w:val="00546DCB"/>
    <w:rsid w:val="00572496"/>
    <w:rsid w:val="005D3139"/>
    <w:rsid w:val="005E52A0"/>
    <w:rsid w:val="00645555"/>
    <w:rsid w:val="00706993"/>
    <w:rsid w:val="0071632D"/>
    <w:rsid w:val="00754B17"/>
    <w:rsid w:val="00763D33"/>
    <w:rsid w:val="0079375D"/>
    <w:rsid w:val="007B4DEE"/>
    <w:rsid w:val="007D1BAE"/>
    <w:rsid w:val="007D461B"/>
    <w:rsid w:val="007E5D67"/>
    <w:rsid w:val="007E6318"/>
    <w:rsid w:val="007F12D0"/>
    <w:rsid w:val="0080198F"/>
    <w:rsid w:val="00854B26"/>
    <w:rsid w:val="00857643"/>
    <w:rsid w:val="00865107"/>
    <w:rsid w:val="0087797F"/>
    <w:rsid w:val="008A62AE"/>
    <w:rsid w:val="008B08E6"/>
    <w:rsid w:val="008B0A68"/>
    <w:rsid w:val="008B1E72"/>
    <w:rsid w:val="008C2714"/>
    <w:rsid w:val="009133CD"/>
    <w:rsid w:val="00917B3B"/>
    <w:rsid w:val="0095133C"/>
    <w:rsid w:val="00993774"/>
    <w:rsid w:val="009D4569"/>
    <w:rsid w:val="009F327B"/>
    <w:rsid w:val="009F45F5"/>
    <w:rsid w:val="00A137BC"/>
    <w:rsid w:val="00A921D2"/>
    <w:rsid w:val="00A94159"/>
    <w:rsid w:val="00AB634F"/>
    <w:rsid w:val="00AC381A"/>
    <w:rsid w:val="00AD74C8"/>
    <w:rsid w:val="00AE4BEE"/>
    <w:rsid w:val="00B00CA8"/>
    <w:rsid w:val="00B149C1"/>
    <w:rsid w:val="00B30CFD"/>
    <w:rsid w:val="00B339B0"/>
    <w:rsid w:val="00B432E8"/>
    <w:rsid w:val="00B54E19"/>
    <w:rsid w:val="00BC66BB"/>
    <w:rsid w:val="00BF7ACC"/>
    <w:rsid w:val="00C1003C"/>
    <w:rsid w:val="00C111D9"/>
    <w:rsid w:val="00C46070"/>
    <w:rsid w:val="00C61B6B"/>
    <w:rsid w:val="00C740F1"/>
    <w:rsid w:val="00D0544E"/>
    <w:rsid w:val="00D07EC0"/>
    <w:rsid w:val="00D10283"/>
    <w:rsid w:val="00D174B5"/>
    <w:rsid w:val="00D25348"/>
    <w:rsid w:val="00D51FDC"/>
    <w:rsid w:val="00D81959"/>
    <w:rsid w:val="00DF7221"/>
    <w:rsid w:val="00E1407D"/>
    <w:rsid w:val="00E362B5"/>
    <w:rsid w:val="00E54050"/>
    <w:rsid w:val="00E7400B"/>
    <w:rsid w:val="00EB40E8"/>
    <w:rsid w:val="00ED19CE"/>
    <w:rsid w:val="00F02153"/>
    <w:rsid w:val="00F75481"/>
    <w:rsid w:val="00F95C83"/>
    <w:rsid w:val="00FA0383"/>
    <w:rsid w:val="00FB4576"/>
    <w:rsid w:val="00FB76CD"/>
    <w:rsid w:val="00FE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E6"/>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003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1003C"/>
  </w:style>
  <w:style w:type="paragraph" w:styleId="Footer">
    <w:name w:val="footer"/>
    <w:basedOn w:val="Normal"/>
    <w:link w:val="FooterChar"/>
    <w:uiPriority w:val="99"/>
    <w:semiHidden/>
    <w:unhideWhenUsed/>
    <w:rsid w:val="00C1003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1003C"/>
  </w:style>
  <w:style w:type="paragraph" w:styleId="ListParagraph">
    <w:name w:val="List Paragraph"/>
    <w:basedOn w:val="Normal"/>
    <w:uiPriority w:val="34"/>
    <w:qFormat/>
    <w:rsid w:val="00A94159"/>
    <w:pPr>
      <w:bidi w:val="0"/>
      <w:ind w:left="720"/>
      <w:contextualSpacing/>
    </w:pPr>
  </w:style>
  <w:style w:type="paragraph" w:styleId="Title">
    <w:name w:val="Title"/>
    <w:basedOn w:val="Normal"/>
    <w:next w:val="Normal"/>
    <w:link w:val="TitleChar"/>
    <w:qFormat/>
    <w:rsid w:val="00B54E19"/>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B54E19"/>
    <w:rPr>
      <w:rFonts w:ascii="Cambria" w:eastAsia="Times New Roman" w:hAnsi="Cambria" w:cs="Times New Roman"/>
      <w:b/>
      <w:bCs/>
      <w:kern w:val="28"/>
      <w:sz w:val="32"/>
      <w:szCs w:val="32"/>
    </w:rPr>
  </w:style>
  <w:style w:type="character" w:styleId="Hyperlink">
    <w:name w:val="Hyperlink"/>
    <w:uiPriority w:val="99"/>
    <w:unhideWhenUsed/>
    <w:rsid w:val="009F327B"/>
    <w:rPr>
      <w:color w:val="0000FF"/>
      <w:u w:val="single"/>
    </w:rPr>
  </w:style>
  <w:style w:type="table" w:styleId="TableGrid">
    <w:name w:val="Table Grid"/>
    <w:basedOn w:val="TableNormal"/>
    <w:uiPriority w:val="59"/>
    <w:rsid w:val="00494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544B7"/>
    <w:rPr>
      <w:sz w:val="16"/>
      <w:szCs w:val="16"/>
    </w:rPr>
  </w:style>
  <w:style w:type="paragraph" w:styleId="CommentText">
    <w:name w:val="annotation text"/>
    <w:basedOn w:val="Normal"/>
    <w:link w:val="CommentTextChar"/>
    <w:uiPriority w:val="99"/>
    <w:semiHidden/>
    <w:unhideWhenUsed/>
    <w:rsid w:val="002544B7"/>
    <w:rPr>
      <w:rFonts w:cs="Times New Roman"/>
      <w:sz w:val="20"/>
      <w:szCs w:val="20"/>
    </w:rPr>
  </w:style>
  <w:style w:type="character" w:customStyle="1" w:styleId="CommentTextChar">
    <w:name w:val="Comment Text Char"/>
    <w:link w:val="CommentText"/>
    <w:uiPriority w:val="99"/>
    <w:semiHidden/>
    <w:rsid w:val="002544B7"/>
    <w:rPr>
      <w:lang w:val="en-US" w:eastAsia="en-US"/>
    </w:rPr>
  </w:style>
  <w:style w:type="paragraph" w:styleId="CommentSubject">
    <w:name w:val="annotation subject"/>
    <w:basedOn w:val="CommentText"/>
    <w:next w:val="CommentText"/>
    <w:link w:val="CommentSubjectChar"/>
    <w:uiPriority w:val="99"/>
    <w:semiHidden/>
    <w:unhideWhenUsed/>
    <w:rsid w:val="002544B7"/>
    <w:rPr>
      <w:b/>
      <w:bCs/>
    </w:rPr>
  </w:style>
  <w:style w:type="character" w:customStyle="1" w:styleId="CommentSubjectChar">
    <w:name w:val="Comment Subject Char"/>
    <w:link w:val="CommentSubject"/>
    <w:uiPriority w:val="99"/>
    <w:semiHidden/>
    <w:rsid w:val="002544B7"/>
    <w:rPr>
      <w:b/>
      <w:bCs/>
      <w:lang w:val="en-US" w:eastAsia="en-US"/>
    </w:rPr>
  </w:style>
  <w:style w:type="paragraph" w:styleId="BalloonText">
    <w:name w:val="Balloon Text"/>
    <w:basedOn w:val="Normal"/>
    <w:link w:val="BalloonTextChar"/>
    <w:uiPriority w:val="99"/>
    <w:semiHidden/>
    <w:unhideWhenUsed/>
    <w:rsid w:val="002544B7"/>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2544B7"/>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si_mohamed@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1117.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statistical%20work\statistics%207%202015\&#1583;%20&#1605;&#1607;&#1575;%20&#1576;&#1610;&#1608;&#1605;&#1609;%20&#1593;&#1608;&#1590;%20&#1593;&#1606;&#1575;&#1610;&#1577;\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new!$B$1:$F$1</c:f>
              <c:strCache>
                <c:ptCount val="1"/>
                <c:pt idx="0">
                  <c:v>group I (patients)</c:v>
                </c:pt>
              </c:strCache>
            </c:strRef>
          </c:tx>
          <c:errBars>
            <c:errDir val="y"/>
            <c:errBarType val="both"/>
            <c:errValType val="cust"/>
            <c:plus>
              <c:numRef>
                <c:f>new!$C$3:$C$8</c:f>
                <c:numCache>
                  <c:formatCode>General</c:formatCode>
                  <c:ptCount val="6"/>
                  <c:pt idx="0">
                    <c:v>97.06</c:v>
                  </c:pt>
                  <c:pt idx="1">
                    <c:v>67.940000000000026</c:v>
                  </c:pt>
                  <c:pt idx="2">
                    <c:v>59.91</c:v>
                  </c:pt>
                  <c:pt idx="3">
                    <c:v>50.49</c:v>
                  </c:pt>
                  <c:pt idx="4">
                    <c:v>58.71</c:v>
                  </c:pt>
                  <c:pt idx="5">
                    <c:v>58.78</c:v>
                  </c:pt>
                </c:numCache>
              </c:numRef>
            </c:plus>
            <c:minus>
              <c:numRef>
                <c:f>new!$C$3:$C$8</c:f>
                <c:numCache>
                  <c:formatCode>General</c:formatCode>
                  <c:ptCount val="6"/>
                  <c:pt idx="0">
                    <c:v>97.06</c:v>
                  </c:pt>
                  <c:pt idx="1">
                    <c:v>67.940000000000026</c:v>
                  </c:pt>
                  <c:pt idx="2">
                    <c:v>59.91</c:v>
                  </c:pt>
                  <c:pt idx="3">
                    <c:v>50.49</c:v>
                  </c:pt>
                  <c:pt idx="4">
                    <c:v>58.71</c:v>
                  </c:pt>
                  <c:pt idx="5">
                    <c:v>58.78</c:v>
                  </c:pt>
                </c:numCache>
              </c:numRef>
            </c:minus>
          </c:errBars>
          <c:cat>
            <c:strRef>
              <c:f>new!$A$3:$A$8</c:f>
              <c:strCache>
                <c:ptCount val="6"/>
                <c:pt idx="0">
                  <c:v>urine output (1 hours)</c:v>
                </c:pt>
                <c:pt idx="1">
                  <c:v>urine output (2 hours)</c:v>
                </c:pt>
                <c:pt idx="2">
                  <c:v>urine output (3 hours)</c:v>
                </c:pt>
                <c:pt idx="3">
                  <c:v>urine output (4 hours)</c:v>
                </c:pt>
                <c:pt idx="4">
                  <c:v>urine output (5 hours)</c:v>
                </c:pt>
                <c:pt idx="5">
                  <c:v>urine output (6 hours)</c:v>
                </c:pt>
              </c:strCache>
            </c:strRef>
          </c:cat>
          <c:val>
            <c:numRef>
              <c:f>new!$B$3:$B$8</c:f>
              <c:numCache>
                <c:formatCode>General</c:formatCode>
                <c:ptCount val="6"/>
                <c:pt idx="0">
                  <c:v>238.75</c:v>
                </c:pt>
                <c:pt idx="1">
                  <c:v>150</c:v>
                </c:pt>
                <c:pt idx="2">
                  <c:v>100</c:v>
                </c:pt>
                <c:pt idx="3">
                  <c:v>71.25</c:v>
                </c:pt>
                <c:pt idx="4">
                  <c:v>58.75</c:v>
                </c:pt>
                <c:pt idx="5">
                  <c:v>52.5</c:v>
                </c:pt>
              </c:numCache>
            </c:numRef>
          </c:val>
        </c:ser>
        <c:ser>
          <c:idx val="1"/>
          <c:order val="1"/>
          <c:tx>
            <c:strRef>
              <c:f>new!$G$1:$K$1</c:f>
              <c:strCache>
                <c:ptCount val="1"/>
                <c:pt idx="0">
                  <c:v>group II (control)</c:v>
                </c:pt>
              </c:strCache>
            </c:strRef>
          </c:tx>
          <c:errBars>
            <c:errDir val="y"/>
            <c:errBarType val="both"/>
            <c:errValType val="cust"/>
            <c:plus>
              <c:numRef>
                <c:f>new!$H$3:$H$8</c:f>
                <c:numCache>
                  <c:formatCode>General</c:formatCode>
                  <c:ptCount val="6"/>
                  <c:pt idx="0">
                    <c:v>63.6</c:v>
                  </c:pt>
                  <c:pt idx="1">
                    <c:v>54.54</c:v>
                  </c:pt>
                  <c:pt idx="2">
                    <c:v>55.47</c:v>
                  </c:pt>
                  <c:pt idx="3">
                    <c:v>53.77</c:v>
                  </c:pt>
                  <c:pt idx="4">
                    <c:v>50.06</c:v>
                  </c:pt>
                  <c:pt idx="5">
                    <c:v>39.85</c:v>
                  </c:pt>
                </c:numCache>
              </c:numRef>
            </c:plus>
            <c:minus>
              <c:numRef>
                <c:f>new!$H$3:$H$8</c:f>
                <c:numCache>
                  <c:formatCode>General</c:formatCode>
                  <c:ptCount val="6"/>
                  <c:pt idx="0">
                    <c:v>63.6</c:v>
                  </c:pt>
                  <c:pt idx="1">
                    <c:v>54.54</c:v>
                  </c:pt>
                  <c:pt idx="2">
                    <c:v>55.47</c:v>
                  </c:pt>
                  <c:pt idx="3">
                    <c:v>53.77</c:v>
                  </c:pt>
                  <c:pt idx="4">
                    <c:v>50.06</c:v>
                  </c:pt>
                  <c:pt idx="5">
                    <c:v>39.85</c:v>
                  </c:pt>
                </c:numCache>
              </c:numRef>
            </c:minus>
          </c:errBars>
          <c:val>
            <c:numRef>
              <c:f>new!$G$3:$G$8</c:f>
              <c:numCache>
                <c:formatCode>General</c:formatCode>
                <c:ptCount val="6"/>
                <c:pt idx="0">
                  <c:v>192.5</c:v>
                </c:pt>
                <c:pt idx="1">
                  <c:v>110</c:v>
                </c:pt>
                <c:pt idx="2">
                  <c:v>75</c:v>
                </c:pt>
                <c:pt idx="3">
                  <c:v>57.5</c:v>
                </c:pt>
                <c:pt idx="4">
                  <c:v>42.5</c:v>
                </c:pt>
                <c:pt idx="5">
                  <c:v>33.75</c:v>
                </c:pt>
              </c:numCache>
            </c:numRef>
          </c:val>
        </c:ser>
        <c:marker val="1"/>
        <c:axId val="193075456"/>
        <c:axId val="192876544"/>
      </c:lineChart>
      <c:catAx>
        <c:axId val="193075456"/>
        <c:scaling>
          <c:orientation val="minMax"/>
        </c:scaling>
        <c:axPos val="b"/>
        <c:majorTickMark val="none"/>
        <c:tickLblPos val="nextTo"/>
        <c:txPr>
          <a:bodyPr/>
          <a:lstStyle/>
          <a:p>
            <a:pPr>
              <a:defRPr lang="ar-EG"/>
            </a:pPr>
            <a:endParaRPr lang="en-US"/>
          </a:p>
        </c:txPr>
        <c:crossAx val="192876544"/>
        <c:crosses val="autoZero"/>
        <c:auto val="1"/>
        <c:lblAlgn val="ctr"/>
        <c:lblOffset val="100"/>
      </c:catAx>
      <c:valAx>
        <c:axId val="192876544"/>
        <c:scaling>
          <c:orientation val="minMax"/>
        </c:scaling>
        <c:axPos val="l"/>
        <c:numFmt formatCode="General" sourceLinked="1"/>
        <c:tickLblPos val="nextTo"/>
        <c:txPr>
          <a:bodyPr/>
          <a:lstStyle/>
          <a:p>
            <a:pPr>
              <a:defRPr lang="ar-EG"/>
            </a:pPr>
            <a:endParaRPr lang="en-US"/>
          </a:p>
        </c:txPr>
        <c:crossAx val="193075456"/>
        <c:crosses val="autoZero"/>
        <c:crossBetween val="between"/>
      </c:valAx>
    </c:plotArea>
    <c:legend>
      <c:legendPos val="l"/>
      <c:txPr>
        <a:bodyPr/>
        <a:lstStyle/>
        <a:p>
          <a:pPr>
            <a:defRPr lang="ar-EG"/>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3D0F-9107-461B-88BB-F97F4599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22096</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4522076</vt:i4>
      </vt:variant>
      <vt:variant>
        <vt:i4>0</vt:i4>
      </vt:variant>
      <vt:variant>
        <vt:i4>0</vt:i4>
      </vt:variant>
      <vt:variant>
        <vt:i4>5</vt:i4>
      </vt:variant>
      <vt:variant>
        <vt:lpwstr>mailto:onsi_mohamed@yahoo.com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Maha</dc:creator>
  <cp:lastModifiedBy>Administrator</cp:lastModifiedBy>
  <cp:revision>3</cp:revision>
  <dcterms:created xsi:type="dcterms:W3CDTF">2017-11-02T11:01:00Z</dcterms:created>
  <dcterms:modified xsi:type="dcterms:W3CDTF">2017-11-03T01:15:00Z</dcterms:modified>
</cp:coreProperties>
</file>