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0D" w:rsidRPr="006B319D" w:rsidRDefault="0010504F" w:rsidP="002645D9">
      <w:pPr>
        <w:bidi w:val="0"/>
        <w:snapToGrid w:val="0"/>
        <w:spacing w:after="0" w:line="240" w:lineRule="auto"/>
        <w:jc w:val="center"/>
        <w:rPr>
          <w:rFonts w:ascii="Times New Roman" w:hAnsi="Times New Roman" w:cs="Times New Roman"/>
          <w:b/>
          <w:sz w:val="20"/>
          <w:szCs w:val="24"/>
        </w:rPr>
      </w:pPr>
      <w:r w:rsidRPr="006B319D">
        <w:rPr>
          <w:rFonts w:ascii="Times New Roman" w:hAnsi="Times New Roman" w:cs="Times New Roman"/>
          <w:b/>
          <w:sz w:val="20"/>
          <w:szCs w:val="24"/>
        </w:rPr>
        <w:t>Evaluation of the relationship between ownership concentration and institutional ownership with accounting conservatism in companies listed on Tehran Stock Exchange</w:t>
      </w:r>
    </w:p>
    <w:p w:rsidR="0075220D" w:rsidRPr="006B319D" w:rsidRDefault="0075220D" w:rsidP="002645D9">
      <w:pPr>
        <w:bidi w:val="0"/>
        <w:snapToGrid w:val="0"/>
        <w:spacing w:after="0" w:line="240" w:lineRule="auto"/>
        <w:jc w:val="center"/>
        <w:rPr>
          <w:rFonts w:ascii="Times New Roman" w:hAnsi="Times New Roman" w:cs="Times New Roman"/>
          <w:b/>
          <w:sz w:val="20"/>
          <w:szCs w:val="24"/>
        </w:rPr>
      </w:pPr>
    </w:p>
    <w:p w:rsidR="0075220D" w:rsidRPr="006B319D" w:rsidRDefault="0010504F" w:rsidP="002645D9">
      <w:pPr>
        <w:bidi w:val="0"/>
        <w:snapToGrid w:val="0"/>
        <w:spacing w:after="0" w:line="240" w:lineRule="auto"/>
        <w:jc w:val="center"/>
        <w:rPr>
          <w:rFonts w:ascii="Times New Roman" w:hAnsi="Times New Roman" w:cs="Times New Roman"/>
          <w:sz w:val="20"/>
          <w:szCs w:val="24"/>
          <w:vertAlign w:val="superscript"/>
        </w:rPr>
      </w:pPr>
      <w:proofErr w:type="spellStart"/>
      <w:r w:rsidRPr="006B319D">
        <w:rPr>
          <w:rFonts w:ascii="Times New Roman" w:hAnsi="Times New Roman" w:cs="Times New Roman"/>
          <w:sz w:val="20"/>
          <w:szCs w:val="24"/>
        </w:rPr>
        <w:t>Mozhdeh</w:t>
      </w:r>
      <w:proofErr w:type="spellEnd"/>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Tahmasebi</w:t>
      </w:r>
      <w:proofErr w:type="spellEnd"/>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Notorki</w:t>
      </w:r>
      <w:proofErr w:type="spellEnd"/>
      <w:r w:rsidRPr="006B319D">
        <w:rPr>
          <w:rFonts w:ascii="Times New Roman" w:hAnsi="Times New Roman" w:cs="Times New Roman"/>
          <w:sz w:val="20"/>
          <w:szCs w:val="24"/>
        </w:rPr>
        <w:t xml:space="preserve"> </w:t>
      </w:r>
      <w:r w:rsidRPr="006B319D">
        <w:rPr>
          <w:rFonts w:ascii="Times New Roman" w:hAnsi="Times New Roman" w:cs="Times New Roman"/>
          <w:sz w:val="20"/>
          <w:szCs w:val="24"/>
          <w:vertAlign w:val="superscript"/>
        </w:rPr>
        <w:t>1*</w:t>
      </w:r>
      <w:r w:rsidR="0075220D" w:rsidRPr="006B319D">
        <w:rPr>
          <w:rFonts w:ascii="Times New Roman" w:hAnsi="Times New Roman" w:cs="Times New Roman"/>
          <w:sz w:val="20"/>
          <w:szCs w:val="24"/>
        </w:rPr>
        <w:t>,</w:t>
      </w:r>
      <w:r w:rsidRPr="006B319D">
        <w:rPr>
          <w:rFonts w:ascii="Times New Roman" w:hAnsi="Times New Roman" w:cs="Times New Roman"/>
          <w:sz w:val="20"/>
          <w:szCs w:val="24"/>
        </w:rPr>
        <w:t xml:space="preserve"> Dr. </w:t>
      </w:r>
      <w:proofErr w:type="spellStart"/>
      <w:r w:rsidRPr="006B319D">
        <w:rPr>
          <w:rFonts w:ascii="Times New Roman" w:hAnsi="Times New Roman" w:cs="Times New Roman"/>
          <w:sz w:val="20"/>
          <w:szCs w:val="24"/>
        </w:rPr>
        <w:t>Babak</w:t>
      </w:r>
      <w:proofErr w:type="spellEnd"/>
      <w:r w:rsidRPr="006B319D">
        <w:rPr>
          <w:rFonts w:ascii="Times New Roman" w:hAnsi="Times New Roman" w:cs="Times New Roman"/>
          <w:sz w:val="20"/>
          <w:szCs w:val="24"/>
        </w:rPr>
        <w:t xml:space="preserve"> Salem Dezfuli</w:t>
      </w:r>
      <w:r w:rsidRPr="006B319D">
        <w:rPr>
          <w:rFonts w:ascii="Times New Roman" w:hAnsi="Times New Roman" w:cs="Times New Roman"/>
          <w:sz w:val="20"/>
          <w:szCs w:val="24"/>
          <w:vertAlign w:val="superscript"/>
        </w:rPr>
        <w:t>2</w:t>
      </w:r>
    </w:p>
    <w:p w:rsidR="0075220D" w:rsidRPr="006B319D" w:rsidRDefault="0075220D" w:rsidP="002645D9">
      <w:pPr>
        <w:bidi w:val="0"/>
        <w:snapToGrid w:val="0"/>
        <w:spacing w:after="0" w:line="240" w:lineRule="auto"/>
        <w:jc w:val="center"/>
        <w:rPr>
          <w:rFonts w:ascii="Times New Roman" w:hAnsi="Times New Roman" w:cs="Times New Roman"/>
          <w:sz w:val="20"/>
          <w:szCs w:val="24"/>
          <w:vertAlign w:val="superscript"/>
        </w:rPr>
      </w:pPr>
    </w:p>
    <w:p w:rsidR="00DF767A" w:rsidRPr="006B319D" w:rsidRDefault="0010504F" w:rsidP="002645D9">
      <w:pPr>
        <w:bidi w:val="0"/>
        <w:snapToGrid w:val="0"/>
        <w:spacing w:after="0" w:line="240" w:lineRule="auto"/>
        <w:jc w:val="center"/>
        <w:rPr>
          <w:rFonts w:ascii="Times New Roman" w:hAnsi="Times New Roman" w:cs="Times New Roman"/>
          <w:sz w:val="20"/>
          <w:szCs w:val="24"/>
        </w:rPr>
      </w:pPr>
      <w:r w:rsidRPr="006B319D">
        <w:rPr>
          <w:rFonts w:ascii="Times New Roman" w:hAnsi="Times New Roman" w:cs="Times New Roman"/>
          <w:b/>
          <w:sz w:val="20"/>
          <w:szCs w:val="24"/>
          <w:vertAlign w:val="superscript"/>
        </w:rPr>
        <w:t>1</w:t>
      </w:r>
      <w:r w:rsidRPr="006B319D">
        <w:rPr>
          <w:rFonts w:ascii="Times New Roman" w:hAnsi="Times New Roman" w:cs="Times New Roman"/>
          <w:sz w:val="20"/>
          <w:szCs w:val="24"/>
          <w:vertAlign w:val="superscript"/>
        </w:rPr>
        <w:t>*</w:t>
      </w:r>
      <w:r w:rsidRPr="006B319D">
        <w:rPr>
          <w:rFonts w:ascii="Times New Roman" w:hAnsi="Times New Roman" w:cs="Times New Roman"/>
          <w:sz w:val="20"/>
          <w:szCs w:val="24"/>
        </w:rPr>
        <w:t>Department of Accounting</w:t>
      </w:r>
      <w:r w:rsidR="0075220D" w:rsidRPr="006B319D">
        <w:rPr>
          <w:rFonts w:ascii="Times New Roman" w:hAnsi="Times New Roman" w:cs="Times New Roman"/>
          <w:sz w:val="20"/>
          <w:szCs w:val="24"/>
        </w:rPr>
        <w:t>,</w:t>
      </w:r>
      <w:r w:rsidRPr="006B319D">
        <w:rPr>
          <w:rFonts w:ascii="Times New Roman" w:hAnsi="Times New Roman" w:cs="Times New Roman"/>
          <w:sz w:val="20"/>
          <w:szCs w:val="24"/>
        </w:rPr>
        <w:t xml:space="preserve"> Islamic Azad university</w:t>
      </w:r>
      <w:r w:rsidR="0075220D" w:rsidRPr="006B319D">
        <w:rPr>
          <w:rFonts w:ascii="Times New Roman" w:hAnsi="Times New Roman" w:cs="Times New Roman"/>
          <w:sz w:val="20"/>
          <w:szCs w:val="24"/>
        </w:rPr>
        <w:t>,</w:t>
      </w:r>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khorramshahr</w:t>
      </w:r>
      <w:proofErr w:type="spellEnd"/>
      <w:r w:rsidRPr="006B319D">
        <w:rPr>
          <w:rFonts w:ascii="Times New Roman" w:hAnsi="Times New Roman" w:cs="Times New Roman"/>
          <w:sz w:val="20"/>
          <w:szCs w:val="24"/>
        </w:rPr>
        <w:t xml:space="preserve"> - Persian Gulf International Branch</w:t>
      </w:r>
      <w:r w:rsidR="0075220D" w:rsidRPr="006B319D">
        <w:rPr>
          <w:rFonts w:ascii="Times New Roman" w:hAnsi="Times New Roman" w:cs="Times New Roman"/>
          <w:sz w:val="20"/>
          <w:szCs w:val="24"/>
        </w:rPr>
        <w:t>,</w:t>
      </w:r>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khorramshahr</w:t>
      </w:r>
      <w:proofErr w:type="spellEnd"/>
      <w:r w:rsidR="0075220D" w:rsidRPr="006B319D">
        <w:rPr>
          <w:rFonts w:ascii="Times New Roman" w:hAnsi="Times New Roman" w:cs="Times New Roman"/>
          <w:sz w:val="20"/>
          <w:szCs w:val="24"/>
        </w:rPr>
        <w:t>,</w:t>
      </w:r>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iran</w:t>
      </w:r>
      <w:proofErr w:type="spellEnd"/>
    </w:p>
    <w:p w:rsidR="00DF767A" w:rsidRPr="006B319D" w:rsidRDefault="0010504F" w:rsidP="002645D9">
      <w:pPr>
        <w:bidi w:val="0"/>
        <w:snapToGrid w:val="0"/>
        <w:spacing w:after="0" w:line="240" w:lineRule="auto"/>
        <w:jc w:val="center"/>
        <w:rPr>
          <w:rFonts w:ascii="Times New Roman" w:hAnsi="Times New Roman" w:cs="Times New Roman"/>
          <w:sz w:val="20"/>
          <w:szCs w:val="24"/>
        </w:rPr>
      </w:pPr>
      <w:r w:rsidRPr="006B319D">
        <w:rPr>
          <w:rFonts w:ascii="Times New Roman" w:hAnsi="Times New Roman" w:cs="Times New Roman"/>
          <w:sz w:val="20"/>
          <w:szCs w:val="24"/>
          <w:vertAlign w:val="superscript"/>
        </w:rPr>
        <w:t>2</w:t>
      </w:r>
      <w:r w:rsidRPr="006B319D">
        <w:rPr>
          <w:rFonts w:ascii="Times New Roman" w:hAnsi="Times New Roman" w:cs="Times New Roman"/>
          <w:sz w:val="20"/>
          <w:szCs w:val="24"/>
        </w:rPr>
        <w:t>Department of Accounting</w:t>
      </w:r>
      <w:r w:rsidR="0075220D" w:rsidRPr="006B319D">
        <w:rPr>
          <w:rFonts w:ascii="Times New Roman" w:hAnsi="Times New Roman" w:cs="Times New Roman"/>
          <w:sz w:val="20"/>
          <w:szCs w:val="24"/>
        </w:rPr>
        <w:t>,</w:t>
      </w:r>
      <w:r w:rsidRPr="006B319D">
        <w:rPr>
          <w:rFonts w:ascii="Times New Roman" w:hAnsi="Times New Roman" w:cs="Times New Roman"/>
          <w:sz w:val="20"/>
          <w:szCs w:val="24"/>
        </w:rPr>
        <w:t xml:space="preserve"> Islamic Azad university</w:t>
      </w:r>
      <w:r w:rsidR="0075220D" w:rsidRPr="006B319D">
        <w:rPr>
          <w:rFonts w:ascii="Times New Roman" w:hAnsi="Times New Roman" w:cs="Times New Roman"/>
          <w:sz w:val="20"/>
          <w:szCs w:val="24"/>
        </w:rPr>
        <w:t>,</w:t>
      </w:r>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khorramshahr</w:t>
      </w:r>
      <w:proofErr w:type="spellEnd"/>
      <w:r w:rsidRPr="006B319D">
        <w:rPr>
          <w:rFonts w:ascii="Times New Roman" w:hAnsi="Times New Roman" w:cs="Times New Roman"/>
          <w:sz w:val="20"/>
          <w:szCs w:val="24"/>
        </w:rPr>
        <w:t xml:space="preserve"> - Persian Gulf International Branch</w:t>
      </w:r>
      <w:r w:rsidR="0075220D" w:rsidRPr="006B319D">
        <w:rPr>
          <w:rFonts w:ascii="Times New Roman" w:hAnsi="Times New Roman" w:cs="Times New Roman"/>
          <w:sz w:val="20"/>
          <w:szCs w:val="24"/>
        </w:rPr>
        <w:t>,</w:t>
      </w:r>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khorramshahr</w:t>
      </w:r>
      <w:proofErr w:type="spellEnd"/>
      <w:r w:rsidR="0075220D" w:rsidRPr="006B319D">
        <w:rPr>
          <w:rFonts w:ascii="Times New Roman" w:hAnsi="Times New Roman" w:cs="Times New Roman"/>
          <w:sz w:val="20"/>
          <w:szCs w:val="24"/>
        </w:rPr>
        <w:t>,</w:t>
      </w:r>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iran</w:t>
      </w:r>
      <w:bookmarkStart w:id="0" w:name="_gjdgxs" w:colFirst="0" w:colLast="0"/>
      <w:bookmarkEnd w:id="0"/>
      <w:proofErr w:type="spellEnd"/>
    </w:p>
    <w:p w:rsidR="0075220D" w:rsidRPr="006B319D" w:rsidRDefault="0010504F" w:rsidP="002645D9">
      <w:pPr>
        <w:bidi w:val="0"/>
        <w:snapToGrid w:val="0"/>
        <w:spacing w:after="0" w:line="240" w:lineRule="auto"/>
        <w:jc w:val="center"/>
        <w:rPr>
          <w:rFonts w:ascii="Times New Roman" w:hAnsi="Times New Roman" w:cs="Times New Roman"/>
          <w:sz w:val="20"/>
          <w:szCs w:val="24"/>
        </w:rPr>
      </w:pPr>
      <w:r w:rsidRPr="006B319D">
        <w:rPr>
          <w:rFonts w:ascii="Times New Roman" w:hAnsi="Times New Roman" w:cs="Times New Roman"/>
          <w:sz w:val="20"/>
          <w:szCs w:val="24"/>
        </w:rPr>
        <w:t>Corresponding Author</w:t>
      </w:r>
      <w:r w:rsidR="0075220D" w:rsidRPr="006B319D">
        <w:rPr>
          <w:rFonts w:ascii="Times New Roman" w:hAnsi="Times New Roman" w:cs="Times New Roman"/>
          <w:sz w:val="20"/>
          <w:szCs w:val="24"/>
        </w:rPr>
        <w:t>:</w:t>
      </w:r>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Mozhdeh</w:t>
      </w:r>
      <w:proofErr w:type="spellEnd"/>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Tahmasebi</w:t>
      </w:r>
      <w:proofErr w:type="spellEnd"/>
      <w:r w:rsidRPr="006B319D">
        <w:rPr>
          <w:rFonts w:ascii="Times New Roman" w:hAnsi="Times New Roman" w:cs="Times New Roman"/>
          <w:sz w:val="20"/>
          <w:szCs w:val="24"/>
        </w:rPr>
        <w:t xml:space="preserve"> Nototki</w:t>
      </w:r>
      <w:r w:rsidRPr="006B319D">
        <w:rPr>
          <w:rFonts w:ascii="Times New Roman" w:hAnsi="Times New Roman" w:cs="Times New Roman"/>
          <w:sz w:val="20"/>
          <w:szCs w:val="24"/>
          <w:vertAlign w:val="superscript"/>
        </w:rPr>
        <w:t>2</w:t>
      </w:r>
      <w:r w:rsidRPr="006B319D">
        <w:rPr>
          <w:rFonts w:ascii="Times New Roman" w:hAnsi="Times New Roman" w:cs="Times New Roman"/>
          <w:sz w:val="20"/>
          <w:szCs w:val="24"/>
        </w:rPr>
        <w:t xml:space="preserve">, </w:t>
      </w:r>
      <w:hyperlink r:id="rId7" w:history="1">
        <w:r w:rsidR="00DF767A" w:rsidRPr="006B319D">
          <w:rPr>
            <w:rStyle w:val="Hyperlink"/>
            <w:rFonts w:ascii="Times New Roman" w:hAnsi="Times New Roman" w:cs="Times New Roman"/>
            <w:sz w:val="20"/>
            <w:szCs w:val="24"/>
          </w:rPr>
          <w:t>m.tahmasebin@yahoo.com</w:t>
        </w:r>
      </w:hyperlink>
    </w:p>
    <w:p w:rsidR="0075220D" w:rsidRPr="006B319D" w:rsidRDefault="0075220D" w:rsidP="002645D9">
      <w:pPr>
        <w:bidi w:val="0"/>
        <w:snapToGrid w:val="0"/>
        <w:spacing w:after="0" w:line="240" w:lineRule="auto"/>
        <w:jc w:val="center"/>
        <w:rPr>
          <w:rFonts w:ascii="Times New Roman" w:hAnsi="Times New Roman" w:cs="Times New Roman"/>
          <w:sz w:val="20"/>
          <w:szCs w:val="24"/>
        </w:rPr>
      </w:pPr>
    </w:p>
    <w:p w:rsidR="006B319D" w:rsidRPr="006B319D" w:rsidRDefault="0010504F" w:rsidP="002645D9">
      <w:pPr>
        <w:bidi w:val="0"/>
        <w:snapToGrid w:val="0"/>
        <w:spacing w:after="0" w:line="240" w:lineRule="auto"/>
        <w:rPr>
          <w:rFonts w:ascii="Times New Roman" w:hAnsi="Times New Roman" w:cs="Times New Roman"/>
          <w:sz w:val="20"/>
          <w:szCs w:val="24"/>
        </w:rPr>
      </w:pPr>
      <w:r w:rsidRPr="006B319D">
        <w:rPr>
          <w:rFonts w:ascii="Times New Roman" w:hAnsi="Times New Roman" w:cs="Times New Roman"/>
          <w:b/>
          <w:sz w:val="20"/>
          <w:szCs w:val="24"/>
        </w:rPr>
        <w:t>Abstract</w:t>
      </w:r>
      <w:r w:rsidR="00DF767A" w:rsidRPr="006B319D">
        <w:rPr>
          <w:rFonts w:ascii="Times New Roman" w:hAnsi="Times New Roman" w:cs="Times New Roman"/>
          <w:b/>
          <w:sz w:val="20"/>
          <w:szCs w:val="24"/>
        </w:rPr>
        <w:t xml:space="preserve">: </w:t>
      </w:r>
      <w:r w:rsidRPr="006B319D">
        <w:rPr>
          <w:rFonts w:ascii="Times New Roman" w:hAnsi="Times New Roman" w:cs="Times New Roman"/>
          <w:sz w:val="20"/>
          <w:szCs w:val="24"/>
        </w:rPr>
        <w:t>The major shareholders use their impact on corporate behavior in several ways. They may influence on operating decisions of firms using the control of management and improve the selection of projects and the level of investment and reduce the risk of the lost resources (Baker et al., 2010). The Mug (1998) also stated that the higher is the level of institutional ownership, the better is monitoring the management, and this relationship is a positive relationship. Bush (1998) stated that institutional investors monitor the company by collecting information and implicitly pricing decisions of management and by managing how the company explicitly acts. One of the most important features of the new capital markets, especially in developing countries is the presence of major investors and companies owned by them in a large part of the equity.</w:t>
      </w:r>
    </w:p>
    <w:p w:rsidR="002645D9" w:rsidRPr="006B319D" w:rsidRDefault="002645D9" w:rsidP="006B319D">
      <w:pPr>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Cs/>
          <w:sz w:val="20"/>
          <w:szCs w:val="20"/>
        </w:rPr>
        <w:t>[</w:t>
      </w:r>
      <w:proofErr w:type="spellStart"/>
      <w:r w:rsidRPr="006B319D">
        <w:rPr>
          <w:rFonts w:ascii="Times New Roman" w:hAnsi="Times New Roman" w:cs="Times New Roman"/>
          <w:sz w:val="20"/>
          <w:szCs w:val="24"/>
        </w:rPr>
        <w:t>Mozhdeh</w:t>
      </w:r>
      <w:proofErr w:type="spellEnd"/>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Tahmasebi</w:t>
      </w:r>
      <w:proofErr w:type="spellEnd"/>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Notorki</w:t>
      </w:r>
      <w:proofErr w:type="spellEnd"/>
      <w:r w:rsidRPr="006B319D">
        <w:rPr>
          <w:rFonts w:ascii="Times New Roman" w:hAnsi="Times New Roman" w:cs="Times New Roman"/>
          <w:sz w:val="20"/>
          <w:szCs w:val="24"/>
        </w:rPr>
        <w:t xml:space="preserve">, </w:t>
      </w:r>
      <w:proofErr w:type="spellStart"/>
      <w:r w:rsidRPr="006B319D">
        <w:rPr>
          <w:rFonts w:ascii="Times New Roman" w:hAnsi="Times New Roman" w:cs="Times New Roman"/>
          <w:sz w:val="20"/>
          <w:szCs w:val="24"/>
        </w:rPr>
        <w:t>Babak</w:t>
      </w:r>
      <w:proofErr w:type="spellEnd"/>
      <w:r w:rsidRPr="006B319D">
        <w:rPr>
          <w:rFonts w:ascii="Times New Roman" w:hAnsi="Times New Roman" w:cs="Times New Roman"/>
          <w:sz w:val="20"/>
          <w:szCs w:val="24"/>
        </w:rPr>
        <w:t xml:space="preserve"> Salem </w:t>
      </w:r>
      <w:proofErr w:type="spellStart"/>
      <w:r w:rsidRPr="006B319D">
        <w:rPr>
          <w:rFonts w:ascii="Times New Roman" w:hAnsi="Times New Roman" w:cs="Times New Roman"/>
          <w:sz w:val="20"/>
          <w:szCs w:val="24"/>
        </w:rPr>
        <w:t>Dezfuli</w:t>
      </w:r>
      <w:proofErr w:type="spellEnd"/>
      <w:r w:rsidRPr="006B319D">
        <w:rPr>
          <w:rFonts w:ascii="Times New Roman" w:hAnsi="Times New Roman" w:cs="Times New Roman"/>
          <w:sz w:val="20"/>
          <w:szCs w:val="20"/>
        </w:rPr>
        <w:t>.</w:t>
      </w:r>
      <w:r w:rsidRPr="006B319D">
        <w:rPr>
          <w:rFonts w:ascii="Times New Roman" w:hAnsi="Times New Roman" w:cs="Times New Roman"/>
          <w:b/>
          <w:bCs/>
          <w:sz w:val="20"/>
          <w:szCs w:val="20"/>
          <w:lang w:bidi="fa-IR"/>
        </w:rPr>
        <w:t xml:space="preserve"> </w:t>
      </w:r>
      <w:r w:rsidRPr="006B319D">
        <w:rPr>
          <w:rFonts w:ascii="Times New Roman" w:hAnsi="Times New Roman" w:cs="Times New Roman"/>
          <w:b/>
          <w:sz w:val="20"/>
          <w:szCs w:val="24"/>
        </w:rPr>
        <w:t>Evaluation of the relationship between ownership concentration and institutional ownership with accounting conservatism in companies listed on Tehran Stock Exchange</w:t>
      </w:r>
      <w:r w:rsidRPr="006B319D">
        <w:rPr>
          <w:rFonts w:ascii="Times New Roman" w:eastAsia="Times New Roman" w:hAnsi="Times New Roman" w:cs="Times New Roman"/>
          <w:b/>
          <w:bCs/>
          <w:sz w:val="20"/>
          <w:szCs w:val="20"/>
          <w:lang w:bidi="fa-IR"/>
        </w:rPr>
        <w:t>.</w:t>
      </w:r>
      <w:r w:rsidRPr="006B319D">
        <w:rPr>
          <w:rFonts w:ascii="Times New Roman" w:hAnsi="Times New Roman" w:cs="Times New Roman"/>
          <w:bCs/>
          <w:i/>
          <w:sz w:val="20"/>
          <w:szCs w:val="20"/>
        </w:rPr>
        <w:t xml:space="preserve"> N Y </w:t>
      </w:r>
      <w:proofErr w:type="spellStart"/>
      <w:r w:rsidRPr="006B319D">
        <w:rPr>
          <w:rFonts w:ascii="Times New Roman" w:hAnsi="Times New Roman" w:cs="Times New Roman"/>
          <w:bCs/>
          <w:i/>
          <w:sz w:val="20"/>
          <w:szCs w:val="20"/>
        </w:rPr>
        <w:t>Sci</w:t>
      </w:r>
      <w:proofErr w:type="spellEnd"/>
      <w:r w:rsidRPr="006B319D">
        <w:rPr>
          <w:rFonts w:ascii="Times New Roman" w:hAnsi="Times New Roman" w:cs="Times New Roman"/>
          <w:bCs/>
          <w:i/>
          <w:sz w:val="20"/>
          <w:szCs w:val="20"/>
        </w:rPr>
        <w:t xml:space="preserve"> J</w:t>
      </w:r>
      <w:r w:rsidRPr="006B319D">
        <w:rPr>
          <w:rFonts w:ascii="Times New Roman" w:hAnsi="Times New Roman" w:cs="Times New Roman"/>
          <w:bCs/>
          <w:sz w:val="20"/>
          <w:szCs w:val="20"/>
        </w:rPr>
        <w:t xml:space="preserve"> </w:t>
      </w:r>
      <w:r w:rsidRPr="006B319D">
        <w:rPr>
          <w:rFonts w:ascii="Times New Roman" w:hAnsi="Times New Roman" w:cs="Times New Roman"/>
          <w:sz w:val="20"/>
          <w:szCs w:val="20"/>
        </w:rPr>
        <w:t>2018;11(3):</w:t>
      </w:r>
      <w:r w:rsidR="002A5FD8">
        <w:rPr>
          <w:rFonts w:ascii="Times New Roman" w:hAnsi="Times New Roman" w:cs="Times New Roman"/>
          <w:noProof/>
          <w:sz w:val="20"/>
          <w:szCs w:val="20"/>
        </w:rPr>
        <w:t>61-6</w:t>
      </w:r>
      <w:r w:rsidR="00C07192">
        <w:rPr>
          <w:rFonts w:ascii="Times New Roman" w:hAnsi="Times New Roman" w:cs="Times New Roman" w:hint="eastAsia"/>
          <w:noProof/>
          <w:sz w:val="20"/>
          <w:szCs w:val="20"/>
        </w:rPr>
        <w:t>7</w:t>
      </w:r>
      <w:r w:rsidRPr="006B319D">
        <w:rPr>
          <w:rFonts w:ascii="Times New Roman" w:hAnsi="Times New Roman" w:cs="Times New Roman"/>
          <w:sz w:val="20"/>
          <w:szCs w:val="20"/>
        </w:rPr>
        <w:t xml:space="preserve">]. </w:t>
      </w:r>
      <w:r w:rsidRPr="006B319D">
        <w:rPr>
          <w:rFonts w:ascii="Times New Roman" w:hAnsi="Times New Roman" w:cs="Times New Roman"/>
          <w:iCs/>
          <w:sz w:val="20"/>
          <w:szCs w:val="20"/>
        </w:rPr>
        <w:t>ISSN 1554-0200 (print); ISSN 2375-723X (online)</w:t>
      </w:r>
      <w:r w:rsidRPr="006B319D">
        <w:rPr>
          <w:rFonts w:ascii="Times New Roman" w:hAnsi="Times New Roman" w:cs="Times New Roman"/>
          <w:sz w:val="20"/>
          <w:szCs w:val="20"/>
        </w:rPr>
        <w:t xml:space="preserve">. </w:t>
      </w:r>
      <w:hyperlink r:id="rId8" w:history="1">
        <w:r w:rsidRPr="006B319D">
          <w:rPr>
            <w:rStyle w:val="Hyperlink"/>
            <w:rFonts w:ascii="Times New Roman" w:hAnsi="Times New Roman" w:cs="Times New Roman"/>
            <w:color w:val="0000FF"/>
            <w:sz w:val="20"/>
            <w:szCs w:val="20"/>
          </w:rPr>
          <w:t>http://www.sciencepub.net/newyork</w:t>
        </w:r>
      </w:hyperlink>
      <w:r w:rsidRPr="006B319D">
        <w:rPr>
          <w:rFonts w:ascii="Times New Roman" w:hAnsi="Times New Roman" w:cs="Times New Roman"/>
          <w:sz w:val="20"/>
          <w:szCs w:val="20"/>
        </w:rPr>
        <w:t xml:space="preserve">. </w:t>
      </w:r>
      <w:r w:rsidR="006B319D" w:rsidRPr="006B319D">
        <w:rPr>
          <w:rFonts w:ascii="Times New Roman" w:hAnsi="Times New Roman" w:cs="Times New Roman"/>
          <w:sz w:val="20"/>
          <w:szCs w:val="20"/>
        </w:rPr>
        <w:t>9</w:t>
      </w:r>
      <w:r w:rsidRPr="006B319D">
        <w:rPr>
          <w:rFonts w:ascii="Times New Roman" w:hAnsi="Times New Roman" w:cs="Times New Roman"/>
          <w:sz w:val="20"/>
          <w:szCs w:val="20"/>
        </w:rPr>
        <w:t xml:space="preserve">. </w:t>
      </w:r>
      <w:r w:rsidRPr="006B319D">
        <w:rPr>
          <w:rFonts w:ascii="Times New Roman" w:hAnsi="Times New Roman" w:cs="Times New Roman"/>
          <w:sz w:val="20"/>
          <w:szCs w:val="20"/>
          <w:shd w:val="clear" w:color="auto" w:fill="FFFFFF"/>
        </w:rPr>
        <w:t>doi:</w:t>
      </w:r>
      <w:hyperlink r:id="rId9" w:history="1">
        <w:r w:rsidRPr="006B319D">
          <w:rPr>
            <w:rStyle w:val="Hyperlink"/>
            <w:rFonts w:ascii="Times New Roman" w:hAnsi="Times New Roman" w:cs="Times New Roman"/>
            <w:color w:val="0000FF"/>
            <w:sz w:val="20"/>
            <w:szCs w:val="20"/>
            <w:shd w:val="clear" w:color="auto" w:fill="FFFFFF"/>
          </w:rPr>
          <w:t>10.7537/marsnys110318.0</w:t>
        </w:r>
        <w:r w:rsidR="006B319D" w:rsidRPr="006B319D">
          <w:rPr>
            <w:rStyle w:val="Hyperlink"/>
            <w:rFonts w:ascii="Times New Roman" w:hAnsi="Times New Roman" w:cs="Times New Roman"/>
            <w:color w:val="0000FF"/>
            <w:sz w:val="20"/>
            <w:szCs w:val="20"/>
            <w:shd w:val="clear" w:color="auto" w:fill="FFFFFF"/>
          </w:rPr>
          <w:t>9</w:t>
        </w:r>
      </w:hyperlink>
      <w:r w:rsidRPr="006B319D">
        <w:rPr>
          <w:rFonts w:ascii="Times New Roman" w:hAnsi="Times New Roman" w:cs="Times New Roman"/>
          <w:sz w:val="20"/>
          <w:szCs w:val="20"/>
          <w:shd w:val="clear" w:color="auto" w:fill="FFFFFF"/>
        </w:rPr>
        <w:t>.</w:t>
      </w:r>
    </w:p>
    <w:p w:rsidR="00DF767A" w:rsidRPr="006B319D" w:rsidRDefault="00DF767A" w:rsidP="002645D9">
      <w:pPr>
        <w:bidi w:val="0"/>
        <w:snapToGrid w:val="0"/>
        <w:spacing w:after="0" w:line="240" w:lineRule="auto"/>
        <w:rPr>
          <w:rFonts w:ascii="Times New Roman" w:hAnsi="Times New Roman" w:cs="Times New Roman"/>
          <w:sz w:val="20"/>
        </w:rPr>
      </w:pPr>
    </w:p>
    <w:p w:rsidR="00DF767A" w:rsidRPr="006B319D" w:rsidRDefault="00DF767A" w:rsidP="002645D9">
      <w:pPr>
        <w:bidi w:val="0"/>
        <w:snapToGrid w:val="0"/>
        <w:spacing w:after="0" w:line="240" w:lineRule="auto"/>
        <w:rPr>
          <w:rFonts w:ascii="Times New Roman" w:hAnsi="Times New Roman" w:cs="Times New Roman"/>
          <w:color w:val="0000FF"/>
          <w:sz w:val="20"/>
          <w:szCs w:val="24"/>
          <w:u w:val="single"/>
        </w:rPr>
      </w:pPr>
      <w:r w:rsidRPr="006B319D">
        <w:rPr>
          <w:rFonts w:ascii="Times New Roman" w:hAnsi="Times New Roman" w:cs="Times New Roman"/>
          <w:b/>
          <w:sz w:val="20"/>
        </w:rPr>
        <w:t>Keywords:</w:t>
      </w:r>
      <w:r w:rsidRPr="006B319D">
        <w:rPr>
          <w:rFonts w:ascii="Times New Roman" w:hAnsi="Times New Roman" w:cs="Times New Roman"/>
          <w:sz w:val="20"/>
        </w:rPr>
        <w:t xml:space="preserve"> </w:t>
      </w:r>
      <w:r w:rsidRPr="006B319D">
        <w:rPr>
          <w:rFonts w:ascii="Times New Roman" w:hAnsi="Times New Roman" w:cs="Times New Roman"/>
          <w:sz w:val="20"/>
          <w:szCs w:val="24"/>
        </w:rPr>
        <w:t>Evaluation; relationship; ownership; concentration; institutional; conservatism Tehran Stock Exchange</w:t>
      </w:r>
    </w:p>
    <w:p w:rsidR="0075220D" w:rsidRPr="006B319D" w:rsidRDefault="0075220D" w:rsidP="002645D9">
      <w:pPr>
        <w:pStyle w:val="normal0"/>
        <w:bidi w:val="0"/>
        <w:snapToGrid w:val="0"/>
        <w:spacing w:after="0" w:line="240" w:lineRule="auto"/>
        <w:rPr>
          <w:rFonts w:ascii="Times New Roman" w:hAnsi="Times New Roman" w:cs="Times New Roman"/>
          <w:b/>
          <w:sz w:val="20"/>
          <w:szCs w:val="24"/>
        </w:rPr>
      </w:pPr>
    </w:p>
    <w:p w:rsidR="0075220D" w:rsidRPr="006B319D" w:rsidRDefault="0075220D" w:rsidP="002645D9">
      <w:pPr>
        <w:pStyle w:val="normal0"/>
        <w:bidi w:val="0"/>
        <w:snapToGrid w:val="0"/>
        <w:spacing w:after="0" w:line="240" w:lineRule="auto"/>
        <w:rPr>
          <w:rFonts w:ascii="Times New Roman" w:hAnsi="Times New Roman" w:cs="Times New Roman"/>
          <w:b/>
          <w:sz w:val="20"/>
          <w:szCs w:val="24"/>
        </w:rPr>
        <w:sectPr w:rsidR="0075220D" w:rsidRPr="006B319D" w:rsidSect="002A5FD8">
          <w:headerReference w:type="default" r:id="rId10"/>
          <w:footerReference w:type="default" r:id="rId11"/>
          <w:type w:val="continuous"/>
          <w:pgSz w:w="12240" w:h="15840" w:code="1"/>
          <w:pgMar w:top="1440" w:right="1440" w:bottom="1440" w:left="1440" w:header="720" w:footer="720" w:gutter="0"/>
          <w:pgNumType w:start="61"/>
          <w:cols w:space="720"/>
          <w:docGrid w:linePitch="299"/>
        </w:sectPr>
      </w:pPr>
    </w:p>
    <w:p w:rsidR="0073387B" w:rsidRPr="006B319D" w:rsidRDefault="0010504F" w:rsidP="002645D9">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lastRenderedPageBreak/>
        <w:t>Introduction</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t>Qualitative characteristics of accounting information have undeniable role in improving the information quality of financial statements. One of the qualitative characteristics of accounting information is accounting conservatism. According to the theoretical foundations of financial reporting of national accounting standards, accounting conservatism is one of the features that will improve the reliability of accounting information. Hence, it is claimed that accounting conservatism has an important role in the usefulness of information for decision-making and especially evaluating the stewardship of a manager. Accounting conservatism will delay the recognition of gains until its fulfillment and this enhances the quality of the financial statements. The main question of this research is to what extent the concentration of ownership and institutional ownership affects the accounting conservatism.</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t>he aim of this study is to firstly study the relationship between concentration of ownership and institutional ownership with accounting conservatism. The second objective of this research is that the analysts notify users of accounting information, accounting standards’ setters, Certified Public Accountants (CPAs) and the Stock Exchange organization about the factors determining the quality of financial statements.</w:t>
      </w:r>
    </w:p>
    <w:p w:rsidR="0073387B" w:rsidRPr="006B319D" w:rsidRDefault="0010504F" w:rsidP="002645D9">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t>Research background</w:t>
      </w:r>
    </w:p>
    <w:p w:rsidR="0073387B" w:rsidRPr="006B319D" w:rsidRDefault="0010504F" w:rsidP="002645D9">
      <w:pPr>
        <w:pStyle w:val="normal0"/>
        <w:tabs>
          <w:tab w:val="center" w:pos="4680"/>
        </w:tabs>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t>Foreign literature</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proofErr w:type="spellStart"/>
      <w:r w:rsidRPr="006B319D">
        <w:rPr>
          <w:rFonts w:ascii="Times New Roman" w:hAnsi="Times New Roman" w:cs="Times New Roman"/>
          <w:sz w:val="20"/>
          <w:szCs w:val="24"/>
        </w:rPr>
        <w:lastRenderedPageBreak/>
        <w:t>Dimitropoulos</w:t>
      </w:r>
      <w:proofErr w:type="spellEnd"/>
      <w:r w:rsidRPr="006B319D">
        <w:rPr>
          <w:rFonts w:ascii="Times New Roman" w:hAnsi="Times New Roman" w:cs="Times New Roman"/>
          <w:sz w:val="20"/>
          <w:szCs w:val="24"/>
        </w:rPr>
        <w:t xml:space="preserve"> et al. (2013) investigated the effect of international standards of financial reporting on the quality of accounting information in companies listed in the Athens Stock Exchange. They showed that the application of the accounting standards increases the quality of accounting information regarding the earlier recognition of losses, decreases the earnings management and increases the information content of accounting figures.</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proofErr w:type="spellStart"/>
      <w:r w:rsidRPr="006B319D">
        <w:rPr>
          <w:rFonts w:ascii="Times New Roman" w:hAnsi="Times New Roman" w:cs="Times New Roman"/>
          <w:sz w:val="20"/>
          <w:szCs w:val="24"/>
        </w:rPr>
        <w:t>Inder</w:t>
      </w:r>
      <w:proofErr w:type="spellEnd"/>
      <w:r w:rsidRPr="006B319D">
        <w:rPr>
          <w:rFonts w:ascii="Times New Roman" w:hAnsi="Times New Roman" w:cs="Times New Roman"/>
          <w:sz w:val="20"/>
          <w:szCs w:val="24"/>
        </w:rPr>
        <w:t xml:space="preserve"> and Wang (2015) investigated the relationship between debt maturity and conservatism in America Stock Exchange. They found that there is a negative and significant relationship between debt maturity and conservatism; in other words, companies that want to clear their debt in short-term, they apply less conservatism in their accounting.</w:t>
      </w:r>
    </w:p>
    <w:p w:rsidR="0073387B" w:rsidRPr="006B319D" w:rsidRDefault="0010504F" w:rsidP="002645D9">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t>Domestic literature</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proofErr w:type="spellStart"/>
      <w:r w:rsidRPr="006B319D">
        <w:rPr>
          <w:rFonts w:ascii="Times New Roman" w:hAnsi="Times New Roman" w:cs="Times New Roman"/>
          <w:sz w:val="20"/>
          <w:szCs w:val="24"/>
        </w:rPr>
        <w:t>Lotfi</w:t>
      </w:r>
      <w:proofErr w:type="spellEnd"/>
      <w:r w:rsidRPr="006B319D">
        <w:rPr>
          <w:rFonts w:ascii="Times New Roman" w:hAnsi="Times New Roman" w:cs="Times New Roman"/>
          <w:sz w:val="20"/>
          <w:szCs w:val="24"/>
        </w:rPr>
        <w:t xml:space="preserve"> and </w:t>
      </w:r>
      <w:proofErr w:type="spellStart"/>
      <w:r w:rsidRPr="006B319D">
        <w:rPr>
          <w:rFonts w:ascii="Times New Roman" w:hAnsi="Times New Roman" w:cs="Times New Roman"/>
          <w:sz w:val="20"/>
          <w:szCs w:val="24"/>
        </w:rPr>
        <w:t>Hajipour</w:t>
      </w:r>
      <w:proofErr w:type="spellEnd"/>
      <w:r w:rsidRPr="006B319D">
        <w:rPr>
          <w:rFonts w:ascii="Times New Roman" w:hAnsi="Times New Roman" w:cs="Times New Roman"/>
          <w:sz w:val="20"/>
          <w:szCs w:val="24"/>
        </w:rPr>
        <w:t xml:space="preserve"> (2010) in a study entitled “The impact of conservatism on management error in earnings forecasting” found that there is a negative relationship between conservatism of companies and their earnings forecasting. In other words, the greater the conservatism of firm is, the less bias toward optimism will be in firms’ earnings.</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proofErr w:type="spellStart"/>
      <w:r w:rsidRPr="006B319D">
        <w:rPr>
          <w:rFonts w:ascii="Times New Roman" w:hAnsi="Times New Roman" w:cs="Times New Roman"/>
          <w:sz w:val="20"/>
          <w:szCs w:val="24"/>
        </w:rPr>
        <w:t>Kordestani</w:t>
      </w:r>
      <w:proofErr w:type="spellEnd"/>
      <w:r w:rsidRPr="006B319D">
        <w:rPr>
          <w:rFonts w:ascii="Times New Roman" w:hAnsi="Times New Roman" w:cs="Times New Roman"/>
          <w:sz w:val="20"/>
          <w:szCs w:val="24"/>
        </w:rPr>
        <w:t xml:space="preserve"> and </w:t>
      </w:r>
      <w:proofErr w:type="spellStart"/>
      <w:r w:rsidRPr="006B319D">
        <w:rPr>
          <w:rFonts w:ascii="Times New Roman" w:hAnsi="Times New Roman" w:cs="Times New Roman"/>
          <w:sz w:val="20"/>
          <w:szCs w:val="24"/>
        </w:rPr>
        <w:t>Khalili</w:t>
      </w:r>
      <w:proofErr w:type="spellEnd"/>
      <w:r w:rsidRPr="006B319D">
        <w:rPr>
          <w:rFonts w:ascii="Times New Roman" w:hAnsi="Times New Roman" w:cs="Times New Roman"/>
          <w:sz w:val="20"/>
          <w:szCs w:val="24"/>
        </w:rPr>
        <w:t xml:space="preserve"> (2011) showed that differential information content of cash flows and accruals in firms with a high degree of conservatism is higher than firms with low degree of conservatism. As well as, there is a positive correlation between differential information content of cash flows and </w:t>
      </w:r>
      <w:r w:rsidRPr="006B319D">
        <w:rPr>
          <w:rFonts w:ascii="Times New Roman" w:hAnsi="Times New Roman" w:cs="Times New Roman"/>
          <w:sz w:val="20"/>
          <w:szCs w:val="24"/>
        </w:rPr>
        <w:lastRenderedPageBreak/>
        <w:t>accruals with the degree of conservatism of companies.</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proofErr w:type="spellStart"/>
      <w:r w:rsidRPr="006B319D">
        <w:rPr>
          <w:rFonts w:ascii="Times New Roman" w:hAnsi="Times New Roman" w:cs="Times New Roman"/>
          <w:sz w:val="20"/>
          <w:szCs w:val="24"/>
        </w:rPr>
        <w:t>Etemadi</w:t>
      </w:r>
      <w:proofErr w:type="spellEnd"/>
      <w:r w:rsidRPr="006B319D">
        <w:rPr>
          <w:rFonts w:ascii="Times New Roman" w:hAnsi="Times New Roman" w:cs="Times New Roman"/>
          <w:sz w:val="20"/>
          <w:szCs w:val="24"/>
        </w:rPr>
        <w:t xml:space="preserve"> and </w:t>
      </w:r>
      <w:proofErr w:type="spellStart"/>
      <w:r w:rsidRPr="006B319D">
        <w:rPr>
          <w:rFonts w:ascii="Times New Roman" w:hAnsi="Times New Roman" w:cs="Times New Roman"/>
          <w:sz w:val="20"/>
          <w:szCs w:val="24"/>
        </w:rPr>
        <w:t>Farajzadeh</w:t>
      </w:r>
      <w:proofErr w:type="spellEnd"/>
      <w:r w:rsidRPr="006B319D">
        <w:rPr>
          <w:rFonts w:ascii="Times New Roman" w:hAnsi="Times New Roman" w:cs="Times New Roman"/>
          <w:sz w:val="20"/>
          <w:szCs w:val="24"/>
        </w:rPr>
        <w:t xml:space="preserve"> (2012) examined the impact of earnings management and capital structure on earnings conservatism. Companies, which attempt to have the increased earnings management through positive accruals, apply less conservatism in their </w:t>
      </w:r>
      <w:r w:rsidRPr="006B319D">
        <w:rPr>
          <w:rFonts w:ascii="Times New Roman" w:hAnsi="Times New Roman" w:cs="Times New Roman"/>
          <w:sz w:val="20"/>
          <w:szCs w:val="24"/>
        </w:rPr>
        <w:lastRenderedPageBreak/>
        <w:t>reporting. Capital structure affects the size of conservatism. Companies which have mostly used equity for their financing had applied more conservatism in measuring earnings.</w:t>
      </w:r>
    </w:p>
    <w:p w:rsidR="006B319D" w:rsidRDefault="006B319D" w:rsidP="006B319D">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t xml:space="preserve">In this research, </w:t>
      </w:r>
      <w:proofErr w:type="spellStart"/>
      <w:r w:rsidRPr="006B319D">
        <w:rPr>
          <w:rFonts w:ascii="Times New Roman" w:hAnsi="Times New Roman" w:cs="Times New Roman"/>
          <w:sz w:val="20"/>
          <w:szCs w:val="24"/>
        </w:rPr>
        <w:t>Basu</w:t>
      </w:r>
      <w:proofErr w:type="spellEnd"/>
      <w:r w:rsidRPr="006B319D">
        <w:rPr>
          <w:rFonts w:ascii="Times New Roman" w:hAnsi="Times New Roman" w:cs="Times New Roman"/>
          <w:sz w:val="20"/>
          <w:szCs w:val="24"/>
        </w:rPr>
        <w:t xml:space="preserve"> (1997) conservatism model was used to test hypotheses.</w:t>
      </w:r>
    </w:p>
    <w:p w:rsidR="006B319D" w:rsidRPr="006B319D" w:rsidRDefault="006B319D" w:rsidP="006B319D">
      <w:pPr>
        <w:pStyle w:val="normal0"/>
        <w:bidi w:val="0"/>
        <w:snapToGrid w:val="0"/>
        <w:spacing w:after="0" w:line="240" w:lineRule="auto"/>
        <w:rPr>
          <w:rFonts w:ascii="Times New Roman" w:hAnsi="Times New Roman" w:cs="Times New Roman"/>
          <w:b/>
          <w:sz w:val="20"/>
          <w:szCs w:val="24"/>
        </w:rPr>
        <w:sectPr w:rsidR="006B319D" w:rsidRPr="006B319D" w:rsidSect="006B319D">
          <w:headerReference w:type="default" r:id="rId12"/>
          <w:footerReference w:type="default" r:id="rId13"/>
          <w:type w:val="continuous"/>
          <w:pgSz w:w="12240" w:h="15840" w:code="1"/>
          <w:pgMar w:top="1440" w:right="1440" w:bottom="1440" w:left="1440" w:header="720" w:footer="720" w:gutter="0"/>
          <w:cols w:num="2" w:space="550"/>
          <w:docGrid w:linePitch="299"/>
        </w:sectPr>
      </w:pPr>
    </w:p>
    <w:p w:rsidR="0073387B" w:rsidRPr="006B319D" w:rsidRDefault="0010504F" w:rsidP="002645D9">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lastRenderedPageBreak/>
        <w:t>Model and research variables</w:t>
      </w:r>
    </w:p>
    <w:p w:rsidR="006B319D" w:rsidRPr="006B319D" w:rsidRDefault="006B319D" w:rsidP="006B319D">
      <w:pPr>
        <w:pStyle w:val="normal0"/>
        <w:bidi w:val="0"/>
        <w:snapToGrid w:val="0"/>
        <w:spacing w:after="0" w:line="240" w:lineRule="auto"/>
        <w:ind w:firstLine="425"/>
        <w:rPr>
          <w:rFonts w:ascii="Times New Roman" w:hAnsi="Times New Roman" w:cs="Times New Roman"/>
          <w:sz w:val="20"/>
          <w:szCs w:val="24"/>
        </w:rPr>
      </w:pPr>
    </w:p>
    <w:p w:rsidR="0073387B" w:rsidRPr="006B319D" w:rsidRDefault="0091794E" w:rsidP="002645D9">
      <w:pPr>
        <w:pStyle w:val="normal0"/>
        <w:bidi w:val="0"/>
        <w:snapToGrid w:val="0"/>
        <w:spacing w:after="0" w:line="240" w:lineRule="auto"/>
        <w:ind w:firstLine="425"/>
        <w:rPr>
          <w:rFonts w:ascii="Times New Roman" w:eastAsia="Cambria" w:hAnsi="Times New Roman" w:cs="Times New Roman"/>
          <w:sz w:val="20"/>
          <w:szCs w:val="20"/>
        </w:rPr>
      </w:pPr>
      <m:oMathPara>
        <m:oMathParaPr>
          <m:jc m:val="left"/>
        </m:oMathParaPr>
        <m:oMath>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NI</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0</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m:t>
              </m:r>
            </m:sub>
          </m:sSub>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NEG</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2</m:t>
              </m:r>
            </m:sub>
          </m:sSub>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RET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3</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RET</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4</m:t>
              </m:r>
            </m:sub>
          </m:sSub>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IO</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5</m:t>
              </m:r>
            </m:sub>
          </m:sSub>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CONOWN</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6</m:t>
              </m:r>
            </m:sub>
          </m:sSub>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SIZE</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7</m:t>
              </m:r>
            </m:sub>
          </m:sSub>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MB</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8</m:t>
              </m:r>
            </m:sub>
          </m:sSub>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ROA</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9</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IO</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10</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IO</m:t>
              </m:r>
              <m:r>
                <w:rPr>
                  <w:rFonts w:ascii="Cambria Math" w:eastAsia="Cambria" w:hAnsi="Times New Roman" w:cs="Times New Roman"/>
                  <w:sz w:val="20"/>
                  <w:szCs w:val="20"/>
                </w:rPr>
                <m:t>×</m:t>
              </m:r>
              <m:r>
                <w:rPr>
                  <w:rFonts w:ascii="Cambria Math" w:eastAsia="Cambria" w:hAnsi="Cambria Math" w:cs="Times New Roman"/>
                  <w:sz w:val="20"/>
                  <w:szCs w:val="20"/>
                </w:rPr>
                <m:t>RET</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11</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IO</m:t>
              </m:r>
              <m:r>
                <w:rPr>
                  <w:rFonts w:ascii="Cambria Math" w:eastAsia="Cambria" w:hAnsi="Times New Roman" w:cs="Times New Roman"/>
                  <w:sz w:val="20"/>
                  <w:szCs w:val="20"/>
                </w:rPr>
                <m:t>×</m:t>
              </m:r>
              <m:r>
                <w:rPr>
                  <w:rFonts w:ascii="Cambria Math" w:eastAsia="Cambria" w:hAnsi="Cambria Math" w:cs="Times New Roman"/>
                  <w:sz w:val="20"/>
                  <w:szCs w:val="20"/>
                </w:rPr>
                <m:t>RET</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12</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CONOWN</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13</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CONOWN</m:t>
              </m:r>
              <m:r>
                <w:rPr>
                  <w:rFonts w:ascii="Cambria Math" w:eastAsia="Cambria" w:hAnsi="Times New Roman" w:cs="Times New Roman"/>
                  <w:sz w:val="20"/>
                  <w:szCs w:val="20"/>
                </w:rPr>
                <m:t>×</m:t>
              </m:r>
              <m:r>
                <w:rPr>
                  <w:rFonts w:ascii="Cambria Math" w:eastAsia="Cambria" w:hAnsi="Cambria Math" w:cs="Times New Roman"/>
                  <w:sz w:val="20"/>
                  <w:szCs w:val="20"/>
                </w:rPr>
                <m:t>RET</m:t>
              </m:r>
              <m:r>
                <w:rPr>
                  <w:rFonts w:ascii="Cambria Math" w:hAnsi="Times New Roman" w:cs="Times New Roman"/>
                  <w:sz w:val="20"/>
                </w:rPr>
                <m:t>)</m:t>
              </m:r>
            </m:e>
            <m:sub>
              <m:r>
                <w:rPr>
                  <w:rFonts w:ascii="Cambria Math" w:eastAsia="Cambria" w:hAnsi="Cambria Math" w:cs="Times New Roman"/>
                  <w:sz w:val="20"/>
                  <w:szCs w:val="20"/>
                </w:rPr>
                <m:t>it</m:t>
              </m:r>
            </m:sub>
          </m:sSub>
        </m:oMath>
      </m:oMathPara>
    </w:p>
    <w:p w:rsidR="0073387B" w:rsidRPr="006B319D" w:rsidRDefault="0010504F" w:rsidP="002645D9">
      <w:pPr>
        <w:pStyle w:val="normal0"/>
        <w:bidi w:val="0"/>
        <w:snapToGrid w:val="0"/>
        <w:spacing w:after="0" w:line="240" w:lineRule="auto"/>
        <w:ind w:firstLine="425"/>
        <w:rPr>
          <w:rFonts w:ascii="Times New Roman" w:eastAsia="Cambria" w:hAnsi="Times New Roman" w:cs="Times New Roman"/>
          <w:sz w:val="20"/>
          <w:szCs w:val="20"/>
        </w:rPr>
      </w:pPr>
      <m:oMathPara>
        <m:oMathParaPr>
          <m:jc m:val="left"/>
        </m:oMathParaPr>
        <m:oMath>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14</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CONOWN</m:t>
              </m:r>
              <m:r>
                <w:rPr>
                  <w:rFonts w:ascii="Cambria Math" w:eastAsia="Cambria" w:hAnsi="Times New Roman" w:cs="Times New Roman"/>
                  <w:sz w:val="20"/>
                  <w:szCs w:val="20"/>
                </w:rPr>
                <m:t>×</m:t>
              </m:r>
              <m:r>
                <w:rPr>
                  <w:rFonts w:ascii="Cambria Math" w:eastAsia="Cambria" w:hAnsi="Cambria Math" w:cs="Times New Roman"/>
                  <w:sz w:val="20"/>
                  <w:szCs w:val="20"/>
                </w:rPr>
                <m:t>RET</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15</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SIZE</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16</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SIZE</m:t>
              </m:r>
              <m:r>
                <w:rPr>
                  <w:rFonts w:ascii="Cambria Math" w:eastAsia="Cambria" w:hAnsi="Times New Roman" w:cs="Times New Roman"/>
                  <w:sz w:val="20"/>
                  <w:szCs w:val="20"/>
                </w:rPr>
                <m:t>×</m:t>
              </m:r>
              <m:r>
                <w:rPr>
                  <w:rFonts w:ascii="Cambria Math" w:eastAsia="Cambria" w:hAnsi="Cambria Math" w:cs="Times New Roman"/>
                  <w:sz w:val="20"/>
                  <w:szCs w:val="20"/>
                </w:rPr>
                <m:t>RET</m:t>
              </m:r>
              <m:r>
                <w:rPr>
                  <w:rFonts w:ascii="Cambria Math" w:hAnsi="Times New Roman" w:cs="Times New Roman"/>
                  <w:sz w:val="20"/>
                </w:rPr>
                <m:t>)</m:t>
              </m:r>
            </m:e>
            <m:sub>
              <m:r>
                <w:rPr>
                  <w:rFonts w:ascii="Cambria Math" w:eastAsia="Cambria" w:hAnsi="Cambria Math" w:cs="Times New Roman"/>
                  <w:sz w:val="20"/>
                  <w:szCs w:val="20"/>
                </w:rPr>
                <m:t>it</m:t>
              </m:r>
            </m:sub>
          </m:sSub>
        </m:oMath>
      </m:oMathPara>
    </w:p>
    <w:p w:rsidR="0073387B" w:rsidRPr="006B319D" w:rsidRDefault="0010504F" w:rsidP="002645D9">
      <w:pPr>
        <w:pStyle w:val="normal0"/>
        <w:bidi w:val="0"/>
        <w:snapToGrid w:val="0"/>
        <w:spacing w:after="0" w:line="240" w:lineRule="auto"/>
        <w:ind w:firstLine="425"/>
        <w:rPr>
          <w:rFonts w:ascii="Times New Roman" w:eastAsia="Cambria" w:hAnsi="Times New Roman" w:cs="Times New Roman"/>
          <w:sz w:val="20"/>
          <w:szCs w:val="20"/>
        </w:rPr>
      </w:pPr>
      <m:oMathPara>
        <m:oMathParaPr>
          <m:jc m:val="left"/>
        </m:oMathParaPr>
        <m:oMath>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17</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SIZE</m:t>
              </m:r>
              <m:r>
                <w:rPr>
                  <w:rFonts w:ascii="Cambria Math" w:eastAsia="Cambria" w:hAnsi="Times New Roman" w:cs="Times New Roman"/>
                  <w:sz w:val="20"/>
                  <w:szCs w:val="20"/>
                </w:rPr>
                <m:t>×</m:t>
              </m:r>
              <m:r>
                <w:rPr>
                  <w:rFonts w:ascii="Cambria Math" w:eastAsia="Cambria" w:hAnsi="Cambria Math" w:cs="Times New Roman"/>
                  <w:sz w:val="20"/>
                  <w:szCs w:val="20"/>
                </w:rPr>
                <m:t>RET</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18</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MB</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19</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MB</m:t>
              </m:r>
              <m:r>
                <w:rPr>
                  <w:rFonts w:ascii="Cambria Math" w:eastAsia="Cambria" w:hAnsi="Times New Roman" w:cs="Times New Roman"/>
                  <w:sz w:val="20"/>
                  <w:szCs w:val="20"/>
                </w:rPr>
                <m:t>×</m:t>
              </m:r>
              <m:r>
                <w:rPr>
                  <w:rFonts w:ascii="Cambria Math" w:eastAsia="Cambria" w:hAnsi="Cambria Math" w:cs="Times New Roman"/>
                  <w:sz w:val="20"/>
                  <w:szCs w:val="20"/>
                </w:rPr>
                <m:t>RET</m:t>
              </m:r>
              <m:r>
                <w:rPr>
                  <w:rFonts w:ascii="Cambria Math" w:hAnsi="Times New Roman" w:cs="Times New Roman"/>
                  <w:sz w:val="20"/>
                </w:rPr>
                <m:t>)</m:t>
              </m:r>
            </m:e>
            <m:sub>
              <m:r>
                <w:rPr>
                  <w:rFonts w:ascii="Cambria Math" w:eastAsia="Cambria" w:hAnsi="Cambria Math" w:cs="Times New Roman"/>
                  <w:sz w:val="20"/>
                  <w:szCs w:val="20"/>
                </w:rPr>
                <m:t>it</m:t>
              </m:r>
            </m:sub>
          </m:sSub>
        </m:oMath>
      </m:oMathPara>
    </w:p>
    <w:p w:rsidR="0073387B" w:rsidRPr="006B319D" w:rsidRDefault="0010504F" w:rsidP="002645D9">
      <w:pPr>
        <w:pStyle w:val="normal0"/>
        <w:bidi w:val="0"/>
        <w:snapToGrid w:val="0"/>
        <w:spacing w:after="0" w:line="240" w:lineRule="auto"/>
        <w:ind w:firstLine="425"/>
        <w:rPr>
          <w:rFonts w:ascii="Times New Roman" w:eastAsia="Cambria" w:hAnsi="Times New Roman" w:cs="Times New Roman"/>
          <w:sz w:val="20"/>
          <w:szCs w:val="20"/>
        </w:rPr>
      </w:pPr>
      <m:oMathPara>
        <m:oMathParaPr>
          <m:jc m:val="left"/>
        </m:oMathParaPr>
        <m:oMath>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20</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MB</m:t>
              </m:r>
              <m:r>
                <w:rPr>
                  <w:rFonts w:ascii="Cambria Math" w:eastAsia="Cambria" w:hAnsi="Times New Roman" w:cs="Times New Roman"/>
                  <w:sz w:val="20"/>
                  <w:szCs w:val="20"/>
                </w:rPr>
                <m:t>×</m:t>
              </m:r>
              <m:r>
                <w:rPr>
                  <w:rFonts w:ascii="Cambria Math" w:eastAsia="Cambria" w:hAnsi="Cambria Math" w:cs="Times New Roman"/>
                  <w:sz w:val="20"/>
                  <w:szCs w:val="20"/>
                </w:rPr>
                <m:t>RET</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21</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ROA</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22</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ROA</m:t>
              </m:r>
              <m:r>
                <w:rPr>
                  <w:rFonts w:ascii="Cambria Math" w:eastAsia="Cambria" w:hAnsi="Times New Roman" w:cs="Times New Roman"/>
                  <w:sz w:val="20"/>
                  <w:szCs w:val="20"/>
                </w:rPr>
                <m:t>×</m:t>
              </m:r>
              <m:r>
                <w:rPr>
                  <w:rFonts w:ascii="Cambria Math" w:eastAsia="Cambria" w:hAnsi="Cambria Math" w:cs="Times New Roman"/>
                  <w:sz w:val="20"/>
                  <w:szCs w:val="20"/>
                </w:rPr>
                <m:t>RET</m:t>
              </m:r>
              <m:r>
                <w:rPr>
                  <w:rFonts w:ascii="Cambria Math" w:hAnsi="Times New Roman" w:cs="Times New Roman"/>
                  <w:sz w:val="20"/>
                </w:rPr>
                <m:t>)</m:t>
              </m:r>
            </m:e>
            <m:sub>
              <m:r>
                <w:rPr>
                  <w:rFonts w:ascii="Cambria Math" w:eastAsia="Cambria" w:hAnsi="Cambria Math" w:cs="Times New Roman"/>
                  <w:sz w:val="20"/>
                  <w:szCs w:val="20"/>
                </w:rPr>
                <m:t>it</m:t>
              </m:r>
            </m:sub>
          </m:sSub>
        </m:oMath>
      </m:oMathPara>
    </w:p>
    <w:p w:rsidR="0073387B" w:rsidRPr="006B319D" w:rsidRDefault="0010504F" w:rsidP="002645D9">
      <w:pPr>
        <w:pStyle w:val="normal0"/>
        <w:bidi w:val="0"/>
        <w:snapToGrid w:val="0"/>
        <w:spacing w:after="0" w:line="240" w:lineRule="auto"/>
        <w:ind w:firstLine="425"/>
        <w:rPr>
          <w:rFonts w:ascii="Times New Roman" w:eastAsia="Cambria" w:hAnsi="Times New Roman" w:cs="Times New Roman"/>
          <w:sz w:val="20"/>
          <w:szCs w:val="20"/>
        </w:rPr>
      </w:pPr>
      <m:oMathPara>
        <m:oMathParaPr>
          <m:jc m:val="left"/>
        </m:oMathParaPr>
        <m:oMath>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β</m:t>
              </m:r>
            </m:e>
            <m:sub>
              <m:r>
                <w:rPr>
                  <w:rFonts w:ascii="Cambria Math" w:eastAsia="Cambria" w:hAnsi="Times New Roman" w:cs="Times New Roman"/>
                  <w:sz w:val="20"/>
                  <w:szCs w:val="20"/>
                </w:rPr>
                <m:t>23</m:t>
              </m:r>
            </m:sub>
          </m:sSub>
          <m:sSub>
            <m:sSubPr>
              <m:ctrlPr>
                <w:rPr>
                  <w:rFonts w:ascii="Cambria Math" w:eastAsia="Cambria" w:hAnsi="Times New Roman" w:cs="Times New Roman"/>
                  <w:sz w:val="20"/>
                  <w:szCs w:val="20"/>
                </w:rPr>
              </m:ctrlPr>
            </m:sSubPr>
            <m:e>
              <m:r>
                <w:rPr>
                  <w:rFonts w:ascii="Cambria Math" w:hAnsi="Times New Roman" w:cs="Times New Roman"/>
                  <w:sz w:val="20"/>
                </w:rPr>
                <m:t>(</m:t>
              </m:r>
              <m:r>
                <w:rPr>
                  <w:rFonts w:ascii="Cambria Math" w:eastAsia="Cambria" w:hAnsi="Cambria Math" w:cs="Times New Roman"/>
                  <w:sz w:val="20"/>
                  <w:szCs w:val="20"/>
                </w:rPr>
                <m:t>ROA</m:t>
              </m:r>
              <m:r>
                <w:rPr>
                  <w:rFonts w:ascii="Cambria Math" w:eastAsia="Cambria" w:hAnsi="Times New Roman" w:cs="Times New Roman"/>
                  <w:sz w:val="20"/>
                  <w:szCs w:val="20"/>
                </w:rPr>
                <m:t>×</m:t>
              </m:r>
              <m:r>
                <w:rPr>
                  <w:rFonts w:ascii="Cambria Math" w:eastAsia="Cambria" w:hAnsi="Cambria Math" w:cs="Times New Roman"/>
                  <w:sz w:val="20"/>
                  <w:szCs w:val="20"/>
                </w:rPr>
                <m:t>RET</m:t>
              </m:r>
              <m:r>
                <w:rPr>
                  <w:rFonts w:ascii="Cambria Math" w:eastAsia="Cambria" w:hAnsi="Times New Roman" w:cs="Times New Roman"/>
                  <w:sz w:val="20"/>
                  <w:szCs w:val="20"/>
                </w:rPr>
                <m:t>×</m:t>
              </m:r>
              <m:r>
                <w:rPr>
                  <w:rFonts w:ascii="Cambria Math" w:eastAsia="Cambria" w:hAnsi="Cambria Math" w:cs="Times New Roman"/>
                  <w:sz w:val="20"/>
                  <w:szCs w:val="20"/>
                </w:rPr>
                <m:t>NEG</m:t>
              </m:r>
              <m:r>
                <w:rPr>
                  <w:rFonts w:ascii="Cambria Math" w:hAnsi="Times New Roman" w:cs="Times New Roman"/>
                  <w:sz w:val="20"/>
                </w:rPr>
                <m:t>)</m:t>
              </m:r>
            </m:e>
            <m:sub>
              <m:r>
                <w:rPr>
                  <w:rFonts w:ascii="Cambria Math" w:eastAsia="Cambria" w:hAnsi="Cambria Math" w:cs="Times New Roman"/>
                  <w:sz w:val="20"/>
                  <w:szCs w:val="20"/>
                </w:rPr>
                <m:t>it</m:t>
              </m:r>
            </m:sub>
          </m:sSub>
          <m:r>
            <w:rPr>
              <w:rFonts w:ascii="Cambria Math" w:eastAsia="Cambria" w:hAnsi="Times New Roman" w:cs="Times New Roman"/>
              <w:sz w:val="20"/>
              <w:szCs w:val="20"/>
            </w:rPr>
            <m:t>+</m:t>
          </m:r>
          <m:sSub>
            <m:sSubPr>
              <m:ctrlPr>
                <w:rPr>
                  <w:rFonts w:ascii="Cambria Math" w:eastAsia="Cambria" w:hAnsi="Times New Roman" w:cs="Times New Roman"/>
                  <w:sz w:val="20"/>
                  <w:szCs w:val="20"/>
                </w:rPr>
              </m:ctrlPr>
            </m:sSubPr>
            <m:e>
              <m:r>
                <w:rPr>
                  <w:rFonts w:ascii="Cambria Math" w:eastAsia="Cambria" w:hAnsi="Cambria Math" w:cs="Times New Roman"/>
                  <w:sz w:val="20"/>
                  <w:szCs w:val="20"/>
                </w:rPr>
                <m:t>ε</m:t>
              </m:r>
            </m:e>
            <m:sub>
              <m:r>
                <w:rPr>
                  <w:rFonts w:ascii="Cambria Math" w:eastAsia="Cambria" w:hAnsi="Cambria Math" w:cs="Times New Roman"/>
                  <w:sz w:val="20"/>
                  <w:szCs w:val="20"/>
                </w:rPr>
                <m:t>it</m:t>
              </m:r>
            </m:sub>
          </m:sSub>
        </m:oMath>
      </m:oMathPara>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t>Where in:</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proofErr w:type="spellStart"/>
      <w:r w:rsidRPr="006B319D">
        <w:rPr>
          <w:rFonts w:ascii="Times New Roman" w:hAnsi="Times New Roman" w:cs="Times New Roman"/>
          <w:b/>
          <w:i/>
          <w:sz w:val="20"/>
          <w:szCs w:val="24"/>
        </w:rPr>
        <w:t>NI</w:t>
      </w:r>
      <w:r w:rsidRPr="006B319D">
        <w:rPr>
          <w:rFonts w:ascii="Times New Roman" w:hAnsi="Times New Roman" w:cs="Times New Roman"/>
          <w:b/>
          <w:i/>
          <w:sz w:val="20"/>
          <w:szCs w:val="24"/>
          <w:vertAlign w:val="subscript"/>
        </w:rPr>
        <w:t>it</w:t>
      </w:r>
      <w:proofErr w:type="spellEnd"/>
      <w:r w:rsidRPr="006B319D">
        <w:rPr>
          <w:rFonts w:ascii="Times New Roman" w:hAnsi="Times New Roman" w:cs="Times New Roman"/>
          <w:sz w:val="20"/>
          <w:szCs w:val="24"/>
        </w:rPr>
        <w:t xml:space="preserve"> = Net profit divided by the logarithm of the market value of equity;</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b/>
          <w:i/>
          <w:sz w:val="20"/>
          <w:szCs w:val="24"/>
        </w:rPr>
        <w:t>NEG</w:t>
      </w:r>
      <w:r w:rsidRPr="006B319D">
        <w:rPr>
          <w:rFonts w:ascii="Times New Roman" w:hAnsi="Times New Roman" w:cs="Times New Roman"/>
          <w:sz w:val="20"/>
          <w:szCs w:val="24"/>
        </w:rPr>
        <w:t xml:space="preserve"> = It is a dummy variable that if a stock returns is negative, it equals to one and otherwise it equals to zero;</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b/>
          <w:i/>
          <w:sz w:val="20"/>
          <w:szCs w:val="24"/>
        </w:rPr>
        <w:t>RET</w:t>
      </w:r>
      <w:r w:rsidRPr="006B319D">
        <w:rPr>
          <w:rFonts w:ascii="Times New Roman" w:hAnsi="Times New Roman" w:cs="Times New Roman"/>
          <w:sz w:val="20"/>
          <w:szCs w:val="24"/>
        </w:rPr>
        <w:t xml:space="preserve"> = Firm’s stock returns in year t;</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b/>
          <w:i/>
          <w:sz w:val="20"/>
          <w:szCs w:val="24"/>
        </w:rPr>
        <w:t>IO</w:t>
      </w:r>
      <w:r w:rsidRPr="006B319D">
        <w:rPr>
          <w:rFonts w:ascii="Times New Roman" w:hAnsi="Times New Roman" w:cs="Times New Roman"/>
          <w:sz w:val="20"/>
          <w:szCs w:val="24"/>
        </w:rPr>
        <w:t xml:space="preserve"> = Institutional ownership;</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b/>
          <w:i/>
          <w:sz w:val="20"/>
          <w:szCs w:val="24"/>
        </w:rPr>
        <w:t>CONOWN</w:t>
      </w:r>
      <w:r w:rsidRPr="006B319D">
        <w:rPr>
          <w:rFonts w:ascii="Times New Roman" w:hAnsi="Times New Roman" w:cs="Times New Roman"/>
          <w:sz w:val="20"/>
          <w:szCs w:val="24"/>
        </w:rPr>
        <w:t xml:space="preserve"> = Concentration of ownership;</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b/>
          <w:i/>
          <w:sz w:val="20"/>
          <w:szCs w:val="24"/>
        </w:rPr>
        <w:t>SIZE</w:t>
      </w:r>
      <w:r w:rsidRPr="006B319D">
        <w:rPr>
          <w:rFonts w:ascii="Times New Roman" w:hAnsi="Times New Roman" w:cs="Times New Roman"/>
          <w:sz w:val="20"/>
          <w:szCs w:val="24"/>
        </w:rPr>
        <w:t xml:space="preserve"> = Firm size;</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b/>
          <w:i/>
          <w:sz w:val="20"/>
          <w:szCs w:val="24"/>
        </w:rPr>
        <w:t>MB</w:t>
      </w:r>
      <w:r w:rsidRPr="006B319D">
        <w:rPr>
          <w:rFonts w:ascii="Times New Roman" w:hAnsi="Times New Roman" w:cs="Times New Roman"/>
          <w:sz w:val="20"/>
          <w:szCs w:val="24"/>
        </w:rPr>
        <w:t xml:space="preserve"> = Book value to market value;</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b/>
          <w:i/>
          <w:sz w:val="20"/>
          <w:szCs w:val="24"/>
        </w:rPr>
        <w:t>ROA</w:t>
      </w:r>
      <w:r w:rsidRPr="006B319D">
        <w:rPr>
          <w:rFonts w:ascii="Times New Roman" w:hAnsi="Times New Roman" w:cs="Times New Roman"/>
          <w:sz w:val="20"/>
          <w:szCs w:val="24"/>
        </w:rPr>
        <w:t xml:space="preserve"> = Return on assets;</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proofErr w:type="spellStart"/>
      <w:r w:rsidRPr="006B319D">
        <w:rPr>
          <w:rFonts w:ascii="Times New Roman" w:hAnsi="Times New Roman" w:cs="Times New Roman"/>
          <w:b/>
          <w:sz w:val="20"/>
          <w:szCs w:val="24"/>
        </w:rPr>
        <w:t>ε</w:t>
      </w:r>
      <w:r w:rsidRPr="006B319D">
        <w:rPr>
          <w:rFonts w:ascii="Times New Roman" w:hAnsi="Times New Roman" w:cs="Times New Roman"/>
          <w:b/>
          <w:sz w:val="20"/>
          <w:szCs w:val="24"/>
          <w:vertAlign w:val="subscript"/>
        </w:rPr>
        <w:t>it</w:t>
      </w:r>
      <w:proofErr w:type="spellEnd"/>
      <w:r w:rsidRPr="006B319D">
        <w:rPr>
          <w:rFonts w:ascii="Times New Roman" w:hAnsi="Times New Roman" w:cs="Times New Roman"/>
          <w:sz w:val="20"/>
          <w:szCs w:val="24"/>
        </w:rPr>
        <w:t xml:space="preserve"> = Remaining model.</w:t>
      </w: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pP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75220D">
          <w:headerReference w:type="default" r:id="rId14"/>
          <w:footerReference w:type="default" r:id="rId15"/>
          <w:type w:val="continuous"/>
          <w:pgSz w:w="12240" w:h="15840" w:code="1"/>
          <w:pgMar w:top="1440" w:right="1440" w:bottom="1440" w:left="1440" w:header="720" w:footer="720" w:gutter="0"/>
          <w:cols w:space="720"/>
          <w:docGrid w:linePitch="299"/>
        </w:sectPr>
      </w:pPr>
    </w:p>
    <w:p w:rsidR="0073387B" w:rsidRPr="006B319D" w:rsidRDefault="0010504F" w:rsidP="002645D9">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lastRenderedPageBreak/>
        <w:t>Research hypotheses</w:t>
      </w:r>
    </w:p>
    <w:p w:rsidR="0073387B" w:rsidRPr="006B319D" w:rsidRDefault="0010504F" w:rsidP="002645D9">
      <w:pPr>
        <w:pStyle w:val="normal0"/>
        <w:numPr>
          <w:ilvl w:val="0"/>
          <w:numId w:val="1"/>
        </w:numPr>
        <w:bidi w:val="0"/>
        <w:snapToGrid w:val="0"/>
        <w:spacing w:after="0" w:line="240" w:lineRule="auto"/>
        <w:ind w:left="0" w:firstLine="425"/>
        <w:contextualSpacing/>
        <w:rPr>
          <w:rFonts w:ascii="Times New Roman" w:hAnsi="Times New Roman" w:cs="Times New Roman"/>
          <w:sz w:val="20"/>
          <w:szCs w:val="24"/>
        </w:rPr>
      </w:pPr>
      <w:r w:rsidRPr="006B319D">
        <w:rPr>
          <w:rFonts w:ascii="Times New Roman" w:hAnsi="Times New Roman" w:cs="Times New Roman"/>
          <w:sz w:val="20"/>
          <w:szCs w:val="24"/>
        </w:rPr>
        <w:t>There is a significant relationship between institutional ownership and accounting conservatism.</w:t>
      </w:r>
    </w:p>
    <w:p w:rsidR="0073387B" w:rsidRPr="006B319D" w:rsidRDefault="0010504F" w:rsidP="002645D9">
      <w:pPr>
        <w:pStyle w:val="normal0"/>
        <w:numPr>
          <w:ilvl w:val="0"/>
          <w:numId w:val="1"/>
        </w:numPr>
        <w:bidi w:val="0"/>
        <w:snapToGrid w:val="0"/>
        <w:spacing w:after="0" w:line="240" w:lineRule="auto"/>
        <w:ind w:left="0" w:firstLine="425"/>
        <w:contextualSpacing/>
        <w:rPr>
          <w:rFonts w:ascii="Times New Roman" w:hAnsi="Times New Roman" w:cs="Times New Roman"/>
          <w:sz w:val="20"/>
          <w:szCs w:val="24"/>
        </w:rPr>
      </w:pPr>
      <w:r w:rsidRPr="006B319D">
        <w:rPr>
          <w:rFonts w:ascii="Times New Roman" w:hAnsi="Times New Roman" w:cs="Times New Roman"/>
          <w:sz w:val="20"/>
          <w:szCs w:val="24"/>
        </w:rPr>
        <w:t>There is a significant relationship between concentration of ownership and accounting conservatism.</w:t>
      </w:r>
    </w:p>
    <w:p w:rsidR="0073387B" w:rsidRPr="006B319D" w:rsidRDefault="0010504F" w:rsidP="002645D9">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t>Statistical population</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t>The population consists of all listed companies in Tehran Stock Exchange that their information is available from the beginning of the year 2010 to year 2014.</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t xml:space="preserve">Sampling in this study was based on the systematic elimination. So the statistical sample included all companies in that population that information needed to evaluate and test research hypotheses about them is available. The following </w:t>
      </w:r>
      <w:r w:rsidRPr="006B319D">
        <w:rPr>
          <w:rFonts w:ascii="Times New Roman" w:hAnsi="Times New Roman" w:cs="Times New Roman"/>
          <w:sz w:val="20"/>
          <w:szCs w:val="24"/>
        </w:rPr>
        <w:lastRenderedPageBreak/>
        <w:t>criteria are taken into account in order to selection of companies in the sample.</w:t>
      </w:r>
    </w:p>
    <w:p w:rsidR="0073387B" w:rsidRPr="006B319D" w:rsidRDefault="0010504F" w:rsidP="002645D9">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t>Research method</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t>This study is applicable based on a classification in terms of purpose. The study is also descriptive type in terms of categorization based on the data collection method. Considering that data used in this research are factual and historical information, this study is a retrospective research. In terms of research, this study is experimental type.</w:t>
      </w:r>
    </w:p>
    <w:p w:rsidR="0073387B" w:rsidRPr="006B319D" w:rsidRDefault="0010504F" w:rsidP="002645D9">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t>Descriptive statistics of research variables</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t>In general, descriptive statistics is the methods by which we can process and summarize the collected data. The summary of descriptive statistics related to the research variables after removing and screening the outliers using SPSS software is provided in Figure 4-1.</w:t>
      </w: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6B319D">
          <w:headerReference w:type="default" r:id="rId16"/>
          <w:footerReference w:type="default" r:id="rId17"/>
          <w:type w:val="continuous"/>
          <w:pgSz w:w="12240" w:h="15840" w:code="1"/>
          <w:pgMar w:top="1440" w:right="1440" w:bottom="1440" w:left="1440" w:header="720" w:footer="720" w:gutter="0"/>
          <w:cols w:num="2" w:space="550"/>
          <w:docGrid w:linePitch="299"/>
        </w:sectPr>
      </w:pPr>
    </w:p>
    <w:p w:rsidR="0073387B" w:rsidRPr="006B319D" w:rsidRDefault="0073387B" w:rsidP="002645D9">
      <w:pPr>
        <w:pStyle w:val="normal0"/>
        <w:bidi w:val="0"/>
        <w:snapToGrid w:val="0"/>
        <w:spacing w:after="0" w:line="240" w:lineRule="auto"/>
        <w:ind w:firstLine="425"/>
        <w:rPr>
          <w:rFonts w:ascii="Times New Roman" w:hAnsi="Times New Roman" w:cs="Times New Roman"/>
          <w:sz w:val="20"/>
          <w:szCs w:val="24"/>
        </w:rPr>
      </w:pPr>
    </w:p>
    <w:p w:rsidR="0073387B" w:rsidRDefault="0010504F" w:rsidP="006B319D">
      <w:pPr>
        <w:pStyle w:val="normal0"/>
        <w:bidi w:val="0"/>
        <w:snapToGrid w:val="0"/>
        <w:spacing w:after="0" w:line="240" w:lineRule="auto"/>
        <w:jc w:val="center"/>
        <w:rPr>
          <w:rFonts w:ascii="Times New Roman" w:hAnsi="Times New Roman" w:cs="Times New Roman"/>
          <w:sz w:val="20"/>
          <w:szCs w:val="20"/>
        </w:rPr>
      </w:pPr>
      <w:r w:rsidRPr="006B319D">
        <w:rPr>
          <w:rFonts w:ascii="Times New Roman" w:hAnsi="Times New Roman" w:cs="Times New Roman"/>
          <w:b/>
          <w:sz w:val="20"/>
          <w:szCs w:val="20"/>
        </w:rPr>
        <w:t>Figure 4-1</w:t>
      </w:r>
      <w:r w:rsidRPr="006B319D">
        <w:rPr>
          <w:rFonts w:ascii="Times New Roman" w:hAnsi="Times New Roman" w:cs="Times New Roman"/>
          <w:sz w:val="20"/>
          <w:szCs w:val="20"/>
        </w:rPr>
        <w:t>: Descriptive statistics of research variables</w:t>
      </w:r>
    </w:p>
    <w:tbl>
      <w:tblPr>
        <w:tblStyle w:val="a0"/>
        <w:bidiVisual/>
        <w:tblW w:w="0" w:type="auto"/>
        <w:jc w:val="center"/>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CellMar>
          <w:left w:w="57" w:type="dxa"/>
          <w:right w:w="57" w:type="dxa"/>
        </w:tblCellMar>
        <w:tblLook w:val="0620"/>
      </w:tblPr>
      <w:tblGrid>
        <w:gridCol w:w="2405"/>
        <w:gridCol w:w="822"/>
        <w:gridCol w:w="589"/>
        <w:gridCol w:w="519"/>
        <w:gridCol w:w="1168"/>
        <w:gridCol w:w="624"/>
        <w:gridCol w:w="721"/>
        <w:gridCol w:w="1059"/>
        <w:gridCol w:w="1075"/>
      </w:tblGrid>
      <w:tr w:rsidR="006B319D" w:rsidRPr="006B319D" w:rsidTr="006B319D">
        <w:trPr>
          <w:cnfStyle w:val="100000000000"/>
          <w:jc w:val="center"/>
        </w:trPr>
        <w:tc>
          <w:tcPr>
            <w:tcW w:w="0" w:type="auto"/>
            <w:vAlign w:val="center"/>
          </w:tcPr>
          <w:p w:rsidR="0073387B" w:rsidRPr="006B319D" w:rsidRDefault="0075220D" w:rsidP="006B319D">
            <w:pPr>
              <w:pStyle w:val="normal0"/>
              <w:bidi w:val="0"/>
              <w:snapToGrid w:val="0"/>
              <w:rPr>
                <w:color w:val="auto"/>
                <w:sz w:val="14"/>
                <w:szCs w:val="14"/>
              </w:rPr>
            </w:pPr>
            <w:r w:rsidRPr="006B319D">
              <w:rPr>
                <w:b w:val="0"/>
                <w:color w:val="auto"/>
                <w:sz w:val="14"/>
                <w:szCs w:val="14"/>
              </w:rPr>
              <w:t xml:space="preserve"> </w:t>
            </w:r>
            <w:r w:rsidR="0010504F" w:rsidRPr="006B319D">
              <w:rPr>
                <w:b w:val="0"/>
                <w:color w:val="auto"/>
                <w:sz w:val="14"/>
                <w:szCs w:val="14"/>
              </w:rPr>
              <w:t>Variable</w:t>
            </w:r>
          </w:p>
        </w:tc>
        <w:tc>
          <w:tcPr>
            <w:tcW w:w="0" w:type="auto"/>
            <w:vAlign w:val="center"/>
          </w:tcPr>
          <w:p w:rsidR="0073387B" w:rsidRPr="006B319D" w:rsidRDefault="0010504F" w:rsidP="006B319D">
            <w:pPr>
              <w:pStyle w:val="normal0"/>
              <w:bidi w:val="0"/>
              <w:snapToGrid w:val="0"/>
              <w:rPr>
                <w:color w:val="auto"/>
                <w:sz w:val="14"/>
                <w:szCs w:val="14"/>
              </w:rPr>
            </w:pPr>
            <w:r w:rsidRPr="006B319D">
              <w:rPr>
                <w:b w:val="0"/>
                <w:color w:val="auto"/>
                <w:sz w:val="14"/>
                <w:szCs w:val="14"/>
              </w:rPr>
              <w:t>observations</w:t>
            </w:r>
          </w:p>
        </w:tc>
        <w:tc>
          <w:tcPr>
            <w:tcW w:w="0" w:type="auto"/>
            <w:vAlign w:val="center"/>
          </w:tcPr>
          <w:p w:rsidR="0073387B" w:rsidRPr="006B319D" w:rsidRDefault="0010504F" w:rsidP="006B319D">
            <w:pPr>
              <w:pStyle w:val="normal0"/>
              <w:bidi w:val="0"/>
              <w:snapToGrid w:val="0"/>
              <w:rPr>
                <w:color w:val="auto"/>
                <w:sz w:val="14"/>
                <w:szCs w:val="14"/>
              </w:rPr>
            </w:pPr>
            <w:r w:rsidRPr="006B319D">
              <w:rPr>
                <w:b w:val="0"/>
                <w:color w:val="auto"/>
                <w:sz w:val="14"/>
                <w:szCs w:val="14"/>
              </w:rPr>
              <w:t>Average</w:t>
            </w:r>
          </w:p>
        </w:tc>
        <w:tc>
          <w:tcPr>
            <w:tcW w:w="0" w:type="auto"/>
            <w:vAlign w:val="center"/>
          </w:tcPr>
          <w:p w:rsidR="0073387B" w:rsidRPr="006B319D" w:rsidRDefault="0010504F" w:rsidP="006B319D">
            <w:pPr>
              <w:pStyle w:val="normal0"/>
              <w:bidi w:val="0"/>
              <w:snapToGrid w:val="0"/>
              <w:rPr>
                <w:color w:val="auto"/>
                <w:sz w:val="14"/>
                <w:szCs w:val="14"/>
              </w:rPr>
            </w:pPr>
            <w:r w:rsidRPr="006B319D">
              <w:rPr>
                <w:b w:val="0"/>
                <w:color w:val="auto"/>
                <w:sz w:val="14"/>
                <w:szCs w:val="14"/>
              </w:rPr>
              <w:t>Middle</w:t>
            </w:r>
          </w:p>
        </w:tc>
        <w:tc>
          <w:tcPr>
            <w:tcW w:w="0" w:type="auto"/>
            <w:vAlign w:val="center"/>
          </w:tcPr>
          <w:p w:rsidR="0073387B" w:rsidRPr="006B319D" w:rsidRDefault="0010504F" w:rsidP="006B319D">
            <w:pPr>
              <w:pStyle w:val="normal0"/>
              <w:bidi w:val="0"/>
              <w:snapToGrid w:val="0"/>
              <w:rPr>
                <w:color w:val="auto"/>
                <w:sz w:val="14"/>
                <w:szCs w:val="14"/>
              </w:rPr>
            </w:pPr>
            <w:r w:rsidRPr="006B319D">
              <w:rPr>
                <w:b w:val="0"/>
                <w:color w:val="auto"/>
                <w:sz w:val="14"/>
                <w:szCs w:val="14"/>
              </w:rPr>
              <w:t>Standard deviation</w:t>
            </w:r>
          </w:p>
        </w:tc>
        <w:tc>
          <w:tcPr>
            <w:tcW w:w="0" w:type="auto"/>
            <w:vAlign w:val="center"/>
          </w:tcPr>
          <w:p w:rsidR="0073387B" w:rsidRPr="006B319D" w:rsidRDefault="0010504F" w:rsidP="006B319D">
            <w:pPr>
              <w:pStyle w:val="normal0"/>
              <w:bidi w:val="0"/>
              <w:snapToGrid w:val="0"/>
              <w:rPr>
                <w:color w:val="auto"/>
                <w:sz w:val="14"/>
                <w:szCs w:val="14"/>
              </w:rPr>
            </w:pPr>
            <w:r w:rsidRPr="006B319D">
              <w:rPr>
                <w:b w:val="0"/>
                <w:color w:val="auto"/>
                <w:sz w:val="14"/>
                <w:szCs w:val="14"/>
              </w:rPr>
              <w:t>The least</w:t>
            </w:r>
          </w:p>
        </w:tc>
        <w:tc>
          <w:tcPr>
            <w:tcW w:w="0" w:type="auto"/>
            <w:vAlign w:val="center"/>
          </w:tcPr>
          <w:p w:rsidR="0073387B" w:rsidRPr="006B319D" w:rsidRDefault="006B319D" w:rsidP="006B319D">
            <w:pPr>
              <w:pStyle w:val="normal0"/>
              <w:bidi w:val="0"/>
              <w:snapToGrid w:val="0"/>
              <w:rPr>
                <w:color w:val="auto"/>
                <w:sz w:val="14"/>
                <w:szCs w:val="14"/>
              </w:rPr>
            </w:pPr>
            <w:r w:rsidRPr="006B319D">
              <w:rPr>
                <w:color w:val="auto"/>
                <w:sz w:val="14"/>
                <w:szCs w:val="14"/>
              </w:rPr>
              <w:t>maximum</w:t>
            </w:r>
          </w:p>
        </w:tc>
        <w:tc>
          <w:tcPr>
            <w:tcW w:w="0" w:type="auto"/>
            <w:vAlign w:val="center"/>
          </w:tcPr>
          <w:p w:rsidR="0073387B" w:rsidRPr="006B319D" w:rsidRDefault="0010504F" w:rsidP="006B319D">
            <w:pPr>
              <w:pStyle w:val="normal0"/>
              <w:bidi w:val="0"/>
              <w:snapToGrid w:val="0"/>
              <w:rPr>
                <w:color w:val="auto"/>
                <w:sz w:val="14"/>
                <w:szCs w:val="14"/>
              </w:rPr>
            </w:pPr>
            <w:r w:rsidRPr="006B319D">
              <w:rPr>
                <w:b w:val="0"/>
                <w:color w:val="auto"/>
                <w:sz w:val="14"/>
                <w:szCs w:val="14"/>
              </w:rPr>
              <w:t>Skew coefficient</w:t>
            </w:r>
          </w:p>
        </w:tc>
        <w:tc>
          <w:tcPr>
            <w:tcW w:w="0" w:type="auto"/>
            <w:vAlign w:val="center"/>
          </w:tcPr>
          <w:p w:rsidR="0073387B" w:rsidRPr="006B319D" w:rsidRDefault="0010504F" w:rsidP="006B319D">
            <w:pPr>
              <w:pStyle w:val="normal0"/>
              <w:bidi w:val="0"/>
              <w:snapToGrid w:val="0"/>
              <w:rPr>
                <w:color w:val="auto"/>
                <w:sz w:val="14"/>
                <w:szCs w:val="14"/>
              </w:rPr>
            </w:pPr>
            <w:r w:rsidRPr="006B319D">
              <w:rPr>
                <w:b w:val="0"/>
                <w:color w:val="auto"/>
                <w:sz w:val="14"/>
                <w:szCs w:val="14"/>
              </w:rPr>
              <w:t>Slenderness ratio</w:t>
            </w:r>
          </w:p>
        </w:tc>
      </w:tr>
      <w:tr w:rsidR="0075220D" w:rsidRPr="006B319D" w:rsidTr="006B319D">
        <w:trPr>
          <w:jc w:val="center"/>
        </w:trPr>
        <w:tc>
          <w:tcPr>
            <w:tcW w:w="0" w:type="auto"/>
            <w:tcBorders>
              <w:top w:val="nil"/>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sz w:val="14"/>
                <w:szCs w:val="14"/>
              </w:rPr>
              <w:t>Net profit</w:t>
            </w:r>
            <w:r w:rsidR="0075220D" w:rsidRPr="006B319D">
              <w:rPr>
                <w:sz w:val="14"/>
                <w:szCs w:val="14"/>
              </w:rPr>
              <w:t xml:space="preserve"> </w:t>
            </w:r>
            <w:r w:rsidRPr="006B319D">
              <w:rPr>
                <w:sz w:val="14"/>
                <w:szCs w:val="14"/>
              </w:rPr>
              <w:t>(</w:t>
            </w:r>
            <w:r w:rsidRPr="006B319D">
              <w:rPr>
                <w:i/>
                <w:sz w:val="14"/>
                <w:szCs w:val="14"/>
              </w:rPr>
              <w:t>NI</w:t>
            </w:r>
            <w:r w:rsidRPr="006B319D">
              <w:rPr>
                <w:sz w:val="14"/>
                <w:szCs w:val="14"/>
              </w:rPr>
              <w:t>)</w:t>
            </w:r>
          </w:p>
        </w:tc>
        <w:tc>
          <w:tcPr>
            <w:tcW w:w="0" w:type="auto"/>
            <w:tcBorders>
              <w:top w:val="nil"/>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821</w:t>
            </w:r>
          </w:p>
        </w:tc>
        <w:tc>
          <w:tcPr>
            <w:tcW w:w="0" w:type="auto"/>
            <w:tcBorders>
              <w:top w:val="nil"/>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108628</w:t>
            </w:r>
          </w:p>
        </w:tc>
        <w:tc>
          <w:tcPr>
            <w:tcW w:w="0" w:type="auto"/>
            <w:tcBorders>
              <w:top w:val="nil"/>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15428</w:t>
            </w:r>
          </w:p>
        </w:tc>
        <w:tc>
          <w:tcPr>
            <w:tcW w:w="0" w:type="auto"/>
            <w:tcBorders>
              <w:top w:val="nil"/>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194057</w:t>
            </w:r>
          </w:p>
        </w:tc>
        <w:tc>
          <w:tcPr>
            <w:tcW w:w="0" w:type="auto"/>
            <w:tcBorders>
              <w:top w:val="nil"/>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194057-</w:t>
            </w:r>
          </w:p>
        </w:tc>
        <w:tc>
          <w:tcPr>
            <w:tcW w:w="0" w:type="auto"/>
            <w:tcBorders>
              <w:top w:val="nil"/>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2976688</w:t>
            </w:r>
          </w:p>
        </w:tc>
        <w:tc>
          <w:tcPr>
            <w:tcW w:w="0" w:type="auto"/>
            <w:tcBorders>
              <w:top w:val="nil"/>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5.119</w:t>
            </w:r>
          </w:p>
        </w:tc>
        <w:tc>
          <w:tcPr>
            <w:tcW w:w="0" w:type="auto"/>
            <w:tcBorders>
              <w:top w:val="nil"/>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31.622</w:t>
            </w:r>
          </w:p>
        </w:tc>
      </w:tr>
      <w:tr w:rsidR="0075220D" w:rsidRPr="006B319D" w:rsidTr="006B319D">
        <w:trPr>
          <w:jc w:val="center"/>
        </w:trPr>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sz w:val="14"/>
                <w:szCs w:val="14"/>
              </w:rPr>
              <w:t>Stock returns (</w:t>
            </w:r>
            <w:r w:rsidRPr="006B319D">
              <w:rPr>
                <w:i/>
                <w:sz w:val="14"/>
                <w:szCs w:val="14"/>
              </w:rPr>
              <w:t>RET</w:t>
            </w:r>
            <w:r w:rsidRPr="006B319D">
              <w:rPr>
                <w:i/>
                <w:sz w:val="14"/>
                <w:szCs w:val="14"/>
                <w:vertAlign w:val="subscript"/>
              </w:rPr>
              <w:t>,</w:t>
            </w:r>
            <w:r w:rsidRPr="006B319D">
              <w:rPr>
                <w:sz w:val="14"/>
                <w:szCs w:val="14"/>
              </w:rPr>
              <w:t>)</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b/>
                <w:sz w:val="14"/>
                <w:szCs w:val="14"/>
              </w:rPr>
              <w:t>821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00.200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22.171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96.558</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65.730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574.379</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1.jj974</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7.694</w:t>
            </w:r>
          </w:p>
        </w:tc>
      </w:tr>
      <w:tr w:rsidR="0075220D" w:rsidRPr="006B319D" w:rsidTr="006B319D">
        <w:trPr>
          <w:jc w:val="center"/>
        </w:trPr>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sz w:val="14"/>
                <w:szCs w:val="14"/>
              </w:rPr>
              <w:t>Negative stock returns</w:t>
            </w:r>
            <w:r w:rsidR="006B319D" w:rsidRPr="006B319D">
              <w:rPr>
                <w:sz w:val="14"/>
                <w:szCs w:val="14"/>
              </w:rPr>
              <w:t xml:space="preserve"> </w:t>
            </w:r>
            <w:r w:rsidR="0075220D" w:rsidRPr="006B319D">
              <w:rPr>
                <w:sz w:val="14"/>
                <w:szCs w:val="14"/>
              </w:rPr>
              <w:t>(</w:t>
            </w:r>
            <w:r w:rsidRPr="006B319D">
              <w:rPr>
                <w:i/>
                <w:sz w:val="14"/>
                <w:szCs w:val="14"/>
              </w:rPr>
              <w:t>NEG</w:t>
            </w:r>
            <w:r w:rsidRPr="006B319D">
              <w:rPr>
                <w:i/>
                <w:sz w:val="14"/>
                <w:szCs w:val="14"/>
                <w:vertAlign w:val="subscript"/>
              </w:rPr>
              <w:t>,</w:t>
            </w:r>
            <w:r w:rsidRPr="006B319D">
              <w:rPr>
                <w:sz w:val="14"/>
                <w:szCs w:val="14"/>
              </w:rPr>
              <w:t>)</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b/>
                <w:sz w:val="14"/>
                <w:szCs w:val="14"/>
              </w:rPr>
              <w:t>821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0.309</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0.000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0.462</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0.000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0.824</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1.680</w:t>
            </w:r>
          </w:p>
        </w:tc>
      </w:tr>
      <w:tr w:rsidR="0075220D" w:rsidRPr="006B319D" w:rsidTr="006B319D">
        <w:trPr>
          <w:jc w:val="center"/>
        </w:trPr>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sz w:val="14"/>
                <w:szCs w:val="14"/>
              </w:rPr>
              <w:t>Institutional ownership (</w:t>
            </w:r>
            <w:r w:rsidRPr="006B319D">
              <w:rPr>
                <w:i/>
                <w:sz w:val="14"/>
                <w:szCs w:val="14"/>
              </w:rPr>
              <w:t>IO</w:t>
            </w:r>
            <w:r w:rsidRPr="006B319D">
              <w:rPr>
                <w:i/>
                <w:sz w:val="14"/>
                <w:szCs w:val="14"/>
                <w:vertAlign w:val="subscript"/>
              </w:rPr>
              <w:t>,</w:t>
            </w:r>
            <w:r w:rsidRPr="006B319D">
              <w:rPr>
                <w:sz w:val="14"/>
                <w:szCs w:val="14"/>
              </w:rPr>
              <w:t>)</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b/>
                <w:sz w:val="14"/>
                <w:szCs w:val="14"/>
              </w:rPr>
              <w:t>821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71.800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81.650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27.209</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0.000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99.450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-1.361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3.787</w:t>
            </w:r>
          </w:p>
        </w:tc>
      </w:tr>
      <w:tr w:rsidR="0075220D" w:rsidRPr="006B319D" w:rsidTr="006B319D">
        <w:trPr>
          <w:jc w:val="center"/>
        </w:trPr>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sz w:val="14"/>
                <w:szCs w:val="14"/>
              </w:rPr>
              <w:t>Concentration of ownership (</w:t>
            </w:r>
            <w:r w:rsidRPr="006B319D">
              <w:rPr>
                <w:i/>
                <w:sz w:val="14"/>
                <w:szCs w:val="14"/>
              </w:rPr>
              <w:t>CONOWN</w:t>
            </w:r>
            <w:r w:rsidRPr="006B319D">
              <w:rPr>
                <w:sz w:val="14"/>
                <w:szCs w:val="14"/>
              </w:rPr>
              <w:t>)</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b/>
                <w:sz w:val="14"/>
                <w:szCs w:val="14"/>
              </w:rPr>
              <w:t>821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68.891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72.910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20.474</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0.000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99.450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-1.180</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4.307</w:t>
            </w:r>
          </w:p>
        </w:tc>
      </w:tr>
      <w:tr w:rsidR="0075220D" w:rsidRPr="006B319D" w:rsidTr="006B319D">
        <w:trPr>
          <w:jc w:val="center"/>
        </w:trPr>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sz w:val="14"/>
                <w:szCs w:val="14"/>
              </w:rPr>
              <w:t>size of the company (</w:t>
            </w:r>
            <w:r w:rsidRPr="006B319D">
              <w:rPr>
                <w:i/>
                <w:sz w:val="14"/>
                <w:szCs w:val="14"/>
              </w:rPr>
              <w:t>SIZE</w:t>
            </w:r>
            <w:r w:rsidRPr="006B319D">
              <w:rPr>
                <w:sz w:val="14"/>
                <w:szCs w:val="14"/>
              </w:rPr>
              <w:t>)</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b/>
                <w:sz w:val="14"/>
                <w:szCs w:val="14"/>
              </w:rPr>
              <w:t>821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13.886</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13.666</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1.497</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10.031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19.009</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0.906</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4.287</w:t>
            </w:r>
          </w:p>
        </w:tc>
      </w:tr>
      <w:tr w:rsidR="0075220D" w:rsidRPr="006B319D" w:rsidTr="006B319D">
        <w:trPr>
          <w:jc w:val="center"/>
        </w:trPr>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sz w:val="14"/>
                <w:szCs w:val="14"/>
              </w:rPr>
              <w:t>Market value to the office</w:t>
            </w:r>
            <w:r w:rsidR="006B319D" w:rsidRPr="006B319D">
              <w:rPr>
                <w:sz w:val="14"/>
                <w:szCs w:val="14"/>
              </w:rPr>
              <w:t xml:space="preserve"> </w:t>
            </w:r>
            <w:r w:rsidR="0075220D" w:rsidRPr="006B319D">
              <w:rPr>
                <w:sz w:val="14"/>
                <w:szCs w:val="14"/>
              </w:rPr>
              <w:t>(</w:t>
            </w:r>
            <w:r w:rsidRPr="006B319D">
              <w:rPr>
                <w:i/>
                <w:sz w:val="14"/>
                <w:szCs w:val="14"/>
              </w:rPr>
              <w:t>MB</w:t>
            </w:r>
            <w:r w:rsidRPr="006B319D">
              <w:rPr>
                <w:sz w:val="14"/>
                <w:szCs w:val="14"/>
              </w:rPr>
              <w:t>)</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sz w:val="14"/>
                <w:szCs w:val="14"/>
              </w:rPr>
            </w:pPr>
            <w:r w:rsidRPr="006B319D">
              <w:rPr>
                <w:b/>
                <w:sz w:val="14"/>
                <w:szCs w:val="14"/>
              </w:rPr>
              <w:t>821</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2.419</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2.009</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1.983</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-8.905</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19.729</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2.485</w:t>
            </w:r>
          </w:p>
        </w:tc>
        <w:tc>
          <w:tcPr>
            <w:tcW w:w="0" w:type="auto"/>
            <w:tcBorders>
              <w:top w:val="single" w:sz="4" w:space="0" w:color="000000"/>
              <w:left w:val="nil"/>
              <w:bottom w:val="single" w:sz="4"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22.151</w:t>
            </w:r>
          </w:p>
        </w:tc>
      </w:tr>
      <w:tr w:rsidR="0075220D" w:rsidRPr="006B319D" w:rsidTr="006B319D">
        <w:trPr>
          <w:jc w:val="center"/>
        </w:trPr>
        <w:tc>
          <w:tcPr>
            <w:tcW w:w="0" w:type="auto"/>
            <w:tcBorders>
              <w:top w:val="nil"/>
              <w:left w:val="nil"/>
              <w:bottom w:val="single" w:sz="18" w:space="0" w:color="000000"/>
              <w:right w:val="nil"/>
            </w:tcBorders>
            <w:vAlign w:val="center"/>
          </w:tcPr>
          <w:p w:rsidR="0073387B" w:rsidRPr="006B319D" w:rsidRDefault="0010504F" w:rsidP="006B319D">
            <w:pPr>
              <w:pStyle w:val="normal0"/>
              <w:bidi w:val="0"/>
              <w:snapToGrid w:val="0"/>
              <w:rPr>
                <w:sz w:val="14"/>
                <w:szCs w:val="14"/>
              </w:rPr>
            </w:pPr>
            <w:r w:rsidRPr="006B319D">
              <w:rPr>
                <w:sz w:val="14"/>
                <w:szCs w:val="14"/>
              </w:rPr>
              <w:t>Return on assets (</w:t>
            </w:r>
            <w:r w:rsidRPr="006B319D">
              <w:rPr>
                <w:i/>
                <w:sz w:val="14"/>
                <w:szCs w:val="14"/>
              </w:rPr>
              <w:t>ROA</w:t>
            </w:r>
            <w:r w:rsidRPr="006B319D">
              <w:rPr>
                <w:sz w:val="14"/>
                <w:szCs w:val="14"/>
              </w:rPr>
              <w:t>)</w:t>
            </w:r>
          </w:p>
        </w:tc>
        <w:tc>
          <w:tcPr>
            <w:tcW w:w="0" w:type="auto"/>
            <w:tcBorders>
              <w:top w:val="nil"/>
              <w:left w:val="nil"/>
              <w:bottom w:val="single" w:sz="18" w:space="0" w:color="000000"/>
              <w:right w:val="nil"/>
            </w:tcBorders>
            <w:vAlign w:val="center"/>
          </w:tcPr>
          <w:p w:rsidR="0073387B" w:rsidRPr="006B319D" w:rsidRDefault="0010504F" w:rsidP="006B319D">
            <w:pPr>
              <w:pStyle w:val="normal0"/>
              <w:bidi w:val="0"/>
              <w:snapToGrid w:val="0"/>
              <w:rPr>
                <w:sz w:val="14"/>
                <w:szCs w:val="14"/>
              </w:rPr>
            </w:pPr>
            <w:r w:rsidRPr="006B319D">
              <w:rPr>
                <w:b/>
                <w:sz w:val="14"/>
                <w:szCs w:val="14"/>
              </w:rPr>
              <w:t>821</w:t>
            </w:r>
          </w:p>
        </w:tc>
        <w:tc>
          <w:tcPr>
            <w:tcW w:w="0" w:type="auto"/>
            <w:tcBorders>
              <w:top w:val="nil"/>
              <w:left w:val="nil"/>
              <w:bottom w:val="single" w:sz="18"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0.131</w:t>
            </w:r>
          </w:p>
        </w:tc>
        <w:tc>
          <w:tcPr>
            <w:tcW w:w="0" w:type="auto"/>
            <w:tcBorders>
              <w:top w:val="nil"/>
              <w:left w:val="nil"/>
              <w:bottom w:val="single" w:sz="18"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0.110</w:t>
            </w:r>
          </w:p>
        </w:tc>
        <w:tc>
          <w:tcPr>
            <w:tcW w:w="0" w:type="auto"/>
            <w:tcBorders>
              <w:top w:val="nil"/>
              <w:left w:val="nil"/>
              <w:bottom w:val="single" w:sz="18"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0.126</w:t>
            </w:r>
          </w:p>
        </w:tc>
        <w:tc>
          <w:tcPr>
            <w:tcW w:w="0" w:type="auto"/>
            <w:tcBorders>
              <w:top w:val="nil"/>
              <w:left w:val="nil"/>
              <w:bottom w:val="single" w:sz="18"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-0.239</w:t>
            </w:r>
          </w:p>
        </w:tc>
        <w:tc>
          <w:tcPr>
            <w:tcW w:w="0" w:type="auto"/>
            <w:tcBorders>
              <w:top w:val="nil"/>
              <w:left w:val="nil"/>
              <w:bottom w:val="single" w:sz="18"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0.626</w:t>
            </w:r>
          </w:p>
        </w:tc>
        <w:tc>
          <w:tcPr>
            <w:tcW w:w="0" w:type="auto"/>
            <w:tcBorders>
              <w:top w:val="nil"/>
              <w:left w:val="nil"/>
              <w:bottom w:val="single" w:sz="18"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0.881</w:t>
            </w:r>
          </w:p>
        </w:tc>
        <w:tc>
          <w:tcPr>
            <w:tcW w:w="0" w:type="auto"/>
            <w:tcBorders>
              <w:top w:val="nil"/>
              <w:left w:val="nil"/>
              <w:bottom w:val="single" w:sz="18" w:space="0" w:color="000000"/>
              <w:right w:val="nil"/>
            </w:tcBorders>
            <w:vAlign w:val="center"/>
          </w:tcPr>
          <w:p w:rsidR="0073387B" w:rsidRPr="006B319D" w:rsidRDefault="0010504F" w:rsidP="006B319D">
            <w:pPr>
              <w:pStyle w:val="normal0"/>
              <w:bidi w:val="0"/>
              <w:snapToGrid w:val="0"/>
              <w:rPr>
                <w:b/>
                <w:sz w:val="14"/>
                <w:szCs w:val="14"/>
              </w:rPr>
            </w:pPr>
            <w:r w:rsidRPr="006B319D">
              <w:rPr>
                <w:b/>
                <w:sz w:val="14"/>
                <w:szCs w:val="14"/>
              </w:rPr>
              <w:t>4.367</w:t>
            </w:r>
          </w:p>
        </w:tc>
      </w:tr>
    </w:tbl>
    <w:p w:rsidR="006B319D" w:rsidRDefault="006B319D" w:rsidP="002645D9">
      <w:pPr>
        <w:pStyle w:val="normal0"/>
        <w:bidi w:val="0"/>
        <w:snapToGrid w:val="0"/>
        <w:spacing w:after="0" w:line="240" w:lineRule="auto"/>
        <w:ind w:firstLine="425"/>
        <w:rPr>
          <w:rFonts w:ascii="Times New Roman" w:hAnsi="Times New Roman" w:cs="Times New Roman"/>
          <w:sz w:val="20"/>
          <w:szCs w:val="24"/>
        </w:rPr>
      </w:pPr>
    </w:p>
    <w:p w:rsidR="006B319D" w:rsidRPr="006B319D" w:rsidRDefault="006B319D" w:rsidP="002645D9">
      <w:pPr>
        <w:pStyle w:val="normal0"/>
        <w:bidi w:val="0"/>
        <w:snapToGrid w:val="0"/>
        <w:spacing w:after="0" w:line="240" w:lineRule="auto"/>
        <w:ind w:firstLine="425"/>
        <w:rPr>
          <w:rFonts w:ascii="Times New Roman" w:hAnsi="Times New Roman" w:cs="Times New Roman"/>
          <w:sz w:val="20"/>
          <w:szCs w:val="24"/>
        </w:rPr>
        <w:sectPr w:rsidR="006B319D" w:rsidRPr="006B319D" w:rsidSect="0075220D">
          <w:headerReference w:type="default" r:id="rId18"/>
          <w:footerReference w:type="default" r:id="rId19"/>
          <w:type w:val="continuous"/>
          <w:pgSz w:w="12240" w:h="15840" w:code="1"/>
          <w:pgMar w:top="1440" w:right="1440" w:bottom="1440" w:left="1440" w:header="720" w:footer="720" w:gutter="0"/>
          <w:cols w:space="720"/>
          <w:docGrid w:linePitch="299"/>
        </w:sectPr>
      </w:pP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lastRenderedPageBreak/>
        <w:t xml:space="preserve">According to Figure 4-1, the average of net profit of the sample firms to the logarithm of their market value is equal to 108,628 and its median is 15,428. The minimum and maximum value of this variable was -194,057 and 2,976,688, respectively. Its </w:t>
      </w:r>
      <w:proofErr w:type="spellStart"/>
      <w:r w:rsidRPr="006B319D">
        <w:rPr>
          <w:rFonts w:ascii="Times New Roman" w:hAnsi="Times New Roman" w:cs="Times New Roman"/>
          <w:sz w:val="20"/>
          <w:szCs w:val="24"/>
        </w:rPr>
        <w:t>skewness</w:t>
      </w:r>
      <w:proofErr w:type="spellEnd"/>
      <w:r w:rsidRPr="006B319D">
        <w:rPr>
          <w:rFonts w:ascii="Times New Roman" w:hAnsi="Times New Roman" w:cs="Times New Roman"/>
          <w:sz w:val="20"/>
          <w:szCs w:val="24"/>
        </w:rPr>
        <w:t xml:space="preserve"> and kurtosis indicate that net profit data do </w:t>
      </w:r>
      <w:r w:rsidRPr="006B319D">
        <w:rPr>
          <w:rFonts w:ascii="Times New Roman" w:hAnsi="Times New Roman" w:cs="Times New Roman"/>
          <w:sz w:val="20"/>
          <w:szCs w:val="24"/>
        </w:rPr>
        <w:lastRenderedPageBreak/>
        <w:t xml:space="preserve">not have the normal distribution. So that </w:t>
      </w:r>
      <w:proofErr w:type="spellStart"/>
      <w:r w:rsidRPr="006B319D">
        <w:rPr>
          <w:rFonts w:ascii="Times New Roman" w:hAnsi="Times New Roman" w:cs="Times New Roman"/>
          <w:sz w:val="20"/>
          <w:szCs w:val="24"/>
        </w:rPr>
        <w:t>skewness</w:t>
      </w:r>
      <w:proofErr w:type="spellEnd"/>
      <w:r w:rsidRPr="006B319D">
        <w:rPr>
          <w:rFonts w:ascii="Times New Roman" w:hAnsi="Times New Roman" w:cs="Times New Roman"/>
          <w:sz w:val="20"/>
          <w:szCs w:val="24"/>
        </w:rPr>
        <w:t xml:space="preserve"> and kurtosis are equal to 5.119 and 31.622, respectively. Figure 4-1 depicts the average of annual process of this variable during the research period and represents an increasing trend for this variable.</w:t>
      </w: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6B319D">
          <w:headerReference w:type="default" r:id="rId20"/>
          <w:footerReference w:type="default" r:id="rId21"/>
          <w:type w:val="continuous"/>
          <w:pgSz w:w="12240" w:h="15840" w:code="1"/>
          <w:pgMar w:top="1440" w:right="1440" w:bottom="1440" w:left="1440" w:header="720" w:footer="720" w:gutter="0"/>
          <w:cols w:num="2" w:space="550"/>
          <w:docGrid w:linePitch="299"/>
        </w:sectPr>
      </w:pPr>
    </w:p>
    <w:p w:rsidR="0073387B" w:rsidRPr="006B319D" w:rsidRDefault="0073387B" w:rsidP="002645D9">
      <w:pPr>
        <w:pStyle w:val="normal0"/>
        <w:bidi w:val="0"/>
        <w:snapToGrid w:val="0"/>
        <w:spacing w:after="0" w:line="240" w:lineRule="auto"/>
        <w:rPr>
          <w:rFonts w:ascii="Times New Roman" w:hAnsi="Times New Roman" w:cs="Times New Roman"/>
          <w:b/>
          <w:sz w:val="20"/>
          <w:szCs w:val="24"/>
        </w:rPr>
      </w:pPr>
    </w:p>
    <w:p w:rsidR="0073387B" w:rsidRPr="006B319D" w:rsidRDefault="006B319D" w:rsidP="006B319D">
      <w:pPr>
        <w:pStyle w:val="normal0"/>
        <w:bidi w:val="0"/>
        <w:snapToGrid w:val="0"/>
        <w:spacing w:after="0" w:line="240" w:lineRule="auto"/>
        <w:jc w:val="center"/>
        <w:rPr>
          <w:rFonts w:ascii="Times New Roman" w:hAnsi="Times New Roman" w:cs="Times New Roman"/>
          <w:b/>
          <w:sz w:val="20"/>
          <w:szCs w:val="24"/>
        </w:rPr>
      </w:pPr>
      <w:r w:rsidRPr="006B319D">
        <w:rPr>
          <w:rFonts w:ascii="Times New Roman" w:eastAsia="Times New Roman" w:hAnsi="Times New Roman" w:cs="Times New Roman"/>
          <w:noProof/>
          <w:sz w:val="20"/>
          <w:szCs w:val="28"/>
        </w:rPr>
        <w:drawing>
          <wp:inline distT="0" distB="0" distL="0" distR="0">
            <wp:extent cx="5014126" cy="2560320"/>
            <wp:effectExtent l="1905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cstate="print"/>
                    <a:srcRect/>
                    <a:stretch>
                      <a:fillRect/>
                    </a:stretch>
                  </pic:blipFill>
                  <pic:spPr>
                    <a:xfrm>
                      <a:off x="0" y="0"/>
                      <a:ext cx="5015334" cy="2560937"/>
                    </a:xfrm>
                    <a:prstGeom prst="rect">
                      <a:avLst/>
                    </a:prstGeom>
                    <a:ln/>
                  </pic:spPr>
                </pic:pic>
              </a:graphicData>
            </a:graphic>
          </wp:inline>
        </w:drawing>
      </w:r>
    </w:p>
    <w:p w:rsidR="0073387B" w:rsidRPr="006B319D" w:rsidRDefault="0010504F" w:rsidP="006B319D">
      <w:pPr>
        <w:pStyle w:val="normal0"/>
        <w:bidi w:val="0"/>
        <w:snapToGrid w:val="0"/>
        <w:spacing w:after="0" w:line="240" w:lineRule="auto"/>
        <w:jc w:val="center"/>
        <w:rPr>
          <w:rFonts w:ascii="Times New Roman" w:hAnsi="Times New Roman" w:cs="Times New Roman"/>
          <w:sz w:val="20"/>
          <w:szCs w:val="20"/>
        </w:rPr>
      </w:pPr>
      <w:r w:rsidRPr="006B319D">
        <w:rPr>
          <w:rFonts w:ascii="Times New Roman" w:hAnsi="Times New Roman" w:cs="Times New Roman"/>
          <w:b/>
          <w:sz w:val="20"/>
          <w:szCs w:val="20"/>
        </w:rPr>
        <w:t xml:space="preserve">Figure 4-1: </w:t>
      </w:r>
      <w:r w:rsidRPr="006B319D">
        <w:rPr>
          <w:rFonts w:ascii="Times New Roman" w:hAnsi="Times New Roman" w:cs="Times New Roman"/>
          <w:sz w:val="20"/>
          <w:szCs w:val="20"/>
        </w:rPr>
        <w:t>The annual process of the net profit average of the sample companies</w:t>
      </w: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pP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75220D">
          <w:headerReference w:type="default" r:id="rId23"/>
          <w:footerReference w:type="default" r:id="rId24"/>
          <w:type w:val="continuous"/>
          <w:pgSz w:w="12240" w:h="15840" w:code="1"/>
          <w:pgMar w:top="1440" w:right="1440" w:bottom="1440" w:left="1440" w:header="720" w:footer="720" w:gutter="0"/>
          <w:cols w:space="720"/>
          <w:docGrid w:linePitch="299"/>
        </w:sectPr>
      </w:pP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lastRenderedPageBreak/>
        <w:t xml:space="preserve">The evaluation of annual process of this variable (Fig. 4-2) suggests that stock returns of companies declined until 2011, it had a slight increase in 2012 </w:t>
      </w:r>
      <w:r w:rsidRPr="006B319D">
        <w:rPr>
          <w:rFonts w:ascii="Times New Roman" w:hAnsi="Times New Roman" w:cs="Times New Roman"/>
          <w:sz w:val="20"/>
          <w:szCs w:val="24"/>
        </w:rPr>
        <w:lastRenderedPageBreak/>
        <w:t>and it has risen sharply in 2013. However, this increase was not sustainable and stock returns of companies had experienced a sharp decline in 2014.</w:t>
      </w:r>
    </w:p>
    <w:p w:rsidR="0075220D" w:rsidRPr="006B319D" w:rsidRDefault="0075220D" w:rsidP="002645D9">
      <w:pPr>
        <w:pStyle w:val="normal0"/>
        <w:bidi w:val="0"/>
        <w:snapToGrid w:val="0"/>
        <w:spacing w:after="0" w:line="240" w:lineRule="auto"/>
        <w:rPr>
          <w:rFonts w:ascii="Times New Roman" w:hAnsi="Times New Roman" w:cs="Times New Roman"/>
          <w:b/>
          <w:sz w:val="20"/>
          <w:szCs w:val="20"/>
        </w:rPr>
        <w:sectPr w:rsidR="0075220D" w:rsidRPr="006B319D" w:rsidSect="006B319D">
          <w:headerReference w:type="default" r:id="rId25"/>
          <w:footerReference w:type="default" r:id="rId26"/>
          <w:type w:val="continuous"/>
          <w:pgSz w:w="12240" w:h="15840" w:code="1"/>
          <w:pgMar w:top="1440" w:right="1440" w:bottom="1440" w:left="1440" w:header="720" w:footer="720" w:gutter="0"/>
          <w:cols w:num="2" w:space="550"/>
          <w:docGrid w:linePitch="299"/>
        </w:sectPr>
      </w:pPr>
    </w:p>
    <w:p w:rsidR="0073387B" w:rsidRPr="006B319D" w:rsidRDefault="0073387B" w:rsidP="002645D9">
      <w:pPr>
        <w:pStyle w:val="normal0"/>
        <w:bidi w:val="0"/>
        <w:snapToGrid w:val="0"/>
        <w:spacing w:after="0" w:line="240" w:lineRule="auto"/>
        <w:rPr>
          <w:rFonts w:ascii="Times New Roman" w:hAnsi="Times New Roman" w:cs="Times New Roman"/>
          <w:b/>
          <w:sz w:val="20"/>
          <w:szCs w:val="20"/>
        </w:rPr>
      </w:pPr>
    </w:p>
    <w:p w:rsidR="0073387B" w:rsidRPr="006B319D" w:rsidRDefault="0010504F" w:rsidP="002645D9">
      <w:pPr>
        <w:pStyle w:val="normal0"/>
        <w:bidi w:val="0"/>
        <w:snapToGrid w:val="0"/>
        <w:spacing w:after="0" w:line="240" w:lineRule="auto"/>
        <w:jc w:val="center"/>
        <w:rPr>
          <w:rFonts w:ascii="Times New Roman" w:hAnsi="Times New Roman" w:cs="Times New Roman"/>
          <w:sz w:val="20"/>
          <w:szCs w:val="24"/>
        </w:rPr>
      </w:pPr>
      <w:r w:rsidRPr="006B319D">
        <w:rPr>
          <w:rFonts w:ascii="Times New Roman" w:eastAsia="Times New Roman" w:hAnsi="Times New Roman" w:cs="Times New Roman"/>
          <w:noProof/>
          <w:sz w:val="20"/>
          <w:szCs w:val="28"/>
        </w:rPr>
        <w:drawing>
          <wp:inline distT="0" distB="0" distL="0" distR="0">
            <wp:extent cx="5181600" cy="260032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cstate="print"/>
                    <a:srcRect/>
                    <a:stretch>
                      <a:fillRect/>
                    </a:stretch>
                  </pic:blipFill>
                  <pic:spPr>
                    <a:xfrm>
                      <a:off x="0" y="0"/>
                      <a:ext cx="5181600" cy="2600325"/>
                    </a:xfrm>
                    <a:prstGeom prst="rect">
                      <a:avLst/>
                    </a:prstGeom>
                    <a:ln/>
                  </pic:spPr>
                </pic:pic>
              </a:graphicData>
            </a:graphic>
          </wp:inline>
        </w:drawing>
      </w:r>
    </w:p>
    <w:p w:rsidR="006B319D" w:rsidRPr="006B319D" w:rsidRDefault="006B319D" w:rsidP="006B319D">
      <w:pPr>
        <w:pStyle w:val="normal0"/>
        <w:bidi w:val="0"/>
        <w:snapToGrid w:val="0"/>
        <w:spacing w:after="0" w:line="240" w:lineRule="auto"/>
        <w:jc w:val="center"/>
        <w:rPr>
          <w:rFonts w:ascii="Times New Roman" w:hAnsi="Times New Roman" w:cs="Times New Roman"/>
          <w:sz w:val="20"/>
          <w:szCs w:val="20"/>
        </w:rPr>
      </w:pPr>
      <w:r w:rsidRPr="006B319D">
        <w:rPr>
          <w:rFonts w:ascii="Times New Roman" w:hAnsi="Times New Roman" w:cs="Times New Roman"/>
          <w:b/>
          <w:sz w:val="20"/>
          <w:szCs w:val="20"/>
        </w:rPr>
        <w:t>Figure 4.2</w:t>
      </w:r>
      <w:r w:rsidRPr="006B319D">
        <w:rPr>
          <w:rFonts w:ascii="Times New Roman" w:hAnsi="Times New Roman" w:cs="Times New Roman"/>
          <w:sz w:val="20"/>
          <w:szCs w:val="20"/>
        </w:rPr>
        <w:t>: Annual trend of annual stock return of sample companies</w:t>
      </w:r>
    </w:p>
    <w:p w:rsidR="0075220D" w:rsidRDefault="0075220D" w:rsidP="002645D9">
      <w:pPr>
        <w:pStyle w:val="normal0"/>
        <w:bidi w:val="0"/>
        <w:snapToGrid w:val="0"/>
        <w:spacing w:after="0" w:line="240" w:lineRule="auto"/>
        <w:ind w:firstLine="425"/>
        <w:rPr>
          <w:rFonts w:ascii="Times New Roman" w:hAnsi="Times New Roman" w:cs="Times New Roman"/>
          <w:sz w:val="20"/>
          <w:szCs w:val="24"/>
        </w:rPr>
      </w:pPr>
    </w:p>
    <w:p w:rsidR="006B319D" w:rsidRPr="006B319D" w:rsidRDefault="006B319D" w:rsidP="006B319D">
      <w:pPr>
        <w:pStyle w:val="normal0"/>
        <w:bidi w:val="0"/>
        <w:snapToGrid w:val="0"/>
        <w:spacing w:after="0" w:line="240" w:lineRule="auto"/>
        <w:ind w:firstLine="425"/>
        <w:rPr>
          <w:rFonts w:ascii="Times New Roman" w:hAnsi="Times New Roman" w:cs="Times New Roman"/>
          <w:sz w:val="20"/>
          <w:szCs w:val="24"/>
        </w:rPr>
        <w:sectPr w:rsidR="006B319D" w:rsidRPr="006B319D" w:rsidSect="0075220D">
          <w:headerReference w:type="default" r:id="rId28"/>
          <w:footerReference w:type="default" r:id="rId29"/>
          <w:type w:val="continuous"/>
          <w:pgSz w:w="12240" w:h="15840" w:code="1"/>
          <w:pgMar w:top="1440" w:right="1440" w:bottom="1440" w:left="1440" w:header="720" w:footer="720" w:gutter="0"/>
          <w:cols w:space="720"/>
          <w:docGrid w:linePitch="299"/>
        </w:sectPr>
      </w:pP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lastRenderedPageBreak/>
        <w:t xml:space="preserve">The descriptive statistics showed that stock returns of 30.9% of the companies were negative during the period. According to the description given in Figure 4-1, the average of institutional ownership of the sample companies was equal to 71.8%; and it </w:t>
      </w:r>
      <w:r w:rsidRPr="006B319D">
        <w:rPr>
          <w:rFonts w:ascii="Times New Roman" w:hAnsi="Times New Roman" w:cs="Times New Roman"/>
          <w:sz w:val="20"/>
          <w:szCs w:val="24"/>
        </w:rPr>
        <w:lastRenderedPageBreak/>
        <w:t>suggests that, on average, 71.8% of the shares of the sample companies were offering to the banks and insurance companies, holdings, investment companies, pension funds, investment funds, government organizations and institutions and state companies.</w:t>
      </w: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6B319D">
          <w:headerReference w:type="default" r:id="rId30"/>
          <w:footerReference w:type="default" r:id="rId31"/>
          <w:type w:val="continuous"/>
          <w:pgSz w:w="12240" w:h="15840" w:code="1"/>
          <w:pgMar w:top="1440" w:right="1440" w:bottom="1440" w:left="1440" w:header="720" w:footer="720" w:gutter="0"/>
          <w:cols w:num="2" w:space="550"/>
          <w:docGrid w:linePitch="299"/>
        </w:sectPr>
      </w:pPr>
    </w:p>
    <w:p w:rsidR="0073387B" w:rsidRPr="006B319D" w:rsidRDefault="0073387B" w:rsidP="002645D9">
      <w:pPr>
        <w:pStyle w:val="normal0"/>
        <w:bidi w:val="0"/>
        <w:snapToGrid w:val="0"/>
        <w:spacing w:after="0" w:line="240" w:lineRule="auto"/>
        <w:ind w:firstLine="425"/>
        <w:rPr>
          <w:rFonts w:ascii="Times New Roman" w:hAnsi="Times New Roman" w:cs="Times New Roman"/>
          <w:sz w:val="20"/>
          <w:szCs w:val="24"/>
        </w:rPr>
      </w:pPr>
    </w:p>
    <w:p w:rsidR="0073387B" w:rsidRPr="006B319D" w:rsidRDefault="0010504F" w:rsidP="002645D9">
      <w:pPr>
        <w:pStyle w:val="normal0"/>
        <w:bidi w:val="0"/>
        <w:snapToGrid w:val="0"/>
        <w:spacing w:after="0" w:line="240" w:lineRule="auto"/>
        <w:jc w:val="center"/>
        <w:rPr>
          <w:rFonts w:ascii="Times New Roman" w:hAnsi="Times New Roman" w:cs="Times New Roman"/>
          <w:sz w:val="20"/>
          <w:szCs w:val="24"/>
        </w:rPr>
      </w:pPr>
      <w:r w:rsidRPr="006B319D">
        <w:rPr>
          <w:rFonts w:ascii="Times New Roman" w:eastAsia="Times New Roman" w:hAnsi="Times New Roman" w:cs="Times New Roman"/>
          <w:noProof/>
          <w:sz w:val="20"/>
          <w:szCs w:val="28"/>
        </w:rPr>
        <w:lastRenderedPageBreak/>
        <w:drawing>
          <wp:inline distT="0" distB="0" distL="0" distR="0">
            <wp:extent cx="4110824" cy="2059388"/>
            <wp:effectExtent l="19050" t="0" r="3976"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 cstate="print"/>
                    <a:srcRect/>
                    <a:stretch>
                      <a:fillRect/>
                    </a:stretch>
                  </pic:blipFill>
                  <pic:spPr>
                    <a:xfrm>
                      <a:off x="0" y="0"/>
                      <a:ext cx="4112326" cy="2060140"/>
                    </a:xfrm>
                    <a:prstGeom prst="rect">
                      <a:avLst/>
                    </a:prstGeom>
                    <a:ln/>
                  </pic:spPr>
                </pic:pic>
              </a:graphicData>
            </a:graphic>
          </wp:inline>
        </w:drawing>
      </w:r>
    </w:p>
    <w:p w:rsidR="006B319D" w:rsidRPr="006B319D" w:rsidRDefault="006B319D" w:rsidP="006B319D">
      <w:pPr>
        <w:pStyle w:val="normal0"/>
        <w:bidi w:val="0"/>
        <w:snapToGrid w:val="0"/>
        <w:spacing w:after="0" w:line="240" w:lineRule="auto"/>
        <w:jc w:val="center"/>
        <w:rPr>
          <w:rFonts w:ascii="Times New Roman" w:hAnsi="Times New Roman" w:cs="Times New Roman"/>
          <w:sz w:val="20"/>
          <w:szCs w:val="20"/>
        </w:rPr>
      </w:pPr>
      <w:r w:rsidRPr="006B319D">
        <w:rPr>
          <w:rFonts w:ascii="Times New Roman" w:hAnsi="Times New Roman" w:cs="Times New Roman"/>
          <w:b/>
          <w:sz w:val="20"/>
          <w:szCs w:val="20"/>
        </w:rPr>
        <w:t>Figure 4-3</w:t>
      </w:r>
      <w:r w:rsidRPr="006B319D">
        <w:rPr>
          <w:rFonts w:ascii="Times New Roman" w:hAnsi="Times New Roman" w:cs="Times New Roman"/>
          <w:sz w:val="20"/>
          <w:szCs w:val="20"/>
        </w:rPr>
        <w:t>: Average annual trend of institutional ownership and ownership concentration of sample companies.</w:t>
      </w: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pP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75220D">
          <w:headerReference w:type="default" r:id="rId33"/>
          <w:footerReference w:type="default" r:id="rId34"/>
          <w:type w:val="continuous"/>
          <w:pgSz w:w="12240" w:h="15840" w:code="1"/>
          <w:pgMar w:top="1440" w:right="1440" w:bottom="1440" w:left="1440" w:header="720" w:footer="720" w:gutter="0"/>
          <w:cols w:space="720"/>
          <w:docGrid w:linePitch="299"/>
        </w:sectPr>
      </w:pP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lastRenderedPageBreak/>
        <w:t xml:space="preserve">According to this example, the value of institutional ownership and ownership concentration of companies declined since 2013, but increased again in 2014. Regarding the control variables, the mean size of the sample companies (the natural logarithm of total firm’s assets) was equal to 13.886, the average </w:t>
      </w:r>
      <w:r w:rsidRPr="006B319D">
        <w:rPr>
          <w:rFonts w:ascii="Times New Roman" w:hAnsi="Times New Roman" w:cs="Times New Roman"/>
          <w:sz w:val="20"/>
          <w:szCs w:val="24"/>
        </w:rPr>
        <w:lastRenderedPageBreak/>
        <w:t>rate of return on their assets was e 13.1% and the average ratio of market value to their book value was 2.419.</w:t>
      </w:r>
    </w:p>
    <w:p w:rsidR="006B319D" w:rsidRDefault="006B319D" w:rsidP="006B319D">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sz w:val="20"/>
          <w:szCs w:val="24"/>
        </w:rPr>
        <w:t>Research hypotheses will be estimated through model number (1) and using panel data:</w:t>
      </w:r>
      <w:r w:rsidRPr="006B319D">
        <w:rPr>
          <w:rFonts w:ascii="Times New Roman" w:hAnsi="Times New Roman" w:cs="Times New Roman"/>
          <w:b/>
          <w:sz w:val="20"/>
          <w:szCs w:val="24"/>
        </w:rPr>
        <w:t xml:space="preserve"> </w:t>
      </w:r>
    </w:p>
    <w:p w:rsidR="006B319D" w:rsidRDefault="006B319D" w:rsidP="006B319D">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t>Research model estimation</w:t>
      </w:r>
    </w:p>
    <w:p w:rsidR="0075220D" w:rsidRPr="006B319D" w:rsidRDefault="0075220D" w:rsidP="002645D9">
      <w:pPr>
        <w:pStyle w:val="normal0"/>
        <w:bidi w:val="0"/>
        <w:snapToGrid w:val="0"/>
        <w:spacing w:after="0" w:line="240" w:lineRule="auto"/>
        <w:rPr>
          <w:rFonts w:ascii="Times New Roman" w:hAnsi="Times New Roman" w:cs="Times New Roman"/>
          <w:b/>
          <w:sz w:val="20"/>
          <w:szCs w:val="24"/>
        </w:rPr>
        <w:sectPr w:rsidR="0075220D" w:rsidRPr="006B319D" w:rsidSect="006B319D">
          <w:headerReference w:type="default" r:id="rId35"/>
          <w:footerReference w:type="default" r:id="rId36"/>
          <w:type w:val="continuous"/>
          <w:pgSz w:w="12240" w:h="15840" w:code="1"/>
          <w:pgMar w:top="1440" w:right="1440" w:bottom="1440" w:left="1440" w:header="720" w:footer="720" w:gutter="0"/>
          <w:cols w:num="2" w:space="550"/>
          <w:docGrid w:linePitch="299"/>
        </w:sectPr>
      </w:pPr>
    </w:p>
    <w:p w:rsidR="006B319D" w:rsidRPr="006B319D" w:rsidRDefault="006B319D" w:rsidP="006B319D">
      <w:pPr>
        <w:pStyle w:val="normal0"/>
        <w:bidi w:val="0"/>
        <w:snapToGrid w:val="0"/>
        <w:spacing w:after="0" w:line="240" w:lineRule="auto"/>
        <w:rPr>
          <w:rFonts w:ascii="Times New Roman" w:hAnsi="Times New Roman" w:cs="Times New Roman"/>
          <w:b/>
          <w:sz w:val="20"/>
          <w:szCs w:val="24"/>
        </w:rPr>
      </w:pPr>
    </w:p>
    <w:p w:rsidR="0073387B" w:rsidRPr="006B319D" w:rsidRDefault="0091794E" w:rsidP="002645D9">
      <w:pPr>
        <w:pStyle w:val="normal0"/>
        <w:bidi w:val="0"/>
        <w:snapToGrid w:val="0"/>
        <w:spacing w:after="0" w:line="240" w:lineRule="auto"/>
        <w:ind w:firstLine="425"/>
        <w:rPr>
          <w:rFonts w:ascii="Times New Roman" w:eastAsia="Cambria" w:hAnsi="Times New Roman" w:cs="Times New Roman"/>
          <w:sz w:val="20"/>
          <w:szCs w:val="24"/>
        </w:rPr>
      </w:pPr>
      <m:oMathPara>
        <m:oMathParaPr>
          <m:jc m:val="left"/>
        </m:oMathParaPr>
        <m:oMath>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NI</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0</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m:t>
              </m:r>
            </m:sub>
          </m:sSub>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NEG</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2</m:t>
              </m:r>
            </m:sub>
          </m:sSub>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RET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3</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RET</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4</m:t>
              </m:r>
            </m:sub>
          </m:sSub>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IO</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5</m:t>
              </m:r>
            </m:sub>
          </m:sSub>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CONOWN</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6</m:t>
              </m:r>
            </m:sub>
          </m:sSub>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SIZE</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7</m:t>
              </m:r>
            </m:sub>
          </m:sSub>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MB</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8</m:t>
              </m:r>
            </m:sub>
          </m:sSub>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ROA</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9</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IO</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10</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IO</m:t>
              </m:r>
              <m:r>
                <w:rPr>
                  <w:rFonts w:ascii="Cambria Math" w:eastAsia="Cambria" w:hAnsi="Times New Roman" w:cs="Times New Roman"/>
                  <w:sz w:val="20"/>
                  <w:szCs w:val="24"/>
                </w:rPr>
                <m:t>×</m:t>
              </m:r>
              <m:r>
                <w:rPr>
                  <w:rFonts w:ascii="Cambria Math" w:eastAsia="Cambria" w:hAnsi="Cambria Math" w:cs="Times New Roman"/>
                  <w:sz w:val="20"/>
                  <w:szCs w:val="24"/>
                </w:rPr>
                <m:t>RET</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11</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IO</m:t>
              </m:r>
              <m:r>
                <w:rPr>
                  <w:rFonts w:ascii="Cambria Math" w:eastAsia="Cambria" w:hAnsi="Times New Roman" w:cs="Times New Roman"/>
                  <w:sz w:val="20"/>
                  <w:szCs w:val="24"/>
                </w:rPr>
                <m:t>×</m:t>
              </m:r>
              <m:r>
                <w:rPr>
                  <w:rFonts w:ascii="Cambria Math" w:eastAsia="Cambria" w:hAnsi="Cambria Math" w:cs="Times New Roman"/>
                  <w:sz w:val="20"/>
                  <w:szCs w:val="24"/>
                </w:rPr>
                <m:t>RET</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12</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CONOWN</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13</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CONOWN</m:t>
              </m:r>
              <m:r>
                <w:rPr>
                  <w:rFonts w:ascii="Cambria Math" w:eastAsia="Cambria" w:hAnsi="Times New Roman" w:cs="Times New Roman"/>
                  <w:sz w:val="20"/>
                  <w:szCs w:val="24"/>
                </w:rPr>
                <m:t>×</m:t>
              </m:r>
              <m:r>
                <w:rPr>
                  <w:rFonts w:ascii="Cambria Math" w:eastAsia="Cambria" w:hAnsi="Cambria Math" w:cs="Times New Roman"/>
                  <w:sz w:val="20"/>
                  <w:szCs w:val="24"/>
                </w:rPr>
                <m:t>RET</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14</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CONOWN</m:t>
              </m:r>
              <m:r>
                <w:rPr>
                  <w:rFonts w:ascii="Cambria Math" w:eastAsia="Cambria" w:hAnsi="Times New Roman" w:cs="Times New Roman"/>
                  <w:sz w:val="20"/>
                  <w:szCs w:val="24"/>
                </w:rPr>
                <m:t>×</m:t>
              </m:r>
              <m:r>
                <w:rPr>
                  <w:rFonts w:ascii="Cambria Math" w:eastAsia="Cambria" w:hAnsi="Cambria Math" w:cs="Times New Roman"/>
                  <w:sz w:val="20"/>
                  <w:szCs w:val="24"/>
                </w:rPr>
                <m:t>RET</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15</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SIZE</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16</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SIZE</m:t>
              </m:r>
              <m:r>
                <w:rPr>
                  <w:rFonts w:ascii="Cambria Math" w:eastAsia="Cambria" w:hAnsi="Times New Roman" w:cs="Times New Roman"/>
                  <w:sz w:val="20"/>
                  <w:szCs w:val="24"/>
                </w:rPr>
                <m:t>×</m:t>
              </m:r>
              <m:r>
                <w:rPr>
                  <w:rFonts w:ascii="Cambria Math" w:eastAsia="Cambria" w:hAnsi="Cambria Math" w:cs="Times New Roman"/>
                  <w:sz w:val="20"/>
                  <w:szCs w:val="24"/>
                </w:rPr>
                <m:t>RET</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17</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SIZE</m:t>
              </m:r>
              <m:r>
                <w:rPr>
                  <w:rFonts w:ascii="Cambria Math" w:eastAsia="Cambria" w:hAnsi="Times New Roman" w:cs="Times New Roman"/>
                  <w:sz w:val="20"/>
                  <w:szCs w:val="24"/>
                </w:rPr>
                <m:t>×</m:t>
              </m:r>
              <m:r>
                <w:rPr>
                  <w:rFonts w:ascii="Cambria Math" w:eastAsia="Cambria" w:hAnsi="Cambria Math" w:cs="Times New Roman"/>
                  <w:sz w:val="20"/>
                  <w:szCs w:val="24"/>
                </w:rPr>
                <m:t>RET</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18</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MB</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19</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MB</m:t>
              </m:r>
              <m:r>
                <w:rPr>
                  <w:rFonts w:ascii="Cambria Math" w:eastAsia="Cambria" w:hAnsi="Times New Roman" w:cs="Times New Roman"/>
                  <w:sz w:val="20"/>
                  <w:szCs w:val="24"/>
                </w:rPr>
                <m:t>×</m:t>
              </m:r>
              <m:r>
                <w:rPr>
                  <w:rFonts w:ascii="Cambria Math" w:eastAsia="Cambria" w:hAnsi="Cambria Math" w:cs="Times New Roman"/>
                  <w:sz w:val="20"/>
                  <w:szCs w:val="24"/>
                </w:rPr>
                <m:t>RET</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20</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MB</m:t>
              </m:r>
              <m:r>
                <w:rPr>
                  <w:rFonts w:ascii="Cambria Math" w:eastAsia="Cambria" w:hAnsi="Times New Roman" w:cs="Times New Roman"/>
                  <w:sz w:val="20"/>
                  <w:szCs w:val="24"/>
                </w:rPr>
                <m:t>×</m:t>
              </m:r>
              <m:r>
                <w:rPr>
                  <w:rFonts w:ascii="Cambria Math" w:eastAsia="Cambria" w:hAnsi="Cambria Math" w:cs="Times New Roman"/>
                  <w:sz w:val="20"/>
                  <w:szCs w:val="24"/>
                </w:rPr>
                <m:t>RET</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21</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ROA</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22</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ROA</m:t>
              </m:r>
              <m:r>
                <w:rPr>
                  <w:rFonts w:ascii="Cambria Math" w:eastAsia="Cambria" w:hAnsi="Times New Roman" w:cs="Times New Roman"/>
                  <w:sz w:val="20"/>
                  <w:szCs w:val="24"/>
                </w:rPr>
                <m:t>×</m:t>
              </m:r>
              <m:r>
                <w:rPr>
                  <w:rFonts w:ascii="Cambria Math" w:eastAsia="Cambria" w:hAnsi="Cambria Math" w:cs="Times New Roman"/>
                  <w:sz w:val="20"/>
                  <w:szCs w:val="24"/>
                </w:rPr>
                <m:t>RET</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β</m:t>
              </m:r>
            </m:e>
            <m:sub>
              <m:r>
                <w:rPr>
                  <w:rFonts w:ascii="Cambria Math" w:eastAsia="Cambria" w:hAnsi="Times New Roman" w:cs="Times New Roman"/>
                  <w:sz w:val="20"/>
                  <w:szCs w:val="24"/>
                </w:rPr>
                <m:t>23</m:t>
              </m:r>
            </m:sub>
          </m:sSub>
          <m:sSub>
            <m:sSubPr>
              <m:ctrlPr>
                <w:rPr>
                  <w:rFonts w:ascii="Cambria Math" w:eastAsia="Cambria" w:hAnsi="Times New Roman" w:cs="Times New Roman"/>
                  <w:sz w:val="20"/>
                  <w:szCs w:val="24"/>
                </w:rPr>
              </m:ctrlPr>
            </m:sSubPr>
            <m:e>
              <m:r>
                <w:rPr>
                  <w:rFonts w:ascii="Cambria Math" w:hAnsi="Times New Roman" w:cs="Times New Roman"/>
                  <w:sz w:val="20"/>
                </w:rPr>
                <m:t>(</m:t>
              </m:r>
              <m:r>
                <w:rPr>
                  <w:rFonts w:ascii="Cambria Math" w:eastAsia="Cambria" w:hAnsi="Cambria Math" w:cs="Times New Roman"/>
                  <w:sz w:val="20"/>
                  <w:szCs w:val="24"/>
                </w:rPr>
                <m:t>ROA</m:t>
              </m:r>
              <m:r>
                <w:rPr>
                  <w:rFonts w:ascii="Cambria Math" w:eastAsia="Cambria" w:hAnsi="Times New Roman" w:cs="Times New Roman"/>
                  <w:sz w:val="20"/>
                  <w:szCs w:val="24"/>
                </w:rPr>
                <m:t>×</m:t>
              </m:r>
              <m:r>
                <w:rPr>
                  <w:rFonts w:ascii="Cambria Math" w:eastAsia="Cambria" w:hAnsi="Cambria Math" w:cs="Times New Roman"/>
                  <w:sz w:val="20"/>
                  <w:szCs w:val="24"/>
                </w:rPr>
                <m:t>RET</m:t>
              </m:r>
              <m:r>
                <w:rPr>
                  <w:rFonts w:ascii="Cambria Math" w:eastAsia="Cambria" w:hAnsi="Times New Roman" w:cs="Times New Roman"/>
                  <w:sz w:val="20"/>
                  <w:szCs w:val="24"/>
                </w:rPr>
                <m:t>×</m:t>
              </m:r>
              <m:r>
                <w:rPr>
                  <w:rFonts w:ascii="Cambria Math" w:eastAsia="Cambria" w:hAnsi="Cambria Math" w:cs="Times New Roman"/>
                  <w:sz w:val="20"/>
                  <w:szCs w:val="24"/>
                </w:rPr>
                <m:t>NEG</m:t>
              </m:r>
              <m:r>
                <w:rPr>
                  <w:rFonts w:ascii="Cambria Math" w:hAnsi="Times New Roman" w:cs="Times New Roman"/>
                  <w:sz w:val="20"/>
                </w:rPr>
                <m:t>)</m:t>
              </m:r>
            </m:e>
            <m:sub>
              <m:r>
                <w:rPr>
                  <w:rFonts w:ascii="Cambria Math" w:eastAsia="Cambria" w:hAnsi="Cambria Math" w:cs="Times New Roman"/>
                  <w:sz w:val="20"/>
                  <w:szCs w:val="24"/>
                </w:rPr>
                <m:t>it</m:t>
              </m:r>
            </m:sub>
          </m:sSub>
          <m:r>
            <w:rPr>
              <w:rFonts w:ascii="Cambria Math" w:eastAsia="Cambria" w:hAnsi="Times New Roman" w:cs="Times New Roman"/>
              <w:sz w:val="20"/>
              <w:szCs w:val="24"/>
            </w:rPr>
            <m:t>+</m:t>
          </m:r>
          <m:sSub>
            <m:sSubPr>
              <m:ctrlPr>
                <w:rPr>
                  <w:rFonts w:ascii="Cambria Math" w:eastAsia="Cambria" w:hAnsi="Times New Roman" w:cs="Times New Roman"/>
                  <w:sz w:val="20"/>
                  <w:szCs w:val="24"/>
                </w:rPr>
              </m:ctrlPr>
            </m:sSubPr>
            <m:e>
              <m:r>
                <w:rPr>
                  <w:rFonts w:ascii="Cambria Math" w:eastAsia="Cambria" w:hAnsi="Cambria Math" w:cs="Times New Roman"/>
                  <w:sz w:val="20"/>
                  <w:szCs w:val="24"/>
                </w:rPr>
                <m:t>ε</m:t>
              </m:r>
            </m:e>
            <m:sub>
              <m:r>
                <w:rPr>
                  <w:rFonts w:ascii="Cambria Math" w:eastAsia="Cambria" w:hAnsi="Cambria Math" w:cs="Times New Roman"/>
                  <w:sz w:val="20"/>
                  <w:szCs w:val="24"/>
                </w:rPr>
                <m:t>it</m:t>
              </m:r>
            </m:sub>
          </m:sSub>
        </m:oMath>
      </m:oMathPara>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pP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75220D">
          <w:headerReference w:type="default" r:id="rId37"/>
          <w:footerReference w:type="default" r:id="rId38"/>
          <w:type w:val="continuous"/>
          <w:pgSz w:w="12240" w:h="15840" w:code="1"/>
          <w:pgMar w:top="1440" w:right="1440" w:bottom="1440" w:left="1440" w:header="720" w:footer="720" w:gutter="0"/>
          <w:cols w:space="720"/>
          <w:docGrid w:linePitch="299"/>
        </w:sectPr>
      </w:pP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lastRenderedPageBreak/>
        <w:t>In this model, F-</w:t>
      </w:r>
      <w:proofErr w:type="spellStart"/>
      <w:r w:rsidRPr="006B319D">
        <w:rPr>
          <w:rFonts w:ascii="Times New Roman" w:hAnsi="Times New Roman" w:cs="Times New Roman"/>
          <w:sz w:val="20"/>
          <w:szCs w:val="24"/>
        </w:rPr>
        <w:t>Limer</w:t>
      </w:r>
      <w:proofErr w:type="spellEnd"/>
      <w:r w:rsidRPr="006B319D">
        <w:rPr>
          <w:rFonts w:ascii="Times New Roman" w:hAnsi="Times New Roman" w:cs="Times New Roman"/>
          <w:sz w:val="20"/>
          <w:szCs w:val="24"/>
        </w:rPr>
        <w:t xml:space="preserve"> test was conducted to determine whether the use of panel data in estimation of the model is efficient or not; and the </w:t>
      </w:r>
      <w:proofErr w:type="spellStart"/>
      <w:r w:rsidRPr="006B319D">
        <w:rPr>
          <w:rFonts w:ascii="Times New Roman" w:hAnsi="Times New Roman" w:cs="Times New Roman"/>
          <w:sz w:val="20"/>
          <w:szCs w:val="24"/>
        </w:rPr>
        <w:t>Hausman</w:t>
      </w:r>
      <w:proofErr w:type="spellEnd"/>
      <w:r w:rsidRPr="006B319D">
        <w:rPr>
          <w:rFonts w:ascii="Times New Roman" w:hAnsi="Times New Roman" w:cs="Times New Roman"/>
          <w:sz w:val="20"/>
          <w:szCs w:val="24"/>
        </w:rPr>
        <w:t xml:space="preserve"> test </w:t>
      </w:r>
      <w:r w:rsidRPr="006B319D">
        <w:rPr>
          <w:rFonts w:ascii="Times New Roman" w:hAnsi="Times New Roman" w:cs="Times New Roman"/>
          <w:sz w:val="20"/>
          <w:szCs w:val="24"/>
        </w:rPr>
        <w:lastRenderedPageBreak/>
        <w:t>was used in order to determine which method is more suitable for estimation. The results of these tests are shown in Figure 4-5.</w:t>
      </w: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6B319D">
          <w:headerReference w:type="default" r:id="rId39"/>
          <w:footerReference w:type="default" r:id="rId40"/>
          <w:type w:val="continuous"/>
          <w:pgSz w:w="12240" w:h="15840" w:code="1"/>
          <w:pgMar w:top="1440" w:right="1440" w:bottom="1440" w:left="1440" w:header="720" w:footer="720" w:gutter="0"/>
          <w:cols w:num="2" w:space="550"/>
          <w:docGrid w:linePitch="299"/>
        </w:sectPr>
      </w:pPr>
    </w:p>
    <w:p w:rsidR="0073387B" w:rsidRPr="006B319D" w:rsidRDefault="0073387B" w:rsidP="002645D9">
      <w:pPr>
        <w:pStyle w:val="normal0"/>
        <w:bidi w:val="0"/>
        <w:snapToGrid w:val="0"/>
        <w:spacing w:after="0" w:line="240" w:lineRule="auto"/>
        <w:ind w:firstLine="425"/>
        <w:rPr>
          <w:rFonts w:ascii="Times New Roman" w:hAnsi="Times New Roman" w:cs="Times New Roman"/>
          <w:sz w:val="20"/>
          <w:szCs w:val="24"/>
        </w:rPr>
      </w:pPr>
    </w:p>
    <w:p w:rsidR="0073387B" w:rsidRPr="006B319D" w:rsidRDefault="0010504F" w:rsidP="006B319D">
      <w:pPr>
        <w:pStyle w:val="normal0"/>
        <w:bidi w:val="0"/>
        <w:snapToGrid w:val="0"/>
        <w:spacing w:after="0" w:line="240" w:lineRule="auto"/>
        <w:jc w:val="center"/>
        <w:rPr>
          <w:rFonts w:ascii="Times New Roman" w:hAnsi="Times New Roman" w:cs="Times New Roman"/>
          <w:sz w:val="20"/>
          <w:szCs w:val="20"/>
        </w:rPr>
      </w:pPr>
      <w:r w:rsidRPr="006B319D">
        <w:rPr>
          <w:rFonts w:ascii="Times New Roman" w:hAnsi="Times New Roman" w:cs="Times New Roman"/>
          <w:b/>
          <w:sz w:val="20"/>
          <w:szCs w:val="20"/>
        </w:rPr>
        <w:t>Figure 4-5</w:t>
      </w:r>
      <w:r w:rsidRPr="006B319D">
        <w:rPr>
          <w:rFonts w:ascii="Times New Roman" w:hAnsi="Times New Roman" w:cs="Times New Roman"/>
          <w:sz w:val="20"/>
          <w:szCs w:val="20"/>
        </w:rPr>
        <w:t>: The results of selecting a model to estimate the research model</w:t>
      </w:r>
    </w:p>
    <w:tbl>
      <w:tblPr>
        <w:tblStyle w:val="a1"/>
        <w:bidiVisual/>
        <w:tblW w:w="5000" w:type="pct"/>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CellMar>
          <w:left w:w="57" w:type="dxa"/>
          <w:right w:w="57" w:type="dxa"/>
        </w:tblCellMar>
        <w:tblLook w:val="0000"/>
      </w:tblPr>
      <w:tblGrid>
        <w:gridCol w:w="1672"/>
        <w:gridCol w:w="1569"/>
        <w:gridCol w:w="2768"/>
        <w:gridCol w:w="2387"/>
        <w:gridCol w:w="1078"/>
      </w:tblGrid>
      <w:tr w:rsidR="0075220D" w:rsidRPr="006B319D" w:rsidTr="0075220D">
        <w:trPr>
          <w:jc w:val="center"/>
        </w:trPr>
        <w:tc>
          <w:tcPr>
            <w:tcW w:w="882" w:type="pct"/>
            <w:tcBorders>
              <w:top w:val="single" w:sz="12" w:space="0" w:color="5F5F5F"/>
              <w:left w:val="single" w:sz="12" w:space="0" w:color="5F5F5F"/>
              <w:bottom w:val="single" w:sz="12" w:space="0" w:color="5F5F5F"/>
              <w:right w:val="single" w:sz="4" w:space="0" w:color="5F5F5F"/>
            </w:tcBorders>
            <w:shd w:val="clear" w:color="auto" w:fill="E5E5E5"/>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Test type</w:t>
            </w:r>
            <w:r w:rsidR="006B319D">
              <w:rPr>
                <w:rFonts w:ascii="Times New Roman" w:hAnsi="Times New Roman" w:cs="Times New Roman"/>
                <w:sz w:val="20"/>
                <w:szCs w:val="20"/>
              </w:rPr>
              <w:t xml:space="preserve"> </w:t>
            </w:r>
          </w:p>
        </w:tc>
        <w:tc>
          <w:tcPr>
            <w:tcW w:w="828" w:type="pct"/>
            <w:tcBorders>
              <w:top w:val="single" w:sz="12" w:space="0" w:color="5F5F5F"/>
              <w:left w:val="single" w:sz="4" w:space="0" w:color="5F5F5F"/>
              <w:bottom w:val="single" w:sz="12" w:space="0" w:color="5F5F5F"/>
              <w:right w:val="single" w:sz="4" w:space="0" w:color="5F5F5F"/>
            </w:tcBorders>
            <w:shd w:val="clear" w:color="auto" w:fill="E5E5E5"/>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Test statistic</w:t>
            </w:r>
            <w:r w:rsidR="006B319D">
              <w:rPr>
                <w:rFonts w:ascii="Times New Roman" w:hAnsi="Times New Roman" w:cs="Times New Roman"/>
                <w:sz w:val="20"/>
                <w:szCs w:val="20"/>
              </w:rPr>
              <w:t xml:space="preserve"> </w:t>
            </w:r>
          </w:p>
        </w:tc>
        <w:tc>
          <w:tcPr>
            <w:tcW w:w="1461" w:type="pct"/>
            <w:tcBorders>
              <w:top w:val="single" w:sz="12" w:space="0" w:color="5F5F5F"/>
              <w:left w:val="single" w:sz="4" w:space="0" w:color="5F5F5F"/>
              <w:bottom w:val="single" w:sz="12" w:space="0" w:color="5F5F5F"/>
              <w:right w:val="single" w:sz="4" w:space="0" w:color="5F5F5F"/>
            </w:tcBorders>
            <w:shd w:val="clear" w:color="auto" w:fill="E5E5E5"/>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Amount of test statistic</w:t>
            </w:r>
            <w:r w:rsidR="006B319D">
              <w:rPr>
                <w:rFonts w:ascii="Times New Roman" w:hAnsi="Times New Roman" w:cs="Times New Roman"/>
                <w:sz w:val="20"/>
                <w:szCs w:val="20"/>
              </w:rPr>
              <w:t xml:space="preserve"> </w:t>
            </w:r>
          </w:p>
        </w:tc>
        <w:tc>
          <w:tcPr>
            <w:tcW w:w="1260" w:type="pct"/>
            <w:tcBorders>
              <w:top w:val="single" w:sz="12" w:space="0" w:color="5F5F5F"/>
              <w:left w:val="single" w:sz="4" w:space="0" w:color="5F5F5F"/>
              <w:bottom w:val="single" w:sz="12" w:space="0" w:color="5F5F5F"/>
              <w:right w:val="single" w:sz="4" w:space="0" w:color="5F5F5F"/>
            </w:tcBorders>
            <w:shd w:val="clear" w:color="auto" w:fill="E5E5E5"/>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Degrees of freedom</w:t>
            </w:r>
          </w:p>
        </w:tc>
        <w:tc>
          <w:tcPr>
            <w:tcW w:w="570" w:type="pct"/>
            <w:tcBorders>
              <w:top w:val="single" w:sz="12" w:space="0" w:color="5F5F5F"/>
              <w:left w:val="single" w:sz="4" w:space="0" w:color="5F5F5F"/>
              <w:bottom w:val="single" w:sz="12" w:space="0" w:color="5F5F5F"/>
              <w:right w:val="single" w:sz="12" w:space="0" w:color="5F5F5F"/>
            </w:tcBorders>
            <w:shd w:val="clear" w:color="auto" w:fill="E5E5E5"/>
            <w:vAlign w:val="center"/>
          </w:tcPr>
          <w:p w:rsidR="0073387B" w:rsidRPr="006B319D" w:rsidRDefault="0010504F" w:rsidP="002645D9">
            <w:pPr>
              <w:pStyle w:val="normal0"/>
              <w:bidi w:val="0"/>
              <w:snapToGrid w:val="0"/>
              <w:spacing w:after="0" w:line="240" w:lineRule="auto"/>
              <w:rPr>
                <w:rFonts w:ascii="Times New Roman" w:hAnsi="Times New Roman" w:cs="Times New Roman"/>
                <w:i/>
                <w:sz w:val="20"/>
                <w:szCs w:val="20"/>
              </w:rPr>
            </w:pPr>
            <w:r w:rsidRPr="006B319D">
              <w:rPr>
                <w:rFonts w:ascii="Times New Roman" w:hAnsi="Times New Roman" w:cs="Times New Roman"/>
                <w:i/>
                <w:sz w:val="20"/>
                <w:szCs w:val="20"/>
              </w:rPr>
              <w:t>P-Value</w:t>
            </w:r>
          </w:p>
        </w:tc>
      </w:tr>
      <w:tr w:rsidR="0073387B" w:rsidRPr="006B319D" w:rsidTr="0075220D">
        <w:trPr>
          <w:jc w:val="center"/>
        </w:trPr>
        <w:tc>
          <w:tcPr>
            <w:tcW w:w="882" w:type="pct"/>
            <w:tcBorders>
              <w:top w:val="single" w:sz="12" w:space="0" w:color="5F5F5F"/>
              <w:left w:val="single" w:sz="12" w:space="0" w:color="5F5F5F"/>
              <w:bottom w:val="single" w:sz="4" w:space="0" w:color="5F5F5F"/>
              <w:right w:val="single" w:sz="4" w:space="0" w:color="5F5F5F"/>
            </w:tcBorders>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 xml:space="preserve">F </w:t>
            </w:r>
            <w:proofErr w:type="spellStart"/>
            <w:r w:rsidRPr="006B319D">
              <w:rPr>
                <w:rFonts w:ascii="Times New Roman" w:hAnsi="Times New Roman" w:cs="Times New Roman"/>
                <w:sz w:val="20"/>
                <w:szCs w:val="20"/>
              </w:rPr>
              <w:t>Lemer</w:t>
            </w:r>
            <w:proofErr w:type="spellEnd"/>
            <w:r w:rsidRPr="006B319D">
              <w:rPr>
                <w:rFonts w:ascii="Times New Roman" w:hAnsi="Times New Roman" w:cs="Times New Roman"/>
                <w:sz w:val="20"/>
                <w:szCs w:val="20"/>
              </w:rPr>
              <w:t xml:space="preserve"> Test</w:t>
            </w:r>
            <w:r w:rsidR="006B319D">
              <w:rPr>
                <w:rFonts w:ascii="Times New Roman" w:hAnsi="Times New Roman" w:cs="Times New Roman"/>
                <w:sz w:val="20"/>
                <w:szCs w:val="20"/>
              </w:rPr>
              <w:t xml:space="preserve"> </w:t>
            </w:r>
          </w:p>
        </w:tc>
        <w:tc>
          <w:tcPr>
            <w:tcW w:w="828" w:type="pct"/>
            <w:tcBorders>
              <w:top w:val="single" w:sz="12" w:space="0" w:color="5F5F5F"/>
              <w:left w:val="single" w:sz="4" w:space="0" w:color="5F5F5F"/>
              <w:bottom w:val="single" w:sz="4" w:space="0" w:color="5F5F5F"/>
              <w:right w:val="single" w:sz="4" w:space="0" w:color="5F5F5F"/>
            </w:tcBorders>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noProof/>
                <w:sz w:val="20"/>
                <w:szCs w:val="20"/>
              </w:rPr>
              <w:drawing>
                <wp:inline distT="0" distB="0" distL="114300" distR="114300">
                  <wp:extent cx="180975" cy="180975"/>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1" cstate="print"/>
                          <a:srcRect/>
                          <a:stretch>
                            <a:fillRect/>
                          </a:stretch>
                        </pic:blipFill>
                        <pic:spPr>
                          <a:xfrm>
                            <a:off x="0" y="0"/>
                            <a:ext cx="180975" cy="180975"/>
                          </a:xfrm>
                          <a:prstGeom prst="rect">
                            <a:avLst/>
                          </a:prstGeom>
                          <a:ln/>
                        </pic:spPr>
                      </pic:pic>
                    </a:graphicData>
                  </a:graphic>
                </wp:inline>
              </w:drawing>
            </w:r>
          </w:p>
        </w:tc>
        <w:tc>
          <w:tcPr>
            <w:tcW w:w="1461" w:type="pct"/>
            <w:tcBorders>
              <w:top w:val="single" w:sz="12" w:space="0" w:color="5F5F5F"/>
              <w:left w:val="single" w:sz="4" w:space="0" w:color="5F5F5F"/>
              <w:bottom w:val="single" w:sz="4" w:space="0" w:color="5F5F5F"/>
              <w:right w:val="single" w:sz="4" w:space="0" w:color="5F5F5F"/>
            </w:tcBorders>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19.092</w:t>
            </w:r>
          </w:p>
        </w:tc>
        <w:tc>
          <w:tcPr>
            <w:tcW w:w="1260" w:type="pct"/>
            <w:tcBorders>
              <w:top w:val="single" w:sz="12" w:space="0" w:color="5F5F5F"/>
              <w:left w:val="single" w:sz="4" w:space="0" w:color="5F5F5F"/>
              <w:bottom w:val="single" w:sz="4" w:space="0" w:color="5F5F5F"/>
              <w:right w:val="single" w:sz="4" w:space="0" w:color="5F5F5F"/>
            </w:tcBorders>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(630،167)</w:t>
            </w:r>
          </w:p>
        </w:tc>
        <w:tc>
          <w:tcPr>
            <w:tcW w:w="570" w:type="pct"/>
            <w:tcBorders>
              <w:top w:val="single" w:sz="12" w:space="0" w:color="5F5F5F"/>
              <w:left w:val="single" w:sz="4" w:space="0" w:color="5F5F5F"/>
              <w:bottom w:val="single" w:sz="4" w:space="0" w:color="5F5F5F"/>
              <w:right w:val="single" w:sz="12" w:space="0" w:color="5F5F5F"/>
            </w:tcBorders>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0.0000</w:t>
            </w:r>
          </w:p>
        </w:tc>
      </w:tr>
      <w:tr w:rsidR="0073387B" w:rsidRPr="006B319D" w:rsidTr="0075220D">
        <w:trPr>
          <w:jc w:val="center"/>
        </w:trPr>
        <w:tc>
          <w:tcPr>
            <w:tcW w:w="882" w:type="pct"/>
            <w:tcBorders>
              <w:top w:val="single" w:sz="4" w:space="0" w:color="5F5F5F"/>
              <w:left w:val="single" w:sz="12" w:space="0" w:color="5F5F5F"/>
              <w:bottom w:val="single" w:sz="12" w:space="0" w:color="5F5F5F"/>
              <w:right w:val="single" w:sz="4" w:space="0" w:color="5F5F5F"/>
            </w:tcBorders>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proofErr w:type="spellStart"/>
            <w:r w:rsidRPr="006B319D">
              <w:rPr>
                <w:rFonts w:ascii="Times New Roman" w:hAnsi="Times New Roman" w:cs="Times New Roman"/>
                <w:sz w:val="20"/>
                <w:szCs w:val="20"/>
              </w:rPr>
              <w:t>Hasman</w:t>
            </w:r>
            <w:proofErr w:type="spellEnd"/>
            <w:r w:rsidRPr="006B319D">
              <w:rPr>
                <w:rFonts w:ascii="Times New Roman" w:hAnsi="Times New Roman" w:cs="Times New Roman"/>
                <w:sz w:val="20"/>
                <w:szCs w:val="20"/>
              </w:rPr>
              <w:t xml:space="preserve"> test</w:t>
            </w:r>
            <w:r w:rsidR="006B319D">
              <w:rPr>
                <w:rFonts w:ascii="Times New Roman" w:hAnsi="Times New Roman" w:cs="Times New Roman"/>
                <w:sz w:val="20"/>
                <w:szCs w:val="20"/>
              </w:rPr>
              <w:t xml:space="preserve"> </w:t>
            </w:r>
          </w:p>
        </w:tc>
        <w:tc>
          <w:tcPr>
            <w:tcW w:w="828" w:type="pct"/>
            <w:tcBorders>
              <w:top w:val="single" w:sz="4" w:space="0" w:color="5F5F5F"/>
              <w:left w:val="single" w:sz="4" w:space="0" w:color="5F5F5F"/>
              <w:bottom w:val="single" w:sz="12" w:space="0" w:color="5F5F5F"/>
              <w:right w:val="single" w:sz="4" w:space="0" w:color="5F5F5F"/>
            </w:tcBorders>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noProof/>
                <w:sz w:val="20"/>
                <w:szCs w:val="33"/>
                <w:vertAlign w:val="subscript"/>
              </w:rPr>
              <w:drawing>
                <wp:inline distT="0" distB="0" distL="114300" distR="114300">
                  <wp:extent cx="238125" cy="238125"/>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2" cstate="print"/>
                          <a:srcRect/>
                          <a:stretch>
                            <a:fillRect/>
                          </a:stretch>
                        </pic:blipFill>
                        <pic:spPr>
                          <a:xfrm>
                            <a:off x="0" y="0"/>
                            <a:ext cx="238125" cy="238125"/>
                          </a:xfrm>
                          <a:prstGeom prst="rect">
                            <a:avLst/>
                          </a:prstGeom>
                          <a:ln/>
                        </pic:spPr>
                      </pic:pic>
                    </a:graphicData>
                  </a:graphic>
                </wp:inline>
              </w:drawing>
            </w:r>
          </w:p>
        </w:tc>
        <w:tc>
          <w:tcPr>
            <w:tcW w:w="1461" w:type="pct"/>
            <w:tcBorders>
              <w:top w:val="single" w:sz="4" w:space="0" w:color="5F5F5F"/>
              <w:left w:val="single" w:sz="4" w:space="0" w:color="5F5F5F"/>
              <w:bottom w:val="single" w:sz="12" w:space="0" w:color="5F5F5F"/>
              <w:right w:val="single" w:sz="4" w:space="0" w:color="5F5F5F"/>
            </w:tcBorders>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57.431</w:t>
            </w:r>
          </w:p>
        </w:tc>
        <w:tc>
          <w:tcPr>
            <w:tcW w:w="1260" w:type="pct"/>
            <w:tcBorders>
              <w:top w:val="single" w:sz="4" w:space="0" w:color="5F5F5F"/>
              <w:left w:val="single" w:sz="4" w:space="0" w:color="5F5F5F"/>
              <w:bottom w:val="single" w:sz="12" w:space="0" w:color="5F5F5F"/>
              <w:right w:val="single" w:sz="4" w:space="0" w:color="5F5F5F"/>
            </w:tcBorders>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23</w:t>
            </w:r>
          </w:p>
        </w:tc>
        <w:tc>
          <w:tcPr>
            <w:tcW w:w="570" w:type="pct"/>
            <w:tcBorders>
              <w:top w:val="single" w:sz="4" w:space="0" w:color="5F5F5F"/>
              <w:left w:val="single" w:sz="4" w:space="0" w:color="5F5F5F"/>
              <w:bottom w:val="single" w:sz="12" w:space="0" w:color="5F5F5F"/>
              <w:right w:val="single" w:sz="12" w:space="0" w:color="5F5F5F"/>
            </w:tcBorders>
            <w:vAlign w:val="center"/>
          </w:tcPr>
          <w:p w:rsidR="0073387B" w:rsidRPr="006B319D" w:rsidRDefault="0010504F" w:rsidP="002645D9">
            <w:pPr>
              <w:pStyle w:val="normal0"/>
              <w:bidi w:val="0"/>
              <w:snapToGrid w:val="0"/>
              <w:spacing w:after="0" w:line="240" w:lineRule="auto"/>
              <w:rPr>
                <w:rFonts w:ascii="Times New Roman" w:hAnsi="Times New Roman" w:cs="Times New Roman"/>
                <w:sz w:val="20"/>
                <w:szCs w:val="20"/>
              </w:rPr>
            </w:pPr>
            <w:r w:rsidRPr="006B319D">
              <w:rPr>
                <w:rFonts w:ascii="Times New Roman" w:hAnsi="Times New Roman" w:cs="Times New Roman"/>
                <w:sz w:val="20"/>
                <w:szCs w:val="20"/>
              </w:rPr>
              <w:t>0.0000</w:t>
            </w:r>
          </w:p>
        </w:tc>
      </w:tr>
    </w:tbl>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pP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75220D">
          <w:headerReference w:type="default" r:id="rId43"/>
          <w:footerReference w:type="default" r:id="rId44"/>
          <w:type w:val="continuous"/>
          <w:pgSz w:w="12240" w:h="15840" w:code="1"/>
          <w:pgMar w:top="1440" w:right="1440" w:bottom="1440" w:left="1440" w:header="720" w:footer="720" w:gutter="0"/>
          <w:cols w:space="720"/>
          <w:docGrid w:linePitch="299"/>
        </w:sectPr>
      </w:pP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lastRenderedPageBreak/>
        <w:t>According to the results of the F-</w:t>
      </w:r>
      <w:proofErr w:type="spellStart"/>
      <w:r w:rsidRPr="006B319D">
        <w:rPr>
          <w:rFonts w:ascii="Times New Roman" w:hAnsi="Times New Roman" w:cs="Times New Roman"/>
          <w:sz w:val="20"/>
          <w:szCs w:val="24"/>
        </w:rPr>
        <w:t>Limer</w:t>
      </w:r>
      <w:proofErr w:type="spellEnd"/>
      <w:r w:rsidRPr="006B319D">
        <w:rPr>
          <w:rFonts w:ascii="Times New Roman" w:hAnsi="Times New Roman" w:cs="Times New Roman"/>
          <w:sz w:val="20"/>
          <w:szCs w:val="24"/>
        </w:rPr>
        <w:t xml:space="preserve"> test, since the </w:t>
      </w:r>
      <w:r w:rsidRPr="006B319D">
        <w:rPr>
          <w:rFonts w:ascii="Times New Roman" w:hAnsi="Times New Roman" w:cs="Times New Roman"/>
          <w:i/>
          <w:sz w:val="20"/>
          <w:szCs w:val="24"/>
        </w:rPr>
        <w:t>P-Value</w:t>
      </w:r>
      <w:r w:rsidRPr="006B319D">
        <w:rPr>
          <w:rFonts w:ascii="Times New Roman" w:hAnsi="Times New Roman" w:cs="Times New Roman"/>
          <w:sz w:val="20"/>
          <w:szCs w:val="24"/>
        </w:rPr>
        <w:t xml:space="preserve"> of this test is less than 0.05 (0.0000), the homology of the width of the source is rejected </w:t>
      </w:r>
      <w:r w:rsidRPr="006B319D">
        <w:rPr>
          <w:rFonts w:ascii="Times New Roman" w:hAnsi="Times New Roman" w:cs="Times New Roman"/>
          <w:sz w:val="20"/>
          <w:szCs w:val="24"/>
        </w:rPr>
        <w:lastRenderedPageBreak/>
        <w:t>and it is required that panel data method is used in estimating the model.</w:t>
      </w: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6B319D">
          <w:headerReference w:type="default" r:id="rId45"/>
          <w:footerReference w:type="default" r:id="rId46"/>
          <w:type w:val="continuous"/>
          <w:pgSz w:w="12240" w:h="15840" w:code="1"/>
          <w:pgMar w:top="1440" w:right="1440" w:bottom="1440" w:left="1440" w:header="720" w:footer="720" w:gutter="0"/>
          <w:cols w:num="2" w:space="550"/>
          <w:docGrid w:linePitch="299"/>
        </w:sectPr>
      </w:pPr>
    </w:p>
    <w:p w:rsidR="0073387B" w:rsidRPr="006B319D" w:rsidRDefault="0073387B" w:rsidP="002645D9">
      <w:pPr>
        <w:pStyle w:val="normal0"/>
        <w:bidi w:val="0"/>
        <w:snapToGrid w:val="0"/>
        <w:spacing w:after="0" w:line="240" w:lineRule="auto"/>
        <w:ind w:firstLine="425"/>
        <w:rPr>
          <w:rFonts w:ascii="Times New Roman" w:hAnsi="Times New Roman" w:cs="Times New Roman"/>
          <w:sz w:val="20"/>
          <w:szCs w:val="24"/>
        </w:rPr>
      </w:pPr>
    </w:p>
    <w:p w:rsidR="0073387B" w:rsidRPr="006B319D" w:rsidRDefault="0010504F" w:rsidP="006B319D">
      <w:pPr>
        <w:pStyle w:val="normal0"/>
        <w:bidi w:val="0"/>
        <w:snapToGrid w:val="0"/>
        <w:spacing w:after="0" w:line="240" w:lineRule="auto"/>
        <w:jc w:val="center"/>
        <w:rPr>
          <w:rFonts w:ascii="Times New Roman" w:hAnsi="Times New Roman" w:cs="Times New Roman"/>
          <w:sz w:val="20"/>
          <w:szCs w:val="20"/>
        </w:rPr>
      </w:pPr>
      <w:r w:rsidRPr="006B319D">
        <w:rPr>
          <w:rFonts w:ascii="Times New Roman" w:hAnsi="Times New Roman" w:cs="Times New Roman"/>
          <w:b/>
          <w:sz w:val="20"/>
          <w:szCs w:val="20"/>
        </w:rPr>
        <w:t>Figure 4-6</w:t>
      </w:r>
      <w:r w:rsidRPr="006B319D">
        <w:rPr>
          <w:rFonts w:ascii="Times New Roman" w:hAnsi="Times New Roman" w:cs="Times New Roman"/>
          <w:sz w:val="20"/>
          <w:szCs w:val="20"/>
        </w:rPr>
        <w:t>: The results of estimating research model</w:t>
      </w:r>
    </w:p>
    <w:tbl>
      <w:tblPr>
        <w:tblStyle w:val="a2"/>
        <w:bidiVisual/>
        <w:tblW w:w="5000" w:type="pct"/>
        <w:jc w:val="center"/>
        <w:tblCellMar>
          <w:left w:w="57" w:type="dxa"/>
          <w:right w:w="57" w:type="dxa"/>
        </w:tblCellMar>
        <w:tblLook w:val="0000"/>
      </w:tblPr>
      <w:tblGrid>
        <w:gridCol w:w="2306"/>
        <w:gridCol w:w="2306"/>
        <w:gridCol w:w="2143"/>
        <w:gridCol w:w="1751"/>
        <w:gridCol w:w="968"/>
      </w:tblGrid>
      <w:tr w:rsidR="0073387B" w:rsidRPr="006B319D" w:rsidTr="0075220D">
        <w:trPr>
          <w:jc w:val="center"/>
        </w:trPr>
        <w:tc>
          <w:tcPr>
            <w:tcW w:w="5000" w:type="pct"/>
            <w:gridSpan w:val="5"/>
            <w:tcBorders>
              <w:top w:val="single" w:sz="12" w:space="0" w:color="000000"/>
              <w:left w:val="single" w:sz="12" w:space="0" w:color="000000"/>
              <w:bottom w:val="single" w:sz="12" w:space="0" w:color="000000"/>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8"/>
              </w:rPr>
            </w:pPr>
            <w:r w:rsidRPr="006B319D">
              <w:rPr>
                <w:rFonts w:ascii="Times New Roman" w:eastAsia="Times New Roman" w:hAnsi="Times New Roman" w:cs="Times New Roman"/>
                <w:sz w:val="20"/>
                <w:szCs w:val="24"/>
              </w:rPr>
              <w:t>Dependent variable: net profit</w:t>
            </w:r>
            <w:r w:rsidR="006B319D">
              <w:rPr>
                <w:rFonts w:ascii="Times New Roman" w:eastAsia="Times New Roman" w:hAnsi="Times New Roman" w:cs="Times New Roman"/>
                <w:sz w:val="20"/>
                <w:szCs w:val="24"/>
              </w:rPr>
              <w:t xml:space="preserve"> </w:t>
            </w:r>
          </w:p>
        </w:tc>
      </w:tr>
      <w:tr w:rsidR="0073387B" w:rsidRPr="006B319D" w:rsidTr="0075220D">
        <w:trPr>
          <w:jc w:val="center"/>
        </w:trPr>
        <w:tc>
          <w:tcPr>
            <w:tcW w:w="1217" w:type="pct"/>
            <w:tcBorders>
              <w:top w:val="single" w:sz="12" w:space="0" w:color="000000"/>
              <w:left w:val="single" w:sz="12" w:space="0" w:color="000000"/>
              <w:bottom w:val="single" w:sz="12" w:space="0" w:color="000000"/>
              <w:right w:val="nil"/>
            </w:tcBorders>
            <w:shd w:val="clear" w:color="auto" w:fill="E5E5E5"/>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8"/>
              </w:rPr>
            </w:pPr>
            <w:r w:rsidRPr="006B319D">
              <w:rPr>
                <w:rFonts w:ascii="Times New Roman" w:eastAsia="Times New Roman" w:hAnsi="Times New Roman" w:cs="Times New Roman"/>
                <w:sz w:val="20"/>
                <w:szCs w:val="24"/>
              </w:rPr>
              <w:t>Variable</w:t>
            </w:r>
            <w:r w:rsidR="006B319D">
              <w:rPr>
                <w:rFonts w:ascii="Times New Roman" w:eastAsia="Times New Roman" w:hAnsi="Times New Roman" w:cs="Times New Roman"/>
                <w:sz w:val="20"/>
                <w:szCs w:val="24"/>
              </w:rPr>
              <w:t xml:space="preserve"> </w:t>
            </w:r>
          </w:p>
        </w:tc>
        <w:tc>
          <w:tcPr>
            <w:tcW w:w="1217" w:type="pct"/>
            <w:tcBorders>
              <w:top w:val="single" w:sz="12" w:space="0" w:color="000000"/>
              <w:left w:val="nil"/>
              <w:bottom w:val="single" w:sz="12" w:space="0" w:color="000000"/>
              <w:right w:val="nil"/>
            </w:tcBorders>
            <w:shd w:val="clear" w:color="auto" w:fill="E5E5E5"/>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8"/>
              </w:rPr>
            </w:pPr>
            <w:r w:rsidRPr="006B319D">
              <w:rPr>
                <w:rFonts w:ascii="Times New Roman" w:eastAsia="Times New Roman" w:hAnsi="Times New Roman" w:cs="Times New Roman"/>
                <w:sz w:val="20"/>
                <w:szCs w:val="24"/>
              </w:rPr>
              <w:t>Coefficient</w:t>
            </w:r>
            <w:r w:rsidR="006B319D">
              <w:rPr>
                <w:rFonts w:ascii="Times New Roman" w:eastAsia="Times New Roman" w:hAnsi="Times New Roman" w:cs="Times New Roman"/>
                <w:sz w:val="20"/>
                <w:szCs w:val="24"/>
              </w:rPr>
              <w:t xml:space="preserve"> </w:t>
            </w:r>
          </w:p>
        </w:tc>
        <w:tc>
          <w:tcPr>
            <w:tcW w:w="1131" w:type="pct"/>
            <w:tcBorders>
              <w:top w:val="single" w:sz="12" w:space="0" w:color="000000"/>
              <w:left w:val="nil"/>
              <w:bottom w:val="single" w:sz="12" w:space="0" w:color="000000"/>
              <w:right w:val="nil"/>
            </w:tcBorders>
            <w:shd w:val="clear" w:color="auto" w:fill="E5E5E5"/>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8"/>
              </w:rPr>
            </w:pPr>
            <w:r w:rsidRPr="006B319D">
              <w:rPr>
                <w:rFonts w:ascii="Times New Roman" w:eastAsia="Times New Roman" w:hAnsi="Times New Roman" w:cs="Times New Roman"/>
                <w:sz w:val="20"/>
                <w:szCs w:val="24"/>
              </w:rPr>
              <w:t>Statistics t</w:t>
            </w:r>
            <w:r w:rsidR="006B319D">
              <w:rPr>
                <w:rFonts w:ascii="Times New Roman" w:eastAsia="Times New Roman" w:hAnsi="Times New Roman" w:cs="Times New Roman"/>
                <w:sz w:val="20"/>
                <w:szCs w:val="24"/>
              </w:rPr>
              <w:t xml:space="preserve"> </w:t>
            </w:r>
          </w:p>
        </w:tc>
        <w:tc>
          <w:tcPr>
            <w:tcW w:w="924" w:type="pct"/>
            <w:tcBorders>
              <w:top w:val="single" w:sz="12" w:space="0" w:color="000000"/>
              <w:left w:val="nil"/>
              <w:bottom w:val="single" w:sz="12" w:space="0" w:color="000000"/>
              <w:right w:val="nil"/>
            </w:tcBorders>
            <w:shd w:val="clear" w:color="auto" w:fill="E5E5E5"/>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8"/>
              </w:rPr>
            </w:pPr>
            <w:r w:rsidRPr="006B319D">
              <w:rPr>
                <w:rFonts w:ascii="Times New Roman" w:eastAsia="Times New Roman" w:hAnsi="Times New Roman" w:cs="Times New Roman"/>
                <w:i/>
                <w:sz w:val="20"/>
                <w:szCs w:val="28"/>
              </w:rPr>
              <w:t>P-Value</w:t>
            </w:r>
          </w:p>
        </w:tc>
        <w:tc>
          <w:tcPr>
            <w:tcW w:w="510" w:type="pct"/>
            <w:tcBorders>
              <w:top w:val="single" w:sz="12" w:space="0" w:color="000000"/>
              <w:left w:val="nil"/>
              <w:bottom w:val="single" w:sz="12" w:space="0" w:color="000000"/>
              <w:right w:val="single" w:sz="12" w:space="0" w:color="000000"/>
            </w:tcBorders>
            <w:shd w:val="clear" w:color="auto" w:fill="E5E5E5"/>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i/>
                <w:sz w:val="20"/>
                <w:szCs w:val="28"/>
              </w:rPr>
            </w:pPr>
            <w:r w:rsidRPr="006B319D">
              <w:rPr>
                <w:rFonts w:ascii="Times New Roman" w:eastAsia="Times New Roman" w:hAnsi="Times New Roman" w:cs="Times New Roman"/>
                <w:i/>
                <w:sz w:val="20"/>
                <w:szCs w:val="28"/>
              </w:rPr>
              <w:t>VIF</w:t>
            </w:r>
          </w:p>
        </w:tc>
      </w:tr>
      <w:tr w:rsidR="0073387B" w:rsidRPr="006B319D" w:rsidTr="0075220D">
        <w:trPr>
          <w:jc w:val="center"/>
        </w:trPr>
        <w:tc>
          <w:tcPr>
            <w:tcW w:w="1217" w:type="pct"/>
            <w:tcBorders>
              <w:top w:val="single" w:sz="12" w:space="0" w:color="000000"/>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C</w:t>
            </w:r>
          </w:p>
        </w:tc>
        <w:tc>
          <w:tcPr>
            <w:tcW w:w="1217" w:type="pct"/>
            <w:tcBorders>
              <w:top w:val="single" w:sz="12" w:space="0" w:color="000000"/>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1397699-</w:t>
            </w:r>
          </w:p>
        </w:tc>
        <w:tc>
          <w:tcPr>
            <w:tcW w:w="1131" w:type="pct"/>
            <w:tcBorders>
              <w:top w:val="single" w:sz="12" w:space="0" w:color="000000"/>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-6.486</w:t>
            </w:r>
          </w:p>
        </w:tc>
        <w:tc>
          <w:tcPr>
            <w:tcW w:w="924" w:type="pct"/>
            <w:tcBorders>
              <w:top w:val="single" w:sz="12" w:space="0" w:color="000000"/>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0.000</w:t>
            </w:r>
          </w:p>
        </w:tc>
        <w:tc>
          <w:tcPr>
            <w:tcW w:w="510" w:type="pct"/>
            <w:tcBorders>
              <w:top w:val="single" w:sz="12" w:space="0" w:color="000000"/>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w:t>
            </w:r>
          </w:p>
        </w:tc>
      </w:tr>
      <w:tr w:rsidR="0073387B" w:rsidRPr="006B319D" w:rsidTr="0075220D">
        <w:trPr>
          <w:jc w:val="center"/>
        </w:trPr>
        <w:tc>
          <w:tcPr>
            <w:tcW w:w="1217"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NEG</w:t>
            </w:r>
          </w:p>
        </w:tc>
        <w:tc>
          <w:tcPr>
            <w:tcW w:w="121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174808.4</w:t>
            </w:r>
          </w:p>
        </w:tc>
        <w:tc>
          <w:tcPr>
            <w:tcW w:w="1131"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0.895</w:t>
            </w:r>
          </w:p>
        </w:tc>
        <w:tc>
          <w:tcPr>
            <w:tcW w:w="92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0.3709</w:t>
            </w:r>
          </w:p>
        </w:tc>
        <w:tc>
          <w:tcPr>
            <w:tcW w:w="51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3.645</w:t>
            </w:r>
          </w:p>
        </w:tc>
      </w:tr>
      <w:tr w:rsidR="0073387B" w:rsidRPr="006B319D" w:rsidTr="0075220D">
        <w:trPr>
          <w:jc w:val="center"/>
        </w:trPr>
        <w:tc>
          <w:tcPr>
            <w:tcW w:w="1217"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RET</w:t>
            </w:r>
          </w:p>
        </w:tc>
        <w:tc>
          <w:tcPr>
            <w:tcW w:w="121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-919.650</w:t>
            </w:r>
          </w:p>
        </w:tc>
        <w:tc>
          <w:tcPr>
            <w:tcW w:w="1131"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-1.330</w:t>
            </w:r>
          </w:p>
        </w:tc>
        <w:tc>
          <w:tcPr>
            <w:tcW w:w="92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0.1839</w:t>
            </w:r>
          </w:p>
        </w:tc>
        <w:tc>
          <w:tcPr>
            <w:tcW w:w="51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2.159</w:t>
            </w:r>
          </w:p>
        </w:tc>
      </w:tr>
      <w:tr w:rsidR="0073387B" w:rsidRPr="006B319D" w:rsidTr="0075220D">
        <w:trPr>
          <w:jc w:val="center"/>
        </w:trPr>
        <w:tc>
          <w:tcPr>
            <w:tcW w:w="1217"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RET*NEG</w:t>
            </w:r>
          </w:p>
        </w:tc>
        <w:tc>
          <w:tcPr>
            <w:tcW w:w="121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17815.33</w:t>
            </w:r>
          </w:p>
        </w:tc>
        <w:tc>
          <w:tcPr>
            <w:tcW w:w="1131"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2.384</w:t>
            </w:r>
          </w:p>
        </w:tc>
        <w:tc>
          <w:tcPr>
            <w:tcW w:w="92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0.0174</w:t>
            </w:r>
          </w:p>
        </w:tc>
        <w:tc>
          <w:tcPr>
            <w:tcW w:w="51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3.778</w:t>
            </w:r>
          </w:p>
        </w:tc>
      </w:tr>
      <w:tr w:rsidR="0073387B" w:rsidRPr="006B319D" w:rsidTr="0075220D">
        <w:trPr>
          <w:jc w:val="center"/>
        </w:trPr>
        <w:tc>
          <w:tcPr>
            <w:tcW w:w="1217"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IO</w:t>
            </w:r>
          </w:p>
        </w:tc>
        <w:tc>
          <w:tcPr>
            <w:tcW w:w="121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2319.52</w:t>
            </w:r>
          </w:p>
        </w:tc>
        <w:tc>
          <w:tcPr>
            <w:tcW w:w="1131"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2.781</w:t>
            </w:r>
          </w:p>
        </w:tc>
        <w:tc>
          <w:tcPr>
            <w:tcW w:w="92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0.0056</w:t>
            </w:r>
          </w:p>
        </w:tc>
        <w:tc>
          <w:tcPr>
            <w:tcW w:w="51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4,947</w:t>
            </w:r>
          </w:p>
        </w:tc>
      </w:tr>
      <w:tr w:rsidR="0073387B" w:rsidRPr="006B319D" w:rsidTr="0075220D">
        <w:trPr>
          <w:jc w:val="center"/>
        </w:trPr>
        <w:tc>
          <w:tcPr>
            <w:tcW w:w="1217"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CONOWN</w:t>
            </w:r>
          </w:p>
        </w:tc>
        <w:tc>
          <w:tcPr>
            <w:tcW w:w="121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-1972.81</w:t>
            </w:r>
          </w:p>
        </w:tc>
        <w:tc>
          <w:tcPr>
            <w:tcW w:w="1131"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-2.802</w:t>
            </w:r>
          </w:p>
        </w:tc>
        <w:tc>
          <w:tcPr>
            <w:tcW w:w="92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0.0052</w:t>
            </w:r>
          </w:p>
        </w:tc>
        <w:tc>
          <w:tcPr>
            <w:tcW w:w="51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4.474</w:t>
            </w:r>
          </w:p>
        </w:tc>
      </w:tr>
      <w:tr w:rsidR="0073387B" w:rsidRPr="006B319D" w:rsidTr="0075220D">
        <w:trPr>
          <w:jc w:val="center"/>
        </w:trPr>
        <w:tc>
          <w:tcPr>
            <w:tcW w:w="1217" w:type="pct"/>
            <w:tcBorders>
              <w:top w:val="single" w:sz="4" w:space="0" w:color="5F5F5F"/>
              <w:left w:val="single" w:sz="12" w:space="0" w:color="000000"/>
              <w:bottom w:val="single" w:sz="12" w:space="0" w:color="000000"/>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SIZE</w:t>
            </w:r>
          </w:p>
        </w:tc>
        <w:tc>
          <w:tcPr>
            <w:tcW w:w="1217" w:type="pct"/>
            <w:tcBorders>
              <w:top w:val="single" w:sz="4" w:space="0" w:color="5F5F5F"/>
              <w:left w:val="nil"/>
              <w:bottom w:val="single" w:sz="12" w:space="0" w:color="000000"/>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101805.4</w:t>
            </w:r>
          </w:p>
        </w:tc>
        <w:tc>
          <w:tcPr>
            <w:tcW w:w="1131" w:type="pct"/>
            <w:tcBorders>
              <w:top w:val="single" w:sz="4" w:space="0" w:color="5F5F5F"/>
              <w:left w:val="nil"/>
              <w:bottom w:val="single" w:sz="12" w:space="0" w:color="000000"/>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6.678</w:t>
            </w:r>
          </w:p>
        </w:tc>
        <w:tc>
          <w:tcPr>
            <w:tcW w:w="924" w:type="pct"/>
            <w:tcBorders>
              <w:top w:val="single" w:sz="4" w:space="0" w:color="5F5F5F"/>
              <w:left w:val="nil"/>
              <w:bottom w:val="single" w:sz="12" w:space="0" w:color="000000"/>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0.000</w:t>
            </w:r>
          </w:p>
        </w:tc>
        <w:tc>
          <w:tcPr>
            <w:tcW w:w="510" w:type="pct"/>
            <w:tcBorders>
              <w:top w:val="single" w:sz="4" w:space="0" w:color="5F5F5F"/>
              <w:left w:val="nil"/>
              <w:bottom w:val="single" w:sz="12" w:space="0" w:color="000000"/>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3.427</w:t>
            </w:r>
          </w:p>
        </w:tc>
      </w:tr>
    </w:tbl>
    <w:p w:rsidR="0073387B" w:rsidRDefault="0073387B" w:rsidP="002645D9">
      <w:pPr>
        <w:pStyle w:val="normal0"/>
        <w:bidi w:val="0"/>
        <w:snapToGrid w:val="0"/>
        <w:spacing w:after="0" w:line="240" w:lineRule="auto"/>
        <w:rPr>
          <w:rFonts w:ascii="Times New Roman" w:hAnsi="Times New Roman" w:cs="Times New Roman" w:hint="eastAsia"/>
          <w:b/>
          <w:sz w:val="20"/>
          <w:szCs w:val="24"/>
        </w:rPr>
      </w:pPr>
    </w:p>
    <w:p w:rsidR="006F7F04" w:rsidRPr="006B319D" w:rsidRDefault="006F7F04" w:rsidP="006F7F04">
      <w:pPr>
        <w:pStyle w:val="normal0"/>
        <w:bidi w:val="0"/>
        <w:snapToGrid w:val="0"/>
        <w:spacing w:after="0" w:line="240" w:lineRule="auto"/>
        <w:rPr>
          <w:rFonts w:ascii="Times New Roman" w:hAnsi="Times New Roman" w:cs="Times New Roman"/>
          <w:b/>
          <w:sz w:val="20"/>
          <w:szCs w:val="24"/>
        </w:rPr>
      </w:pPr>
    </w:p>
    <w:p w:rsidR="0073387B" w:rsidRPr="006B319D" w:rsidRDefault="0010504F" w:rsidP="006B319D">
      <w:pPr>
        <w:pStyle w:val="normal0"/>
        <w:bidi w:val="0"/>
        <w:snapToGrid w:val="0"/>
        <w:spacing w:after="0" w:line="240" w:lineRule="auto"/>
        <w:jc w:val="center"/>
        <w:rPr>
          <w:rFonts w:ascii="Times New Roman" w:hAnsi="Times New Roman" w:cs="Times New Roman"/>
          <w:sz w:val="20"/>
          <w:szCs w:val="24"/>
        </w:rPr>
      </w:pPr>
      <w:r w:rsidRPr="006B319D">
        <w:rPr>
          <w:rFonts w:ascii="Times New Roman" w:hAnsi="Times New Roman" w:cs="Times New Roman"/>
          <w:b/>
          <w:sz w:val="20"/>
          <w:szCs w:val="24"/>
        </w:rPr>
        <w:t>Continued Figure 4-6</w:t>
      </w:r>
      <w:r w:rsidRPr="006B319D">
        <w:rPr>
          <w:rFonts w:ascii="Times New Roman" w:hAnsi="Times New Roman" w:cs="Times New Roman"/>
          <w:sz w:val="20"/>
          <w:szCs w:val="24"/>
        </w:rPr>
        <w:t>: The results of estimating research model</w:t>
      </w:r>
    </w:p>
    <w:tbl>
      <w:tblPr>
        <w:tblStyle w:val="a3"/>
        <w:bidiVisual/>
        <w:tblW w:w="5000" w:type="pct"/>
        <w:jc w:val="center"/>
        <w:tblCellMar>
          <w:left w:w="57" w:type="dxa"/>
          <w:right w:w="57" w:type="dxa"/>
        </w:tblCellMar>
        <w:tblLook w:val="0000"/>
      </w:tblPr>
      <w:tblGrid>
        <w:gridCol w:w="3036"/>
        <w:gridCol w:w="1491"/>
        <w:gridCol w:w="3191"/>
        <w:gridCol w:w="1133"/>
        <w:gridCol w:w="623"/>
      </w:tblGrid>
      <w:tr w:rsidR="0075220D" w:rsidRPr="006B319D" w:rsidTr="0075220D">
        <w:trPr>
          <w:jc w:val="center"/>
        </w:trPr>
        <w:tc>
          <w:tcPr>
            <w:tcW w:w="1602" w:type="pct"/>
            <w:tcBorders>
              <w:top w:val="single" w:sz="12" w:space="0" w:color="000000"/>
              <w:left w:val="single" w:sz="12" w:space="0" w:color="000000"/>
              <w:bottom w:val="single" w:sz="12" w:space="0" w:color="000000"/>
              <w:right w:val="nil"/>
            </w:tcBorders>
            <w:shd w:val="clear" w:color="auto" w:fill="E5E5E5"/>
            <w:vAlign w:val="center"/>
          </w:tcPr>
          <w:p w:rsidR="0073387B" w:rsidRPr="006B319D" w:rsidRDefault="0010504F" w:rsidP="006B319D">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Variable</w:t>
            </w:r>
          </w:p>
        </w:tc>
        <w:tc>
          <w:tcPr>
            <w:tcW w:w="787" w:type="pct"/>
            <w:tcBorders>
              <w:top w:val="single" w:sz="12" w:space="0" w:color="000000"/>
              <w:left w:val="nil"/>
              <w:bottom w:val="single" w:sz="12" w:space="0" w:color="000000"/>
              <w:right w:val="nil"/>
            </w:tcBorders>
            <w:shd w:val="clear" w:color="auto" w:fill="E5E5E5"/>
            <w:vAlign w:val="center"/>
          </w:tcPr>
          <w:p w:rsidR="0073387B" w:rsidRPr="006B319D" w:rsidRDefault="0010504F" w:rsidP="006B319D">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Coefficient</w:t>
            </w:r>
          </w:p>
        </w:tc>
        <w:tc>
          <w:tcPr>
            <w:tcW w:w="1684" w:type="pct"/>
            <w:tcBorders>
              <w:top w:val="single" w:sz="12" w:space="0" w:color="000000"/>
              <w:left w:val="nil"/>
              <w:bottom w:val="single" w:sz="12" w:space="0" w:color="000000"/>
              <w:right w:val="nil"/>
            </w:tcBorders>
            <w:shd w:val="clear" w:color="auto" w:fill="E5E5E5"/>
            <w:vAlign w:val="center"/>
          </w:tcPr>
          <w:p w:rsidR="0073387B" w:rsidRPr="006B319D" w:rsidRDefault="0010504F" w:rsidP="006B319D">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Statistics t</w:t>
            </w:r>
          </w:p>
        </w:tc>
        <w:tc>
          <w:tcPr>
            <w:tcW w:w="598" w:type="pct"/>
            <w:tcBorders>
              <w:top w:val="single" w:sz="12" w:space="0" w:color="000000"/>
              <w:left w:val="nil"/>
              <w:bottom w:val="single" w:sz="12" w:space="0" w:color="000000"/>
              <w:right w:val="nil"/>
            </w:tcBorders>
            <w:shd w:val="clear" w:color="auto" w:fill="E5E5E5"/>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i/>
                <w:sz w:val="20"/>
                <w:szCs w:val="24"/>
              </w:rPr>
              <w:t>P-Value</w:t>
            </w:r>
          </w:p>
        </w:tc>
        <w:tc>
          <w:tcPr>
            <w:tcW w:w="330" w:type="pct"/>
            <w:tcBorders>
              <w:top w:val="single" w:sz="12" w:space="0" w:color="000000"/>
              <w:left w:val="nil"/>
              <w:bottom w:val="single" w:sz="12" w:space="0" w:color="000000"/>
              <w:right w:val="single" w:sz="12" w:space="0" w:color="000000"/>
            </w:tcBorders>
            <w:shd w:val="clear" w:color="auto" w:fill="E5E5E5"/>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i/>
                <w:sz w:val="20"/>
                <w:szCs w:val="24"/>
              </w:rPr>
            </w:pPr>
            <w:r w:rsidRPr="006B319D">
              <w:rPr>
                <w:rFonts w:ascii="Times New Roman" w:eastAsia="Times New Roman" w:hAnsi="Times New Roman" w:cs="Times New Roman"/>
                <w:i/>
                <w:sz w:val="20"/>
                <w:szCs w:val="24"/>
              </w:rPr>
              <w:t>VIF</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MB</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-1569.76</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-0.0299</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0.7649</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3.744</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ROA</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560623.2</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5.871</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0.0000</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3.237</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IO*NEG</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289.335</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0.349</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0.7270</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4.391</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IO*RET</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-0.617</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-0.210</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0.8336</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1.940</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IO*RET*NEG</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32.747</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1.051</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0.2936</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3.736</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CONOWN*NEG</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80.038</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0.064</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0.9487</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7.942</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CONOWN *RET</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2.742</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0.687</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0.4917</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3.438</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CONOWN *RET*NEG</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-24.678</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-0.548</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0.5832</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6.782</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SIZE*NEG</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-12851.76</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-0.938</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0.3481</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3.526</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SIZE*RET</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49.948</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1.055</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0.2917</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1.976</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SIZE*RET*NEG</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-1296.396</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-2.413</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0.161</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3.831</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MB*NEG</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1832.694</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0.169</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0.8654</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1.051</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MB*RET</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3.244</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0.093</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0.9259</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9.609</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MB*RET*NEG</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-4.207</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-0.012</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0.9899</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7.344</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ROA*NEG</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-347164</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-2.358</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0.0186</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5.024</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ROA*RET</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-326.766</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-0.629</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0.5291</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6.089</w:t>
            </w:r>
          </w:p>
        </w:tc>
      </w:tr>
      <w:tr w:rsidR="0073387B" w:rsidRPr="006B319D" w:rsidTr="0075220D">
        <w:trPr>
          <w:jc w:val="center"/>
        </w:trPr>
        <w:tc>
          <w:tcPr>
            <w:tcW w:w="1602" w:type="pct"/>
            <w:tcBorders>
              <w:top w:val="single" w:sz="4" w:space="0" w:color="5F5F5F"/>
              <w:left w:val="single" w:sz="12" w:space="0" w:color="000000"/>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ROA*RET*NEG</w:t>
            </w:r>
          </w:p>
        </w:tc>
        <w:tc>
          <w:tcPr>
            <w:tcW w:w="787"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-6008.98</w:t>
            </w:r>
          </w:p>
        </w:tc>
        <w:tc>
          <w:tcPr>
            <w:tcW w:w="1684"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-0.977</w:t>
            </w:r>
          </w:p>
        </w:tc>
        <w:tc>
          <w:tcPr>
            <w:tcW w:w="598" w:type="pct"/>
            <w:tcBorders>
              <w:top w:val="single" w:sz="4" w:space="0" w:color="5F5F5F"/>
              <w:left w:val="nil"/>
              <w:bottom w:val="single" w:sz="4" w:space="0" w:color="5F5F5F"/>
              <w:right w:val="nil"/>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0-.3285</w:t>
            </w:r>
          </w:p>
        </w:tc>
        <w:tc>
          <w:tcPr>
            <w:tcW w:w="330" w:type="pct"/>
            <w:tcBorders>
              <w:top w:val="single" w:sz="4" w:space="0" w:color="5F5F5F"/>
              <w:left w:val="nil"/>
              <w:bottom w:val="single" w:sz="4"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40"/>
              </w:rPr>
            </w:pPr>
            <w:r w:rsidRPr="006B319D">
              <w:rPr>
                <w:rFonts w:ascii="Times New Roman" w:eastAsia="Times New Roman" w:hAnsi="Times New Roman" w:cs="Times New Roman"/>
                <w:sz w:val="20"/>
                <w:szCs w:val="40"/>
              </w:rPr>
              <w:t>3.460</w:t>
            </w:r>
          </w:p>
        </w:tc>
      </w:tr>
      <w:tr w:rsidR="0073387B" w:rsidRPr="006B319D" w:rsidTr="0075220D">
        <w:trPr>
          <w:jc w:val="center"/>
        </w:trPr>
        <w:tc>
          <w:tcPr>
            <w:tcW w:w="5000" w:type="pct"/>
            <w:gridSpan w:val="5"/>
            <w:tcBorders>
              <w:top w:val="single" w:sz="12" w:space="0" w:color="000000"/>
              <w:left w:val="single" w:sz="12" w:space="0" w:color="000000"/>
              <w:bottom w:val="single" w:sz="12" w:space="0" w:color="000000"/>
              <w:right w:val="single" w:sz="12" w:space="0" w:color="000000"/>
            </w:tcBorders>
            <w:vAlign w:val="center"/>
          </w:tcPr>
          <w:p w:rsidR="0073387B" w:rsidRPr="006B319D" w:rsidRDefault="0010504F" w:rsidP="006B319D">
            <w:pPr>
              <w:pStyle w:val="normal0"/>
              <w:bidi w:val="0"/>
              <w:snapToGrid w:val="0"/>
              <w:spacing w:after="0" w:line="240" w:lineRule="auto"/>
              <w:rPr>
                <w:rFonts w:ascii="Times New Roman" w:eastAsia="Times New Roman" w:hAnsi="Times New Roman" w:cs="Times New Roman"/>
                <w:sz w:val="20"/>
                <w:szCs w:val="24"/>
                <w:vertAlign w:val="superscript"/>
              </w:rPr>
            </w:pPr>
            <w:r w:rsidRPr="006B319D">
              <w:rPr>
                <w:rFonts w:ascii="Times New Roman" w:eastAsia="Times New Roman" w:hAnsi="Times New Roman" w:cs="Times New Roman"/>
                <w:sz w:val="20"/>
                <w:szCs w:val="24"/>
              </w:rPr>
              <w:t>Modified design coefficient</w:t>
            </w:r>
            <w:r w:rsidR="0075220D" w:rsidRPr="006B319D">
              <w:rPr>
                <w:rFonts w:ascii="Times New Roman" w:eastAsia="Times New Roman" w:hAnsi="Times New Roman" w:cs="Times New Roman"/>
                <w:sz w:val="20"/>
                <w:szCs w:val="24"/>
              </w:rPr>
              <w:t xml:space="preserve"> </w:t>
            </w:r>
            <w:r w:rsidRPr="006B319D">
              <w:rPr>
                <w:rFonts w:ascii="Times New Roman" w:eastAsia="Times New Roman" w:hAnsi="Times New Roman" w:cs="Times New Roman"/>
                <w:sz w:val="20"/>
                <w:szCs w:val="24"/>
              </w:rPr>
              <w:t>0.8875</w:t>
            </w:r>
          </w:p>
        </w:tc>
      </w:tr>
      <w:tr w:rsidR="0073387B" w:rsidRPr="006B319D" w:rsidTr="0075220D">
        <w:trPr>
          <w:jc w:val="center"/>
        </w:trPr>
        <w:tc>
          <w:tcPr>
            <w:tcW w:w="1602" w:type="pct"/>
            <w:tcBorders>
              <w:top w:val="single" w:sz="12" w:space="0" w:color="000000"/>
              <w:left w:val="single" w:sz="12" w:space="0" w:color="000000"/>
              <w:bottom w:val="single" w:sz="12" w:space="0" w:color="5F5F5F"/>
              <w:right w:val="nil"/>
            </w:tcBorders>
            <w:vAlign w:val="center"/>
          </w:tcPr>
          <w:p w:rsidR="0075220D"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Model F statistics</w:t>
            </w:r>
          </w:p>
          <w:p w:rsidR="0073387B" w:rsidRPr="006B319D" w:rsidRDefault="0075220D"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w:t>
            </w:r>
            <w:r w:rsidR="0010504F" w:rsidRPr="006B319D">
              <w:rPr>
                <w:rFonts w:ascii="Times New Roman" w:eastAsia="Times New Roman" w:hAnsi="Times New Roman" w:cs="Times New Roman"/>
                <w:i/>
                <w:sz w:val="20"/>
                <w:szCs w:val="24"/>
              </w:rPr>
              <w:t>P-Value</w:t>
            </w:r>
            <w:r w:rsidR="0010504F" w:rsidRPr="006B319D">
              <w:rPr>
                <w:rFonts w:ascii="Times New Roman" w:eastAsia="Times New Roman" w:hAnsi="Times New Roman" w:cs="Times New Roman"/>
                <w:sz w:val="20"/>
                <w:szCs w:val="24"/>
              </w:rPr>
              <w:t>)</w:t>
            </w:r>
          </w:p>
        </w:tc>
        <w:tc>
          <w:tcPr>
            <w:tcW w:w="787" w:type="pct"/>
            <w:tcBorders>
              <w:top w:val="single" w:sz="12" w:space="0" w:color="000000"/>
              <w:left w:val="nil"/>
              <w:bottom w:val="single" w:sz="12"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35.054</w:t>
            </w:r>
          </w:p>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vertAlign w:val="superscript"/>
              </w:rPr>
            </w:pPr>
            <w:r w:rsidRPr="006B319D">
              <w:rPr>
                <w:rFonts w:ascii="Times New Roman" w:eastAsia="Times New Roman" w:hAnsi="Times New Roman" w:cs="Times New Roman"/>
                <w:sz w:val="20"/>
                <w:szCs w:val="24"/>
              </w:rPr>
              <w:t>(0.0000)</w:t>
            </w:r>
          </w:p>
        </w:tc>
        <w:tc>
          <w:tcPr>
            <w:tcW w:w="1684" w:type="pct"/>
            <w:tcBorders>
              <w:top w:val="single" w:sz="12" w:space="0" w:color="000000"/>
              <w:left w:val="single" w:sz="12" w:space="0" w:color="000000"/>
              <w:bottom w:val="single" w:sz="12" w:space="0" w:color="5F5F5F"/>
              <w:right w:val="nil"/>
            </w:tcBorders>
            <w:vAlign w:val="center"/>
          </w:tcPr>
          <w:p w:rsidR="0075220D"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proofErr w:type="spellStart"/>
            <w:r w:rsidRPr="006B319D">
              <w:rPr>
                <w:rFonts w:ascii="Times New Roman" w:eastAsia="Times New Roman" w:hAnsi="Times New Roman" w:cs="Times New Roman"/>
                <w:sz w:val="20"/>
                <w:szCs w:val="24"/>
              </w:rPr>
              <w:t>Jarque-Bera</w:t>
            </w:r>
            <w:proofErr w:type="spellEnd"/>
            <w:r w:rsidRPr="006B319D">
              <w:rPr>
                <w:rFonts w:ascii="Times New Roman" w:eastAsia="Times New Roman" w:hAnsi="Times New Roman" w:cs="Times New Roman"/>
                <w:sz w:val="20"/>
                <w:szCs w:val="24"/>
              </w:rPr>
              <w:t xml:space="preserve"> statistics</w:t>
            </w:r>
          </w:p>
          <w:p w:rsidR="0073387B" w:rsidRPr="006B319D" w:rsidRDefault="0075220D"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w:t>
            </w:r>
            <w:r w:rsidR="0010504F" w:rsidRPr="006B319D">
              <w:rPr>
                <w:rFonts w:ascii="Times New Roman" w:eastAsia="Times New Roman" w:hAnsi="Times New Roman" w:cs="Times New Roman"/>
                <w:i/>
                <w:sz w:val="20"/>
                <w:szCs w:val="24"/>
              </w:rPr>
              <w:t>P-Value</w:t>
            </w:r>
            <w:r w:rsidR="0010504F" w:rsidRPr="006B319D">
              <w:rPr>
                <w:rFonts w:ascii="Times New Roman" w:eastAsia="Times New Roman" w:hAnsi="Times New Roman" w:cs="Times New Roman"/>
                <w:sz w:val="20"/>
                <w:szCs w:val="24"/>
              </w:rPr>
              <w:t>)</w:t>
            </w:r>
          </w:p>
        </w:tc>
        <w:tc>
          <w:tcPr>
            <w:tcW w:w="927" w:type="pct"/>
            <w:gridSpan w:val="2"/>
            <w:tcBorders>
              <w:top w:val="single" w:sz="12" w:space="0" w:color="000000"/>
              <w:left w:val="nil"/>
              <w:bottom w:val="single" w:sz="12" w:space="0" w:color="5F5F5F"/>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0.344</w:t>
            </w:r>
          </w:p>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vertAlign w:val="superscript"/>
              </w:rPr>
            </w:pPr>
            <w:r w:rsidRPr="006B319D">
              <w:rPr>
                <w:rFonts w:ascii="Times New Roman" w:eastAsia="Times New Roman" w:hAnsi="Times New Roman" w:cs="Times New Roman"/>
                <w:sz w:val="20"/>
                <w:szCs w:val="24"/>
              </w:rPr>
              <w:t>(0.8416)</w:t>
            </w:r>
          </w:p>
        </w:tc>
      </w:tr>
      <w:tr w:rsidR="0073387B" w:rsidRPr="006B319D" w:rsidTr="0075220D">
        <w:trPr>
          <w:jc w:val="center"/>
        </w:trPr>
        <w:tc>
          <w:tcPr>
            <w:tcW w:w="1602" w:type="pct"/>
            <w:tcBorders>
              <w:top w:val="single" w:sz="4" w:space="0" w:color="5F5F5F"/>
              <w:left w:val="single" w:sz="12" w:space="0" w:color="000000"/>
              <w:bottom w:val="single" w:sz="12" w:space="0" w:color="000000"/>
              <w:right w:val="nil"/>
            </w:tcBorders>
            <w:vAlign w:val="center"/>
          </w:tcPr>
          <w:p w:rsidR="0075220D"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proofErr w:type="spellStart"/>
            <w:r w:rsidRPr="006B319D">
              <w:rPr>
                <w:rFonts w:ascii="Times New Roman" w:eastAsia="Times New Roman" w:hAnsi="Times New Roman" w:cs="Times New Roman"/>
                <w:sz w:val="20"/>
                <w:szCs w:val="24"/>
              </w:rPr>
              <w:t>Breusch</w:t>
            </w:r>
            <w:proofErr w:type="spellEnd"/>
            <w:r w:rsidRPr="006B319D">
              <w:rPr>
                <w:rFonts w:ascii="Times New Roman" w:eastAsia="Times New Roman" w:hAnsi="Times New Roman" w:cs="Times New Roman"/>
                <w:sz w:val="20"/>
                <w:szCs w:val="24"/>
              </w:rPr>
              <w:t>-Pagan statistics</w:t>
            </w:r>
          </w:p>
          <w:p w:rsidR="0073387B" w:rsidRPr="006B319D" w:rsidRDefault="0075220D"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w:t>
            </w:r>
            <w:r w:rsidR="0010504F" w:rsidRPr="006B319D">
              <w:rPr>
                <w:rFonts w:ascii="Times New Roman" w:eastAsia="Times New Roman" w:hAnsi="Times New Roman" w:cs="Times New Roman"/>
                <w:i/>
                <w:sz w:val="20"/>
                <w:szCs w:val="24"/>
              </w:rPr>
              <w:t>P-Value</w:t>
            </w:r>
            <w:r w:rsidR="0010504F" w:rsidRPr="006B319D">
              <w:rPr>
                <w:rFonts w:ascii="Times New Roman" w:eastAsia="Times New Roman" w:hAnsi="Times New Roman" w:cs="Times New Roman"/>
                <w:sz w:val="20"/>
                <w:szCs w:val="24"/>
              </w:rPr>
              <w:t>)</w:t>
            </w:r>
          </w:p>
        </w:tc>
        <w:tc>
          <w:tcPr>
            <w:tcW w:w="787" w:type="pct"/>
            <w:tcBorders>
              <w:top w:val="single" w:sz="4" w:space="0" w:color="5F5F5F"/>
              <w:left w:val="nil"/>
              <w:bottom w:val="single" w:sz="12" w:space="0" w:color="000000"/>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1.895</w:t>
            </w:r>
          </w:p>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vertAlign w:val="superscript"/>
              </w:rPr>
            </w:pPr>
            <w:r w:rsidRPr="006B319D">
              <w:rPr>
                <w:rFonts w:ascii="Times New Roman" w:eastAsia="Times New Roman" w:hAnsi="Times New Roman" w:cs="Times New Roman"/>
                <w:sz w:val="20"/>
                <w:szCs w:val="24"/>
              </w:rPr>
              <w:t>(0.0874)</w:t>
            </w:r>
          </w:p>
        </w:tc>
        <w:tc>
          <w:tcPr>
            <w:tcW w:w="1684" w:type="pct"/>
            <w:tcBorders>
              <w:top w:val="single" w:sz="4" w:space="0" w:color="5F5F5F"/>
              <w:left w:val="single" w:sz="12" w:space="0" w:color="000000"/>
              <w:bottom w:val="single" w:sz="12" w:space="0" w:color="000000"/>
              <w:right w:val="nil"/>
            </w:tcBorders>
            <w:vAlign w:val="center"/>
          </w:tcPr>
          <w:p w:rsidR="0073387B" w:rsidRPr="006B319D" w:rsidRDefault="0010504F" w:rsidP="006B319D">
            <w:pPr>
              <w:pStyle w:val="normal0"/>
              <w:bidi w:val="0"/>
              <w:snapToGrid w:val="0"/>
              <w:spacing w:after="0" w:line="240" w:lineRule="auto"/>
              <w:rPr>
                <w:rFonts w:ascii="Times New Roman" w:eastAsia="Times New Roman" w:hAnsi="Times New Roman" w:cs="Times New Roman"/>
                <w:sz w:val="20"/>
                <w:szCs w:val="24"/>
              </w:rPr>
            </w:pPr>
            <w:r w:rsidRPr="006B319D">
              <w:rPr>
                <w:rFonts w:ascii="Times New Roman" w:eastAsia="Times New Roman" w:hAnsi="Times New Roman" w:cs="Times New Roman"/>
                <w:sz w:val="20"/>
                <w:szCs w:val="24"/>
              </w:rPr>
              <w:t>Watson Camera Statistics</w:t>
            </w:r>
          </w:p>
        </w:tc>
        <w:tc>
          <w:tcPr>
            <w:tcW w:w="927" w:type="pct"/>
            <w:gridSpan w:val="2"/>
            <w:tcBorders>
              <w:top w:val="single" w:sz="4" w:space="0" w:color="5F5F5F"/>
              <w:left w:val="nil"/>
              <w:bottom w:val="single" w:sz="12" w:space="0" w:color="000000"/>
              <w:right w:val="single" w:sz="12" w:space="0" w:color="000000"/>
            </w:tcBorders>
            <w:vAlign w:val="center"/>
          </w:tcPr>
          <w:p w:rsidR="0073387B" w:rsidRPr="006B319D" w:rsidRDefault="0010504F" w:rsidP="002645D9">
            <w:pPr>
              <w:pStyle w:val="normal0"/>
              <w:bidi w:val="0"/>
              <w:snapToGrid w:val="0"/>
              <w:spacing w:after="0" w:line="240" w:lineRule="auto"/>
              <w:rPr>
                <w:rFonts w:ascii="Times New Roman" w:eastAsia="Times New Roman" w:hAnsi="Times New Roman" w:cs="Times New Roman"/>
                <w:sz w:val="20"/>
                <w:szCs w:val="24"/>
                <w:vertAlign w:val="superscript"/>
              </w:rPr>
            </w:pPr>
            <w:r w:rsidRPr="006B319D">
              <w:rPr>
                <w:rFonts w:ascii="Times New Roman" w:eastAsia="Times New Roman" w:hAnsi="Times New Roman" w:cs="Times New Roman"/>
                <w:sz w:val="20"/>
                <w:szCs w:val="24"/>
              </w:rPr>
              <w:t>1.579</w:t>
            </w:r>
          </w:p>
        </w:tc>
      </w:tr>
    </w:tbl>
    <w:p w:rsidR="0075220D" w:rsidRDefault="0075220D" w:rsidP="002645D9">
      <w:pPr>
        <w:pStyle w:val="normal0"/>
        <w:bidi w:val="0"/>
        <w:snapToGrid w:val="0"/>
        <w:spacing w:after="0" w:line="240" w:lineRule="auto"/>
        <w:ind w:firstLine="425"/>
        <w:rPr>
          <w:rFonts w:ascii="Times New Roman" w:hAnsi="Times New Roman" w:cs="Times New Roman" w:hint="eastAsia"/>
          <w:sz w:val="20"/>
          <w:szCs w:val="24"/>
        </w:rPr>
      </w:pPr>
    </w:p>
    <w:p w:rsidR="006F7F04" w:rsidRPr="006B319D" w:rsidRDefault="006F7F04" w:rsidP="006F7F04">
      <w:pPr>
        <w:pStyle w:val="normal0"/>
        <w:bidi w:val="0"/>
        <w:snapToGrid w:val="0"/>
        <w:spacing w:after="0" w:line="240" w:lineRule="auto"/>
        <w:ind w:firstLine="425"/>
        <w:rPr>
          <w:rFonts w:ascii="Times New Roman" w:hAnsi="Times New Roman" w:cs="Times New Roman"/>
          <w:sz w:val="20"/>
          <w:szCs w:val="24"/>
        </w:rPr>
      </w:pPr>
    </w:p>
    <w:p w:rsidR="0075220D" w:rsidRPr="006B319D" w:rsidRDefault="0075220D" w:rsidP="002645D9">
      <w:pPr>
        <w:pStyle w:val="normal0"/>
        <w:bidi w:val="0"/>
        <w:snapToGrid w:val="0"/>
        <w:spacing w:after="0" w:line="240" w:lineRule="auto"/>
        <w:ind w:firstLine="425"/>
        <w:rPr>
          <w:rFonts w:ascii="Times New Roman" w:hAnsi="Times New Roman" w:cs="Times New Roman"/>
          <w:sz w:val="20"/>
          <w:szCs w:val="24"/>
        </w:rPr>
        <w:sectPr w:rsidR="0075220D" w:rsidRPr="006B319D" w:rsidSect="0075220D">
          <w:headerReference w:type="default" r:id="rId47"/>
          <w:footerReference w:type="default" r:id="rId48"/>
          <w:type w:val="continuous"/>
          <w:pgSz w:w="12240" w:h="15840" w:code="1"/>
          <w:pgMar w:top="1440" w:right="1440" w:bottom="1440" w:left="1440" w:header="720" w:footer="720" w:gutter="0"/>
          <w:cols w:space="720"/>
          <w:docGrid w:linePitch="299"/>
        </w:sectPr>
      </w:pP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lastRenderedPageBreak/>
        <w:t>In assessing the overall significance of the model, according to the probability (</w:t>
      </w:r>
      <w:r w:rsidRPr="006B319D">
        <w:rPr>
          <w:rFonts w:ascii="Times New Roman" w:hAnsi="Times New Roman" w:cs="Times New Roman"/>
          <w:i/>
          <w:sz w:val="20"/>
          <w:szCs w:val="24"/>
        </w:rPr>
        <w:t>P-VALUE</w:t>
      </w:r>
      <w:r w:rsidRPr="006B319D">
        <w:rPr>
          <w:rFonts w:ascii="Times New Roman" w:hAnsi="Times New Roman" w:cs="Times New Roman"/>
          <w:sz w:val="20"/>
          <w:szCs w:val="24"/>
        </w:rPr>
        <w:t xml:space="preserve">), F-statistic is smaller than 0.05 (0.0000) that it is confirmed with 95% overall significance of the model. Adjusted determination coefficient of model also indicates that 88.75% of the net profit changes are explained by variables entered in the model. Also, in assessing the assumptions of the classical regression, the results of </w:t>
      </w:r>
      <w:proofErr w:type="spellStart"/>
      <w:r w:rsidRPr="006B319D">
        <w:rPr>
          <w:rFonts w:ascii="Times New Roman" w:hAnsi="Times New Roman" w:cs="Times New Roman"/>
          <w:sz w:val="20"/>
          <w:szCs w:val="24"/>
        </w:rPr>
        <w:t>Jarque-Bera</w:t>
      </w:r>
      <w:proofErr w:type="spellEnd"/>
      <w:r w:rsidRPr="006B319D">
        <w:rPr>
          <w:rFonts w:ascii="Times New Roman" w:hAnsi="Times New Roman" w:cs="Times New Roman"/>
          <w:sz w:val="20"/>
          <w:szCs w:val="24"/>
        </w:rPr>
        <w:t xml:space="preserve"> test suggest that the residuals from estimating the model have normal distribution with a reliability of 95%, so that the probability (</w:t>
      </w:r>
      <w:r w:rsidRPr="006B319D">
        <w:rPr>
          <w:rFonts w:ascii="Times New Roman" w:hAnsi="Times New Roman" w:cs="Times New Roman"/>
          <w:i/>
          <w:sz w:val="20"/>
          <w:szCs w:val="24"/>
        </w:rPr>
        <w:t>P-VALUE</w:t>
      </w:r>
      <w:r w:rsidRPr="006B319D">
        <w:rPr>
          <w:rFonts w:ascii="Times New Roman" w:hAnsi="Times New Roman" w:cs="Times New Roman"/>
          <w:sz w:val="20"/>
          <w:szCs w:val="24"/>
        </w:rPr>
        <w:t>) of this test is larger than 0.05.</w:t>
      </w:r>
    </w:p>
    <w:p w:rsidR="006F7F04" w:rsidRDefault="006F7F04" w:rsidP="002645D9">
      <w:pPr>
        <w:pStyle w:val="normal0"/>
        <w:bidi w:val="0"/>
        <w:snapToGrid w:val="0"/>
        <w:spacing w:after="0" w:line="240" w:lineRule="auto"/>
        <w:rPr>
          <w:rFonts w:ascii="Times New Roman" w:hAnsi="Times New Roman" w:cs="Times New Roman" w:hint="eastAsia"/>
          <w:b/>
          <w:sz w:val="20"/>
          <w:szCs w:val="24"/>
        </w:rPr>
      </w:pPr>
    </w:p>
    <w:p w:rsidR="0073387B" w:rsidRPr="006B319D" w:rsidRDefault="0010504F" w:rsidP="006F7F04">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t>The results of the study</w:t>
      </w:r>
    </w:p>
    <w:p w:rsidR="0073387B" w:rsidRPr="006B319D" w:rsidRDefault="0010504F" w:rsidP="002645D9">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t>The results of the test of the first research hypothesis</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t>According to the results presented in Figure 4-6, the significant level (</w:t>
      </w:r>
      <w:r w:rsidRPr="006B319D">
        <w:rPr>
          <w:rFonts w:ascii="Times New Roman" w:hAnsi="Times New Roman" w:cs="Times New Roman"/>
          <w:i/>
          <w:sz w:val="20"/>
          <w:szCs w:val="24"/>
        </w:rPr>
        <w:t>P-Value</w:t>
      </w:r>
      <w:r w:rsidRPr="006B319D">
        <w:rPr>
          <w:rFonts w:ascii="Times New Roman" w:hAnsi="Times New Roman" w:cs="Times New Roman"/>
          <w:sz w:val="20"/>
          <w:szCs w:val="24"/>
        </w:rPr>
        <w:t>) of t-statistic related to the variable «</w:t>
      </w:r>
      <w:r w:rsidRPr="006B319D">
        <w:rPr>
          <w:rFonts w:ascii="Times New Roman" w:hAnsi="Times New Roman" w:cs="Times New Roman"/>
          <w:i/>
          <w:sz w:val="20"/>
          <w:szCs w:val="24"/>
        </w:rPr>
        <w:t>RET</w:t>
      </w:r>
      <w:r w:rsidRPr="006B319D">
        <w:rPr>
          <w:rFonts w:ascii="Times New Roman" w:hAnsi="Times New Roman" w:cs="Times New Roman"/>
          <w:sz w:val="20"/>
          <w:szCs w:val="24"/>
        </w:rPr>
        <w:t>*</w:t>
      </w:r>
      <w:r w:rsidRPr="006B319D">
        <w:rPr>
          <w:rFonts w:ascii="Times New Roman" w:hAnsi="Times New Roman" w:cs="Times New Roman"/>
          <w:i/>
          <w:sz w:val="20"/>
          <w:szCs w:val="24"/>
        </w:rPr>
        <w:t>NEG</w:t>
      </w:r>
      <w:r w:rsidRPr="006B319D">
        <w:rPr>
          <w:rFonts w:ascii="Times New Roman" w:hAnsi="Times New Roman" w:cs="Times New Roman"/>
          <w:sz w:val="20"/>
          <w:szCs w:val="24"/>
        </w:rPr>
        <w:t xml:space="preserve">» was smaller than 0.05 (0.0174) and its coefficient is positive (17815.33). According to </w:t>
      </w:r>
      <w:proofErr w:type="spellStart"/>
      <w:r w:rsidRPr="006B319D">
        <w:rPr>
          <w:rFonts w:ascii="Times New Roman" w:hAnsi="Times New Roman" w:cs="Times New Roman"/>
          <w:sz w:val="20"/>
          <w:szCs w:val="24"/>
        </w:rPr>
        <w:t>Basu</w:t>
      </w:r>
      <w:proofErr w:type="spellEnd"/>
      <w:r w:rsidRPr="006B319D">
        <w:rPr>
          <w:rFonts w:ascii="Times New Roman" w:hAnsi="Times New Roman" w:cs="Times New Roman"/>
          <w:sz w:val="20"/>
          <w:szCs w:val="24"/>
        </w:rPr>
        <w:t xml:space="preserve"> model, therefore, it can be said that stock companies act conservative in their financial statements. But the significant level (P-Value) of t-statistic related to the variable of «</w:t>
      </w:r>
      <w:r w:rsidRPr="006B319D">
        <w:rPr>
          <w:rFonts w:ascii="Times New Roman" w:hAnsi="Times New Roman" w:cs="Times New Roman"/>
          <w:i/>
          <w:sz w:val="20"/>
          <w:szCs w:val="24"/>
        </w:rPr>
        <w:t>IO</w:t>
      </w:r>
      <w:r w:rsidRPr="006B319D">
        <w:rPr>
          <w:rFonts w:ascii="Times New Roman" w:hAnsi="Times New Roman" w:cs="Times New Roman"/>
          <w:sz w:val="20"/>
          <w:szCs w:val="24"/>
        </w:rPr>
        <w:t>*</w:t>
      </w:r>
      <w:r w:rsidRPr="006B319D">
        <w:rPr>
          <w:rFonts w:ascii="Times New Roman" w:hAnsi="Times New Roman" w:cs="Times New Roman"/>
          <w:i/>
          <w:sz w:val="20"/>
          <w:szCs w:val="24"/>
        </w:rPr>
        <w:t>RET</w:t>
      </w:r>
      <w:r w:rsidRPr="006B319D">
        <w:rPr>
          <w:rFonts w:ascii="Times New Roman" w:hAnsi="Times New Roman" w:cs="Times New Roman"/>
          <w:sz w:val="20"/>
          <w:szCs w:val="24"/>
        </w:rPr>
        <w:t>*</w:t>
      </w:r>
      <w:r w:rsidRPr="006B319D">
        <w:rPr>
          <w:rFonts w:ascii="Times New Roman" w:hAnsi="Times New Roman" w:cs="Times New Roman"/>
          <w:i/>
          <w:sz w:val="20"/>
          <w:szCs w:val="24"/>
        </w:rPr>
        <w:t>NEG</w:t>
      </w:r>
      <w:r w:rsidRPr="006B319D">
        <w:rPr>
          <w:rFonts w:ascii="Times New Roman" w:hAnsi="Times New Roman" w:cs="Times New Roman"/>
          <w:sz w:val="20"/>
          <w:szCs w:val="24"/>
        </w:rPr>
        <w:t xml:space="preserve">» increases to higher than 0.05 (0.2936) with the addition of institutional ownership variable. So we can say that institutional ownership has no significant </w:t>
      </w:r>
      <w:r w:rsidRPr="006B319D">
        <w:rPr>
          <w:rFonts w:ascii="Times New Roman" w:hAnsi="Times New Roman" w:cs="Times New Roman"/>
          <w:sz w:val="20"/>
          <w:szCs w:val="24"/>
        </w:rPr>
        <w:lastRenderedPageBreak/>
        <w:t>relationship with accounting conservatism and the increase or decrease of the presence of institutional owners in the ownership structure of the companies has no important impact on the level of their conservatism. Hence, the first hypothesis of the study is rejected at the 95% confidence level.</w:t>
      </w:r>
    </w:p>
    <w:p w:rsidR="006F7F04" w:rsidRDefault="006F7F04" w:rsidP="002645D9">
      <w:pPr>
        <w:pStyle w:val="normal0"/>
        <w:bidi w:val="0"/>
        <w:snapToGrid w:val="0"/>
        <w:spacing w:after="0" w:line="240" w:lineRule="auto"/>
        <w:rPr>
          <w:rFonts w:ascii="Times New Roman" w:hAnsi="Times New Roman" w:cs="Times New Roman" w:hint="eastAsia"/>
          <w:b/>
          <w:sz w:val="20"/>
          <w:szCs w:val="24"/>
        </w:rPr>
      </w:pPr>
    </w:p>
    <w:p w:rsidR="0073387B" w:rsidRPr="006B319D" w:rsidRDefault="0010504F" w:rsidP="006F7F04">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t>The results of the test of the second</w:t>
      </w:r>
      <w:r w:rsidRPr="006B319D">
        <w:rPr>
          <w:rFonts w:ascii="Times New Roman" w:hAnsi="Times New Roman" w:cs="Times New Roman"/>
          <w:sz w:val="20"/>
          <w:szCs w:val="24"/>
        </w:rPr>
        <w:t xml:space="preserve"> </w:t>
      </w:r>
      <w:r w:rsidRPr="006B319D">
        <w:rPr>
          <w:rFonts w:ascii="Times New Roman" w:hAnsi="Times New Roman" w:cs="Times New Roman"/>
          <w:b/>
          <w:sz w:val="20"/>
          <w:szCs w:val="24"/>
        </w:rPr>
        <w:t>research hypothesis</w:t>
      </w:r>
    </w:p>
    <w:p w:rsidR="0073387B"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sz w:val="20"/>
          <w:szCs w:val="24"/>
        </w:rPr>
        <w:t>According to the results presented in Figure 4-6, the significant level (</w:t>
      </w:r>
      <w:r w:rsidRPr="006B319D">
        <w:rPr>
          <w:rFonts w:ascii="Times New Roman" w:hAnsi="Times New Roman" w:cs="Times New Roman"/>
          <w:i/>
          <w:sz w:val="20"/>
          <w:szCs w:val="24"/>
        </w:rPr>
        <w:t>P-Value</w:t>
      </w:r>
      <w:r w:rsidRPr="006B319D">
        <w:rPr>
          <w:rFonts w:ascii="Times New Roman" w:hAnsi="Times New Roman" w:cs="Times New Roman"/>
          <w:sz w:val="20"/>
          <w:szCs w:val="24"/>
        </w:rPr>
        <w:t>) of t-statistic related to the variable «</w:t>
      </w:r>
      <w:r w:rsidRPr="006B319D">
        <w:rPr>
          <w:rFonts w:ascii="Times New Roman" w:hAnsi="Times New Roman" w:cs="Times New Roman"/>
          <w:i/>
          <w:sz w:val="20"/>
          <w:szCs w:val="24"/>
        </w:rPr>
        <w:t>RET</w:t>
      </w:r>
      <w:r w:rsidRPr="006B319D">
        <w:rPr>
          <w:rFonts w:ascii="Times New Roman" w:hAnsi="Times New Roman" w:cs="Times New Roman"/>
          <w:sz w:val="20"/>
          <w:szCs w:val="24"/>
        </w:rPr>
        <w:t>*</w:t>
      </w:r>
      <w:r w:rsidRPr="006B319D">
        <w:rPr>
          <w:rFonts w:ascii="Times New Roman" w:hAnsi="Times New Roman" w:cs="Times New Roman"/>
          <w:i/>
          <w:sz w:val="20"/>
          <w:szCs w:val="24"/>
        </w:rPr>
        <w:t>NEG</w:t>
      </w:r>
      <w:r w:rsidRPr="006B319D">
        <w:rPr>
          <w:rFonts w:ascii="Times New Roman" w:hAnsi="Times New Roman" w:cs="Times New Roman"/>
          <w:sz w:val="20"/>
          <w:szCs w:val="24"/>
        </w:rPr>
        <w:t xml:space="preserve">» was smaller than 0.05 (0.0174) and its coefficient is positive (17815.33). According to </w:t>
      </w:r>
      <w:proofErr w:type="spellStart"/>
      <w:r w:rsidRPr="006B319D">
        <w:rPr>
          <w:rFonts w:ascii="Times New Roman" w:hAnsi="Times New Roman" w:cs="Times New Roman"/>
          <w:sz w:val="20"/>
          <w:szCs w:val="24"/>
        </w:rPr>
        <w:t>Basu</w:t>
      </w:r>
      <w:proofErr w:type="spellEnd"/>
      <w:r w:rsidRPr="006B319D">
        <w:rPr>
          <w:rFonts w:ascii="Times New Roman" w:hAnsi="Times New Roman" w:cs="Times New Roman"/>
          <w:sz w:val="20"/>
          <w:szCs w:val="24"/>
        </w:rPr>
        <w:t xml:space="preserve"> model, therefore, it can be said that stock companies act conservative in their financial statements. But the significant level (P-Value) of t-statistic related to the variable of «</w:t>
      </w:r>
      <w:r w:rsidRPr="006B319D">
        <w:rPr>
          <w:rFonts w:ascii="Times New Roman" w:hAnsi="Times New Roman" w:cs="Times New Roman"/>
          <w:i/>
          <w:sz w:val="20"/>
          <w:szCs w:val="24"/>
        </w:rPr>
        <w:t>CONOWN</w:t>
      </w:r>
      <w:r w:rsidRPr="006B319D">
        <w:rPr>
          <w:rFonts w:ascii="Times New Roman" w:hAnsi="Times New Roman" w:cs="Times New Roman"/>
          <w:sz w:val="20"/>
          <w:szCs w:val="24"/>
        </w:rPr>
        <w:t>*</w:t>
      </w:r>
      <w:r w:rsidRPr="006B319D">
        <w:rPr>
          <w:rFonts w:ascii="Times New Roman" w:hAnsi="Times New Roman" w:cs="Times New Roman"/>
          <w:i/>
          <w:sz w:val="20"/>
          <w:szCs w:val="24"/>
        </w:rPr>
        <w:t>RET</w:t>
      </w:r>
      <w:r w:rsidRPr="006B319D">
        <w:rPr>
          <w:rFonts w:ascii="Times New Roman" w:hAnsi="Times New Roman" w:cs="Times New Roman"/>
          <w:sz w:val="20"/>
          <w:szCs w:val="24"/>
        </w:rPr>
        <w:t>*</w:t>
      </w:r>
      <w:r w:rsidRPr="006B319D">
        <w:rPr>
          <w:rFonts w:ascii="Times New Roman" w:hAnsi="Times New Roman" w:cs="Times New Roman"/>
          <w:i/>
          <w:sz w:val="20"/>
          <w:szCs w:val="24"/>
        </w:rPr>
        <w:t>NEG</w:t>
      </w:r>
      <w:r w:rsidRPr="006B319D">
        <w:rPr>
          <w:rFonts w:ascii="Times New Roman" w:hAnsi="Times New Roman" w:cs="Times New Roman"/>
          <w:sz w:val="20"/>
          <w:szCs w:val="24"/>
        </w:rPr>
        <w:t>» increases to higher than 0.05 (0.2936) with the addition of ownership concentration variable. So we can say that ownership concentration has no significant relationship with accounting conservatism and the increase or decrease of ownership concentration percentage of the companies has no important impact on the level of their conservatism. Hence, the second hypothesis of the study is also rejected at the 95% confidence level.</w:t>
      </w:r>
    </w:p>
    <w:p w:rsidR="006B319D" w:rsidRPr="006B319D" w:rsidRDefault="006B319D" w:rsidP="006B319D">
      <w:pPr>
        <w:pStyle w:val="normal0"/>
        <w:bidi w:val="0"/>
        <w:snapToGrid w:val="0"/>
        <w:spacing w:after="0" w:line="240" w:lineRule="auto"/>
        <w:ind w:firstLine="425"/>
        <w:rPr>
          <w:rFonts w:ascii="Times New Roman" w:hAnsi="Times New Roman" w:cs="Times New Roman"/>
          <w:sz w:val="20"/>
          <w:szCs w:val="24"/>
        </w:rPr>
      </w:pPr>
    </w:p>
    <w:p w:rsidR="0073387B" w:rsidRPr="006B319D" w:rsidRDefault="0010504F" w:rsidP="002645D9">
      <w:pPr>
        <w:pStyle w:val="normal0"/>
        <w:bidi w:val="0"/>
        <w:snapToGrid w:val="0"/>
        <w:spacing w:after="0" w:line="240" w:lineRule="auto"/>
        <w:rPr>
          <w:rFonts w:ascii="Times New Roman" w:hAnsi="Times New Roman" w:cs="Times New Roman"/>
          <w:b/>
          <w:sz w:val="20"/>
          <w:szCs w:val="24"/>
        </w:rPr>
      </w:pPr>
      <w:r w:rsidRPr="006B319D">
        <w:rPr>
          <w:rFonts w:ascii="Times New Roman" w:hAnsi="Times New Roman" w:cs="Times New Roman"/>
          <w:b/>
          <w:sz w:val="20"/>
          <w:szCs w:val="24"/>
        </w:rPr>
        <w:lastRenderedPageBreak/>
        <w:t>Conclusion</w:t>
      </w:r>
    </w:p>
    <w:p w:rsidR="0073387B" w:rsidRPr="006B319D" w:rsidRDefault="0010504F" w:rsidP="002645D9">
      <w:pPr>
        <w:pStyle w:val="normal0"/>
        <w:bidi w:val="0"/>
        <w:snapToGrid w:val="0"/>
        <w:spacing w:after="0" w:line="240" w:lineRule="auto"/>
        <w:ind w:firstLine="425"/>
        <w:rPr>
          <w:rFonts w:ascii="Times New Roman" w:hAnsi="Times New Roman" w:cs="Times New Roman"/>
          <w:sz w:val="20"/>
          <w:szCs w:val="24"/>
        </w:rPr>
      </w:pPr>
      <w:r w:rsidRPr="006B319D">
        <w:rPr>
          <w:rFonts w:ascii="Times New Roman" w:hAnsi="Times New Roman" w:cs="Times New Roman"/>
          <w:b/>
          <w:i/>
          <w:sz w:val="20"/>
          <w:szCs w:val="24"/>
        </w:rPr>
        <w:t>First hypothesis</w:t>
      </w:r>
      <w:r w:rsidRPr="006B319D">
        <w:rPr>
          <w:rFonts w:ascii="Times New Roman" w:hAnsi="Times New Roman" w:cs="Times New Roman"/>
          <w:sz w:val="20"/>
          <w:szCs w:val="24"/>
        </w:rPr>
        <w:t>: There is a significant relationship between institutional ownership and accounting conservatism.</w:t>
      </w:r>
    </w:p>
    <w:p w:rsidR="0073387B" w:rsidRPr="006F7F04" w:rsidRDefault="0010504F" w:rsidP="002645D9">
      <w:pPr>
        <w:pStyle w:val="normal0"/>
        <w:bidi w:val="0"/>
        <w:snapToGrid w:val="0"/>
        <w:spacing w:after="0" w:line="240" w:lineRule="auto"/>
        <w:ind w:firstLine="425"/>
        <w:rPr>
          <w:rFonts w:ascii="Times New Roman" w:hAnsi="Times New Roman" w:cs="Times New Roman"/>
          <w:sz w:val="20"/>
          <w:szCs w:val="20"/>
        </w:rPr>
      </w:pPr>
      <w:r w:rsidRPr="006B319D">
        <w:rPr>
          <w:rFonts w:ascii="Times New Roman" w:hAnsi="Times New Roman" w:cs="Times New Roman"/>
          <w:sz w:val="20"/>
          <w:szCs w:val="24"/>
        </w:rPr>
        <w:t>The aim of this study is to test the first hypothesis that is whether there is a significant relationship between institutional ownership and accounting conservatism. After performing validity tests, we concluded that stock companies act conservative in their financial statements at the 95% confidence level. But the addition of institutional ownership variable increases the significant level (</w:t>
      </w:r>
      <w:r w:rsidRPr="006B319D">
        <w:rPr>
          <w:rFonts w:ascii="Times New Roman" w:hAnsi="Times New Roman" w:cs="Times New Roman"/>
          <w:i/>
          <w:sz w:val="20"/>
          <w:szCs w:val="24"/>
        </w:rPr>
        <w:t>P-Value</w:t>
      </w:r>
      <w:r w:rsidRPr="006B319D">
        <w:rPr>
          <w:rFonts w:ascii="Times New Roman" w:hAnsi="Times New Roman" w:cs="Times New Roman"/>
          <w:sz w:val="20"/>
          <w:szCs w:val="24"/>
        </w:rPr>
        <w:t>) of t-statistic related to the variable of «</w:t>
      </w:r>
      <w:r w:rsidRPr="006B319D">
        <w:rPr>
          <w:rFonts w:ascii="Times New Roman" w:hAnsi="Times New Roman" w:cs="Times New Roman"/>
          <w:i/>
          <w:sz w:val="20"/>
          <w:szCs w:val="24"/>
        </w:rPr>
        <w:t>IO</w:t>
      </w:r>
      <w:r w:rsidRPr="006B319D">
        <w:rPr>
          <w:rFonts w:ascii="Times New Roman" w:hAnsi="Times New Roman" w:cs="Times New Roman"/>
          <w:sz w:val="20"/>
          <w:szCs w:val="24"/>
        </w:rPr>
        <w:t>*</w:t>
      </w:r>
      <w:r w:rsidRPr="006B319D">
        <w:rPr>
          <w:rFonts w:ascii="Times New Roman" w:hAnsi="Times New Roman" w:cs="Times New Roman"/>
          <w:i/>
          <w:sz w:val="20"/>
          <w:szCs w:val="24"/>
        </w:rPr>
        <w:t>RET</w:t>
      </w:r>
      <w:r w:rsidRPr="006B319D">
        <w:rPr>
          <w:rFonts w:ascii="Times New Roman" w:hAnsi="Times New Roman" w:cs="Times New Roman"/>
          <w:sz w:val="20"/>
          <w:szCs w:val="24"/>
        </w:rPr>
        <w:t>*</w:t>
      </w:r>
      <w:r w:rsidRPr="006B319D">
        <w:rPr>
          <w:rFonts w:ascii="Times New Roman" w:hAnsi="Times New Roman" w:cs="Times New Roman"/>
          <w:i/>
          <w:sz w:val="20"/>
          <w:szCs w:val="24"/>
        </w:rPr>
        <w:t>NEG</w:t>
      </w:r>
      <w:r w:rsidRPr="006B319D">
        <w:rPr>
          <w:rFonts w:ascii="Times New Roman" w:hAnsi="Times New Roman" w:cs="Times New Roman"/>
          <w:sz w:val="20"/>
          <w:szCs w:val="24"/>
        </w:rPr>
        <w:t>» to higher than 0.05 (0.2936). So it can be stated that institutional ownership has no significant relationship with accounting conservatism and the increase or decrease of the presence of institutional owners in the ownership structure of the companies has no important impact on the level of their conservatism. Hence, the first hypothesis of the study is rejected at the 95% confidence level.</w:t>
      </w:r>
    </w:p>
    <w:p w:rsidR="0073387B" w:rsidRPr="006F7F04" w:rsidRDefault="0010504F" w:rsidP="002645D9">
      <w:pPr>
        <w:pStyle w:val="normal0"/>
        <w:bidi w:val="0"/>
        <w:snapToGrid w:val="0"/>
        <w:spacing w:after="0" w:line="240" w:lineRule="auto"/>
        <w:ind w:firstLine="425"/>
        <w:rPr>
          <w:rFonts w:ascii="Times New Roman" w:hAnsi="Times New Roman" w:cs="Times New Roman"/>
          <w:sz w:val="20"/>
          <w:szCs w:val="20"/>
        </w:rPr>
      </w:pPr>
      <w:r w:rsidRPr="006F7F04">
        <w:rPr>
          <w:rFonts w:ascii="Times New Roman" w:hAnsi="Times New Roman" w:cs="Times New Roman"/>
          <w:b/>
          <w:i/>
          <w:sz w:val="20"/>
          <w:szCs w:val="20"/>
        </w:rPr>
        <w:t>The second hypothesis</w:t>
      </w:r>
      <w:r w:rsidRPr="006F7F04">
        <w:rPr>
          <w:rFonts w:ascii="Times New Roman" w:hAnsi="Times New Roman" w:cs="Times New Roman"/>
          <w:sz w:val="20"/>
          <w:szCs w:val="20"/>
        </w:rPr>
        <w:t>: There is a significant relationship between concentration of ownership and accounting conservatism.</w:t>
      </w:r>
    </w:p>
    <w:p w:rsidR="0073387B" w:rsidRPr="006F7F04" w:rsidRDefault="0010504F" w:rsidP="002645D9">
      <w:pPr>
        <w:pStyle w:val="normal0"/>
        <w:bidi w:val="0"/>
        <w:snapToGrid w:val="0"/>
        <w:spacing w:after="0" w:line="240" w:lineRule="auto"/>
        <w:ind w:firstLine="425"/>
        <w:rPr>
          <w:rFonts w:ascii="Times New Roman" w:hAnsi="Times New Roman" w:cs="Times New Roman"/>
          <w:sz w:val="20"/>
          <w:szCs w:val="20"/>
        </w:rPr>
      </w:pPr>
      <w:r w:rsidRPr="006F7F04">
        <w:rPr>
          <w:rFonts w:ascii="Times New Roman" w:hAnsi="Times New Roman" w:cs="Times New Roman"/>
          <w:sz w:val="20"/>
          <w:szCs w:val="20"/>
        </w:rPr>
        <w:t>The aim of the test of the second hypothesis is to investigate whether ownership concentration has a significant relationship with accounting conservatism. After performing validity tests, we concluded that stock companies act conservative in their financial statements at the 95% confidence level. But the addition of ownership concentration variable increases the significant level (</w:t>
      </w:r>
      <w:r w:rsidRPr="006F7F04">
        <w:rPr>
          <w:rFonts w:ascii="Times New Roman" w:hAnsi="Times New Roman" w:cs="Times New Roman"/>
          <w:i/>
          <w:sz w:val="20"/>
          <w:szCs w:val="20"/>
        </w:rPr>
        <w:t>P-Value</w:t>
      </w:r>
      <w:r w:rsidRPr="006F7F04">
        <w:rPr>
          <w:rFonts w:ascii="Times New Roman" w:hAnsi="Times New Roman" w:cs="Times New Roman"/>
          <w:sz w:val="20"/>
          <w:szCs w:val="20"/>
        </w:rPr>
        <w:t>) of t-statistic related to the variable of «</w:t>
      </w:r>
      <w:r w:rsidRPr="006F7F04">
        <w:rPr>
          <w:rFonts w:ascii="Times New Roman" w:hAnsi="Times New Roman" w:cs="Times New Roman"/>
          <w:i/>
          <w:sz w:val="20"/>
          <w:szCs w:val="20"/>
        </w:rPr>
        <w:t>CONOWN</w:t>
      </w:r>
      <w:r w:rsidRPr="006F7F04">
        <w:rPr>
          <w:rFonts w:ascii="Times New Roman" w:hAnsi="Times New Roman" w:cs="Times New Roman"/>
          <w:sz w:val="20"/>
          <w:szCs w:val="20"/>
        </w:rPr>
        <w:t>*</w:t>
      </w:r>
      <w:r w:rsidRPr="006F7F04">
        <w:rPr>
          <w:rFonts w:ascii="Times New Roman" w:hAnsi="Times New Roman" w:cs="Times New Roman"/>
          <w:i/>
          <w:sz w:val="20"/>
          <w:szCs w:val="20"/>
        </w:rPr>
        <w:t>RET</w:t>
      </w:r>
      <w:r w:rsidRPr="006F7F04">
        <w:rPr>
          <w:rFonts w:ascii="Times New Roman" w:hAnsi="Times New Roman" w:cs="Times New Roman"/>
          <w:sz w:val="20"/>
          <w:szCs w:val="20"/>
        </w:rPr>
        <w:t>*</w:t>
      </w:r>
      <w:r w:rsidRPr="006F7F04">
        <w:rPr>
          <w:rFonts w:ascii="Times New Roman" w:hAnsi="Times New Roman" w:cs="Times New Roman"/>
          <w:i/>
          <w:sz w:val="20"/>
          <w:szCs w:val="20"/>
        </w:rPr>
        <w:t>NEG</w:t>
      </w:r>
      <w:r w:rsidRPr="006F7F04">
        <w:rPr>
          <w:rFonts w:ascii="Times New Roman" w:hAnsi="Times New Roman" w:cs="Times New Roman"/>
          <w:sz w:val="20"/>
          <w:szCs w:val="20"/>
        </w:rPr>
        <w:t>» to higher than 0.05 (0.5832). Therefore, it can be stated that ownership concentration has no significant relationship with accounting conservatism and the increase or decrease of the percentage of ownership concentration of the companies has no important effect on the level of their conservatism. Hence, the second hypothesis of the study is also rejected at the confidence level of 95%.</w:t>
      </w:r>
    </w:p>
    <w:p w:rsidR="0073387B" w:rsidRPr="006F7F04" w:rsidRDefault="006B319D" w:rsidP="002645D9">
      <w:pPr>
        <w:pStyle w:val="normal0"/>
        <w:bidi w:val="0"/>
        <w:snapToGrid w:val="0"/>
        <w:spacing w:after="0" w:line="240" w:lineRule="auto"/>
        <w:rPr>
          <w:rFonts w:ascii="Times New Roman" w:hAnsi="Times New Roman" w:cs="Times New Roman"/>
          <w:b/>
          <w:sz w:val="20"/>
          <w:szCs w:val="20"/>
        </w:rPr>
      </w:pPr>
      <w:r w:rsidRPr="006F7F04">
        <w:rPr>
          <w:rFonts w:ascii="Times New Roman" w:hAnsi="Times New Roman" w:cs="Times New Roman" w:hint="eastAsia"/>
          <w:b/>
          <w:sz w:val="20"/>
          <w:szCs w:val="20"/>
        </w:rPr>
        <w:t xml:space="preserve"> </w:t>
      </w:r>
    </w:p>
    <w:p w:rsidR="0073387B" w:rsidRPr="006F7F04" w:rsidRDefault="0010504F" w:rsidP="002645D9">
      <w:pPr>
        <w:pStyle w:val="normal0"/>
        <w:bidi w:val="0"/>
        <w:snapToGrid w:val="0"/>
        <w:spacing w:after="0" w:line="240" w:lineRule="auto"/>
        <w:rPr>
          <w:rFonts w:ascii="Times New Roman" w:hAnsi="Times New Roman" w:cs="Times New Roman"/>
          <w:b/>
          <w:sz w:val="20"/>
          <w:szCs w:val="20"/>
        </w:rPr>
      </w:pPr>
      <w:r w:rsidRPr="006F7F04">
        <w:rPr>
          <w:rFonts w:ascii="Times New Roman" w:hAnsi="Times New Roman" w:cs="Times New Roman"/>
          <w:b/>
          <w:sz w:val="20"/>
          <w:szCs w:val="20"/>
        </w:rPr>
        <w:t>Reference</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Ball,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Kothari</w:t>
      </w:r>
      <w:r w:rsidR="0075220D" w:rsidRPr="006F7F04">
        <w:rPr>
          <w:rFonts w:ascii="Times New Roman" w:hAnsi="Times New Roman" w:cs="Times New Roman"/>
          <w:color w:val="auto"/>
          <w:sz w:val="20"/>
          <w:szCs w:val="20"/>
        </w:rPr>
        <w:t xml:space="preserve"> &amp; </w:t>
      </w:r>
      <w:r w:rsidRPr="006F7F04">
        <w:rPr>
          <w:rFonts w:ascii="Times New Roman" w:hAnsi="Times New Roman" w:cs="Times New Roman"/>
          <w:color w:val="auto"/>
          <w:sz w:val="20"/>
          <w:szCs w:val="20"/>
        </w:rPr>
        <w:t>A,</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Robin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2000);</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effect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international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institutional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factors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properties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earnings";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&amp; </w:t>
      </w:r>
      <w:r w:rsidRPr="006F7F04">
        <w:rPr>
          <w:rFonts w:ascii="Times New Roman" w:hAnsi="Times New Roman" w:cs="Times New Roman"/>
          <w:color w:val="auto"/>
          <w:sz w:val="20"/>
          <w:szCs w:val="20"/>
        </w:rPr>
        <w:t>Economics;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vol.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29;</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1-52.</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i/>
          <w:color w:val="auto"/>
          <w:sz w:val="20"/>
          <w:szCs w:val="20"/>
          <w:u w:val="single"/>
        </w:rPr>
      </w:pPr>
      <w:r w:rsidRPr="006F7F04">
        <w:rPr>
          <w:rFonts w:ascii="Times New Roman" w:hAnsi="Times New Roman" w:cs="Times New Roman"/>
          <w:color w:val="auto"/>
          <w:sz w:val="20"/>
          <w:szCs w:val="20"/>
        </w:rPr>
        <w:t>Ball,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Kothari</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(2007);</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“Econometrics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proofErr w:type="spellStart"/>
      <w:r w:rsidRPr="006F7F04">
        <w:rPr>
          <w:rFonts w:ascii="Times New Roman" w:hAnsi="Times New Roman" w:cs="Times New Roman"/>
          <w:color w:val="auto"/>
          <w:sz w:val="20"/>
          <w:szCs w:val="20"/>
        </w:rPr>
        <w:t>Basu</w:t>
      </w:r>
      <w:proofErr w:type="spellEnd"/>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asymmetric</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timeliness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coefficient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i/>
          <w:color w:val="auto"/>
          <w:sz w:val="20"/>
          <w:szCs w:val="20"/>
        </w:rPr>
        <w:t>online;</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u w:val="single"/>
        </w:rPr>
        <w:t>http://www.ssrn.co</w:t>
      </w:r>
      <w:r w:rsidR="006B319D" w:rsidRPr="006F7F04">
        <w:rPr>
          <w:rFonts w:ascii="Times New Roman" w:hAnsi="Times New Roman" w:cs="Times New Roman"/>
          <w:i/>
          <w:color w:val="auto"/>
          <w:sz w:val="20"/>
          <w:szCs w:val="20"/>
          <w:u w:val="single"/>
        </w:rPr>
        <w:t>m.</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proofErr w:type="spellStart"/>
      <w:r w:rsidRPr="006F7F04">
        <w:rPr>
          <w:rFonts w:ascii="Times New Roman" w:hAnsi="Times New Roman" w:cs="Times New Roman"/>
          <w:color w:val="auto"/>
          <w:sz w:val="20"/>
          <w:szCs w:val="20"/>
        </w:rPr>
        <w:t>Basu</w:t>
      </w:r>
      <w:proofErr w:type="spellEnd"/>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(1997).</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principle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asymmetric</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timelines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earnings.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i/>
          <w:color w:val="auto"/>
          <w:sz w:val="20"/>
          <w:szCs w:val="20"/>
        </w:rPr>
        <w:t>Journal</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of</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Accounting</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and</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Economics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24:</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3-37.</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proofErr w:type="spellStart"/>
      <w:r w:rsidRPr="006F7F04">
        <w:rPr>
          <w:rFonts w:ascii="Times New Roman" w:hAnsi="Times New Roman" w:cs="Times New Roman"/>
          <w:color w:val="auto"/>
          <w:sz w:val="20"/>
          <w:szCs w:val="20"/>
        </w:rPr>
        <w:lastRenderedPageBreak/>
        <w:t>Ohlson</w:t>
      </w:r>
      <w:proofErr w:type="spellEnd"/>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(1995).</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Earnings,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book</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values,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dividends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equity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valuation</w:t>
      </w:r>
      <w:r w:rsidR="006B319D" w:rsidRPr="006F7F04">
        <w:rPr>
          <w:rFonts w:ascii="Times New Roman" w:hAnsi="Times New Roman" w:cs="Times New Roman"/>
          <w:color w:val="auto"/>
          <w:sz w:val="20"/>
          <w:szCs w:val="20"/>
        </w:rPr>
        <w:t xml:space="preserve">. </w:t>
      </w:r>
      <w:r w:rsidR="006B319D" w:rsidRPr="006F7F04">
        <w:rPr>
          <w:rFonts w:ascii="Times New Roman" w:hAnsi="Times New Roman" w:cs="Times New Roman"/>
          <w:i/>
          <w:color w:val="auto"/>
          <w:sz w:val="20"/>
          <w:szCs w:val="20"/>
        </w:rPr>
        <w:t>C</w:t>
      </w:r>
      <w:r w:rsidRPr="006F7F04">
        <w:rPr>
          <w:rFonts w:ascii="Times New Roman" w:hAnsi="Times New Roman" w:cs="Times New Roman"/>
          <w:i/>
          <w:color w:val="auto"/>
          <w:sz w:val="20"/>
          <w:szCs w:val="20"/>
        </w:rPr>
        <w:t>ontemporary</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Accounting</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Research</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11:</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661-687.</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Francis</w:t>
      </w:r>
      <w:r w:rsidR="006B319D" w:rsidRPr="006F7F04">
        <w:rPr>
          <w:rFonts w:ascii="Times New Roman" w:hAnsi="Times New Roman" w:cs="Times New Roman"/>
          <w:color w:val="auto"/>
          <w:sz w:val="20"/>
          <w:szCs w:val="20"/>
        </w:rPr>
        <w:t>, J</w:t>
      </w:r>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(1984).</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effect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audit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firm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size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audit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prices: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study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Australian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market”.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Economics,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Vol.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6</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No.2,</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133-51.</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Chen,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Su,</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X.,</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Wu,</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X.,</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2005.</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“Abnormal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audit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fees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improvement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unfavorable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audit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opinion”.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i/>
          <w:color w:val="auto"/>
          <w:sz w:val="20"/>
          <w:szCs w:val="20"/>
        </w:rPr>
        <w:t>China</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Accounting</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and</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Finance</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Review</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color w:val="auto"/>
          <w:sz w:val="20"/>
          <w:szCs w:val="20"/>
        </w:rPr>
        <w:t>7:</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1-28.</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Ahmed,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w:t>
      </w:r>
      <w:r w:rsidR="0075220D" w:rsidRPr="006F7F04">
        <w:rPr>
          <w:rFonts w:ascii="Times New Roman" w:hAnsi="Times New Roman" w:cs="Times New Roman"/>
          <w:color w:val="auto"/>
          <w:sz w:val="20"/>
          <w:szCs w:val="20"/>
        </w:rPr>
        <w:t xml:space="preserve"> &amp; </w:t>
      </w:r>
      <w:proofErr w:type="spellStart"/>
      <w:r w:rsidRPr="006F7F04">
        <w:rPr>
          <w:rFonts w:ascii="Times New Roman" w:hAnsi="Times New Roman" w:cs="Times New Roman"/>
          <w:color w:val="auto"/>
          <w:sz w:val="20"/>
          <w:szCs w:val="20"/>
        </w:rPr>
        <w:t>Duellman</w:t>
      </w:r>
      <w:proofErr w:type="spellEnd"/>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w:t>
      </w:r>
      <w:r w:rsidR="0075220D" w:rsidRPr="006F7F04">
        <w:rPr>
          <w:rFonts w:ascii="Times New Roman" w:hAnsi="Times New Roman" w:cs="Times New Roman"/>
          <w:color w:val="auto"/>
          <w:sz w:val="20"/>
          <w:szCs w:val="20"/>
        </w:rPr>
        <w:t>, (</w:t>
      </w:r>
      <w:r w:rsidRPr="006F7F04">
        <w:rPr>
          <w:rFonts w:ascii="Times New Roman" w:hAnsi="Times New Roman" w:cs="Times New Roman"/>
          <w:color w:val="auto"/>
          <w:sz w:val="20"/>
          <w:szCs w:val="20"/>
        </w:rPr>
        <w:t>2007),</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i/>
          <w:color w:val="auto"/>
          <w:sz w:val="20"/>
          <w:szCs w:val="20"/>
        </w:rPr>
        <w:t>Evidence</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on</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the</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role</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of</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accounting</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conservatism</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in</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corporate</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governance</w:t>
      </w:r>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Economics,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43</w:t>
      </w:r>
      <w:r w:rsidR="006B319D" w:rsidRPr="006F7F04">
        <w:rPr>
          <w:rFonts w:ascii="Times New Roman" w:hAnsi="Times New Roman" w:cs="Times New Roman"/>
          <w:color w:val="auto"/>
          <w:sz w:val="20"/>
          <w:szCs w:val="20"/>
        </w:rPr>
        <w:t>, p</w:t>
      </w:r>
      <w:r w:rsidRPr="006F7F04">
        <w:rPr>
          <w:rFonts w:ascii="Times New Roman" w:hAnsi="Times New Roman" w:cs="Times New Roman"/>
          <w:color w:val="auto"/>
          <w:sz w:val="20"/>
          <w:szCs w:val="20"/>
        </w:rPr>
        <w:t>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411–437.</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Chen,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Q.,</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Hemmer,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Zhang.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2007.</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relation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between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standards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incentives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for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earnings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management.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Research</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45</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(3)</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(Jun):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541.</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Chi</w:t>
      </w:r>
      <w:r w:rsidR="006B319D" w:rsidRPr="006F7F04">
        <w:rPr>
          <w:rFonts w:ascii="Times New Roman" w:hAnsi="Times New Roman" w:cs="Times New Roman"/>
          <w:color w:val="auto"/>
          <w:sz w:val="20"/>
          <w:szCs w:val="20"/>
        </w:rPr>
        <w:t>, W</w:t>
      </w:r>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Liu</w:t>
      </w:r>
      <w:r w:rsidR="006B319D" w:rsidRPr="006F7F04">
        <w:rPr>
          <w:rFonts w:ascii="Times New Roman" w:hAnsi="Times New Roman" w:cs="Times New Roman"/>
          <w:color w:val="auto"/>
          <w:sz w:val="20"/>
          <w:szCs w:val="20"/>
        </w:rPr>
        <w:t>, C</w:t>
      </w:r>
      <w:r w:rsidRPr="006F7F04">
        <w:rPr>
          <w:rFonts w:ascii="Times New Roman" w:hAnsi="Times New Roman" w:cs="Times New Roman"/>
          <w:color w:val="auto"/>
          <w:sz w:val="20"/>
          <w:szCs w:val="20"/>
        </w:rPr>
        <w:t>H</w:t>
      </w:r>
      <w:r w:rsidR="006B319D" w:rsidRPr="006F7F04">
        <w:rPr>
          <w:rFonts w:ascii="Times New Roman" w:hAnsi="Times New Roman" w:cs="Times New Roman"/>
          <w:color w:val="auto"/>
          <w:sz w:val="20"/>
          <w:szCs w:val="20"/>
        </w:rPr>
        <w:t>. a</w:t>
      </w:r>
      <w:r w:rsidRPr="006F7F04">
        <w:rPr>
          <w:rFonts w:ascii="Times New Roman" w:hAnsi="Times New Roman" w:cs="Times New Roman"/>
          <w:color w:val="auto"/>
          <w:sz w:val="20"/>
          <w:szCs w:val="20"/>
        </w:rPr>
        <w:t>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Wang.2009.</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What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affects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corporate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governance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perspective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Contemporary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&amp; </w:t>
      </w:r>
      <w:r w:rsidRPr="006F7F04">
        <w:rPr>
          <w:rFonts w:ascii="Times New Roman" w:hAnsi="Times New Roman" w:cs="Times New Roman"/>
          <w:color w:val="auto"/>
          <w:sz w:val="20"/>
          <w:szCs w:val="20"/>
        </w:rPr>
        <w:t>Economics.5(1):47.</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Chi</w:t>
      </w:r>
      <w:r w:rsidR="006B319D" w:rsidRPr="006F7F04">
        <w:rPr>
          <w:rFonts w:ascii="Times New Roman" w:hAnsi="Times New Roman" w:cs="Times New Roman"/>
          <w:color w:val="auto"/>
          <w:sz w:val="20"/>
          <w:szCs w:val="20"/>
        </w:rPr>
        <w:t>, W</w:t>
      </w:r>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Wang</w:t>
      </w:r>
      <w:r w:rsidR="006B319D" w:rsidRPr="006F7F04">
        <w:rPr>
          <w:rFonts w:ascii="Times New Roman" w:hAnsi="Times New Roman" w:cs="Times New Roman"/>
          <w:color w:val="auto"/>
          <w:sz w:val="20"/>
          <w:szCs w:val="20"/>
        </w:rPr>
        <w:t>, C</w:t>
      </w:r>
      <w:r w:rsidRPr="006F7F04">
        <w:rPr>
          <w:rFonts w:ascii="Times New Roman" w:hAnsi="Times New Roman" w:cs="Times New Roman"/>
          <w:color w:val="auto"/>
          <w:sz w:val="20"/>
          <w:szCs w:val="20"/>
        </w:rPr>
        <w:t>.2008.</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setting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Informatio</w:t>
      </w:r>
      <w:r w:rsidR="006B319D" w:rsidRPr="006F7F04">
        <w:rPr>
          <w:rFonts w:ascii="Times New Roman" w:hAnsi="Times New Roman" w:cs="Times New Roman"/>
          <w:color w:val="auto"/>
          <w:sz w:val="20"/>
          <w:szCs w:val="20"/>
        </w:rPr>
        <w:t>n.</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Asymmetry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between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majority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minority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shareholders.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international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accounting.45(4):45</w:t>
      </w:r>
      <w:r w:rsidR="006B319D" w:rsidRPr="006F7F04">
        <w:rPr>
          <w:rFonts w:ascii="Times New Roman" w:hAnsi="Times New Roman" w:cs="Times New Roman"/>
          <w:color w:val="auto"/>
          <w:sz w:val="20"/>
          <w:szCs w:val="20"/>
        </w:rPr>
        <w:t>5.</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proofErr w:type="spellStart"/>
      <w:r w:rsidRPr="006F7F04">
        <w:rPr>
          <w:rFonts w:ascii="Times New Roman" w:hAnsi="Times New Roman" w:cs="Times New Roman"/>
          <w:color w:val="auto"/>
          <w:sz w:val="20"/>
          <w:szCs w:val="20"/>
        </w:rPr>
        <w:t>Dimitropoulos</w:t>
      </w:r>
      <w:proofErr w:type="spellEnd"/>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w:t>
      </w:r>
      <w:r w:rsidR="0075220D" w:rsidRPr="006F7F04">
        <w:rPr>
          <w:rFonts w:ascii="Times New Roman" w:hAnsi="Times New Roman" w:cs="Times New Roman"/>
          <w:color w:val="auto"/>
          <w:sz w:val="20"/>
          <w:szCs w:val="20"/>
        </w:rPr>
        <w:t xml:space="preserve"> </w:t>
      </w:r>
      <w:proofErr w:type="spellStart"/>
      <w:r w:rsidRPr="006F7F04">
        <w:rPr>
          <w:rFonts w:ascii="Times New Roman" w:hAnsi="Times New Roman" w:cs="Times New Roman"/>
          <w:color w:val="auto"/>
          <w:sz w:val="20"/>
          <w:szCs w:val="20"/>
        </w:rPr>
        <w:t>Asteriou</w:t>
      </w:r>
      <w:proofErr w:type="spellEnd"/>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D.,</w:t>
      </w:r>
      <w:r w:rsidR="0075220D" w:rsidRPr="006F7F04">
        <w:rPr>
          <w:rFonts w:ascii="Times New Roman" w:hAnsi="Times New Roman" w:cs="Times New Roman"/>
          <w:color w:val="auto"/>
          <w:sz w:val="20"/>
          <w:szCs w:val="20"/>
        </w:rPr>
        <w:t xml:space="preserve"> </w:t>
      </w:r>
      <w:proofErr w:type="spellStart"/>
      <w:r w:rsidRPr="006F7F04">
        <w:rPr>
          <w:rFonts w:ascii="Times New Roman" w:hAnsi="Times New Roman" w:cs="Times New Roman"/>
          <w:color w:val="auto"/>
          <w:sz w:val="20"/>
          <w:szCs w:val="20"/>
        </w:rPr>
        <w:t>Kousenidis</w:t>
      </w:r>
      <w:proofErr w:type="spellEnd"/>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proofErr w:type="spellStart"/>
      <w:r w:rsidRPr="006F7F04">
        <w:rPr>
          <w:rFonts w:ascii="Times New Roman" w:hAnsi="Times New Roman" w:cs="Times New Roman"/>
          <w:color w:val="auto"/>
          <w:sz w:val="20"/>
          <w:szCs w:val="20"/>
        </w:rPr>
        <w:t>Leventis</w:t>
      </w:r>
      <w:proofErr w:type="spellEnd"/>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(2013)</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impact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IFRS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quality: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Evidence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from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Greece,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Advances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incorporating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Advances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International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29</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108–12</w:t>
      </w:r>
      <w:r w:rsidR="006B319D" w:rsidRPr="006F7F04">
        <w:rPr>
          <w:rFonts w:ascii="Times New Roman" w:hAnsi="Times New Roman" w:cs="Times New Roman"/>
          <w:color w:val="auto"/>
          <w:sz w:val="20"/>
          <w:szCs w:val="20"/>
        </w:rPr>
        <w:t>3.</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Financial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Standards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Board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(FASB).</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2010.</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Statement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Financial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Concepts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No.</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8,</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Conceptual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framework</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for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financial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reporting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Norwalk,</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CT.</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Francis,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w:t>
      </w:r>
      <w:r w:rsidR="0075220D" w:rsidRPr="006F7F04">
        <w:rPr>
          <w:rFonts w:ascii="Times New Roman" w:hAnsi="Times New Roman" w:cs="Times New Roman"/>
          <w:color w:val="auto"/>
          <w:sz w:val="20"/>
          <w:szCs w:val="20"/>
        </w:rPr>
        <w:t xml:space="preserve"> </w:t>
      </w:r>
      <w:proofErr w:type="spellStart"/>
      <w:r w:rsidRPr="006F7F04">
        <w:rPr>
          <w:rFonts w:ascii="Times New Roman" w:hAnsi="Times New Roman" w:cs="Times New Roman"/>
          <w:color w:val="auto"/>
          <w:sz w:val="20"/>
          <w:szCs w:val="20"/>
        </w:rPr>
        <w:t>LaFond</w:t>
      </w:r>
      <w:proofErr w:type="spellEnd"/>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Olsson,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K.</w:t>
      </w:r>
      <w:r w:rsidR="0075220D" w:rsidRPr="006F7F04">
        <w:rPr>
          <w:rFonts w:ascii="Times New Roman" w:hAnsi="Times New Roman" w:cs="Times New Roman"/>
          <w:color w:val="auto"/>
          <w:sz w:val="20"/>
          <w:szCs w:val="20"/>
        </w:rPr>
        <w:t xml:space="preserve"> </w:t>
      </w:r>
      <w:proofErr w:type="spellStart"/>
      <w:r w:rsidRPr="006F7F04">
        <w:rPr>
          <w:rFonts w:ascii="Times New Roman" w:hAnsi="Times New Roman" w:cs="Times New Roman"/>
          <w:color w:val="auto"/>
          <w:sz w:val="20"/>
          <w:szCs w:val="20"/>
        </w:rPr>
        <w:t>Schipper</w:t>
      </w:r>
      <w:proofErr w:type="spellEnd"/>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2005</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market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pricing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accruals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quality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Economics,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39(</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(June):29</w:t>
      </w:r>
      <w:r w:rsidR="006B319D" w:rsidRPr="006F7F04">
        <w:rPr>
          <w:rFonts w:ascii="Times New Roman" w:hAnsi="Times New Roman" w:cs="Times New Roman"/>
          <w:color w:val="auto"/>
          <w:sz w:val="20"/>
          <w:szCs w:val="20"/>
        </w:rPr>
        <w:t>5.</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proofErr w:type="spellStart"/>
      <w:r w:rsidRPr="006F7F04">
        <w:rPr>
          <w:rFonts w:ascii="Times New Roman" w:hAnsi="Times New Roman" w:cs="Times New Roman"/>
          <w:color w:val="auto"/>
          <w:sz w:val="20"/>
          <w:szCs w:val="20"/>
        </w:rPr>
        <w:t>Givoly</w:t>
      </w:r>
      <w:proofErr w:type="spellEnd"/>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w:t>
      </w:r>
      <w:r w:rsidR="0075220D" w:rsidRPr="006F7F04">
        <w:rPr>
          <w:rFonts w:ascii="Times New Roman" w:hAnsi="Times New Roman" w:cs="Times New Roman"/>
          <w:color w:val="auto"/>
          <w:sz w:val="20"/>
          <w:szCs w:val="20"/>
        </w:rPr>
        <w:t xml:space="preserve"> </w:t>
      </w:r>
      <w:proofErr w:type="spellStart"/>
      <w:r w:rsidRPr="006F7F04">
        <w:rPr>
          <w:rFonts w:ascii="Times New Roman" w:hAnsi="Times New Roman" w:cs="Times New Roman"/>
          <w:color w:val="auto"/>
          <w:sz w:val="20"/>
          <w:szCs w:val="20"/>
        </w:rPr>
        <w:t>Hayn</w:t>
      </w:r>
      <w:proofErr w:type="spellEnd"/>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2000.</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changing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time-series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properties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earnings,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cash</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flows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accruals: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Has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financial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reporting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become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more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conservative?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&amp; </w:t>
      </w:r>
      <w:r w:rsidRPr="006F7F04">
        <w:rPr>
          <w:rFonts w:ascii="Times New Roman" w:hAnsi="Times New Roman" w:cs="Times New Roman"/>
          <w:color w:val="auto"/>
          <w:sz w:val="20"/>
          <w:szCs w:val="20"/>
        </w:rPr>
        <w:t>Economics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29</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(3)</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(Jun):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287</w:t>
      </w:r>
      <w:r w:rsidR="006B319D" w:rsidRPr="006F7F04">
        <w:rPr>
          <w:rFonts w:ascii="Times New Roman" w:hAnsi="Times New Roman" w:cs="Times New Roman" w:hint="eastAsia"/>
          <w:color w:val="auto"/>
          <w:sz w:val="20"/>
          <w:szCs w:val="20"/>
        </w:rPr>
        <w:t>.</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proofErr w:type="spellStart"/>
      <w:r w:rsidRPr="006F7F04">
        <w:rPr>
          <w:rFonts w:ascii="Times New Roman" w:hAnsi="Times New Roman" w:cs="Times New Roman"/>
          <w:color w:val="auto"/>
          <w:sz w:val="20"/>
          <w:szCs w:val="20"/>
        </w:rPr>
        <w:t>Hamdan</w:t>
      </w:r>
      <w:proofErr w:type="spellEnd"/>
      <w:r w:rsidR="0075220D" w:rsidRPr="006F7F04">
        <w:rPr>
          <w:rFonts w:ascii="Times New Roman" w:hAnsi="Times New Roman" w:cs="Times New Roman"/>
          <w:color w:val="auto"/>
          <w:sz w:val="20"/>
          <w:szCs w:val="20"/>
        </w:rPr>
        <w:t xml:space="preserve"> </w:t>
      </w:r>
      <w:proofErr w:type="spellStart"/>
      <w:r w:rsidRPr="006F7F04">
        <w:rPr>
          <w:rFonts w:ascii="Times New Roman" w:hAnsi="Times New Roman" w:cs="Times New Roman"/>
          <w:color w:val="auto"/>
          <w:sz w:val="20"/>
          <w:szCs w:val="20"/>
        </w:rPr>
        <w:t>Allam</w:t>
      </w:r>
      <w:proofErr w:type="spellEnd"/>
      <w:r w:rsidR="0075220D" w:rsidRPr="006F7F04">
        <w:rPr>
          <w:rFonts w:ascii="Times New Roman" w:hAnsi="Times New Roman" w:cs="Times New Roman"/>
          <w:color w:val="auto"/>
          <w:sz w:val="20"/>
          <w:szCs w:val="20"/>
        </w:rPr>
        <w:t xml:space="preserve"> d (</w:t>
      </w:r>
      <w:r w:rsidRPr="006F7F04">
        <w:rPr>
          <w:rFonts w:ascii="Times New Roman" w:hAnsi="Times New Roman" w:cs="Times New Roman"/>
          <w:color w:val="auto"/>
          <w:sz w:val="20"/>
          <w:szCs w:val="20"/>
        </w:rPr>
        <w:t>2012)</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Earnings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Quality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Bahrain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Stock</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Exchange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gulf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Arabic</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Peninsula</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Studies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Volume</w:t>
      </w:r>
      <w:r w:rsidR="0075220D" w:rsidRPr="006F7F04">
        <w:rPr>
          <w:rFonts w:ascii="Times New Roman" w:hAnsi="Times New Roman" w:cs="Times New Roman"/>
          <w:color w:val="auto"/>
          <w:sz w:val="20"/>
          <w:szCs w:val="20"/>
        </w:rPr>
        <w:t>:</w:t>
      </w:r>
      <w:r w:rsidRPr="006F7F04">
        <w:rPr>
          <w:rFonts w:ascii="Times New Roman" w:hAnsi="Times New Roman" w:cs="Times New Roman"/>
          <w:color w:val="auto"/>
          <w:sz w:val="20"/>
          <w:szCs w:val="20"/>
        </w:rPr>
        <w:t>38</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Issue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14</w:t>
      </w:r>
      <w:r w:rsidR="006B319D" w:rsidRPr="006F7F04">
        <w:rPr>
          <w:rFonts w:ascii="Times New Roman" w:hAnsi="Times New Roman" w:cs="Times New Roman"/>
          <w:color w:val="auto"/>
          <w:sz w:val="20"/>
          <w:szCs w:val="20"/>
        </w:rPr>
        <w:t>4.</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proofErr w:type="spellStart"/>
      <w:r w:rsidRPr="006F7F04">
        <w:rPr>
          <w:rFonts w:ascii="Times New Roman" w:hAnsi="Times New Roman" w:cs="Times New Roman"/>
          <w:color w:val="auto"/>
          <w:sz w:val="20"/>
          <w:szCs w:val="20"/>
        </w:rPr>
        <w:t>Iatridis</w:t>
      </w:r>
      <w:proofErr w:type="spellEnd"/>
      <w:r w:rsidR="006B319D" w:rsidRPr="006F7F04">
        <w:rPr>
          <w:rFonts w:ascii="Times New Roman" w:hAnsi="Times New Roman" w:cs="Times New Roman"/>
          <w:color w:val="auto"/>
          <w:sz w:val="20"/>
          <w:szCs w:val="20"/>
        </w:rPr>
        <w:t>, G</w:t>
      </w:r>
      <w:r w:rsidR="0075220D" w:rsidRPr="006F7F04">
        <w:rPr>
          <w:rFonts w:ascii="Times New Roman" w:hAnsi="Times New Roman" w:cs="Times New Roman"/>
          <w:color w:val="auto"/>
          <w:sz w:val="20"/>
          <w:szCs w:val="20"/>
        </w:rPr>
        <w:t>.</w:t>
      </w:r>
      <w:r w:rsidRPr="006F7F04">
        <w:rPr>
          <w:rFonts w:ascii="Times New Roman" w:hAnsi="Times New Roman" w:cs="Times New Roman"/>
          <w:color w:val="auto"/>
          <w:sz w:val="20"/>
          <w:szCs w:val="20"/>
        </w:rPr>
        <w:t>2011.</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disclosures,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quality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conditional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w:t>
      </w:r>
      <w:r w:rsidR="006B319D" w:rsidRPr="006F7F04">
        <w:rPr>
          <w:rFonts w:ascii="Times New Roman" w:hAnsi="Times New Roman" w:cs="Times New Roman"/>
          <w:color w:val="auto"/>
          <w:sz w:val="20"/>
          <w:szCs w:val="20"/>
        </w:rPr>
        <w:t>d.</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unconditional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International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Review</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Financial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Analysis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20(2</w:t>
      </w:r>
      <w:r w:rsidR="0075220D" w:rsidRPr="006F7F04">
        <w:rPr>
          <w:rFonts w:ascii="Times New Roman" w:hAnsi="Times New Roman" w:cs="Times New Roman"/>
          <w:color w:val="auto"/>
          <w:sz w:val="20"/>
          <w:szCs w:val="20"/>
        </w:rPr>
        <w:t>) (</w:t>
      </w:r>
      <w:r w:rsidRPr="006F7F04">
        <w:rPr>
          <w:rFonts w:ascii="Times New Roman" w:hAnsi="Times New Roman" w:cs="Times New Roman"/>
          <w:color w:val="auto"/>
          <w:sz w:val="20"/>
          <w:szCs w:val="20"/>
        </w:rPr>
        <w:t>Apr):8</w:t>
      </w:r>
      <w:r w:rsidR="006B319D" w:rsidRPr="006F7F04">
        <w:rPr>
          <w:rFonts w:ascii="Times New Roman" w:hAnsi="Times New Roman" w:cs="Times New Roman"/>
          <w:color w:val="auto"/>
          <w:sz w:val="20"/>
          <w:szCs w:val="20"/>
        </w:rPr>
        <w:t>8.</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proofErr w:type="spellStart"/>
      <w:r w:rsidRPr="006F7F04">
        <w:rPr>
          <w:rFonts w:ascii="Times New Roman" w:hAnsi="Times New Roman" w:cs="Times New Roman"/>
          <w:color w:val="auto"/>
          <w:sz w:val="20"/>
          <w:szCs w:val="20"/>
        </w:rPr>
        <w:lastRenderedPageBreak/>
        <w:t>Kravet</w:t>
      </w:r>
      <w:proofErr w:type="spellEnd"/>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2012.</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Managerial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Risk-Taking: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Corporate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Acquisitions.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Working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Paper,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University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Texas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Dalla</w:t>
      </w:r>
      <w:r w:rsidR="006B319D" w:rsidRPr="006F7F04">
        <w:rPr>
          <w:rFonts w:ascii="Times New Roman" w:hAnsi="Times New Roman" w:cs="Times New Roman"/>
          <w:color w:val="auto"/>
          <w:sz w:val="20"/>
          <w:szCs w:val="20"/>
        </w:rPr>
        <w:t>s.</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proofErr w:type="spellStart"/>
      <w:r w:rsidRPr="006F7F04">
        <w:rPr>
          <w:rFonts w:ascii="Times New Roman" w:hAnsi="Times New Roman" w:cs="Times New Roman"/>
          <w:color w:val="auto"/>
          <w:sz w:val="20"/>
          <w:szCs w:val="20"/>
        </w:rPr>
        <w:t>LaFond</w:t>
      </w:r>
      <w:proofErr w:type="spellEnd"/>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Watts.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2008.</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information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role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Review</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83</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(Mar):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447.</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Lee,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2010.</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Role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Firms’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Financial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Decisions.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Working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Paper,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Northwestern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Universit</w:t>
      </w:r>
      <w:r w:rsidR="006B319D" w:rsidRPr="006F7F04">
        <w:rPr>
          <w:rFonts w:ascii="Times New Roman" w:hAnsi="Times New Roman" w:cs="Times New Roman"/>
          <w:color w:val="auto"/>
          <w:sz w:val="20"/>
          <w:szCs w:val="20"/>
        </w:rPr>
        <w:t>y.</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Lin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w:t>
      </w:r>
      <w:r w:rsidR="0075220D" w:rsidRPr="006F7F04">
        <w:rPr>
          <w:rFonts w:ascii="Times New Roman" w:hAnsi="Times New Roman" w:cs="Times New Roman"/>
          <w:color w:val="auto"/>
          <w:sz w:val="20"/>
          <w:szCs w:val="20"/>
        </w:rPr>
        <w:t xml:space="preserve"> </w:t>
      </w:r>
      <w:proofErr w:type="spellStart"/>
      <w:r w:rsidRPr="006F7F04">
        <w:rPr>
          <w:rFonts w:ascii="Times New Roman" w:hAnsi="Times New Roman" w:cs="Times New Roman"/>
          <w:color w:val="auto"/>
          <w:sz w:val="20"/>
          <w:szCs w:val="20"/>
        </w:rPr>
        <w:t>Riccardi</w:t>
      </w:r>
      <w:proofErr w:type="spellEnd"/>
      <w:r w:rsidR="006B319D" w:rsidRPr="006F7F04">
        <w:rPr>
          <w:rFonts w:ascii="Times New Roman" w:hAnsi="Times New Roman" w:cs="Times New Roman"/>
          <w:color w:val="auto"/>
          <w:sz w:val="20"/>
          <w:szCs w:val="20"/>
        </w:rPr>
        <w:t>, W</w:t>
      </w:r>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Wang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w:t>
      </w:r>
      <w:r w:rsidR="0075220D" w:rsidRPr="006F7F04">
        <w:rPr>
          <w:rFonts w:ascii="Times New Roman" w:hAnsi="Times New Roman" w:cs="Times New Roman"/>
          <w:color w:val="auto"/>
          <w:sz w:val="20"/>
          <w:szCs w:val="20"/>
        </w:rPr>
        <w:t>, (</w:t>
      </w:r>
      <w:r w:rsidRPr="006F7F04">
        <w:rPr>
          <w:rFonts w:ascii="Times New Roman" w:hAnsi="Times New Roman" w:cs="Times New Roman"/>
          <w:color w:val="auto"/>
          <w:sz w:val="20"/>
          <w:szCs w:val="20"/>
        </w:rPr>
        <w:t>2012)</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Does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quality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change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following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switch</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from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U.S.GAAP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to</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IFRS?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Evidence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from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Germany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Public</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Policy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31</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641–657</w:t>
      </w:r>
      <w:r w:rsidR="006B319D" w:rsidRPr="006F7F04">
        <w:rPr>
          <w:rFonts w:ascii="Times New Roman" w:hAnsi="Times New Roman" w:cs="Times New Roman"/>
          <w:color w:val="auto"/>
          <w:sz w:val="20"/>
          <w:szCs w:val="20"/>
        </w:rPr>
        <w:t xml:space="preserve"> .</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proofErr w:type="spellStart"/>
      <w:r w:rsidRPr="006F7F04">
        <w:rPr>
          <w:rFonts w:ascii="Times New Roman" w:hAnsi="Times New Roman" w:cs="Times New Roman"/>
          <w:color w:val="auto"/>
          <w:sz w:val="20"/>
          <w:szCs w:val="20"/>
        </w:rPr>
        <w:t>Ruch</w:t>
      </w:r>
      <w:proofErr w:type="spellEnd"/>
      <w:r w:rsidR="006B319D" w:rsidRPr="006F7F04">
        <w:rPr>
          <w:rFonts w:ascii="Times New Roman" w:hAnsi="Times New Roman" w:cs="Times New Roman"/>
          <w:color w:val="auto"/>
          <w:sz w:val="20"/>
          <w:szCs w:val="20"/>
        </w:rPr>
        <w:t>, G</w:t>
      </w:r>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G</w:t>
      </w:r>
      <w:r w:rsidR="006B319D" w:rsidRPr="006F7F04">
        <w:rPr>
          <w:rFonts w:ascii="Times New Roman" w:hAnsi="Times New Roman" w:cs="Times New Roman"/>
          <w:color w:val="auto"/>
          <w:sz w:val="20"/>
          <w:szCs w:val="20"/>
        </w:rPr>
        <w:t>, T</w:t>
      </w:r>
      <w:r w:rsidRPr="006F7F04">
        <w:rPr>
          <w:rFonts w:ascii="Times New Roman" w:hAnsi="Times New Roman" w:cs="Times New Roman"/>
          <w:color w:val="auto"/>
          <w:sz w:val="20"/>
          <w:szCs w:val="20"/>
        </w:rPr>
        <w:t>aylor.2011.</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its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Effects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Financial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lastRenderedPageBreak/>
        <w:t>Reporting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Quality: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Review</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the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Literature</w:t>
      </w:r>
      <w:r w:rsidR="006B319D" w:rsidRPr="006F7F04">
        <w:rPr>
          <w:rFonts w:ascii="Times New Roman" w:hAnsi="Times New Roman" w:cs="Times New Roman"/>
          <w:color w:val="auto"/>
          <w:sz w:val="20"/>
          <w:szCs w:val="20"/>
        </w:rPr>
        <w:t>. S</w:t>
      </w:r>
      <w:r w:rsidRPr="006F7F04">
        <w:rPr>
          <w:rFonts w:ascii="Times New Roman" w:hAnsi="Times New Roman" w:cs="Times New Roman"/>
          <w:color w:val="auto"/>
          <w:sz w:val="20"/>
          <w:szCs w:val="20"/>
        </w:rPr>
        <w:t>SR</w:t>
      </w:r>
      <w:r w:rsidR="006B319D" w:rsidRPr="006F7F04">
        <w:rPr>
          <w:rFonts w:ascii="Times New Roman" w:hAnsi="Times New Roman" w:cs="Times New Roman"/>
          <w:color w:val="auto"/>
          <w:sz w:val="20"/>
          <w:szCs w:val="20"/>
        </w:rPr>
        <w:t>N.</w:t>
      </w:r>
    </w:p>
    <w:p w:rsidR="006B319D"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Tan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(2013)</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Creditor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control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rights,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state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nature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verification,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financial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reporting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Journal</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of</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Economics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55</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1–2</w:t>
      </w:r>
      <w:r w:rsidR="006B319D" w:rsidRPr="006F7F04">
        <w:rPr>
          <w:rFonts w:ascii="Times New Roman" w:hAnsi="Times New Roman" w:cs="Times New Roman"/>
          <w:color w:val="auto"/>
          <w:sz w:val="20"/>
          <w:szCs w:val="20"/>
        </w:rPr>
        <w:t>2.</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Watts,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R.</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2003a.</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in</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part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Explanations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implications.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Horizons</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17</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(3)</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(Sep):</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207.</w:t>
      </w:r>
    </w:p>
    <w:p w:rsidR="0073387B" w:rsidRPr="006F7F04" w:rsidRDefault="0010504F" w:rsidP="006B319D">
      <w:pPr>
        <w:pStyle w:val="normal0"/>
        <w:numPr>
          <w:ilvl w:val="0"/>
          <w:numId w:val="2"/>
        </w:numPr>
        <w:bidi w:val="0"/>
        <w:snapToGrid w:val="0"/>
        <w:spacing w:after="0" w:line="240" w:lineRule="auto"/>
        <w:rPr>
          <w:rFonts w:ascii="Times New Roman" w:hAnsi="Times New Roman" w:cs="Times New Roman"/>
          <w:color w:val="auto"/>
          <w:sz w:val="20"/>
          <w:szCs w:val="20"/>
        </w:rPr>
      </w:pPr>
      <w:r w:rsidRPr="006F7F04">
        <w:rPr>
          <w:rFonts w:ascii="Times New Roman" w:hAnsi="Times New Roman" w:cs="Times New Roman"/>
          <w:color w:val="auto"/>
          <w:sz w:val="20"/>
          <w:szCs w:val="20"/>
        </w:rPr>
        <w:t>WANG,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I.</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K.</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(2015).</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Debt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Maturity</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Structure</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and</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Accounting</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Conservatism.</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i/>
          <w:color w:val="auto"/>
          <w:sz w:val="20"/>
          <w:szCs w:val="20"/>
        </w:rPr>
        <w:t>Journal</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of</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Business</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Finance</w:t>
      </w:r>
      <w:r w:rsidR="0075220D" w:rsidRPr="006F7F04">
        <w:rPr>
          <w:rFonts w:ascii="Times New Roman" w:hAnsi="Times New Roman" w:cs="Times New Roman"/>
          <w:i/>
          <w:color w:val="auto"/>
          <w:sz w:val="20"/>
          <w:szCs w:val="20"/>
        </w:rPr>
        <w:t xml:space="preserve"> &amp; </w:t>
      </w:r>
      <w:r w:rsidRPr="006F7F04">
        <w:rPr>
          <w:rFonts w:ascii="Times New Roman" w:hAnsi="Times New Roman" w:cs="Times New Roman"/>
          <w:i/>
          <w:color w:val="auto"/>
          <w:sz w:val="20"/>
          <w:szCs w:val="20"/>
        </w:rPr>
        <w:t>Accounting,</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42(1)</w:t>
      </w:r>
      <w:r w:rsidR="0075220D" w:rsidRPr="006F7F04">
        <w:rPr>
          <w:rFonts w:ascii="Times New Roman" w:hAnsi="Times New Roman" w:cs="Times New Roman"/>
          <w:i/>
          <w:color w:val="auto"/>
          <w:sz w:val="20"/>
          <w:szCs w:val="20"/>
        </w:rPr>
        <w:t xml:space="preserve"> &amp; </w:t>
      </w:r>
      <w:r w:rsidRPr="006F7F04">
        <w:rPr>
          <w:rFonts w:ascii="Times New Roman" w:hAnsi="Times New Roman" w:cs="Times New Roman"/>
          <w:i/>
          <w:color w:val="auto"/>
          <w:sz w:val="20"/>
          <w:szCs w:val="20"/>
        </w:rPr>
        <w:t>(2),</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167–203,</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January/February</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2015,</w:t>
      </w:r>
      <w:r w:rsidR="0075220D" w:rsidRPr="006F7F04">
        <w:rPr>
          <w:rFonts w:ascii="Times New Roman" w:hAnsi="Times New Roman" w:cs="Times New Roman"/>
          <w:i/>
          <w:color w:val="auto"/>
          <w:sz w:val="20"/>
          <w:szCs w:val="20"/>
        </w:rPr>
        <w:t xml:space="preserve"> </w:t>
      </w:r>
      <w:r w:rsidRPr="006F7F04">
        <w:rPr>
          <w:rFonts w:ascii="Times New Roman" w:hAnsi="Times New Roman" w:cs="Times New Roman"/>
          <w:i/>
          <w:color w:val="auto"/>
          <w:sz w:val="20"/>
          <w:szCs w:val="20"/>
        </w:rPr>
        <w:t>0306-686X</w:t>
      </w:r>
      <w:r w:rsidRPr="006F7F04">
        <w:rPr>
          <w:rFonts w:ascii="Times New Roman" w:hAnsi="Times New Roman" w:cs="Times New Roman"/>
          <w:color w:val="auto"/>
          <w:sz w:val="20"/>
          <w:szCs w:val="20"/>
        </w:rPr>
        <w:t>,</w:t>
      </w:r>
      <w:r w:rsidR="0075220D" w:rsidRPr="006F7F04">
        <w:rPr>
          <w:rFonts w:ascii="Times New Roman" w:hAnsi="Times New Roman" w:cs="Times New Roman"/>
          <w:color w:val="auto"/>
          <w:sz w:val="20"/>
          <w:szCs w:val="20"/>
        </w:rPr>
        <w:t xml:space="preserve"> </w:t>
      </w:r>
      <w:r w:rsidRPr="006F7F04">
        <w:rPr>
          <w:rFonts w:ascii="Times New Roman" w:hAnsi="Times New Roman" w:cs="Times New Roman"/>
          <w:color w:val="auto"/>
          <w:sz w:val="20"/>
          <w:szCs w:val="20"/>
        </w:rPr>
        <w:t>1-37.</w:t>
      </w:r>
    </w:p>
    <w:p w:rsidR="0075220D" w:rsidRPr="006F7F04" w:rsidRDefault="0075220D" w:rsidP="002645D9">
      <w:pPr>
        <w:pStyle w:val="normal0"/>
        <w:bidi w:val="0"/>
        <w:snapToGrid w:val="0"/>
        <w:spacing w:after="0" w:line="240" w:lineRule="auto"/>
        <w:ind w:left="425" w:hanging="425"/>
        <w:rPr>
          <w:rFonts w:ascii="Times New Roman" w:hAnsi="Times New Roman" w:cs="Times New Roman"/>
          <w:color w:val="404040"/>
          <w:sz w:val="20"/>
          <w:szCs w:val="20"/>
        </w:rPr>
        <w:sectPr w:rsidR="0075220D" w:rsidRPr="006F7F04" w:rsidSect="006B319D">
          <w:headerReference w:type="default" r:id="rId49"/>
          <w:footerReference w:type="default" r:id="rId50"/>
          <w:type w:val="continuous"/>
          <w:pgSz w:w="12240" w:h="15840" w:code="1"/>
          <w:pgMar w:top="1440" w:right="1440" w:bottom="1440" w:left="1440" w:header="720" w:footer="720" w:gutter="0"/>
          <w:cols w:num="2" w:space="550"/>
          <w:docGrid w:linePitch="299"/>
        </w:sectPr>
      </w:pPr>
    </w:p>
    <w:p w:rsidR="0075220D" w:rsidRPr="006F7F04" w:rsidRDefault="006B319D" w:rsidP="002645D9">
      <w:pPr>
        <w:pStyle w:val="normal0"/>
        <w:bidi w:val="0"/>
        <w:snapToGrid w:val="0"/>
        <w:spacing w:after="0" w:line="240" w:lineRule="auto"/>
        <w:ind w:left="425" w:hanging="425"/>
        <w:rPr>
          <w:rFonts w:ascii="Times New Roman" w:hAnsi="Times New Roman" w:cs="Times New Roman"/>
          <w:color w:val="404040"/>
          <w:sz w:val="20"/>
          <w:szCs w:val="20"/>
        </w:rPr>
      </w:pPr>
      <w:r w:rsidRPr="006F7F04">
        <w:rPr>
          <w:rFonts w:ascii="Times New Roman" w:hAnsi="Times New Roman" w:cs="Times New Roman" w:hint="eastAsia"/>
          <w:color w:val="404040"/>
          <w:sz w:val="20"/>
          <w:szCs w:val="20"/>
        </w:rPr>
        <w:lastRenderedPageBreak/>
        <w:t xml:space="preserve">  </w:t>
      </w:r>
    </w:p>
    <w:p w:rsidR="006B319D" w:rsidRPr="006F7F04" w:rsidRDefault="006B319D" w:rsidP="006B319D">
      <w:pPr>
        <w:pStyle w:val="normal0"/>
        <w:bidi w:val="0"/>
        <w:snapToGrid w:val="0"/>
        <w:spacing w:after="0" w:line="240" w:lineRule="auto"/>
        <w:ind w:left="425" w:hanging="425"/>
        <w:rPr>
          <w:rFonts w:ascii="Times New Roman" w:hAnsi="Times New Roman" w:cs="Times New Roman"/>
          <w:color w:val="404040"/>
          <w:sz w:val="20"/>
          <w:szCs w:val="20"/>
        </w:rPr>
      </w:pPr>
    </w:p>
    <w:p w:rsidR="006B319D" w:rsidRPr="006F7F04" w:rsidRDefault="006B319D" w:rsidP="006B319D">
      <w:pPr>
        <w:pStyle w:val="normal0"/>
        <w:bidi w:val="0"/>
        <w:snapToGrid w:val="0"/>
        <w:spacing w:after="0" w:line="240" w:lineRule="auto"/>
        <w:ind w:left="425" w:hanging="425"/>
        <w:rPr>
          <w:rFonts w:ascii="Times New Roman" w:hAnsi="Times New Roman" w:cs="Times New Roman"/>
          <w:color w:val="404040"/>
          <w:sz w:val="20"/>
          <w:szCs w:val="20"/>
        </w:rPr>
      </w:pPr>
    </w:p>
    <w:p w:rsidR="0073387B" w:rsidRPr="006F7F04" w:rsidRDefault="0075220D" w:rsidP="002645D9">
      <w:pPr>
        <w:pStyle w:val="normal0"/>
        <w:bidi w:val="0"/>
        <w:snapToGrid w:val="0"/>
        <w:spacing w:after="0" w:line="240" w:lineRule="auto"/>
        <w:ind w:left="425" w:hanging="425"/>
        <w:rPr>
          <w:rFonts w:ascii="Times New Roman" w:hAnsi="Times New Roman" w:cs="Times New Roman"/>
          <w:color w:val="404040"/>
          <w:sz w:val="20"/>
          <w:szCs w:val="20"/>
        </w:rPr>
      </w:pPr>
      <w:r w:rsidRPr="006F7F04">
        <w:rPr>
          <w:rFonts w:ascii="Times New Roman" w:hAnsi="Times New Roman" w:cs="Times New Roman"/>
          <w:color w:val="404040"/>
          <w:sz w:val="20"/>
          <w:szCs w:val="20"/>
        </w:rPr>
        <w:t>3/17/2018</w:t>
      </w:r>
    </w:p>
    <w:sectPr w:rsidR="0073387B" w:rsidRPr="006F7F04" w:rsidSect="0075220D">
      <w:type w:val="continuous"/>
      <w:pgSz w:w="12240" w:h="15840" w:code="1"/>
      <w:pgMar w:top="1440" w:right="1440" w:bottom="1440" w:left="1440" w:header="720" w:footer="720" w:gutter="0"/>
      <w:cols w:num="2" w:space="720" w:equalWidth="0">
        <w:col w:w="4320" w:space="720"/>
        <w:col w:w="43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2E2" w:rsidRDefault="009F42E2" w:rsidP="0073387B">
      <w:pPr>
        <w:spacing w:after="0" w:line="240" w:lineRule="auto"/>
      </w:pPr>
      <w:r>
        <w:separator/>
      </w:r>
    </w:p>
  </w:endnote>
  <w:endnote w:type="continuationSeparator" w:id="0">
    <w:p w:rsidR="009F42E2" w:rsidRDefault="009F42E2" w:rsidP="00733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Pr="00B25030" w:rsidRDefault="0091794E" w:rsidP="00B25030">
    <w:pPr>
      <w:bidi w:val="0"/>
      <w:spacing w:after="0" w:line="240" w:lineRule="auto"/>
      <w:jc w:val="center"/>
      <w:rPr>
        <w:rFonts w:ascii="Times New Roman" w:hAnsi="Times New Roman" w:cs="Times New Roman"/>
        <w:sz w:val="20"/>
      </w:rPr>
    </w:pPr>
    <w:r w:rsidRPr="00B25030">
      <w:rPr>
        <w:rFonts w:ascii="Times New Roman" w:hAnsi="Times New Roman" w:cs="Times New Roman"/>
        <w:sz w:val="20"/>
      </w:rPr>
      <w:fldChar w:fldCharType="begin"/>
    </w:r>
    <w:r w:rsidR="00B25030" w:rsidRPr="00B25030">
      <w:rPr>
        <w:rFonts w:ascii="Times New Roman" w:hAnsi="Times New Roman" w:cs="Times New Roman"/>
        <w:sz w:val="20"/>
      </w:rPr>
      <w:instrText xml:space="preserve"> page </w:instrText>
    </w:r>
    <w:r w:rsidRPr="00B25030">
      <w:rPr>
        <w:rFonts w:ascii="Times New Roman" w:hAnsi="Times New Roman" w:cs="Times New Roman"/>
        <w:sz w:val="20"/>
      </w:rPr>
      <w:fldChar w:fldCharType="separate"/>
    </w:r>
    <w:r w:rsidR="00C07192">
      <w:rPr>
        <w:rFonts w:ascii="Times New Roman" w:hAnsi="Times New Roman" w:cs="Times New Roman"/>
        <w:noProof/>
        <w:sz w:val="20"/>
      </w:rPr>
      <w:t>61</w:t>
    </w:r>
    <w:r w:rsidRPr="00B25030">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Pr="00B25030" w:rsidRDefault="0091794E" w:rsidP="00B25030">
    <w:pPr>
      <w:bidi w:val="0"/>
      <w:spacing w:after="0" w:line="240" w:lineRule="auto"/>
      <w:jc w:val="center"/>
      <w:rPr>
        <w:rFonts w:ascii="Times New Roman" w:hAnsi="Times New Roman" w:cs="Times New Roman"/>
        <w:sz w:val="20"/>
      </w:rPr>
    </w:pPr>
    <w:r w:rsidRPr="00B25030">
      <w:rPr>
        <w:rFonts w:ascii="Times New Roman" w:hAnsi="Times New Roman" w:cs="Times New Roman"/>
        <w:sz w:val="20"/>
      </w:rPr>
      <w:fldChar w:fldCharType="begin"/>
    </w:r>
    <w:r w:rsidR="00B25030" w:rsidRPr="00B25030">
      <w:rPr>
        <w:rFonts w:ascii="Times New Roman" w:hAnsi="Times New Roman" w:cs="Times New Roman"/>
        <w:sz w:val="20"/>
      </w:rPr>
      <w:instrText xml:space="preserve"> page </w:instrText>
    </w:r>
    <w:r w:rsidRPr="00B25030">
      <w:rPr>
        <w:rFonts w:ascii="Times New Roman" w:hAnsi="Times New Roman" w:cs="Times New Roman"/>
        <w:sz w:val="20"/>
      </w:rPr>
      <w:fldChar w:fldCharType="separate"/>
    </w:r>
    <w:r w:rsidR="00C07192">
      <w:rPr>
        <w:rFonts w:ascii="Times New Roman" w:hAnsi="Times New Roman" w:cs="Times New Roman"/>
        <w:noProof/>
        <w:sz w:val="20"/>
      </w:rPr>
      <w:t>64</w:t>
    </w:r>
    <w:r w:rsidRPr="00B25030">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Pr="00B25030" w:rsidRDefault="0091794E" w:rsidP="00B25030">
    <w:pPr>
      <w:bidi w:val="0"/>
      <w:spacing w:after="0" w:line="240" w:lineRule="auto"/>
      <w:jc w:val="center"/>
      <w:rPr>
        <w:rFonts w:ascii="Times New Roman" w:hAnsi="Times New Roman" w:cs="Times New Roman"/>
        <w:sz w:val="20"/>
      </w:rPr>
    </w:pPr>
    <w:r w:rsidRPr="00B25030">
      <w:rPr>
        <w:rFonts w:ascii="Times New Roman" w:hAnsi="Times New Roman" w:cs="Times New Roman"/>
        <w:sz w:val="20"/>
      </w:rPr>
      <w:fldChar w:fldCharType="begin"/>
    </w:r>
    <w:r w:rsidR="00B25030" w:rsidRPr="00B25030">
      <w:rPr>
        <w:rFonts w:ascii="Times New Roman" w:hAnsi="Times New Roman" w:cs="Times New Roman"/>
        <w:sz w:val="20"/>
      </w:rPr>
      <w:instrText xml:space="preserve"> page </w:instrText>
    </w:r>
    <w:r w:rsidRPr="00B25030">
      <w:rPr>
        <w:rFonts w:ascii="Times New Roman" w:hAnsi="Times New Roman" w:cs="Times New Roman"/>
        <w:sz w:val="20"/>
      </w:rPr>
      <w:fldChar w:fldCharType="separate"/>
    </w:r>
    <w:r w:rsidR="006F7F04">
      <w:rPr>
        <w:rFonts w:ascii="Times New Roman" w:hAnsi="Times New Roman" w:cs="Times New Roman"/>
        <w:noProof/>
        <w:sz w:val="20"/>
      </w:rPr>
      <w:t>65</w:t>
    </w:r>
    <w:r w:rsidRPr="00B25030">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Pr="00B25030" w:rsidRDefault="0091794E" w:rsidP="00B25030">
    <w:pPr>
      <w:bidi w:val="0"/>
      <w:spacing w:after="0" w:line="240" w:lineRule="auto"/>
      <w:jc w:val="center"/>
      <w:rPr>
        <w:rFonts w:ascii="Times New Roman" w:hAnsi="Times New Roman" w:cs="Times New Roman"/>
        <w:sz w:val="20"/>
      </w:rPr>
    </w:pPr>
    <w:r w:rsidRPr="00B25030">
      <w:rPr>
        <w:rFonts w:ascii="Times New Roman" w:hAnsi="Times New Roman" w:cs="Times New Roman"/>
        <w:sz w:val="20"/>
      </w:rPr>
      <w:fldChar w:fldCharType="begin"/>
    </w:r>
    <w:r w:rsidR="00B25030" w:rsidRPr="00B25030">
      <w:rPr>
        <w:rFonts w:ascii="Times New Roman" w:hAnsi="Times New Roman" w:cs="Times New Roman"/>
        <w:sz w:val="20"/>
      </w:rPr>
      <w:instrText xml:space="preserve"> page </w:instrText>
    </w:r>
    <w:r w:rsidRPr="00B25030">
      <w:rPr>
        <w:rFonts w:ascii="Times New Roman" w:hAnsi="Times New Roman" w:cs="Times New Roman"/>
        <w:sz w:val="20"/>
      </w:rPr>
      <w:fldChar w:fldCharType="separate"/>
    </w:r>
    <w:r w:rsidR="00C07192">
      <w:rPr>
        <w:rFonts w:ascii="Times New Roman" w:hAnsi="Times New Roman" w:cs="Times New Roman"/>
        <w:noProof/>
        <w:sz w:val="20"/>
      </w:rPr>
      <w:t>66</w:t>
    </w:r>
    <w:r w:rsidRPr="00B2503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Pr="00B25030" w:rsidRDefault="0091794E" w:rsidP="00B25030">
    <w:pPr>
      <w:bidi w:val="0"/>
      <w:spacing w:after="0" w:line="240" w:lineRule="auto"/>
      <w:jc w:val="center"/>
      <w:rPr>
        <w:rFonts w:ascii="Times New Roman" w:hAnsi="Times New Roman" w:cs="Times New Roman"/>
        <w:sz w:val="20"/>
      </w:rPr>
    </w:pPr>
    <w:r w:rsidRPr="00B25030">
      <w:rPr>
        <w:rFonts w:ascii="Times New Roman" w:hAnsi="Times New Roman" w:cs="Times New Roman"/>
        <w:sz w:val="20"/>
      </w:rPr>
      <w:fldChar w:fldCharType="begin"/>
    </w:r>
    <w:r w:rsidR="00B25030" w:rsidRPr="00B25030">
      <w:rPr>
        <w:rFonts w:ascii="Times New Roman" w:hAnsi="Times New Roman" w:cs="Times New Roman"/>
        <w:sz w:val="20"/>
      </w:rPr>
      <w:instrText xml:space="preserve"> page </w:instrText>
    </w:r>
    <w:r w:rsidRPr="00B25030">
      <w:rPr>
        <w:rFonts w:ascii="Times New Roman" w:hAnsi="Times New Roman" w:cs="Times New Roman"/>
        <w:sz w:val="20"/>
      </w:rPr>
      <w:fldChar w:fldCharType="separate"/>
    </w:r>
    <w:r w:rsidR="006F7F04">
      <w:rPr>
        <w:rFonts w:ascii="Times New Roman" w:hAnsi="Times New Roman" w:cs="Times New Roman"/>
        <w:noProof/>
        <w:sz w:val="20"/>
      </w:rPr>
      <w:t>62</w:t>
    </w:r>
    <w:r w:rsidRPr="00B2503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Pr="00B25030" w:rsidRDefault="0091794E" w:rsidP="00B25030">
    <w:pPr>
      <w:bidi w:val="0"/>
      <w:spacing w:after="0" w:line="240" w:lineRule="auto"/>
      <w:jc w:val="center"/>
      <w:rPr>
        <w:rFonts w:ascii="Times New Roman" w:hAnsi="Times New Roman" w:cs="Times New Roman"/>
        <w:sz w:val="20"/>
      </w:rPr>
    </w:pPr>
    <w:r w:rsidRPr="00B25030">
      <w:rPr>
        <w:rFonts w:ascii="Times New Roman" w:hAnsi="Times New Roman" w:cs="Times New Roman"/>
        <w:sz w:val="20"/>
      </w:rPr>
      <w:fldChar w:fldCharType="begin"/>
    </w:r>
    <w:r w:rsidR="00B25030" w:rsidRPr="00B25030">
      <w:rPr>
        <w:rFonts w:ascii="Times New Roman" w:hAnsi="Times New Roman" w:cs="Times New Roman"/>
        <w:sz w:val="20"/>
      </w:rPr>
      <w:instrText xml:space="preserve"> page </w:instrText>
    </w:r>
    <w:r w:rsidRPr="00B25030">
      <w:rPr>
        <w:rFonts w:ascii="Times New Roman" w:hAnsi="Times New Roman" w:cs="Times New Roman"/>
        <w:sz w:val="20"/>
      </w:rPr>
      <w:fldChar w:fldCharType="separate"/>
    </w:r>
    <w:r w:rsidR="006F7F04">
      <w:rPr>
        <w:rFonts w:ascii="Times New Roman" w:hAnsi="Times New Roman" w:cs="Times New Roman"/>
        <w:noProof/>
        <w:sz w:val="20"/>
      </w:rPr>
      <w:t>63</w:t>
    </w:r>
    <w:r w:rsidRPr="00B25030">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91794E">
    <w:pPr>
      <w:pStyle w:val="normal0"/>
      <w:jc w:val="center"/>
      <w:rPr>
        <w:color w:val="0070C0"/>
      </w:rPr>
    </w:pPr>
    <w:hyperlink r:id="rId1">
      <w:r w:rsidR="00707DF2">
        <w:rPr>
          <w:color w:val="0070C0"/>
          <w:sz w:val="20"/>
          <w:szCs w:val="20"/>
          <w:u w:val="single"/>
        </w:rPr>
        <w:t>http://www.sciencepub.net/newyork</w:t>
      </w:r>
    </w:hyperlink>
    <w:r w:rsidR="00707DF2">
      <w:rPr>
        <w:color w:val="0070C0"/>
        <w:sz w:val="20"/>
        <w:szCs w:val="20"/>
      </w:rPr>
      <w:t xml:space="preserve">                        </w:t>
    </w:r>
    <w:r w:rsidR="00707DF2">
      <w:rPr>
        <w:color w:val="0070C0"/>
        <w:sz w:val="20"/>
        <w:szCs w:val="20"/>
      </w:rPr>
      <w:tab/>
    </w:r>
    <w:r w:rsidR="00707DF2">
      <w:rPr>
        <w:color w:val="0070C0"/>
        <w:sz w:val="20"/>
        <w:szCs w:val="20"/>
      </w:rPr>
      <w:tab/>
    </w:r>
    <w:r w:rsidR="00707DF2">
      <w:rPr>
        <w:color w:val="0070C0"/>
        <w:sz w:val="20"/>
        <w:szCs w:val="20"/>
      </w:rPr>
      <w:tab/>
      <w:t xml:space="preserve">                   </w:t>
    </w:r>
    <w:hyperlink r:id="rId2">
      <w:r w:rsidR="00707DF2">
        <w:rPr>
          <w:color w:val="0070C0"/>
          <w:sz w:val="20"/>
          <w:szCs w:val="20"/>
          <w:u w:val="single"/>
        </w:rPr>
        <w:t>newyorksci@gmail.com</w:t>
      </w:r>
    </w:hyperlink>
  </w:p>
  <w:p w:rsidR="00707DF2" w:rsidRDefault="00707DF2">
    <w:pPr>
      <w:pStyle w:val="normal0"/>
      <w:tabs>
        <w:tab w:val="center" w:pos="4680"/>
        <w:tab w:val="right" w:pos="9360"/>
      </w:tabs>
      <w:spacing w:after="0" w:line="24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2E2" w:rsidRDefault="009F42E2" w:rsidP="0073387B">
      <w:pPr>
        <w:spacing w:after="0" w:line="240" w:lineRule="auto"/>
      </w:pPr>
      <w:r>
        <w:separator/>
      </w:r>
    </w:p>
  </w:footnote>
  <w:footnote w:type="continuationSeparator" w:id="0">
    <w:p w:rsidR="009F42E2" w:rsidRDefault="009F42E2" w:rsidP="00733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30" w:rsidRPr="00B25030" w:rsidRDefault="00B25030" w:rsidP="00B25030">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sz w:val="20"/>
        <w:szCs w:val="20"/>
      </w:rPr>
    </w:pPr>
    <w:r w:rsidRPr="00B25030">
      <w:rPr>
        <w:rFonts w:ascii="Times New Roman" w:hAnsi="Times New Roman" w:cs="Times New Roman" w:hint="eastAsia"/>
        <w:sz w:val="20"/>
        <w:szCs w:val="20"/>
      </w:rPr>
      <w:tab/>
    </w:r>
    <w:r w:rsidRPr="00B25030">
      <w:rPr>
        <w:rFonts w:ascii="Times New Roman" w:hAnsi="Times New Roman" w:cs="Times New Roman"/>
        <w:sz w:val="20"/>
        <w:szCs w:val="20"/>
      </w:rPr>
      <w:t>New York Science Journal 201</w:t>
    </w:r>
    <w:r w:rsidRPr="00B25030">
      <w:rPr>
        <w:rFonts w:ascii="Times New Roman" w:hAnsi="Times New Roman" w:cs="Times New Roman" w:hint="eastAsia"/>
        <w:sz w:val="20"/>
        <w:szCs w:val="20"/>
      </w:rPr>
      <w:t>8</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11</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3</w:t>
    </w:r>
    <w:r w:rsidRPr="00B25030">
      <w:rPr>
        <w:rFonts w:ascii="Times New Roman" w:hAnsi="Times New Roman" w:cs="Times New Roman"/>
        <w:sz w:val="20"/>
        <w:szCs w:val="20"/>
      </w:rPr>
      <w:t>)</w:t>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ab/>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 xml:space="preserve"> </w:t>
    </w:r>
    <w:r w:rsidRPr="00B25030">
      <w:rPr>
        <w:rFonts w:ascii="Times New Roman" w:hAnsi="Times New Roman" w:cs="Times New Roman"/>
        <w:iCs/>
        <w:sz w:val="20"/>
        <w:szCs w:val="20"/>
      </w:rPr>
      <w:t xml:space="preserve">   </w:t>
    </w:r>
    <w:hyperlink r:id="rId1" w:history="1">
      <w:r w:rsidRPr="00B25030">
        <w:rPr>
          <w:rStyle w:val="Hyperlink"/>
          <w:rFonts w:ascii="Times New Roman" w:hAnsi="Times New Roman" w:cs="Times New Roman"/>
          <w:color w:val="0000FF"/>
          <w:sz w:val="20"/>
          <w:szCs w:val="20"/>
        </w:rPr>
        <w:t>http://www.sciencepub.net/newyork</w:t>
      </w:r>
    </w:hyperlink>
  </w:p>
  <w:p w:rsidR="00B25030" w:rsidRPr="00B25030" w:rsidRDefault="00B25030" w:rsidP="00B25030">
    <w:pPr>
      <w:tabs>
        <w:tab w:val="left" w:pos="851"/>
        <w:tab w:val="left" w:pos="7200"/>
        <w:tab w:val="right" w:pos="8364"/>
      </w:tabs>
      <w:bidi w:val="0"/>
      <w:adjustRightInd w:val="0"/>
      <w:snapToGrid w:val="0"/>
      <w:spacing w:after="0" w:line="240" w:lineRule="auto"/>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30" w:rsidRPr="00B25030" w:rsidRDefault="00B25030" w:rsidP="00B25030">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sz w:val="20"/>
        <w:szCs w:val="20"/>
      </w:rPr>
    </w:pPr>
    <w:r w:rsidRPr="00B25030">
      <w:rPr>
        <w:rFonts w:ascii="Times New Roman" w:hAnsi="Times New Roman" w:cs="Times New Roman" w:hint="eastAsia"/>
        <w:sz w:val="20"/>
        <w:szCs w:val="20"/>
      </w:rPr>
      <w:tab/>
    </w:r>
    <w:r w:rsidRPr="00B25030">
      <w:rPr>
        <w:rFonts w:ascii="Times New Roman" w:hAnsi="Times New Roman" w:cs="Times New Roman"/>
        <w:sz w:val="20"/>
        <w:szCs w:val="20"/>
      </w:rPr>
      <w:t>New York Science Journal 201</w:t>
    </w:r>
    <w:r w:rsidRPr="00B25030">
      <w:rPr>
        <w:rFonts w:ascii="Times New Roman" w:hAnsi="Times New Roman" w:cs="Times New Roman" w:hint="eastAsia"/>
        <w:sz w:val="20"/>
        <w:szCs w:val="20"/>
      </w:rPr>
      <w:t>8</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11</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3</w:t>
    </w:r>
    <w:r w:rsidRPr="00B25030">
      <w:rPr>
        <w:rFonts w:ascii="Times New Roman" w:hAnsi="Times New Roman" w:cs="Times New Roman"/>
        <w:sz w:val="20"/>
        <w:szCs w:val="20"/>
      </w:rPr>
      <w:t>)</w:t>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ab/>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 xml:space="preserve"> </w:t>
    </w:r>
    <w:r w:rsidRPr="00B25030">
      <w:rPr>
        <w:rFonts w:ascii="Times New Roman" w:hAnsi="Times New Roman" w:cs="Times New Roman"/>
        <w:iCs/>
        <w:sz w:val="20"/>
        <w:szCs w:val="20"/>
      </w:rPr>
      <w:t xml:space="preserve">   </w:t>
    </w:r>
    <w:hyperlink r:id="rId1" w:history="1">
      <w:r w:rsidRPr="00B25030">
        <w:rPr>
          <w:rStyle w:val="Hyperlink"/>
          <w:rFonts w:ascii="Times New Roman" w:hAnsi="Times New Roman" w:cs="Times New Roman"/>
          <w:color w:val="0000FF"/>
          <w:sz w:val="20"/>
          <w:szCs w:val="20"/>
        </w:rPr>
        <w:t>http://www.sciencepub.net/newyork</w:t>
      </w:r>
    </w:hyperlink>
  </w:p>
  <w:p w:rsidR="00B25030" w:rsidRPr="00B25030" w:rsidRDefault="00B25030" w:rsidP="00B25030">
    <w:pPr>
      <w:tabs>
        <w:tab w:val="left" w:pos="851"/>
        <w:tab w:val="left" w:pos="7200"/>
        <w:tab w:val="right" w:pos="8364"/>
      </w:tabs>
      <w:bidi w:val="0"/>
      <w:adjustRightInd w:val="0"/>
      <w:snapToGrid w:val="0"/>
      <w:spacing w:after="0" w:line="240" w:lineRule="auto"/>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30" w:rsidRPr="00B25030" w:rsidRDefault="00B25030" w:rsidP="00B25030">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sz w:val="20"/>
        <w:szCs w:val="20"/>
      </w:rPr>
    </w:pPr>
    <w:r w:rsidRPr="00B25030">
      <w:rPr>
        <w:rFonts w:ascii="Times New Roman" w:hAnsi="Times New Roman" w:cs="Times New Roman" w:hint="eastAsia"/>
        <w:sz w:val="20"/>
        <w:szCs w:val="20"/>
      </w:rPr>
      <w:tab/>
    </w:r>
    <w:r w:rsidRPr="00B25030">
      <w:rPr>
        <w:rFonts w:ascii="Times New Roman" w:hAnsi="Times New Roman" w:cs="Times New Roman"/>
        <w:sz w:val="20"/>
        <w:szCs w:val="20"/>
      </w:rPr>
      <w:t>New York Science Journal 201</w:t>
    </w:r>
    <w:r w:rsidRPr="00B25030">
      <w:rPr>
        <w:rFonts w:ascii="Times New Roman" w:hAnsi="Times New Roman" w:cs="Times New Roman" w:hint="eastAsia"/>
        <w:sz w:val="20"/>
        <w:szCs w:val="20"/>
      </w:rPr>
      <w:t>8</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11</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3</w:t>
    </w:r>
    <w:r w:rsidRPr="00B25030">
      <w:rPr>
        <w:rFonts w:ascii="Times New Roman" w:hAnsi="Times New Roman" w:cs="Times New Roman"/>
        <w:sz w:val="20"/>
        <w:szCs w:val="20"/>
      </w:rPr>
      <w:t>)</w:t>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ab/>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 xml:space="preserve"> </w:t>
    </w:r>
    <w:r w:rsidRPr="00B25030">
      <w:rPr>
        <w:rFonts w:ascii="Times New Roman" w:hAnsi="Times New Roman" w:cs="Times New Roman"/>
        <w:iCs/>
        <w:sz w:val="20"/>
        <w:szCs w:val="20"/>
      </w:rPr>
      <w:t xml:space="preserve">   </w:t>
    </w:r>
    <w:hyperlink r:id="rId1" w:history="1">
      <w:r w:rsidRPr="00B25030">
        <w:rPr>
          <w:rStyle w:val="Hyperlink"/>
          <w:rFonts w:ascii="Times New Roman" w:hAnsi="Times New Roman" w:cs="Times New Roman"/>
          <w:color w:val="0000FF"/>
          <w:sz w:val="20"/>
          <w:szCs w:val="20"/>
        </w:rPr>
        <w:t>http://www.sciencepub.net/newyork</w:t>
      </w:r>
    </w:hyperlink>
  </w:p>
  <w:p w:rsidR="00B25030" w:rsidRPr="00B25030" w:rsidRDefault="00B25030" w:rsidP="00B25030">
    <w:pPr>
      <w:tabs>
        <w:tab w:val="left" w:pos="851"/>
        <w:tab w:val="left" w:pos="7200"/>
        <w:tab w:val="right" w:pos="8364"/>
      </w:tabs>
      <w:bidi w:val="0"/>
      <w:adjustRightInd w:val="0"/>
      <w:snapToGrid w:val="0"/>
      <w:spacing w:after="0" w:line="240" w:lineRule="auto"/>
      <w:rPr>
        <w:rFonts w:ascii="Times New Roman" w:hAnsi="Times New Roman" w:cs="Times New Roman"/>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30" w:rsidRPr="00B25030" w:rsidRDefault="00B25030" w:rsidP="00B25030">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sz w:val="20"/>
        <w:szCs w:val="20"/>
      </w:rPr>
    </w:pPr>
    <w:r w:rsidRPr="00B25030">
      <w:rPr>
        <w:rFonts w:ascii="Times New Roman" w:hAnsi="Times New Roman" w:cs="Times New Roman" w:hint="eastAsia"/>
        <w:sz w:val="20"/>
        <w:szCs w:val="20"/>
      </w:rPr>
      <w:tab/>
    </w:r>
    <w:r w:rsidRPr="00B25030">
      <w:rPr>
        <w:rFonts w:ascii="Times New Roman" w:hAnsi="Times New Roman" w:cs="Times New Roman"/>
        <w:sz w:val="20"/>
        <w:szCs w:val="20"/>
      </w:rPr>
      <w:t>New York Science Journal 201</w:t>
    </w:r>
    <w:r w:rsidRPr="00B25030">
      <w:rPr>
        <w:rFonts w:ascii="Times New Roman" w:hAnsi="Times New Roman" w:cs="Times New Roman" w:hint="eastAsia"/>
        <w:sz w:val="20"/>
        <w:szCs w:val="20"/>
      </w:rPr>
      <w:t>8</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11</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3</w:t>
    </w:r>
    <w:r w:rsidRPr="00B25030">
      <w:rPr>
        <w:rFonts w:ascii="Times New Roman" w:hAnsi="Times New Roman" w:cs="Times New Roman"/>
        <w:sz w:val="20"/>
        <w:szCs w:val="20"/>
      </w:rPr>
      <w:t>)</w:t>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ab/>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 xml:space="preserve"> </w:t>
    </w:r>
    <w:r w:rsidRPr="00B25030">
      <w:rPr>
        <w:rFonts w:ascii="Times New Roman" w:hAnsi="Times New Roman" w:cs="Times New Roman"/>
        <w:iCs/>
        <w:sz w:val="20"/>
        <w:szCs w:val="20"/>
      </w:rPr>
      <w:t xml:space="preserve">   </w:t>
    </w:r>
    <w:hyperlink r:id="rId1" w:history="1">
      <w:r w:rsidRPr="00B25030">
        <w:rPr>
          <w:rStyle w:val="Hyperlink"/>
          <w:rFonts w:ascii="Times New Roman" w:hAnsi="Times New Roman" w:cs="Times New Roman"/>
          <w:color w:val="0000FF"/>
          <w:sz w:val="20"/>
          <w:szCs w:val="20"/>
        </w:rPr>
        <w:t>http://www.sciencepub.net/newyork</w:t>
      </w:r>
    </w:hyperlink>
  </w:p>
  <w:p w:rsidR="00B25030" w:rsidRPr="00B25030" w:rsidRDefault="00B25030" w:rsidP="00B25030">
    <w:pPr>
      <w:tabs>
        <w:tab w:val="left" w:pos="851"/>
        <w:tab w:val="left" w:pos="7200"/>
        <w:tab w:val="right" w:pos="8364"/>
      </w:tabs>
      <w:bidi w:val="0"/>
      <w:adjustRightInd w:val="0"/>
      <w:snapToGrid w:val="0"/>
      <w:spacing w:after="0" w:line="240" w:lineRule="auto"/>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30" w:rsidRPr="00B25030" w:rsidRDefault="00B25030" w:rsidP="00B25030">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sz w:val="20"/>
        <w:szCs w:val="20"/>
      </w:rPr>
    </w:pPr>
    <w:r w:rsidRPr="00B25030">
      <w:rPr>
        <w:rFonts w:ascii="Times New Roman" w:hAnsi="Times New Roman" w:cs="Times New Roman" w:hint="eastAsia"/>
        <w:sz w:val="20"/>
        <w:szCs w:val="20"/>
      </w:rPr>
      <w:tab/>
    </w:r>
    <w:r w:rsidRPr="00B25030">
      <w:rPr>
        <w:rFonts w:ascii="Times New Roman" w:hAnsi="Times New Roman" w:cs="Times New Roman"/>
        <w:sz w:val="20"/>
        <w:szCs w:val="20"/>
      </w:rPr>
      <w:t>New York Science Journal 201</w:t>
    </w:r>
    <w:r w:rsidRPr="00B25030">
      <w:rPr>
        <w:rFonts w:ascii="Times New Roman" w:hAnsi="Times New Roman" w:cs="Times New Roman" w:hint="eastAsia"/>
        <w:sz w:val="20"/>
        <w:szCs w:val="20"/>
      </w:rPr>
      <w:t>8</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11</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3</w:t>
    </w:r>
    <w:r w:rsidRPr="00B25030">
      <w:rPr>
        <w:rFonts w:ascii="Times New Roman" w:hAnsi="Times New Roman" w:cs="Times New Roman"/>
        <w:sz w:val="20"/>
        <w:szCs w:val="20"/>
      </w:rPr>
      <w:t>)</w:t>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ab/>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 xml:space="preserve"> </w:t>
    </w:r>
    <w:r w:rsidRPr="00B25030">
      <w:rPr>
        <w:rFonts w:ascii="Times New Roman" w:hAnsi="Times New Roman" w:cs="Times New Roman"/>
        <w:iCs/>
        <w:sz w:val="20"/>
        <w:szCs w:val="20"/>
      </w:rPr>
      <w:t xml:space="preserve">   </w:t>
    </w:r>
    <w:hyperlink r:id="rId1" w:history="1">
      <w:r w:rsidRPr="00B25030">
        <w:rPr>
          <w:rStyle w:val="Hyperlink"/>
          <w:rFonts w:ascii="Times New Roman" w:hAnsi="Times New Roman" w:cs="Times New Roman"/>
          <w:color w:val="0000FF"/>
          <w:sz w:val="20"/>
          <w:szCs w:val="20"/>
        </w:rPr>
        <w:t>http://www.sciencepub.net/newyork</w:t>
      </w:r>
    </w:hyperlink>
  </w:p>
  <w:p w:rsidR="00B25030" w:rsidRPr="00B25030" w:rsidRDefault="00B25030" w:rsidP="00B25030">
    <w:pPr>
      <w:tabs>
        <w:tab w:val="left" w:pos="851"/>
        <w:tab w:val="left" w:pos="7200"/>
        <w:tab w:val="right" w:pos="8364"/>
      </w:tabs>
      <w:bidi w:val="0"/>
      <w:adjustRightInd w:val="0"/>
      <w:snapToGrid w:val="0"/>
      <w:spacing w:after="0" w:line="240" w:lineRule="auto"/>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30" w:rsidRPr="00B25030" w:rsidRDefault="00B25030" w:rsidP="00B25030">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sz w:val="20"/>
        <w:szCs w:val="20"/>
      </w:rPr>
    </w:pPr>
    <w:r w:rsidRPr="00B25030">
      <w:rPr>
        <w:rFonts w:ascii="Times New Roman" w:hAnsi="Times New Roman" w:cs="Times New Roman" w:hint="eastAsia"/>
        <w:sz w:val="20"/>
        <w:szCs w:val="20"/>
      </w:rPr>
      <w:tab/>
    </w:r>
    <w:r w:rsidRPr="00B25030">
      <w:rPr>
        <w:rFonts w:ascii="Times New Roman" w:hAnsi="Times New Roman" w:cs="Times New Roman"/>
        <w:sz w:val="20"/>
        <w:szCs w:val="20"/>
      </w:rPr>
      <w:t>New York Science Journal 201</w:t>
    </w:r>
    <w:r w:rsidRPr="00B25030">
      <w:rPr>
        <w:rFonts w:ascii="Times New Roman" w:hAnsi="Times New Roman" w:cs="Times New Roman" w:hint="eastAsia"/>
        <w:sz w:val="20"/>
        <w:szCs w:val="20"/>
      </w:rPr>
      <w:t>8</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11</w:t>
    </w:r>
    <w:r w:rsidRPr="00B25030">
      <w:rPr>
        <w:rFonts w:ascii="Times New Roman" w:hAnsi="Times New Roman" w:cs="Times New Roman"/>
        <w:sz w:val="20"/>
        <w:szCs w:val="20"/>
      </w:rPr>
      <w:t>(</w:t>
    </w:r>
    <w:r w:rsidRPr="00B25030">
      <w:rPr>
        <w:rFonts w:ascii="Times New Roman" w:hAnsi="Times New Roman" w:cs="Times New Roman" w:hint="eastAsia"/>
        <w:sz w:val="20"/>
        <w:szCs w:val="20"/>
      </w:rPr>
      <w:t>3</w:t>
    </w:r>
    <w:r w:rsidRPr="00B25030">
      <w:rPr>
        <w:rFonts w:ascii="Times New Roman" w:hAnsi="Times New Roman" w:cs="Times New Roman"/>
        <w:sz w:val="20"/>
        <w:szCs w:val="20"/>
      </w:rPr>
      <w:t>)</w:t>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ab/>
    </w:r>
    <w:r w:rsidRPr="00B25030">
      <w:rPr>
        <w:rFonts w:ascii="Times New Roman" w:hAnsi="Times New Roman" w:cs="Times New Roman"/>
        <w:iCs/>
        <w:sz w:val="20"/>
        <w:szCs w:val="20"/>
      </w:rPr>
      <w:t xml:space="preserve"> </w:t>
    </w:r>
    <w:r w:rsidRPr="00B25030">
      <w:rPr>
        <w:rFonts w:ascii="Times New Roman" w:hAnsi="Times New Roman" w:cs="Times New Roman" w:hint="eastAsia"/>
        <w:iCs/>
        <w:sz w:val="20"/>
        <w:szCs w:val="20"/>
      </w:rPr>
      <w:t xml:space="preserve"> </w:t>
    </w:r>
    <w:r w:rsidRPr="00B25030">
      <w:rPr>
        <w:rFonts w:ascii="Times New Roman" w:hAnsi="Times New Roman" w:cs="Times New Roman"/>
        <w:iCs/>
        <w:sz w:val="20"/>
        <w:szCs w:val="20"/>
      </w:rPr>
      <w:t xml:space="preserve">   </w:t>
    </w:r>
    <w:hyperlink r:id="rId1" w:history="1">
      <w:r w:rsidRPr="00B25030">
        <w:rPr>
          <w:rStyle w:val="Hyperlink"/>
          <w:rFonts w:ascii="Times New Roman" w:hAnsi="Times New Roman" w:cs="Times New Roman"/>
          <w:color w:val="0000FF"/>
          <w:sz w:val="20"/>
          <w:szCs w:val="20"/>
        </w:rPr>
        <w:t>http://www.sciencepub.net/newyork</w:t>
      </w:r>
    </w:hyperlink>
  </w:p>
  <w:p w:rsidR="00B25030" w:rsidRPr="00B25030" w:rsidRDefault="00B25030" w:rsidP="00B25030">
    <w:pPr>
      <w:tabs>
        <w:tab w:val="left" w:pos="851"/>
        <w:tab w:val="left" w:pos="7200"/>
        <w:tab w:val="right" w:pos="8364"/>
      </w:tabs>
      <w:bidi w:val="0"/>
      <w:adjustRightInd w:val="0"/>
      <w:snapToGrid w:val="0"/>
      <w:spacing w:after="0" w:line="240" w:lineRule="auto"/>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2" w:rsidRDefault="00707DF2">
    <w:pPr>
      <w:pStyle w:val="normal0"/>
      <w:pBdr>
        <w:bottom w:val="single" w:sz="12" w:space="1" w:color="000000"/>
      </w:pBdr>
      <w:jc w:val="center"/>
      <w:rPr>
        <w:color w:val="0070C0"/>
        <w:sz w:val="20"/>
        <w:szCs w:val="20"/>
      </w:rPr>
    </w:pPr>
    <w:r>
      <w:rPr>
        <w:sz w:val="20"/>
        <w:szCs w:val="20"/>
      </w:rPr>
      <w:t xml:space="preserve">New York Science Journal 2017;10(x)                                                </w:t>
    </w:r>
    <w:hyperlink r:id="rId1">
      <w:r>
        <w:rPr>
          <w:color w:val="0070C0"/>
          <w:sz w:val="20"/>
          <w:szCs w:val="20"/>
          <w:u w:val="single"/>
        </w:rPr>
        <w:t>http://www.sciencepub.net/newyork</w:t>
      </w:r>
    </w:hyperlink>
  </w:p>
  <w:p w:rsidR="00707DF2" w:rsidRDefault="00707DF2">
    <w:pPr>
      <w:pStyle w:val="normal0"/>
      <w:tabs>
        <w:tab w:val="center" w:pos="4680"/>
        <w:tab w:val="right" w:pos="9360"/>
      </w:tabs>
      <w:spacing w:after="0" w:line="240" w:lineRule="auto"/>
      <w:rPr>
        <w:b/>
        <w:color w:val="00B0F0"/>
      </w:rPr>
    </w:pPr>
  </w:p>
  <w:p w:rsidR="00707DF2" w:rsidRDefault="00707DF2">
    <w:pPr>
      <w:pStyle w:val="normal0"/>
      <w:tabs>
        <w:tab w:val="center" w:pos="4680"/>
        <w:tab w:val="right" w:pos="9360"/>
      </w:tabs>
      <w:spacing w:after="0" w:line="240" w:lineRule="auto"/>
      <w:jc w:val="left"/>
      <w:rPr>
        <w:b/>
        <w:color w:val="00B0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F698D"/>
    <w:multiLevelType w:val="hybridMultilevel"/>
    <w:tmpl w:val="21C288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E1225F"/>
    <w:multiLevelType w:val="multilevel"/>
    <w:tmpl w:val="BD02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73387B"/>
    <w:rsid w:val="0010504F"/>
    <w:rsid w:val="00183A8A"/>
    <w:rsid w:val="001B486C"/>
    <w:rsid w:val="00250ECF"/>
    <w:rsid w:val="00255BE8"/>
    <w:rsid w:val="002576D9"/>
    <w:rsid w:val="002645D9"/>
    <w:rsid w:val="002A5FD8"/>
    <w:rsid w:val="003B3F80"/>
    <w:rsid w:val="00500F40"/>
    <w:rsid w:val="006B319D"/>
    <w:rsid w:val="006F7F04"/>
    <w:rsid w:val="00707DF2"/>
    <w:rsid w:val="0073387B"/>
    <w:rsid w:val="0075220D"/>
    <w:rsid w:val="008F0404"/>
    <w:rsid w:val="0091794E"/>
    <w:rsid w:val="009F42E2"/>
    <w:rsid w:val="00A906A2"/>
    <w:rsid w:val="00B00E42"/>
    <w:rsid w:val="00B25030"/>
    <w:rsid w:val="00C07192"/>
    <w:rsid w:val="00CA10B7"/>
    <w:rsid w:val="00CE65B5"/>
    <w:rsid w:val="00DF7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2"/>
        <w:szCs w:val="22"/>
        <w:lang w:val="en-US" w:eastAsia="zh-CN" w:bidi="ar-SA"/>
      </w:rPr>
    </w:rPrDefault>
    <w:pPrDefault>
      <w:pPr>
        <w:pBdr>
          <w:top w:val="nil"/>
          <w:left w:val="nil"/>
          <w:bottom w:val="nil"/>
          <w:right w:val="nil"/>
          <w:between w:val="nil"/>
        </w:pBdr>
        <w:bidi/>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40"/>
  </w:style>
  <w:style w:type="paragraph" w:styleId="Heading1">
    <w:name w:val="heading 1"/>
    <w:basedOn w:val="normal0"/>
    <w:next w:val="normal0"/>
    <w:rsid w:val="0073387B"/>
    <w:pPr>
      <w:keepNext/>
      <w:keepLines/>
      <w:spacing w:before="480" w:after="120"/>
      <w:outlineLvl w:val="0"/>
    </w:pPr>
    <w:rPr>
      <w:b/>
      <w:sz w:val="48"/>
      <w:szCs w:val="48"/>
    </w:rPr>
  </w:style>
  <w:style w:type="paragraph" w:styleId="Heading2">
    <w:name w:val="heading 2"/>
    <w:basedOn w:val="normal0"/>
    <w:next w:val="normal0"/>
    <w:rsid w:val="0073387B"/>
    <w:pPr>
      <w:keepNext/>
      <w:keepLines/>
      <w:spacing w:before="360" w:after="80"/>
      <w:outlineLvl w:val="1"/>
    </w:pPr>
    <w:rPr>
      <w:b/>
      <w:sz w:val="36"/>
      <w:szCs w:val="36"/>
    </w:rPr>
  </w:style>
  <w:style w:type="paragraph" w:styleId="Heading3">
    <w:name w:val="heading 3"/>
    <w:basedOn w:val="normal0"/>
    <w:next w:val="normal0"/>
    <w:rsid w:val="0073387B"/>
    <w:pPr>
      <w:keepNext/>
      <w:keepLines/>
      <w:spacing w:before="280" w:after="80"/>
      <w:outlineLvl w:val="2"/>
    </w:pPr>
    <w:rPr>
      <w:b/>
      <w:sz w:val="28"/>
      <w:szCs w:val="28"/>
    </w:rPr>
  </w:style>
  <w:style w:type="paragraph" w:styleId="Heading4">
    <w:name w:val="heading 4"/>
    <w:basedOn w:val="normal0"/>
    <w:next w:val="normal0"/>
    <w:rsid w:val="0073387B"/>
    <w:pPr>
      <w:keepNext/>
      <w:keepLines/>
      <w:spacing w:before="240" w:after="40"/>
      <w:outlineLvl w:val="3"/>
    </w:pPr>
    <w:rPr>
      <w:b/>
      <w:sz w:val="24"/>
      <w:szCs w:val="24"/>
    </w:rPr>
  </w:style>
  <w:style w:type="paragraph" w:styleId="Heading5">
    <w:name w:val="heading 5"/>
    <w:basedOn w:val="normal0"/>
    <w:next w:val="normal0"/>
    <w:rsid w:val="0073387B"/>
    <w:pPr>
      <w:keepNext/>
      <w:keepLines/>
      <w:spacing w:before="220" w:after="40"/>
      <w:outlineLvl w:val="4"/>
    </w:pPr>
    <w:rPr>
      <w:b/>
    </w:rPr>
  </w:style>
  <w:style w:type="paragraph" w:styleId="Heading6">
    <w:name w:val="heading 6"/>
    <w:basedOn w:val="normal0"/>
    <w:next w:val="normal0"/>
    <w:rsid w:val="0073387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87B"/>
  </w:style>
  <w:style w:type="paragraph" w:styleId="Title">
    <w:name w:val="Title"/>
    <w:basedOn w:val="normal0"/>
    <w:next w:val="normal0"/>
    <w:rsid w:val="0073387B"/>
    <w:pPr>
      <w:keepNext/>
      <w:keepLines/>
      <w:spacing w:before="480" w:after="120"/>
    </w:pPr>
    <w:rPr>
      <w:b/>
      <w:sz w:val="72"/>
      <w:szCs w:val="72"/>
    </w:rPr>
  </w:style>
  <w:style w:type="paragraph" w:styleId="Subtitle">
    <w:name w:val="Subtitle"/>
    <w:basedOn w:val="normal0"/>
    <w:next w:val="normal0"/>
    <w:rsid w:val="0073387B"/>
    <w:pPr>
      <w:keepNext/>
      <w:keepLines/>
      <w:spacing w:before="360" w:after="80"/>
    </w:pPr>
    <w:rPr>
      <w:rFonts w:ascii="Georgia" w:eastAsia="Georgia" w:hAnsi="Georgia" w:cs="Georgia"/>
      <w:i/>
      <w:color w:val="666666"/>
      <w:sz w:val="48"/>
      <w:szCs w:val="48"/>
    </w:rPr>
  </w:style>
  <w:style w:type="table" w:customStyle="1" w:styleId="a">
    <w:basedOn w:val="TableNormal"/>
    <w:rsid w:val="0073387B"/>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73387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F81BD"/>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F81BD"/>
      </w:tcPr>
    </w:tblStylePr>
    <w:tblStylePr w:type="lastCol">
      <w:rPr>
        <w:b/>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1">
    <w:basedOn w:val="TableNormal"/>
    <w:rsid w:val="0073387B"/>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73387B"/>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73387B"/>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F7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7A"/>
    <w:rPr>
      <w:rFonts w:ascii="Tahoma" w:hAnsi="Tahoma" w:cs="Tahoma"/>
      <w:sz w:val="16"/>
      <w:szCs w:val="16"/>
    </w:rPr>
  </w:style>
  <w:style w:type="character" w:styleId="Hyperlink">
    <w:name w:val="Hyperlink"/>
    <w:basedOn w:val="DefaultParagraphFont"/>
    <w:uiPriority w:val="99"/>
    <w:unhideWhenUsed/>
    <w:rsid w:val="00DF767A"/>
    <w:rPr>
      <w:color w:val="0000FF" w:themeColor="hyperlink"/>
      <w:u w:val="single"/>
    </w:rPr>
  </w:style>
  <w:style w:type="paragraph" w:styleId="Header">
    <w:name w:val="header"/>
    <w:basedOn w:val="Normal"/>
    <w:link w:val="HeaderChar"/>
    <w:uiPriority w:val="99"/>
    <w:semiHidden/>
    <w:unhideWhenUsed/>
    <w:rsid w:val="0075220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5220D"/>
    <w:rPr>
      <w:sz w:val="18"/>
      <w:szCs w:val="18"/>
    </w:rPr>
  </w:style>
  <w:style w:type="paragraph" w:styleId="Footer">
    <w:name w:val="footer"/>
    <w:basedOn w:val="Normal"/>
    <w:link w:val="FooterChar"/>
    <w:uiPriority w:val="99"/>
    <w:semiHidden/>
    <w:unhideWhenUsed/>
    <w:rsid w:val="0075220D"/>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semiHidden/>
    <w:rsid w:val="0075220D"/>
    <w:rPr>
      <w:sz w:val="18"/>
      <w:szCs w:val="18"/>
    </w:rPr>
  </w:style>
</w:styles>
</file>

<file path=word/webSettings.xml><?xml version="1.0" encoding="utf-8"?>
<w:webSettings xmlns:r="http://schemas.openxmlformats.org/officeDocument/2006/relationships" xmlns:w="http://schemas.openxmlformats.org/wordprocessingml/2006/main">
  <w:divs>
    <w:div w:id="1244141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image" Target="media/image5.png"/><Relationship Id="rId47" Type="http://schemas.openxmlformats.org/officeDocument/2006/relationships/header" Target="header17.xml"/><Relationship Id="rId50" Type="http://schemas.openxmlformats.org/officeDocument/2006/relationships/footer" Target="footer18.xml"/><Relationship Id="rId7" Type="http://schemas.openxmlformats.org/officeDocument/2006/relationships/hyperlink" Target="mailto:m.tahmasebin@yahoo.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3.png"/><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10318.09" TargetMode="External"/><Relationship Id="rId14" Type="http://schemas.openxmlformats.org/officeDocument/2006/relationships/header" Target="header3.xml"/><Relationship Id="rId22" Type="http://schemas.openxmlformats.org/officeDocument/2006/relationships/image" Target="media/image1.png"/><Relationship Id="rId27" Type="http://schemas.openxmlformats.org/officeDocument/2006/relationships/image" Target="media/image2.png"/><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yperlink" Target="http://www.sciencepub.net/newyork" TargetMode="External"/><Relationship Id="rId51" Type="http://schemas.openxmlformats.org/officeDocument/2006/relationships/fontTable" Target="fontTable.xml"/></Relationships>
</file>

<file path=word/_rels/footer10.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3286</Words>
  <Characters>18734</Characters>
  <Application>Microsoft Office Word</Application>
  <DocSecurity>0</DocSecurity>
  <Lines>156</Lines>
  <Paragraphs>43</Paragraphs>
  <ScaleCrop>false</ScaleCrop>
  <Company>China</Company>
  <LinksUpToDate>false</LinksUpToDate>
  <CharactersWithSpaces>21977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2018-03-19T13:51:00Z</dcterms:created>
  <dcterms:modified xsi:type="dcterms:W3CDTF">2018-03-20T01:16:00Z</dcterms:modified>
</cp:coreProperties>
</file>