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77" w:rsidRPr="005D7954" w:rsidRDefault="007E2D70" w:rsidP="005D7954">
      <w:pPr>
        <w:pStyle w:val="Default"/>
        <w:snapToGrid w:val="0"/>
        <w:jc w:val="center"/>
        <w:rPr>
          <w:b/>
          <w:bCs/>
          <w:color w:val="auto"/>
          <w:sz w:val="20"/>
          <w:szCs w:val="20"/>
          <w:lang w:bidi="ar-EG"/>
        </w:rPr>
      </w:pPr>
      <w:bookmarkStart w:id="0" w:name="_GoBack"/>
      <w:bookmarkEnd w:id="0"/>
      <w:r w:rsidRPr="005D7954">
        <w:rPr>
          <w:b/>
          <w:bCs/>
          <w:color w:val="auto"/>
          <w:sz w:val="20"/>
          <w:szCs w:val="20"/>
          <w:lang w:bidi="ar-EG"/>
        </w:rPr>
        <w:t xml:space="preserve">Effect </w:t>
      </w:r>
      <w:r w:rsidR="00A94796" w:rsidRPr="005D7954">
        <w:rPr>
          <w:b/>
          <w:bCs/>
          <w:color w:val="auto"/>
          <w:sz w:val="20"/>
          <w:szCs w:val="20"/>
          <w:lang w:bidi="ar-EG"/>
        </w:rPr>
        <w:t xml:space="preserve">of </w:t>
      </w:r>
      <w:r w:rsidR="00BA34AC" w:rsidRPr="005D7954">
        <w:rPr>
          <w:b/>
          <w:bCs/>
          <w:i/>
          <w:iCs/>
          <w:color w:val="auto"/>
          <w:sz w:val="20"/>
          <w:szCs w:val="20"/>
          <w:lang w:bidi="ar-EG"/>
        </w:rPr>
        <w:t>T</w:t>
      </w:r>
      <w:r w:rsidR="00A94796" w:rsidRPr="005D7954">
        <w:rPr>
          <w:b/>
          <w:bCs/>
          <w:i/>
          <w:iCs/>
          <w:color w:val="auto"/>
          <w:sz w:val="20"/>
          <w:szCs w:val="20"/>
          <w:lang w:bidi="ar-EG"/>
        </w:rPr>
        <w:t>amarindus</w:t>
      </w:r>
      <w:r w:rsidR="002214B8" w:rsidRPr="005D7954">
        <w:rPr>
          <w:b/>
          <w:bCs/>
          <w:i/>
          <w:iCs/>
          <w:color w:val="auto"/>
          <w:sz w:val="20"/>
          <w:szCs w:val="20"/>
          <w:lang w:bidi="ar-EG"/>
        </w:rPr>
        <w:t xml:space="preserve"> </w:t>
      </w:r>
      <w:r w:rsidR="00250EB9" w:rsidRPr="005D7954">
        <w:rPr>
          <w:b/>
          <w:bCs/>
          <w:i/>
          <w:iCs/>
          <w:color w:val="auto"/>
          <w:sz w:val="20"/>
          <w:szCs w:val="20"/>
          <w:lang w:bidi="ar-EG"/>
        </w:rPr>
        <w:t>indica</w:t>
      </w:r>
      <w:r w:rsidR="002214B8" w:rsidRPr="005D7954">
        <w:rPr>
          <w:b/>
          <w:bCs/>
          <w:i/>
          <w:iCs/>
          <w:color w:val="auto"/>
          <w:sz w:val="20"/>
          <w:szCs w:val="20"/>
          <w:lang w:bidi="ar-EG"/>
        </w:rPr>
        <w:t xml:space="preserve"> </w:t>
      </w:r>
      <w:r w:rsidR="00A94796" w:rsidRPr="005D7954">
        <w:rPr>
          <w:b/>
          <w:bCs/>
          <w:i/>
          <w:iCs/>
          <w:color w:val="auto"/>
          <w:sz w:val="20"/>
          <w:szCs w:val="20"/>
          <w:lang w:bidi="ar-EG"/>
        </w:rPr>
        <w:t xml:space="preserve">L </w:t>
      </w:r>
      <w:r w:rsidR="00A94796" w:rsidRPr="005D7954">
        <w:rPr>
          <w:b/>
          <w:bCs/>
          <w:color w:val="auto"/>
          <w:sz w:val="20"/>
          <w:szCs w:val="20"/>
          <w:lang w:bidi="ar-EG"/>
        </w:rPr>
        <w:t>and</w:t>
      </w:r>
      <w:r w:rsidR="002214B8" w:rsidRPr="005D7954">
        <w:rPr>
          <w:b/>
          <w:bCs/>
          <w:i/>
          <w:iCs/>
          <w:color w:val="auto"/>
          <w:sz w:val="20"/>
          <w:szCs w:val="20"/>
          <w:lang w:bidi="ar-EG"/>
        </w:rPr>
        <w:t xml:space="preserve"> </w:t>
      </w:r>
      <w:r w:rsidRPr="005D7954">
        <w:rPr>
          <w:b/>
          <w:bCs/>
          <w:i/>
          <w:iCs/>
          <w:color w:val="auto"/>
          <w:sz w:val="20"/>
          <w:szCs w:val="20"/>
          <w:lang w:bidi="ar-EG"/>
        </w:rPr>
        <w:t>Ginkg</w:t>
      </w:r>
      <w:r w:rsidR="008814D5" w:rsidRPr="005D7954">
        <w:rPr>
          <w:b/>
          <w:bCs/>
          <w:i/>
          <w:iCs/>
          <w:color w:val="auto"/>
          <w:sz w:val="20"/>
          <w:szCs w:val="20"/>
          <w:lang w:bidi="ar-EG"/>
        </w:rPr>
        <w:t>o biloba</w:t>
      </w:r>
      <w:r w:rsidR="002214B8" w:rsidRPr="005D7954">
        <w:rPr>
          <w:b/>
          <w:bCs/>
          <w:i/>
          <w:iCs/>
          <w:color w:val="auto"/>
          <w:sz w:val="20"/>
          <w:szCs w:val="20"/>
          <w:lang w:bidi="ar-EG"/>
        </w:rPr>
        <w:t xml:space="preserve"> </w:t>
      </w:r>
      <w:r w:rsidR="00D40A31" w:rsidRPr="005D7954">
        <w:rPr>
          <w:b/>
          <w:bCs/>
          <w:color w:val="auto"/>
          <w:sz w:val="20"/>
          <w:szCs w:val="20"/>
          <w:lang w:bidi="ar-EG"/>
        </w:rPr>
        <w:t xml:space="preserve">L., </w:t>
      </w:r>
      <w:r w:rsidR="0065087E" w:rsidRPr="005D7954">
        <w:rPr>
          <w:b/>
          <w:bCs/>
          <w:color w:val="auto"/>
          <w:sz w:val="20"/>
          <w:szCs w:val="20"/>
          <w:lang w:bidi="ar-EG"/>
        </w:rPr>
        <w:t xml:space="preserve">Leaves </w:t>
      </w:r>
      <w:r w:rsidR="008814D5" w:rsidRPr="005D7954">
        <w:rPr>
          <w:b/>
          <w:bCs/>
          <w:color w:val="auto"/>
          <w:sz w:val="20"/>
          <w:szCs w:val="20"/>
          <w:lang w:bidi="ar-EG"/>
        </w:rPr>
        <w:t>Extract</w:t>
      </w:r>
      <w:r w:rsidR="000422C9" w:rsidRPr="005D7954">
        <w:rPr>
          <w:b/>
          <w:bCs/>
          <w:color w:val="auto"/>
          <w:sz w:val="20"/>
          <w:szCs w:val="20"/>
          <w:lang w:bidi="ar-EG"/>
        </w:rPr>
        <w:t>s</w:t>
      </w:r>
      <w:r w:rsidR="007954AD" w:rsidRPr="005D7954">
        <w:rPr>
          <w:b/>
          <w:bCs/>
          <w:color w:val="auto"/>
          <w:sz w:val="20"/>
          <w:szCs w:val="20"/>
          <w:lang w:bidi="ar-EG"/>
        </w:rPr>
        <w:t xml:space="preserve"> </w:t>
      </w:r>
      <w:r w:rsidR="00250EB9" w:rsidRPr="005D7954">
        <w:rPr>
          <w:b/>
          <w:bCs/>
          <w:color w:val="auto"/>
          <w:sz w:val="20"/>
          <w:szCs w:val="20"/>
          <w:lang w:bidi="ar-EG"/>
        </w:rPr>
        <w:t>on Hepatorenal Functions</w:t>
      </w:r>
      <w:r w:rsidR="002214B8" w:rsidRPr="005D7954">
        <w:rPr>
          <w:b/>
          <w:bCs/>
          <w:color w:val="auto"/>
          <w:sz w:val="20"/>
          <w:szCs w:val="20"/>
          <w:lang w:bidi="ar-EG"/>
        </w:rPr>
        <w:t xml:space="preserve"> </w:t>
      </w:r>
      <w:r w:rsidR="00250EB9" w:rsidRPr="005D7954">
        <w:rPr>
          <w:b/>
          <w:bCs/>
          <w:color w:val="auto"/>
          <w:sz w:val="20"/>
          <w:szCs w:val="20"/>
          <w:lang w:bidi="ar-EG"/>
        </w:rPr>
        <w:t>of</w:t>
      </w:r>
      <w:r w:rsidR="004D6134" w:rsidRPr="005D7954">
        <w:rPr>
          <w:b/>
          <w:bCs/>
          <w:color w:val="auto"/>
          <w:sz w:val="20"/>
          <w:szCs w:val="20"/>
          <w:lang w:bidi="ar-EG"/>
        </w:rPr>
        <w:t xml:space="preserve"> Male</w:t>
      </w:r>
      <w:r w:rsidRPr="005D7954">
        <w:rPr>
          <w:b/>
          <w:bCs/>
          <w:color w:val="auto"/>
          <w:sz w:val="20"/>
          <w:szCs w:val="20"/>
          <w:lang w:bidi="ar-EG"/>
        </w:rPr>
        <w:t xml:space="preserve"> Rats</w:t>
      </w:r>
      <w:r w:rsidR="00250EB9" w:rsidRPr="005D7954">
        <w:rPr>
          <w:b/>
          <w:bCs/>
          <w:color w:val="auto"/>
          <w:sz w:val="20"/>
          <w:szCs w:val="20"/>
          <w:lang w:bidi="ar-EG"/>
        </w:rPr>
        <w:t xml:space="preserve"> intoxicated with CCl4</w:t>
      </w:r>
    </w:p>
    <w:p w:rsidR="006B7377" w:rsidRPr="005D7954" w:rsidRDefault="006B7377" w:rsidP="005D7954">
      <w:pPr>
        <w:pStyle w:val="Default"/>
        <w:snapToGrid w:val="0"/>
        <w:jc w:val="center"/>
        <w:rPr>
          <w:b/>
          <w:bCs/>
          <w:color w:val="auto"/>
          <w:sz w:val="20"/>
          <w:szCs w:val="20"/>
          <w:lang w:bidi="ar-EG"/>
        </w:rPr>
      </w:pPr>
    </w:p>
    <w:p w:rsidR="006B7377" w:rsidRPr="005D7954" w:rsidRDefault="00876FBC" w:rsidP="005D7954">
      <w:pPr>
        <w:bidi w:val="0"/>
        <w:snapToGrid w:val="0"/>
        <w:spacing w:after="0" w:line="240" w:lineRule="auto"/>
        <w:jc w:val="center"/>
        <w:rPr>
          <w:rFonts w:ascii="Times New Roman" w:hAnsi="Times New Roman" w:cs="Times New Roman"/>
          <w:bCs/>
          <w:sz w:val="20"/>
          <w:szCs w:val="20"/>
          <w:lang w:bidi="ar-EG"/>
        </w:rPr>
      </w:pPr>
      <w:r w:rsidRPr="005D7954">
        <w:rPr>
          <w:rFonts w:ascii="Times New Roman" w:hAnsi="Times New Roman" w:cs="Times New Roman"/>
          <w:bCs/>
          <w:sz w:val="20"/>
          <w:szCs w:val="20"/>
          <w:lang w:bidi="ar-EG"/>
        </w:rPr>
        <w:t>Maha A. Hijazi</w:t>
      </w:r>
    </w:p>
    <w:p w:rsidR="006B7377" w:rsidRPr="005D7954" w:rsidRDefault="006B7377" w:rsidP="005D7954">
      <w:pPr>
        <w:bidi w:val="0"/>
        <w:snapToGrid w:val="0"/>
        <w:spacing w:after="0" w:line="240" w:lineRule="auto"/>
        <w:jc w:val="center"/>
        <w:rPr>
          <w:rFonts w:ascii="Times New Roman" w:hAnsi="Times New Roman" w:cs="Times New Roman"/>
          <w:bCs/>
          <w:sz w:val="20"/>
          <w:szCs w:val="20"/>
          <w:lang w:bidi="ar-EG"/>
        </w:rPr>
      </w:pPr>
    </w:p>
    <w:p w:rsidR="006B7377" w:rsidRPr="005D7954" w:rsidRDefault="00876FBC" w:rsidP="005D7954">
      <w:pPr>
        <w:bidi w:val="0"/>
        <w:snapToGrid w:val="0"/>
        <w:spacing w:after="0" w:line="240" w:lineRule="auto"/>
        <w:jc w:val="center"/>
        <w:rPr>
          <w:rFonts w:ascii="Times New Roman" w:hAnsi="Times New Roman" w:cs="Times New Roman"/>
          <w:sz w:val="20"/>
          <w:szCs w:val="20"/>
          <w:lang w:bidi="ar-EG"/>
        </w:rPr>
      </w:pPr>
      <w:r w:rsidRPr="005D7954">
        <w:rPr>
          <w:rFonts w:ascii="Times New Roman" w:hAnsi="Times New Roman" w:cs="Times New Roman"/>
          <w:sz w:val="20"/>
          <w:szCs w:val="20"/>
          <w:lang w:bidi="ar-EG"/>
        </w:rPr>
        <w:t>Food and Nutrition Department, King Abdulaziz University, Jeddah, Saudi Arabia</w:t>
      </w:r>
    </w:p>
    <w:p w:rsidR="006B7377" w:rsidRPr="005D7954" w:rsidRDefault="006B7377" w:rsidP="005D7954">
      <w:pPr>
        <w:bidi w:val="0"/>
        <w:snapToGrid w:val="0"/>
        <w:spacing w:after="0" w:line="240" w:lineRule="auto"/>
        <w:jc w:val="center"/>
        <w:rPr>
          <w:rFonts w:ascii="Times New Roman" w:hAnsi="Times New Roman" w:cs="Times New Roman"/>
          <w:sz w:val="20"/>
          <w:szCs w:val="20"/>
          <w:lang w:bidi="ar-EG"/>
        </w:rPr>
      </w:pPr>
    </w:p>
    <w:p w:rsidR="00876FBC" w:rsidRPr="005D7954" w:rsidRDefault="00876FBC" w:rsidP="005D7954">
      <w:pPr>
        <w:bidi w:val="0"/>
        <w:snapToGrid w:val="0"/>
        <w:spacing w:after="0" w:line="240" w:lineRule="auto"/>
        <w:jc w:val="both"/>
        <w:rPr>
          <w:rFonts w:ascii="Times New Roman" w:hAnsi="Times New Roman" w:cs="Times New Roman"/>
          <w:sz w:val="20"/>
          <w:szCs w:val="20"/>
          <w:lang w:bidi="ar-EG"/>
        </w:rPr>
      </w:pPr>
      <w:r w:rsidRPr="005D7954">
        <w:rPr>
          <w:rFonts w:ascii="Times New Roman" w:hAnsi="Times New Roman" w:cs="Times New Roman"/>
          <w:b/>
          <w:bCs/>
          <w:sz w:val="20"/>
          <w:szCs w:val="20"/>
          <w:lang w:bidi="ar-EG"/>
        </w:rPr>
        <w:t>Abstract</w:t>
      </w:r>
      <w:r w:rsidR="00A94796" w:rsidRPr="005D7954">
        <w:rPr>
          <w:rFonts w:ascii="Times New Roman" w:hAnsi="Times New Roman" w:cs="Times New Roman"/>
          <w:b/>
          <w:bCs/>
          <w:sz w:val="20"/>
          <w:szCs w:val="20"/>
          <w:lang w:bidi="ar-EG"/>
        </w:rPr>
        <w:t>:</w:t>
      </w:r>
      <w:r w:rsidR="006B7377" w:rsidRPr="005D7954">
        <w:rPr>
          <w:rFonts w:ascii="Times New Roman" w:hAnsi="Times New Roman" w:cs="Times New Roman"/>
          <w:sz w:val="20"/>
          <w:szCs w:val="20"/>
          <w:lang w:bidi="ar-EG"/>
        </w:rPr>
        <w:t xml:space="preserve"> </w:t>
      </w:r>
      <w:r w:rsidRPr="005D7954">
        <w:rPr>
          <w:rFonts w:ascii="Times New Roman" w:hAnsi="Times New Roman" w:cs="Times New Roman"/>
          <w:sz w:val="20"/>
          <w:szCs w:val="20"/>
          <w:lang w:bidi="ar-EG"/>
        </w:rPr>
        <w:t xml:space="preserve">The present study aimed to investigate the effect of oral administration of </w:t>
      </w:r>
      <w:r w:rsidR="0065087E" w:rsidRPr="005D7954">
        <w:rPr>
          <w:rFonts w:ascii="Times New Roman" w:hAnsi="Times New Roman" w:cs="Times New Roman"/>
          <w:sz w:val="20"/>
          <w:szCs w:val="20"/>
          <w:lang w:bidi="ar-EG"/>
        </w:rPr>
        <w:t>alcoholic leaves</w:t>
      </w:r>
      <w:r w:rsidRPr="005D7954">
        <w:rPr>
          <w:rFonts w:ascii="Times New Roman" w:hAnsi="Times New Roman" w:cs="Times New Roman"/>
          <w:sz w:val="20"/>
          <w:szCs w:val="20"/>
          <w:lang w:bidi="ar-EG"/>
        </w:rPr>
        <w:t xml:space="preserve"> extract of </w:t>
      </w:r>
      <w:r w:rsidR="002214B8" w:rsidRPr="005D7954">
        <w:rPr>
          <w:rFonts w:ascii="Times New Roman" w:hAnsi="Times New Roman" w:cs="Times New Roman"/>
          <w:i/>
          <w:iCs/>
          <w:sz w:val="20"/>
          <w:szCs w:val="20"/>
          <w:lang w:bidi="ar-EG"/>
        </w:rPr>
        <w:t>T</w:t>
      </w:r>
      <w:r w:rsidRPr="005D7954">
        <w:rPr>
          <w:rFonts w:ascii="Times New Roman" w:hAnsi="Times New Roman" w:cs="Times New Roman"/>
          <w:i/>
          <w:iCs/>
          <w:sz w:val="20"/>
          <w:szCs w:val="20"/>
          <w:lang w:bidi="ar-EG"/>
        </w:rPr>
        <w:t>amarindus</w:t>
      </w:r>
      <w:r w:rsidR="002214B8" w:rsidRPr="005D7954">
        <w:rPr>
          <w:rFonts w:ascii="Times New Roman" w:hAnsi="Times New Roman" w:cs="Times New Roman"/>
          <w:i/>
          <w:iCs/>
          <w:sz w:val="20"/>
          <w:szCs w:val="20"/>
          <w:lang w:bidi="ar-EG"/>
        </w:rPr>
        <w:t xml:space="preserve"> </w:t>
      </w:r>
      <w:r w:rsidRPr="005D7954">
        <w:rPr>
          <w:rFonts w:ascii="Times New Roman" w:hAnsi="Times New Roman" w:cs="Times New Roman"/>
          <w:i/>
          <w:iCs/>
          <w:sz w:val="20"/>
          <w:szCs w:val="20"/>
          <w:lang w:bidi="ar-EG"/>
        </w:rPr>
        <w:t>indica</w:t>
      </w:r>
      <w:r w:rsidR="002214B8" w:rsidRPr="005D7954">
        <w:rPr>
          <w:rFonts w:ascii="Times New Roman" w:hAnsi="Times New Roman" w:cs="Times New Roman"/>
          <w:i/>
          <w:iCs/>
          <w:sz w:val="20"/>
          <w:szCs w:val="20"/>
          <w:lang w:bidi="ar-EG"/>
        </w:rPr>
        <w:t xml:space="preserve"> </w:t>
      </w:r>
      <w:r w:rsidR="00264CC3" w:rsidRPr="005D7954">
        <w:rPr>
          <w:rFonts w:ascii="Times New Roman" w:hAnsi="Times New Roman" w:cs="Times New Roman"/>
          <w:i/>
          <w:iCs/>
          <w:sz w:val="20"/>
          <w:szCs w:val="20"/>
          <w:lang w:bidi="ar-EG"/>
        </w:rPr>
        <w:t>L</w:t>
      </w:r>
      <w:r w:rsidRPr="005D7954">
        <w:rPr>
          <w:rFonts w:ascii="Times New Roman" w:hAnsi="Times New Roman" w:cs="Times New Roman"/>
          <w:sz w:val="20"/>
          <w:szCs w:val="20"/>
          <w:lang w:bidi="ar-EG"/>
        </w:rPr>
        <w:t xml:space="preserve"> (TI)</w:t>
      </w:r>
      <w:r w:rsidR="00327FD7" w:rsidRPr="005D7954">
        <w:rPr>
          <w:rFonts w:ascii="Times New Roman" w:hAnsi="Times New Roman" w:cs="Times New Roman"/>
          <w:sz w:val="20"/>
          <w:szCs w:val="20"/>
          <w:lang w:bidi="ar-EG"/>
        </w:rPr>
        <w:t>,</w:t>
      </w:r>
      <w:r w:rsidR="002214B8" w:rsidRPr="005D7954">
        <w:rPr>
          <w:rFonts w:ascii="Times New Roman" w:hAnsi="Times New Roman" w:cs="Times New Roman"/>
          <w:sz w:val="20"/>
          <w:szCs w:val="20"/>
          <w:lang w:bidi="ar-EG"/>
        </w:rPr>
        <w:t xml:space="preserve"> </w:t>
      </w:r>
      <w:r w:rsidRPr="005D7954">
        <w:rPr>
          <w:rFonts w:ascii="Times New Roman" w:hAnsi="Times New Roman" w:cs="Times New Roman"/>
          <w:i/>
          <w:iCs/>
          <w:sz w:val="20"/>
          <w:szCs w:val="20"/>
          <w:lang w:bidi="ar-EG"/>
        </w:rPr>
        <w:t xml:space="preserve">Ginkgo biloba </w:t>
      </w:r>
      <w:r w:rsidRPr="005D7954">
        <w:rPr>
          <w:rFonts w:ascii="Times New Roman" w:hAnsi="Times New Roman" w:cs="Times New Roman"/>
          <w:sz w:val="20"/>
          <w:szCs w:val="20"/>
          <w:lang w:bidi="ar-EG"/>
        </w:rPr>
        <w:t xml:space="preserve">L (GB) and their combination on serum levels of lipid </w:t>
      </w:r>
      <w:r w:rsidR="002214B8" w:rsidRPr="005D7954">
        <w:rPr>
          <w:rFonts w:ascii="Times New Roman" w:hAnsi="Times New Roman" w:cs="Times New Roman"/>
          <w:sz w:val="20"/>
          <w:szCs w:val="20"/>
          <w:lang w:bidi="ar-EG"/>
        </w:rPr>
        <w:t>profile, hepatorenal</w:t>
      </w:r>
      <w:r w:rsidRPr="005D7954">
        <w:rPr>
          <w:rFonts w:ascii="Times New Roman" w:hAnsi="Times New Roman" w:cs="Times New Roman"/>
          <w:sz w:val="20"/>
          <w:szCs w:val="20"/>
          <w:lang w:bidi="ar-EG"/>
        </w:rPr>
        <w:t xml:space="preserve"> function as well as f</w:t>
      </w:r>
      <w:r w:rsidR="00327FD7" w:rsidRPr="005D7954">
        <w:rPr>
          <w:rFonts w:ascii="Times New Roman" w:hAnsi="Times New Roman" w:cs="Times New Roman"/>
          <w:sz w:val="20"/>
          <w:szCs w:val="20"/>
          <w:lang w:bidi="ar-EG"/>
        </w:rPr>
        <w:t>ee</w:t>
      </w:r>
      <w:r w:rsidRPr="005D7954">
        <w:rPr>
          <w:rFonts w:ascii="Times New Roman" w:hAnsi="Times New Roman" w:cs="Times New Roman"/>
          <w:sz w:val="20"/>
          <w:szCs w:val="20"/>
          <w:lang w:bidi="ar-EG"/>
        </w:rPr>
        <w:t xml:space="preserve">d intake and body weight gain in hepatotoxic rats. The experiment was performed on 80 adult male rats distributed into 8 equal groups. Group (1) was kept as negative control (NC) (fed on basal diet), while the other 7 were subcutaneously administered a single dose of </w:t>
      </w:r>
      <w:r w:rsidR="007942CA" w:rsidRPr="005D7954">
        <w:rPr>
          <w:rFonts w:ascii="Times New Roman" w:hAnsi="Times New Roman" w:cs="Times New Roman"/>
          <w:sz w:val="20"/>
          <w:szCs w:val="20"/>
          <w:lang w:bidi="ar-EG"/>
        </w:rPr>
        <w:t>Carbon Tetrachloride (</w:t>
      </w:r>
      <w:r w:rsidRPr="005D7954">
        <w:rPr>
          <w:rFonts w:ascii="Times New Roman" w:hAnsi="Times New Roman" w:cs="Times New Roman"/>
          <w:sz w:val="20"/>
          <w:szCs w:val="20"/>
          <w:lang w:bidi="ar-EG"/>
        </w:rPr>
        <w:t>C</w:t>
      </w:r>
      <w:r w:rsidR="007942CA" w:rsidRPr="005D7954">
        <w:rPr>
          <w:rFonts w:ascii="Times New Roman" w:hAnsi="Times New Roman" w:cs="Times New Roman"/>
          <w:sz w:val="20"/>
          <w:szCs w:val="20"/>
          <w:lang w:bidi="ar-EG"/>
        </w:rPr>
        <w:t>C</w:t>
      </w:r>
      <w:r w:rsidRPr="005D7954">
        <w:rPr>
          <w:rFonts w:ascii="Times New Roman" w:hAnsi="Times New Roman" w:cs="Times New Roman"/>
          <w:sz w:val="20"/>
          <w:szCs w:val="20"/>
          <w:lang w:bidi="ar-EG"/>
        </w:rPr>
        <w:t>l4</w:t>
      </w:r>
      <w:r w:rsidR="007942CA" w:rsidRPr="005D7954">
        <w:rPr>
          <w:rFonts w:ascii="Times New Roman" w:hAnsi="Times New Roman" w:cs="Times New Roman"/>
          <w:sz w:val="20"/>
          <w:szCs w:val="20"/>
          <w:lang w:bidi="ar-EG"/>
        </w:rPr>
        <w:t>)</w:t>
      </w:r>
      <w:r w:rsidRPr="005D7954">
        <w:rPr>
          <w:rFonts w:ascii="Times New Roman" w:hAnsi="Times New Roman" w:cs="Times New Roman"/>
          <w:sz w:val="20"/>
          <w:szCs w:val="20"/>
          <w:lang w:bidi="ar-EG"/>
        </w:rPr>
        <w:t xml:space="preserve"> to induce experimental hepat</w:t>
      </w:r>
      <w:r w:rsidR="00FE091D" w:rsidRPr="005D7954">
        <w:rPr>
          <w:rFonts w:ascii="Times New Roman" w:hAnsi="Times New Roman" w:cs="Times New Roman"/>
          <w:sz w:val="20"/>
          <w:szCs w:val="20"/>
          <w:lang w:bidi="ar-EG"/>
        </w:rPr>
        <w:t>ic</w:t>
      </w:r>
      <w:r w:rsidR="0065087E" w:rsidRPr="005D7954">
        <w:rPr>
          <w:rFonts w:ascii="Times New Roman" w:hAnsi="Times New Roman" w:cs="Times New Roman"/>
          <w:sz w:val="20"/>
          <w:szCs w:val="20"/>
          <w:lang w:bidi="ar-EG"/>
        </w:rPr>
        <w:t xml:space="preserve"> toxicity</w:t>
      </w:r>
      <w:r w:rsidRPr="005D7954">
        <w:rPr>
          <w:rFonts w:ascii="Times New Roman" w:hAnsi="Times New Roman" w:cs="Times New Roman"/>
          <w:sz w:val="20"/>
          <w:szCs w:val="20"/>
          <w:lang w:bidi="ar-EG"/>
        </w:rPr>
        <w:t>. Group (2) was left as a positive control (PN) group</w:t>
      </w:r>
      <w:r w:rsidR="007A430D" w:rsidRPr="005D7954">
        <w:rPr>
          <w:rFonts w:ascii="Times New Roman" w:hAnsi="Times New Roman" w:cs="Times New Roman"/>
          <w:sz w:val="20"/>
          <w:szCs w:val="20"/>
          <w:lang w:bidi="ar-EG"/>
        </w:rPr>
        <w:t>,</w:t>
      </w:r>
      <w:r w:rsidRPr="005D7954">
        <w:rPr>
          <w:rFonts w:ascii="Times New Roman" w:hAnsi="Times New Roman" w:cs="Times New Roman"/>
          <w:sz w:val="20"/>
          <w:szCs w:val="20"/>
          <w:lang w:bidi="ar-EG"/>
        </w:rPr>
        <w:t xml:space="preserve"> hepatotoxic rats and groups (3), (4), (</w:t>
      </w:r>
      <w:r w:rsidR="00327FD7" w:rsidRPr="005D7954">
        <w:rPr>
          <w:rFonts w:ascii="Times New Roman" w:hAnsi="Times New Roman" w:cs="Times New Roman"/>
          <w:sz w:val="20"/>
          <w:szCs w:val="20"/>
          <w:lang w:bidi="ar-EG"/>
        </w:rPr>
        <w:t>5</w:t>
      </w:r>
      <w:r w:rsidRPr="005D7954">
        <w:rPr>
          <w:rFonts w:ascii="Times New Roman" w:hAnsi="Times New Roman" w:cs="Times New Roman"/>
          <w:sz w:val="20"/>
          <w:szCs w:val="20"/>
          <w:lang w:bidi="ar-EG"/>
        </w:rPr>
        <w:t>) and (</w:t>
      </w:r>
      <w:r w:rsidR="00327FD7" w:rsidRPr="005D7954">
        <w:rPr>
          <w:rFonts w:ascii="Times New Roman" w:hAnsi="Times New Roman" w:cs="Times New Roman"/>
          <w:sz w:val="20"/>
          <w:szCs w:val="20"/>
          <w:lang w:bidi="ar-EG"/>
        </w:rPr>
        <w:t>6</w:t>
      </w:r>
      <w:r w:rsidRPr="005D7954">
        <w:rPr>
          <w:rFonts w:ascii="Times New Roman" w:hAnsi="Times New Roman" w:cs="Times New Roman"/>
          <w:sz w:val="20"/>
          <w:szCs w:val="20"/>
          <w:lang w:bidi="ar-EG"/>
        </w:rPr>
        <w:t>) were orally administered TI extract 200 and 400 mg/</w:t>
      </w:r>
      <w:r w:rsidR="002214B8" w:rsidRPr="005D7954">
        <w:rPr>
          <w:rFonts w:ascii="Times New Roman" w:hAnsi="Times New Roman" w:cs="Times New Roman"/>
          <w:sz w:val="20"/>
          <w:szCs w:val="20"/>
          <w:lang w:bidi="ar-EG"/>
        </w:rPr>
        <w:t>kg,</w:t>
      </w:r>
      <w:r w:rsidRPr="005D7954">
        <w:rPr>
          <w:rFonts w:ascii="Times New Roman" w:hAnsi="Times New Roman" w:cs="Times New Roman"/>
          <w:sz w:val="20"/>
          <w:szCs w:val="20"/>
          <w:lang w:bidi="ar-EG"/>
        </w:rPr>
        <w:t xml:space="preserve"> and GB extract at 200 and 400 mg/kg respectively, once daily for 4 weeks. Groups (</w:t>
      </w:r>
      <w:r w:rsidR="00327FD7" w:rsidRPr="005D7954">
        <w:rPr>
          <w:rFonts w:ascii="Times New Roman" w:hAnsi="Times New Roman" w:cs="Times New Roman"/>
          <w:sz w:val="20"/>
          <w:szCs w:val="20"/>
          <w:lang w:bidi="ar-EG"/>
        </w:rPr>
        <w:t>7</w:t>
      </w:r>
      <w:r w:rsidRPr="005D7954">
        <w:rPr>
          <w:rFonts w:ascii="Times New Roman" w:hAnsi="Times New Roman" w:cs="Times New Roman"/>
          <w:sz w:val="20"/>
          <w:szCs w:val="20"/>
          <w:lang w:bidi="ar-EG"/>
        </w:rPr>
        <w:t xml:space="preserve">and </w:t>
      </w:r>
      <w:r w:rsidR="00327FD7" w:rsidRPr="005D7954">
        <w:rPr>
          <w:rFonts w:ascii="Times New Roman" w:hAnsi="Times New Roman" w:cs="Times New Roman"/>
          <w:sz w:val="20"/>
          <w:szCs w:val="20"/>
          <w:lang w:bidi="ar-EG"/>
        </w:rPr>
        <w:t>8</w:t>
      </w:r>
      <w:r w:rsidRPr="005D7954">
        <w:rPr>
          <w:rFonts w:ascii="Times New Roman" w:hAnsi="Times New Roman" w:cs="Times New Roman"/>
          <w:sz w:val="20"/>
          <w:szCs w:val="20"/>
          <w:lang w:bidi="ar-EG"/>
        </w:rPr>
        <w:t>) were orally given combination of the small dose and the large dose of TI and GB extracts (200 and 400 mg/kg b.wt.) respectively. Feed intake</w:t>
      </w:r>
      <w:r w:rsidR="005D7954" w:rsidRPr="005D7954">
        <w:rPr>
          <w:rFonts w:ascii="Times New Roman" w:hAnsi="Times New Roman" w:cs="Times New Roman"/>
          <w:sz w:val="20"/>
          <w:szCs w:val="20"/>
          <w:lang w:bidi="ar-EG"/>
        </w:rPr>
        <w:t>,</w:t>
      </w:r>
      <w:r w:rsidR="005D7954">
        <w:rPr>
          <w:rFonts w:ascii="Times New Roman" w:hAnsi="Times New Roman" w:cs="Times New Roman"/>
          <w:sz w:val="20"/>
          <w:szCs w:val="20"/>
          <w:lang w:bidi="ar-EG"/>
        </w:rPr>
        <w:t xml:space="preserve"> </w:t>
      </w:r>
      <w:r w:rsidR="005D7954" w:rsidRPr="005D7954">
        <w:rPr>
          <w:rFonts w:ascii="Times New Roman" w:hAnsi="Times New Roman" w:cs="Times New Roman"/>
          <w:sz w:val="20"/>
          <w:szCs w:val="20"/>
          <w:lang w:bidi="ar-EG"/>
        </w:rPr>
        <w:t>b</w:t>
      </w:r>
      <w:r w:rsidRPr="005D7954">
        <w:rPr>
          <w:rFonts w:ascii="Times New Roman" w:hAnsi="Times New Roman" w:cs="Times New Roman"/>
          <w:sz w:val="20"/>
          <w:szCs w:val="20"/>
          <w:lang w:bidi="ar-EG"/>
        </w:rPr>
        <w:t>ody weight gain were determined as well as the activity of</w:t>
      </w:r>
      <w:r w:rsidR="006B7377" w:rsidRPr="005D7954">
        <w:rPr>
          <w:rFonts w:ascii="Times New Roman" w:hAnsi="Times New Roman" w:cs="Times New Roman"/>
          <w:sz w:val="20"/>
          <w:szCs w:val="20"/>
          <w:lang w:bidi="ar-EG"/>
        </w:rPr>
        <w:t xml:space="preserve"> </w:t>
      </w:r>
      <w:r w:rsidRPr="005D7954">
        <w:rPr>
          <w:rFonts w:ascii="Times New Roman" w:hAnsi="Times New Roman" w:cs="Times New Roman"/>
          <w:sz w:val="20"/>
          <w:szCs w:val="20"/>
          <w:lang w:bidi="ar-EG"/>
        </w:rPr>
        <w:t xml:space="preserve">Aspartate aminotransferase (AST), </w:t>
      </w:r>
      <w:r w:rsidR="0023029D" w:rsidRPr="005D7954">
        <w:rPr>
          <w:rFonts w:ascii="Times New Roman" w:hAnsi="Times New Roman" w:cs="Times New Roman"/>
          <w:sz w:val="20"/>
          <w:szCs w:val="20"/>
          <w:lang w:bidi="ar-EG"/>
        </w:rPr>
        <w:t>alanine aminotransferase (ALT)</w:t>
      </w:r>
      <w:r w:rsidR="006B7377" w:rsidRPr="005D7954">
        <w:rPr>
          <w:rFonts w:ascii="Times New Roman" w:hAnsi="Times New Roman" w:cs="Times New Roman"/>
          <w:sz w:val="20"/>
          <w:szCs w:val="20"/>
        </w:rPr>
        <w:t>,</w:t>
      </w:r>
      <w:r w:rsidRPr="005D7954">
        <w:rPr>
          <w:rFonts w:ascii="Times New Roman" w:hAnsi="Times New Roman" w:cs="Times New Roman"/>
          <w:sz w:val="20"/>
          <w:szCs w:val="20"/>
          <w:lang w:bidi="ar-EG"/>
        </w:rPr>
        <w:t xml:space="preserve"> total cholesterol, (TC) triglycerides (TG) lipoprotein fractions,</w:t>
      </w:r>
      <w:r w:rsidR="002214B8" w:rsidRPr="005D7954">
        <w:rPr>
          <w:rFonts w:ascii="Times New Roman" w:hAnsi="Times New Roman" w:cs="Times New Roman"/>
          <w:sz w:val="20"/>
          <w:szCs w:val="20"/>
          <w:lang w:bidi="ar-EG"/>
        </w:rPr>
        <w:t xml:space="preserve"> </w:t>
      </w:r>
      <w:r w:rsidRPr="005D7954">
        <w:rPr>
          <w:rFonts w:ascii="Times New Roman" w:hAnsi="Times New Roman" w:cs="Times New Roman"/>
          <w:sz w:val="20"/>
          <w:szCs w:val="20"/>
          <w:lang w:bidi="ar-EG"/>
        </w:rPr>
        <w:t xml:space="preserve">blood urea nitrogen (BUN), uric acid and creatinine concentrations were also estimated. The results </w:t>
      </w:r>
      <w:r w:rsidR="002214B8" w:rsidRPr="005D7954">
        <w:rPr>
          <w:rFonts w:ascii="Times New Roman" w:hAnsi="Times New Roman" w:cs="Times New Roman"/>
          <w:sz w:val="20"/>
          <w:szCs w:val="20"/>
          <w:lang w:bidi="ar-EG"/>
        </w:rPr>
        <w:t>demonstrated</w:t>
      </w:r>
      <w:r w:rsidRPr="005D7954">
        <w:rPr>
          <w:rFonts w:ascii="Times New Roman" w:hAnsi="Times New Roman" w:cs="Times New Roman"/>
          <w:sz w:val="20"/>
          <w:szCs w:val="20"/>
          <w:lang w:bidi="ar-EG"/>
        </w:rPr>
        <w:t xml:space="preserve"> that the high dose (400 mg/kg b.wt) of</w:t>
      </w:r>
      <w:r w:rsidR="007A430D" w:rsidRPr="005D7954">
        <w:rPr>
          <w:rFonts w:ascii="Times New Roman" w:hAnsi="Times New Roman" w:cs="Times New Roman"/>
          <w:sz w:val="20"/>
          <w:szCs w:val="20"/>
          <w:lang w:bidi="ar-EG"/>
        </w:rPr>
        <w:t xml:space="preserve"> both</w:t>
      </w:r>
      <w:r w:rsidRPr="005D7954">
        <w:rPr>
          <w:rFonts w:ascii="Times New Roman" w:hAnsi="Times New Roman" w:cs="Times New Roman"/>
          <w:sz w:val="20"/>
          <w:szCs w:val="20"/>
          <w:lang w:bidi="ar-EG"/>
        </w:rPr>
        <w:t xml:space="preserve"> extracts and their combination</w:t>
      </w:r>
      <w:r w:rsidR="007A430D" w:rsidRPr="005D7954">
        <w:rPr>
          <w:rFonts w:ascii="Times New Roman" w:hAnsi="Times New Roman" w:cs="Times New Roman"/>
          <w:sz w:val="20"/>
          <w:szCs w:val="20"/>
          <w:lang w:bidi="ar-EG"/>
        </w:rPr>
        <w:t>s</w:t>
      </w:r>
      <w:r w:rsidRPr="005D7954">
        <w:rPr>
          <w:rFonts w:ascii="Times New Roman" w:hAnsi="Times New Roman" w:cs="Times New Roman"/>
          <w:sz w:val="20"/>
          <w:szCs w:val="20"/>
          <w:lang w:bidi="ar-EG"/>
        </w:rPr>
        <w:t xml:space="preserve"> significantly decreased the levels of serum AST</w:t>
      </w:r>
      <w:r w:rsidR="00327FD7" w:rsidRPr="005D7954">
        <w:rPr>
          <w:rFonts w:ascii="Times New Roman" w:hAnsi="Times New Roman" w:cs="Times New Roman"/>
          <w:sz w:val="20"/>
          <w:szCs w:val="20"/>
          <w:lang w:bidi="ar-EG"/>
        </w:rPr>
        <w:t xml:space="preserve"> and</w:t>
      </w:r>
      <w:r w:rsidR="007A430D" w:rsidRPr="005D7954">
        <w:rPr>
          <w:rFonts w:ascii="Times New Roman" w:hAnsi="Times New Roman" w:cs="Times New Roman"/>
          <w:sz w:val="20"/>
          <w:szCs w:val="20"/>
          <w:lang w:bidi="ar-EG"/>
        </w:rPr>
        <w:t xml:space="preserve"> ALTenzymes,</w:t>
      </w:r>
      <w:r w:rsidR="00327FD7" w:rsidRPr="005D7954">
        <w:rPr>
          <w:rFonts w:ascii="Times New Roman" w:hAnsi="Times New Roman" w:cs="Times New Roman"/>
          <w:sz w:val="20"/>
          <w:szCs w:val="20"/>
          <w:lang w:bidi="ar-EG"/>
        </w:rPr>
        <w:t xml:space="preserve"> TC, TG, low density lipoprotein cholesterol (LDL-c)</w:t>
      </w:r>
      <w:r w:rsidR="002214B8" w:rsidRPr="005D7954">
        <w:rPr>
          <w:rFonts w:ascii="Times New Roman" w:hAnsi="Times New Roman" w:cs="Times New Roman"/>
          <w:sz w:val="20"/>
          <w:szCs w:val="20"/>
          <w:lang w:bidi="ar-EG"/>
        </w:rPr>
        <w:t>, BUN</w:t>
      </w:r>
      <w:r w:rsidR="007A430D" w:rsidRPr="005D7954">
        <w:rPr>
          <w:rFonts w:ascii="Times New Roman" w:hAnsi="Times New Roman" w:cs="Times New Roman"/>
          <w:sz w:val="20"/>
          <w:szCs w:val="20"/>
          <w:lang w:bidi="ar-EG"/>
        </w:rPr>
        <w:t>,</w:t>
      </w:r>
      <w:r w:rsidRPr="005D7954">
        <w:rPr>
          <w:rFonts w:ascii="Times New Roman" w:hAnsi="Times New Roman" w:cs="Times New Roman"/>
          <w:sz w:val="20"/>
          <w:szCs w:val="20"/>
          <w:lang w:bidi="ar-EG"/>
        </w:rPr>
        <w:t xml:space="preserve"> uric </w:t>
      </w:r>
      <w:r w:rsidR="007A430D" w:rsidRPr="005D7954">
        <w:rPr>
          <w:rFonts w:ascii="Times New Roman" w:hAnsi="Times New Roman" w:cs="Times New Roman"/>
          <w:sz w:val="20"/>
          <w:szCs w:val="20"/>
          <w:lang w:bidi="ar-EG"/>
        </w:rPr>
        <w:t>acid and</w:t>
      </w:r>
      <w:r w:rsidR="002214B8" w:rsidRPr="005D7954">
        <w:rPr>
          <w:rFonts w:ascii="Times New Roman" w:hAnsi="Times New Roman" w:cs="Times New Roman"/>
          <w:sz w:val="20"/>
          <w:szCs w:val="20"/>
          <w:lang w:bidi="ar-EG"/>
        </w:rPr>
        <w:t xml:space="preserve"> </w:t>
      </w:r>
      <w:r w:rsidR="007A430D" w:rsidRPr="005D7954">
        <w:rPr>
          <w:rFonts w:ascii="Times New Roman" w:hAnsi="Times New Roman" w:cs="Times New Roman"/>
          <w:sz w:val="20"/>
          <w:szCs w:val="20"/>
          <w:lang w:bidi="ar-EG"/>
        </w:rPr>
        <w:t>creatinene</w:t>
      </w:r>
      <w:r w:rsidRPr="005D7954">
        <w:rPr>
          <w:rFonts w:ascii="Times New Roman" w:hAnsi="Times New Roman" w:cs="Times New Roman"/>
          <w:sz w:val="20"/>
          <w:szCs w:val="20"/>
          <w:lang w:bidi="ar-EG"/>
        </w:rPr>
        <w:t xml:space="preserve"> in hepatotoxic </w:t>
      </w:r>
      <w:r w:rsidR="007954AD" w:rsidRPr="005D7954">
        <w:rPr>
          <w:rFonts w:ascii="Times New Roman" w:hAnsi="Times New Roman" w:cs="Times New Roman"/>
          <w:sz w:val="20"/>
          <w:szCs w:val="20"/>
          <w:lang w:bidi="ar-EG"/>
        </w:rPr>
        <w:t xml:space="preserve">rats. </w:t>
      </w:r>
      <w:r w:rsidRPr="005D7954">
        <w:rPr>
          <w:rFonts w:ascii="Times New Roman" w:hAnsi="Times New Roman" w:cs="Times New Roman"/>
          <w:sz w:val="20"/>
          <w:szCs w:val="20"/>
          <w:lang w:bidi="ar-EG"/>
        </w:rPr>
        <w:t>On the other hand the high dose of both extracts and their combination</w:t>
      </w:r>
      <w:r w:rsidR="007A430D" w:rsidRPr="005D7954">
        <w:rPr>
          <w:rFonts w:ascii="Times New Roman" w:hAnsi="Times New Roman" w:cs="Times New Roman"/>
          <w:sz w:val="20"/>
          <w:szCs w:val="20"/>
          <w:lang w:bidi="ar-EG"/>
        </w:rPr>
        <w:t>s</w:t>
      </w:r>
      <w:r w:rsidRPr="005D7954">
        <w:rPr>
          <w:rFonts w:ascii="Times New Roman" w:hAnsi="Times New Roman" w:cs="Times New Roman"/>
          <w:sz w:val="20"/>
          <w:szCs w:val="20"/>
          <w:lang w:bidi="ar-EG"/>
        </w:rPr>
        <w:t xml:space="preserve"> increased high density lipoprotein cholesterol (HDL-c</w:t>
      </w:r>
      <w:r w:rsidR="002214B8" w:rsidRPr="005D7954">
        <w:rPr>
          <w:rFonts w:ascii="Times New Roman" w:hAnsi="Times New Roman" w:cs="Times New Roman"/>
          <w:sz w:val="20"/>
          <w:szCs w:val="20"/>
          <w:lang w:bidi="ar-EG"/>
        </w:rPr>
        <w:t xml:space="preserve">). </w:t>
      </w:r>
      <w:r w:rsidRPr="005D7954">
        <w:rPr>
          <w:rFonts w:ascii="Times New Roman" w:hAnsi="Times New Roman" w:cs="Times New Roman"/>
          <w:sz w:val="20"/>
          <w:szCs w:val="20"/>
          <w:lang w:bidi="ar-EG"/>
        </w:rPr>
        <w:t>Conclusively, TI and GB and their combination</w:t>
      </w:r>
      <w:r w:rsidR="007A430D" w:rsidRPr="005D7954">
        <w:rPr>
          <w:rFonts w:ascii="Times New Roman" w:hAnsi="Times New Roman" w:cs="Times New Roman"/>
          <w:sz w:val="20"/>
          <w:szCs w:val="20"/>
          <w:lang w:bidi="ar-EG"/>
        </w:rPr>
        <w:t>s</w:t>
      </w:r>
      <w:r w:rsidRPr="005D7954">
        <w:rPr>
          <w:rFonts w:ascii="Times New Roman" w:hAnsi="Times New Roman" w:cs="Times New Roman"/>
          <w:sz w:val="20"/>
          <w:szCs w:val="20"/>
          <w:lang w:bidi="ar-EG"/>
        </w:rPr>
        <w:t xml:space="preserve"> are considered hepatoprotective</w:t>
      </w:r>
      <w:r w:rsidR="007954AD" w:rsidRPr="005D7954">
        <w:rPr>
          <w:rFonts w:ascii="Times New Roman" w:hAnsi="Times New Roman" w:cs="Times New Roman"/>
          <w:sz w:val="20"/>
          <w:szCs w:val="20"/>
          <w:lang w:bidi="ar-EG"/>
        </w:rPr>
        <w:t xml:space="preserve"> </w:t>
      </w:r>
      <w:r w:rsidRPr="005D7954">
        <w:rPr>
          <w:rFonts w:ascii="Times New Roman" w:hAnsi="Times New Roman" w:cs="Times New Roman"/>
          <w:sz w:val="20"/>
          <w:szCs w:val="20"/>
          <w:lang w:bidi="ar-EG"/>
        </w:rPr>
        <w:t>herbs.This study recommended that consumption TI and GB are useful for patients who suffer formhepatorenal disorders.</w:t>
      </w:r>
    </w:p>
    <w:p w:rsidR="005D7954" w:rsidRPr="005D7954" w:rsidRDefault="005D7954" w:rsidP="005D7954">
      <w:pPr>
        <w:bidi w:val="0"/>
        <w:snapToGrid w:val="0"/>
        <w:spacing w:after="0" w:line="240" w:lineRule="auto"/>
        <w:jc w:val="both"/>
        <w:rPr>
          <w:rFonts w:ascii="Times New Roman" w:hAnsi="Times New Roman" w:cs="Times New Roman"/>
          <w:bCs/>
          <w:sz w:val="20"/>
          <w:szCs w:val="20"/>
          <w:lang w:bidi="ar-EG"/>
        </w:rPr>
      </w:pPr>
      <w:r w:rsidRPr="005D7954">
        <w:rPr>
          <w:rFonts w:ascii="Times New Roman" w:hAnsi="Times New Roman" w:cs="Times New Roman"/>
          <w:bCs/>
          <w:sz w:val="20"/>
          <w:szCs w:val="20"/>
        </w:rPr>
        <w:t>[</w:t>
      </w:r>
      <w:r w:rsidRPr="005D7954">
        <w:rPr>
          <w:rFonts w:ascii="Times New Roman" w:hAnsi="Times New Roman" w:cs="Times New Roman"/>
          <w:bCs/>
          <w:sz w:val="20"/>
          <w:szCs w:val="20"/>
          <w:lang w:bidi="ar-EG"/>
        </w:rPr>
        <w:t>Maha A. Hijazi</w:t>
      </w:r>
      <w:r w:rsidRPr="005D7954">
        <w:rPr>
          <w:rFonts w:ascii="Times New Roman" w:hAnsi="Times New Roman" w:cs="Times New Roman"/>
          <w:sz w:val="20"/>
          <w:szCs w:val="20"/>
        </w:rPr>
        <w:t>.</w:t>
      </w:r>
      <w:r w:rsidRPr="005D7954">
        <w:rPr>
          <w:rFonts w:ascii="Times New Roman" w:hAnsi="Times New Roman" w:cs="Times New Roman" w:hint="eastAsia"/>
          <w:b/>
          <w:bCs/>
          <w:sz w:val="20"/>
          <w:szCs w:val="20"/>
          <w:lang w:bidi="fa-IR"/>
        </w:rPr>
        <w:t xml:space="preserve"> </w:t>
      </w:r>
      <w:r w:rsidRPr="005D7954">
        <w:rPr>
          <w:rFonts w:ascii="Times New Roman" w:hAnsi="Times New Roman" w:cs="Times New Roman"/>
          <w:b/>
          <w:bCs/>
          <w:sz w:val="20"/>
          <w:szCs w:val="20"/>
          <w:lang w:bidi="ar-EG"/>
        </w:rPr>
        <w:t xml:space="preserve">Effect of </w:t>
      </w:r>
      <w:r w:rsidRPr="005D7954">
        <w:rPr>
          <w:rFonts w:ascii="Times New Roman" w:hAnsi="Times New Roman" w:cs="Times New Roman"/>
          <w:b/>
          <w:bCs/>
          <w:i/>
          <w:iCs/>
          <w:sz w:val="20"/>
          <w:szCs w:val="20"/>
          <w:lang w:bidi="ar-EG"/>
        </w:rPr>
        <w:t xml:space="preserve">Tamarindus indica L </w:t>
      </w:r>
      <w:r w:rsidRPr="005D7954">
        <w:rPr>
          <w:rFonts w:ascii="Times New Roman" w:hAnsi="Times New Roman" w:cs="Times New Roman"/>
          <w:b/>
          <w:bCs/>
          <w:sz w:val="20"/>
          <w:szCs w:val="20"/>
          <w:lang w:bidi="ar-EG"/>
        </w:rPr>
        <w:t>and</w:t>
      </w:r>
      <w:r w:rsidRPr="005D7954">
        <w:rPr>
          <w:rFonts w:ascii="Times New Roman" w:hAnsi="Times New Roman" w:cs="Times New Roman"/>
          <w:b/>
          <w:bCs/>
          <w:i/>
          <w:iCs/>
          <w:sz w:val="20"/>
          <w:szCs w:val="20"/>
          <w:lang w:bidi="ar-EG"/>
        </w:rPr>
        <w:t xml:space="preserve"> Ginkgo biloba </w:t>
      </w:r>
      <w:r w:rsidRPr="005D7954">
        <w:rPr>
          <w:rFonts w:ascii="Times New Roman" w:hAnsi="Times New Roman" w:cs="Times New Roman"/>
          <w:b/>
          <w:bCs/>
          <w:sz w:val="20"/>
          <w:szCs w:val="20"/>
          <w:lang w:bidi="ar-EG"/>
        </w:rPr>
        <w:t>L., Leaves Extracts on Hepatorenal Functions of Male Rats intoxicated with CCl4</w:t>
      </w:r>
      <w:r w:rsidRPr="005D7954">
        <w:rPr>
          <w:rFonts w:ascii="Times New Roman" w:eastAsia="Times New Roman" w:hAnsi="Times New Roman" w:cs="Times New Roman"/>
          <w:b/>
          <w:bCs/>
          <w:sz w:val="20"/>
          <w:szCs w:val="20"/>
          <w:lang w:bidi="fa-IR"/>
        </w:rPr>
        <w:t>.</w:t>
      </w:r>
      <w:r w:rsidRPr="005D7954">
        <w:rPr>
          <w:rFonts w:ascii="Times New Roman" w:hAnsi="Times New Roman" w:cs="Times New Roman"/>
          <w:bCs/>
          <w:i/>
          <w:sz w:val="20"/>
          <w:szCs w:val="20"/>
        </w:rPr>
        <w:t xml:space="preserve"> N Y Sci J</w:t>
      </w:r>
      <w:r w:rsidRPr="005D7954">
        <w:rPr>
          <w:rFonts w:ascii="Times New Roman" w:hAnsi="Times New Roman" w:cs="Times New Roman"/>
          <w:bCs/>
          <w:sz w:val="20"/>
          <w:szCs w:val="20"/>
        </w:rPr>
        <w:t xml:space="preserve"> </w:t>
      </w:r>
      <w:r w:rsidRPr="005D7954">
        <w:rPr>
          <w:rFonts w:ascii="Times New Roman" w:hAnsi="Times New Roman" w:cs="Times New Roman"/>
          <w:sz w:val="20"/>
          <w:szCs w:val="20"/>
        </w:rPr>
        <w:t>201</w:t>
      </w:r>
      <w:r w:rsidRPr="005D7954">
        <w:rPr>
          <w:rFonts w:ascii="Times New Roman" w:hAnsi="Times New Roman" w:cs="Times New Roman" w:hint="eastAsia"/>
          <w:sz w:val="20"/>
          <w:szCs w:val="20"/>
        </w:rPr>
        <w:t>8</w:t>
      </w:r>
      <w:r w:rsidRPr="005D7954">
        <w:rPr>
          <w:rFonts w:ascii="Times New Roman" w:hAnsi="Times New Roman" w:cs="Times New Roman"/>
          <w:sz w:val="20"/>
          <w:szCs w:val="20"/>
        </w:rPr>
        <w:t>;</w:t>
      </w:r>
      <w:r w:rsidRPr="005D7954">
        <w:rPr>
          <w:rFonts w:ascii="Times New Roman" w:hAnsi="Times New Roman" w:cs="Times New Roman" w:hint="eastAsia"/>
          <w:sz w:val="20"/>
          <w:szCs w:val="20"/>
        </w:rPr>
        <w:t>11</w:t>
      </w:r>
      <w:r w:rsidRPr="005D7954">
        <w:rPr>
          <w:rFonts w:ascii="Times New Roman" w:hAnsi="Times New Roman" w:cs="Times New Roman"/>
          <w:sz w:val="20"/>
          <w:szCs w:val="20"/>
        </w:rPr>
        <w:t>(</w:t>
      </w:r>
      <w:r w:rsidRPr="005D7954">
        <w:rPr>
          <w:rFonts w:ascii="Times New Roman" w:hAnsi="Times New Roman" w:cs="Times New Roman" w:hint="eastAsia"/>
          <w:sz w:val="20"/>
          <w:szCs w:val="20"/>
        </w:rPr>
        <w:t>4</w:t>
      </w:r>
      <w:r w:rsidRPr="005D7954">
        <w:rPr>
          <w:rFonts w:ascii="Times New Roman" w:hAnsi="Times New Roman" w:cs="Times New Roman"/>
          <w:sz w:val="20"/>
          <w:szCs w:val="20"/>
        </w:rPr>
        <w:t>):</w:t>
      </w:r>
      <w:r w:rsidR="0014211E">
        <w:rPr>
          <w:rFonts w:ascii="Times New Roman" w:hAnsi="Times New Roman" w:cs="Times New Roman"/>
          <w:noProof/>
          <w:color w:val="000000"/>
          <w:sz w:val="20"/>
          <w:szCs w:val="20"/>
        </w:rPr>
        <w:t>57-63</w:t>
      </w:r>
      <w:r w:rsidRPr="005D7954">
        <w:rPr>
          <w:rFonts w:ascii="Times New Roman" w:hAnsi="Times New Roman" w:cs="Times New Roman"/>
          <w:sz w:val="20"/>
          <w:szCs w:val="20"/>
        </w:rPr>
        <w:t xml:space="preserve">]. </w:t>
      </w:r>
      <w:r w:rsidRPr="005D7954">
        <w:rPr>
          <w:rFonts w:ascii="Times New Roman" w:hAnsi="Times New Roman" w:cs="Times New Roman"/>
          <w:iCs/>
          <w:color w:val="000000"/>
          <w:sz w:val="20"/>
          <w:szCs w:val="20"/>
        </w:rPr>
        <w:t>ISSN 1554-0200 (print); ISSN 2375-723X (online)</w:t>
      </w:r>
      <w:r w:rsidRPr="005D7954">
        <w:rPr>
          <w:rFonts w:ascii="Times New Roman" w:hAnsi="Times New Roman" w:cs="Times New Roman"/>
          <w:sz w:val="20"/>
          <w:szCs w:val="20"/>
        </w:rPr>
        <w:t xml:space="preserve">. </w:t>
      </w:r>
      <w:hyperlink r:id="rId8" w:history="1">
        <w:r w:rsidRPr="005D7954">
          <w:rPr>
            <w:rStyle w:val="Hyperlink"/>
            <w:rFonts w:ascii="Times New Roman" w:hAnsi="Times New Roman" w:cs="Times New Roman"/>
            <w:sz w:val="20"/>
            <w:szCs w:val="20"/>
          </w:rPr>
          <w:t>http://www.sciencepub.net/newyork</w:t>
        </w:r>
      </w:hyperlink>
      <w:r w:rsidRPr="005D7954">
        <w:rPr>
          <w:rFonts w:ascii="Times New Roman" w:hAnsi="Times New Roman" w:cs="Times New Roman"/>
          <w:sz w:val="20"/>
          <w:szCs w:val="20"/>
        </w:rPr>
        <w:t xml:space="preserve">. </w:t>
      </w:r>
      <w:r>
        <w:rPr>
          <w:rFonts w:ascii="Times New Roman" w:hAnsi="Times New Roman" w:cs="Times New Roman" w:hint="eastAsia"/>
          <w:sz w:val="20"/>
          <w:szCs w:val="20"/>
          <w:lang w:eastAsia="zh-CN"/>
        </w:rPr>
        <w:t>8</w:t>
      </w:r>
      <w:r w:rsidRPr="005D7954">
        <w:rPr>
          <w:rFonts w:ascii="Times New Roman" w:hAnsi="Times New Roman" w:cs="Times New Roman" w:hint="eastAsia"/>
          <w:sz w:val="20"/>
          <w:szCs w:val="20"/>
        </w:rPr>
        <w:t xml:space="preserve">. </w:t>
      </w:r>
      <w:r w:rsidRPr="005D7954">
        <w:rPr>
          <w:rFonts w:ascii="Times New Roman" w:hAnsi="Times New Roman" w:cs="Times New Roman"/>
          <w:color w:val="000000"/>
          <w:sz w:val="20"/>
          <w:szCs w:val="20"/>
          <w:shd w:val="clear" w:color="auto" w:fill="FFFFFF"/>
        </w:rPr>
        <w:t>doi:</w:t>
      </w:r>
      <w:hyperlink r:id="rId9" w:history="1">
        <w:r w:rsidRPr="005D7954">
          <w:rPr>
            <w:rStyle w:val="Hyperlink"/>
            <w:rFonts w:ascii="Times New Roman" w:hAnsi="Times New Roman" w:cs="Times New Roman"/>
            <w:sz w:val="20"/>
            <w:szCs w:val="20"/>
            <w:shd w:val="clear" w:color="auto" w:fill="FFFFFF"/>
          </w:rPr>
          <w:t>10.7537/mars</w:t>
        </w:r>
        <w:r w:rsidRPr="005D7954">
          <w:rPr>
            <w:rStyle w:val="Hyperlink"/>
            <w:rFonts w:ascii="Times New Roman" w:hAnsi="Times New Roman" w:cs="Times New Roman" w:hint="eastAsia"/>
            <w:sz w:val="20"/>
            <w:szCs w:val="20"/>
            <w:shd w:val="clear" w:color="auto" w:fill="FFFFFF"/>
          </w:rPr>
          <w:t>nys110418.</w:t>
        </w:r>
        <w:r w:rsidRPr="005D7954">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8</w:t>
        </w:r>
      </w:hyperlink>
      <w:r w:rsidRPr="005D7954">
        <w:rPr>
          <w:rFonts w:ascii="Times New Roman" w:hAnsi="Times New Roman" w:cs="Times New Roman"/>
          <w:color w:val="000000"/>
          <w:sz w:val="20"/>
          <w:szCs w:val="20"/>
          <w:shd w:val="clear" w:color="auto" w:fill="FFFFFF"/>
        </w:rPr>
        <w:t>.</w:t>
      </w:r>
    </w:p>
    <w:p w:rsidR="00A94796" w:rsidRPr="006B7377" w:rsidRDefault="00A94796" w:rsidP="005D7954">
      <w:pPr>
        <w:shd w:val="clear" w:color="auto" w:fill="FFFFFF"/>
        <w:bidi w:val="0"/>
        <w:snapToGrid w:val="0"/>
        <w:spacing w:after="0" w:line="240" w:lineRule="auto"/>
        <w:jc w:val="both"/>
        <w:rPr>
          <w:rFonts w:ascii="Times New Roman" w:eastAsia="Times New Roman" w:hAnsi="Times New Roman" w:cs="Times New Roman"/>
          <w:b/>
          <w:bCs/>
          <w:color w:val="000000"/>
          <w:sz w:val="20"/>
          <w:szCs w:val="20"/>
        </w:rPr>
      </w:pPr>
    </w:p>
    <w:p w:rsidR="00BE3FCA" w:rsidRPr="006B7377" w:rsidRDefault="00BE3FCA" w:rsidP="005D7954">
      <w:pPr>
        <w:shd w:val="clear" w:color="auto" w:fill="FFFFFF"/>
        <w:bidi w:val="0"/>
        <w:snapToGrid w:val="0"/>
        <w:spacing w:after="0" w:line="240" w:lineRule="auto"/>
        <w:jc w:val="both"/>
        <w:rPr>
          <w:rFonts w:ascii="Times New Roman" w:eastAsia="Times New Roman" w:hAnsi="Times New Roman" w:cs="Times New Roman"/>
          <w:color w:val="000000"/>
          <w:sz w:val="20"/>
          <w:szCs w:val="20"/>
        </w:rPr>
      </w:pPr>
      <w:r w:rsidRPr="006B7377">
        <w:rPr>
          <w:rFonts w:ascii="Times New Roman" w:eastAsia="Times New Roman" w:hAnsi="Times New Roman" w:cs="Times New Roman"/>
          <w:b/>
          <w:bCs/>
          <w:color w:val="000000"/>
          <w:sz w:val="20"/>
          <w:szCs w:val="20"/>
        </w:rPr>
        <w:t>Keywords:</w:t>
      </w:r>
      <w:r w:rsidRPr="006B7377">
        <w:rPr>
          <w:rFonts w:ascii="Times New Roman" w:eastAsia="Times New Roman" w:hAnsi="Times New Roman" w:cs="Times New Roman"/>
          <w:color w:val="000000"/>
          <w:sz w:val="20"/>
          <w:szCs w:val="20"/>
        </w:rPr>
        <w:t> Ginkgo</w:t>
      </w:r>
      <w:r w:rsidR="00E238BB" w:rsidRPr="006B7377">
        <w:rPr>
          <w:rFonts w:ascii="Times New Roman" w:eastAsia="Times New Roman" w:hAnsi="Times New Roman" w:cs="Times New Roman"/>
          <w:color w:val="000000"/>
          <w:sz w:val="20"/>
          <w:szCs w:val="20"/>
        </w:rPr>
        <w:t>biloba,</w:t>
      </w:r>
      <w:r w:rsidR="00E238BB" w:rsidRPr="006B7377">
        <w:rPr>
          <w:rFonts w:ascii="Times New Roman" w:hAnsi="Times New Roman" w:cs="Times New Roman"/>
          <w:i/>
          <w:iCs/>
          <w:sz w:val="20"/>
          <w:szCs w:val="20"/>
          <w:lang w:bidi="ar-EG"/>
        </w:rPr>
        <w:t>tamarindusindica</w:t>
      </w:r>
      <w:r w:rsidR="005B59A7" w:rsidRPr="006B7377">
        <w:rPr>
          <w:rFonts w:ascii="Times New Roman" w:eastAsia="Times New Roman" w:hAnsi="Times New Roman" w:cs="Times New Roman"/>
          <w:color w:val="000000"/>
          <w:sz w:val="20"/>
          <w:szCs w:val="20"/>
        </w:rPr>
        <w:t>,</w:t>
      </w:r>
      <w:r w:rsidR="00E238BB" w:rsidRPr="006B7377">
        <w:rPr>
          <w:rFonts w:ascii="Times New Roman" w:eastAsia="Times New Roman" w:hAnsi="Times New Roman" w:cs="Times New Roman"/>
          <w:color w:val="000000"/>
          <w:sz w:val="20"/>
          <w:szCs w:val="20"/>
        </w:rPr>
        <w:t>CCl4</w:t>
      </w:r>
      <w:r w:rsidRPr="006B7377">
        <w:rPr>
          <w:rFonts w:ascii="Times New Roman" w:eastAsia="Times New Roman" w:hAnsi="Times New Roman" w:cs="Times New Roman"/>
          <w:color w:val="000000"/>
          <w:sz w:val="20"/>
          <w:szCs w:val="20"/>
        </w:rPr>
        <w:t>,</w:t>
      </w:r>
      <w:r w:rsidR="00E238BB" w:rsidRPr="006B7377">
        <w:rPr>
          <w:rFonts w:ascii="Times New Roman" w:eastAsia="Times New Roman" w:hAnsi="Times New Roman" w:cs="Times New Roman"/>
          <w:color w:val="000000"/>
          <w:sz w:val="20"/>
          <w:szCs w:val="20"/>
        </w:rPr>
        <w:t xml:space="preserve"> Hepatotoxicity,N</w:t>
      </w:r>
      <w:r w:rsidRPr="006B7377">
        <w:rPr>
          <w:rFonts w:ascii="Times New Roman" w:eastAsia="Times New Roman" w:hAnsi="Times New Roman" w:cs="Times New Roman"/>
          <w:color w:val="000000"/>
          <w:sz w:val="20"/>
          <w:szCs w:val="20"/>
        </w:rPr>
        <w:t>ephrotoxicity</w:t>
      </w:r>
    </w:p>
    <w:p w:rsidR="006B7377" w:rsidRPr="006B7377" w:rsidRDefault="006B7377" w:rsidP="005D7954">
      <w:pPr>
        <w:bidi w:val="0"/>
        <w:snapToGrid w:val="0"/>
        <w:spacing w:after="0" w:line="240" w:lineRule="auto"/>
        <w:jc w:val="both"/>
        <w:rPr>
          <w:rFonts w:ascii="Times New Roman" w:hAnsi="Times New Roman" w:cs="Times New Roman"/>
          <w:b/>
          <w:bCs/>
          <w:sz w:val="20"/>
          <w:szCs w:val="20"/>
        </w:rPr>
      </w:pPr>
    </w:p>
    <w:p w:rsidR="006B7377" w:rsidRDefault="006B7377" w:rsidP="005D7954">
      <w:pPr>
        <w:bidi w:val="0"/>
        <w:snapToGrid w:val="0"/>
        <w:spacing w:after="0" w:line="240" w:lineRule="auto"/>
        <w:jc w:val="both"/>
        <w:rPr>
          <w:rFonts w:ascii="Times New Roman" w:hAnsi="Times New Roman" w:cs="Times New Roman"/>
          <w:b/>
          <w:bCs/>
          <w:sz w:val="20"/>
          <w:szCs w:val="20"/>
        </w:rPr>
        <w:sectPr w:rsidR="006B7377" w:rsidSect="0014211E">
          <w:headerReference w:type="default" r:id="rId10"/>
          <w:footerReference w:type="default" r:id="rId11"/>
          <w:type w:val="continuous"/>
          <w:pgSz w:w="12240" w:h="15840"/>
          <w:pgMar w:top="1440" w:right="1440" w:bottom="1440" w:left="1440" w:header="720" w:footer="720" w:gutter="0"/>
          <w:pgNumType w:start="57"/>
          <w:cols w:space="708"/>
          <w:docGrid w:linePitch="360"/>
        </w:sectPr>
      </w:pPr>
    </w:p>
    <w:p w:rsidR="00DD71A6" w:rsidRPr="006B7377" w:rsidRDefault="00132E4B" w:rsidP="005D7954">
      <w:pPr>
        <w:bidi w:val="0"/>
        <w:snapToGrid w:val="0"/>
        <w:spacing w:after="0" w:line="240" w:lineRule="auto"/>
        <w:jc w:val="both"/>
        <w:rPr>
          <w:rFonts w:ascii="Times New Roman" w:eastAsia="Arial Unicode MS" w:hAnsi="Times New Roman" w:cs="Times New Roman"/>
          <w:sz w:val="20"/>
          <w:szCs w:val="20"/>
        </w:rPr>
      </w:pPr>
      <w:r w:rsidRPr="006B7377">
        <w:rPr>
          <w:rFonts w:ascii="Times New Roman" w:hAnsi="Times New Roman" w:cs="Times New Roman"/>
          <w:b/>
          <w:bCs/>
          <w:sz w:val="20"/>
          <w:szCs w:val="20"/>
        </w:rPr>
        <w:lastRenderedPageBreak/>
        <w:t>1-Introduction</w:t>
      </w:r>
    </w:p>
    <w:p w:rsidR="006B7377" w:rsidRPr="006B7377" w:rsidRDefault="007A430D" w:rsidP="005D7954">
      <w:pPr>
        <w:bidi w:val="0"/>
        <w:snapToGrid w:val="0"/>
        <w:spacing w:after="0" w:line="240" w:lineRule="auto"/>
        <w:ind w:firstLine="425"/>
        <w:jc w:val="both"/>
        <w:rPr>
          <w:rFonts w:ascii="Times New Roman" w:eastAsia="Arial Unicode MS" w:hAnsi="Times New Roman" w:cs="Times New Roman"/>
          <w:sz w:val="20"/>
          <w:szCs w:val="20"/>
        </w:rPr>
      </w:pPr>
      <w:r w:rsidRPr="006B7377">
        <w:rPr>
          <w:rFonts w:ascii="Times New Roman" w:eastAsia="Arial Unicode MS" w:hAnsi="Times New Roman" w:cs="Times New Roman"/>
          <w:sz w:val="20"/>
          <w:szCs w:val="20"/>
        </w:rPr>
        <w:t>Liver is one of the largest organs in human body and the chief site for intense metabolism and excretion</w:t>
      </w:r>
      <w:r w:rsidR="005C22CB" w:rsidRPr="006B7377">
        <w:rPr>
          <w:rFonts w:ascii="Times New Roman" w:eastAsia="Arial Unicode MS" w:hAnsi="Times New Roman" w:cs="Times New Roman"/>
          <w:sz w:val="20"/>
          <w:szCs w:val="20"/>
        </w:rPr>
        <w:fldChar w:fldCharType="begin"/>
      </w:r>
      <w:r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Pr="006B7377">
        <w:rPr>
          <w:rFonts w:ascii="Times New Roman" w:eastAsia="Arial Unicode MS" w:hAnsi="Times New Roman" w:cs="Times New Roman"/>
          <w:sz w:val="20"/>
          <w:szCs w:val="20"/>
        </w:rPr>
        <w:t>[</w:t>
      </w:r>
      <w:hyperlink w:anchor="_ENREF_1" w:tooltip="Shattat, 2015 #17" w:history="1">
        <w:r w:rsidRPr="006B7377">
          <w:rPr>
            <w:rFonts w:ascii="Times New Roman" w:eastAsia="Arial Unicode MS" w:hAnsi="Times New Roman" w:cs="Times New Roman"/>
            <w:sz w:val="20"/>
            <w:szCs w:val="20"/>
          </w:rPr>
          <w:t>1</w:t>
        </w:r>
      </w:hyperlink>
      <w:r w:rsidRPr="006B7377">
        <w:rPr>
          <w:rFonts w:ascii="Times New Roman" w:eastAsia="Arial Unicode MS" w:hAnsi="Times New Roman" w:cs="Times New Roman"/>
          <w:sz w:val="20"/>
          <w:szCs w:val="20"/>
        </w:rPr>
        <w:t>]</w:t>
      </w:r>
      <w:r w:rsidR="005C22CB" w:rsidRPr="006B7377">
        <w:rPr>
          <w:rFonts w:ascii="Times New Roman" w:eastAsia="Arial Unicode MS" w:hAnsi="Times New Roman" w:cs="Times New Roman"/>
          <w:sz w:val="20"/>
          <w:szCs w:val="20"/>
        </w:rPr>
        <w:fldChar w:fldCharType="end"/>
      </w:r>
      <w:r w:rsidRPr="006B7377">
        <w:rPr>
          <w:rFonts w:ascii="Times New Roman" w:eastAsia="Arial Unicode MS" w:hAnsi="Times New Roman" w:cs="Times New Roman"/>
          <w:sz w:val="20"/>
          <w:szCs w:val="20"/>
        </w:rPr>
        <w:t>.</w:t>
      </w:r>
      <w:r w:rsidR="0065087E" w:rsidRPr="006B7377">
        <w:rPr>
          <w:rFonts w:ascii="Times New Roman" w:eastAsia="Arial Unicode MS" w:hAnsi="Times New Roman" w:cs="Times New Roman"/>
          <w:sz w:val="20"/>
          <w:szCs w:val="20"/>
        </w:rPr>
        <w:t xml:space="preserve"> Liver diseases are mainly caused by toxic chemicals, excess consumption of alcohol, infections and autoimmune disorders</w:t>
      </w:r>
      <w:r w:rsidR="005C22CB" w:rsidRPr="006B7377">
        <w:rPr>
          <w:rFonts w:ascii="Times New Roman" w:eastAsia="Arial Unicode MS" w:hAnsi="Times New Roman" w:cs="Times New Roman"/>
          <w:sz w:val="20"/>
          <w:szCs w:val="20"/>
        </w:rPr>
        <w:fldChar w:fldCharType="begin"/>
      </w:r>
      <w:r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Pr="006B7377">
        <w:rPr>
          <w:rFonts w:ascii="Times New Roman" w:eastAsia="Arial Unicode MS" w:hAnsi="Times New Roman" w:cs="Times New Roman"/>
          <w:sz w:val="20"/>
          <w:szCs w:val="20"/>
        </w:rPr>
        <w:t>[</w:t>
      </w:r>
      <w:hyperlink w:anchor="_ENREF_1" w:tooltip="Shattat, 2015 #17" w:history="1">
        <w:r w:rsidRPr="006B7377">
          <w:rPr>
            <w:rFonts w:ascii="Times New Roman" w:eastAsia="Arial Unicode MS" w:hAnsi="Times New Roman" w:cs="Times New Roman"/>
            <w:sz w:val="20"/>
            <w:szCs w:val="20"/>
          </w:rPr>
          <w:t>2</w:t>
        </w:r>
      </w:hyperlink>
      <w:r w:rsidRPr="006B7377">
        <w:rPr>
          <w:rFonts w:ascii="Times New Roman" w:eastAsia="Arial Unicode MS" w:hAnsi="Times New Roman" w:cs="Times New Roman"/>
          <w:sz w:val="20"/>
          <w:szCs w:val="20"/>
        </w:rPr>
        <w:t>]</w:t>
      </w:r>
      <w:r w:rsidR="005C22CB" w:rsidRPr="006B7377">
        <w:rPr>
          <w:rFonts w:ascii="Times New Roman" w:eastAsia="Arial Unicode MS" w:hAnsi="Times New Roman" w:cs="Times New Roman"/>
          <w:sz w:val="20"/>
          <w:szCs w:val="20"/>
        </w:rPr>
        <w:fldChar w:fldCharType="end"/>
      </w:r>
      <w:r w:rsidR="0065087E" w:rsidRPr="006B7377">
        <w:rPr>
          <w:rFonts w:ascii="Times New Roman" w:eastAsia="Arial Unicode MS" w:hAnsi="Times New Roman" w:cs="Times New Roman"/>
          <w:sz w:val="20"/>
          <w:szCs w:val="20"/>
        </w:rPr>
        <w:t xml:space="preserve">. Most of the hepatotoxic chemicals such as carbon tetrachloride (CCl4) damage liver cells mainly by inducing lipid peroxidation and other oxidative damages </w:t>
      </w:r>
      <w:r w:rsidR="005C22CB" w:rsidRPr="006B7377">
        <w:rPr>
          <w:rFonts w:ascii="Times New Roman" w:eastAsia="Arial Unicode MS" w:hAnsi="Times New Roman" w:cs="Times New Roman"/>
          <w:sz w:val="20"/>
          <w:szCs w:val="20"/>
        </w:rPr>
        <w:fldChar w:fldCharType="begin"/>
      </w:r>
      <w:r w:rsidR="00071851"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071851" w:rsidRPr="006B7377">
        <w:rPr>
          <w:rFonts w:ascii="Times New Roman" w:eastAsia="Arial Unicode MS" w:hAnsi="Times New Roman" w:cs="Times New Roman"/>
          <w:sz w:val="20"/>
          <w:szCs w:val="20"/>
        </w:rPr>
        <w:t>[</w:t>
      </w:r>
      <w:hyperlink w:anchor="_ENREF_1" w:tooltip="Shattat, 2015 #17" w:history="1">
        <w:r w:rsidR="00071851" w:rsidRPr="006B7377">
          <w:rPr>
            <w:rFonts w:ascii="Times New Roman" w:eastAsia="Arial Unicode MS" w:hAnsi="Times New Roman" w:cs="Times New Roman"/>
            <w:sz w:val="20"/>
            <w:szCs w:val="20"/>
          </w:rPr>
          <w:t>3</w:t>
        </w:r>
      </w:hyperlink>
      <w:r w:rsidR="00071851" w:rsidRPr="006B7377">
        <w:rPr>
          <w:rFonts w:ascii="Times New Roman" w:eastAsia="Arial Unicode MS" w:hAnsi="Times New Roman" w:cs="Times New Roman"/>
          <w:sz w:val="20"/>
          <w:szCs w:val="20"/>
        </w:rPr>
        <w:t>]</w:t>
      </w:r>
      <w:r w:rsidR="005C22CB" w:rsidRPr="006B7377">
        <w:rPr>
          <w:rFonts w:ascii="Times New Roman" w:eastAsia="Arial Unicode MS" w:hAnsi="Times New Roman" w:cs="Times New Roman"/>
          <w:sz w:val="20"/>
          <w:szCs w:val="20"/>
        </w:rPr>
        <w:fldChar w:fldCharType="end"/>
      </w:r>
      <w:r w:rsidR="0065087E" w:rsidRPr="006B7377">
        <w:rPr>
          <w:rFonts w:ascii="Times New Roman" w:eastAsia="Arial Unicode MS" w:hAnsi="Times New Roman" w:cs="Times New Roman"/>
          <w:sz w:val="20"/>
          <w:szCs w:val="20"/>
        </w:rPr>
        <w:t>.</w:t>
      </w:r>
    </w:p>
    <w:p w:rsidR="00DD71A6" w:rsidRPr="006B7377" w:rsidRDefault="006B7377" w:rsidP="005D7954">
      <w:pPr>
        <w:bidi w:val="0"/>
        <w:snapToGrid w:val="0"/>
        <w:spacing w:after="0" w:line="240" w:lineRule="auto"/>
        <w:ind w:firstLine="425"/>
        <w:jc w:val="both"/>
        <w:rPr>
          <w:rFonts w:ascii="Times New Roman" w:eastAsia="Arial Unicode MS" w:hAnsi="Times New Roman" w:cs="Times New Roman"/>
          <w:sz w:val="20"/>
          <w:szCs w:val="20"/>
        </w:rPr>
      </w:pPr>
      <w:r w:rsidRPr="006B7377">
        <w:rPr>
          <w:rFonts w:ascii="Times New Roman" w:eastAsia="Arial Unicode MS" w:hAnsi="Times New Roman" w:cs="Times New Roman"/>
          <w:sz w:val="20"/>
          <w:szCs w:val="20"/>
        </w:rPr>
        <w:t>N</w:t>
      </w:r>
      <w:r w:rsidR="0065087E" w:rsidRPr="006B7377">
        <w:rPr>
          <w:rFonts w:ascii="Times New Roman" w:eastAsia="Arial Unicode MS" w:hAnsi="Times New Roman" w:cs="Times New Roman"/>
          <w:sz w:val="20"/>
          <w:szCs w:val="20"/>
        </w:rPr>
        <w:t xml:space="preserve">ephrotoxicity represents a major health problem and accounts for high incidence among population all over the world </w:t>
      </w:r>
      <w:r w:rsidR="005C22CB" w:rsidRPr="006B7377">
        <w:rPr>
          <w:rFonts w:ascii="Times New Roman" w:eastAsia="Arial Unicode MS" w:hAnsi="Times New Roman" w:cs="Times New Roman"/>
          <w:sz w:val="20"/>
          <w:szCs w:val="20"/>
        </w:rPr>
        <w:fldChar w:fldCharType="begin"/>
      </w:r>
      <w:r w:rsidR="00071851"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071851" w:rsidRPr="006B7377">
        <w:rPr>
          <w:rFonts w:ascii="Times New Roman" w:eastAsia="Arial Unicode MS" w:hAnsi="Times New Roman" w:cs="Times New Roman"/>
          <w:sz w:val="20"/>
          <w:szCs w:val="20"/>
        </w:rPr>
        <w:t>[</w:t>
      </w:r>
      <w:hyperlink w:anchor="_ENREF_1" w:tooltip="Shattat, 2015 #17" w:history="1">
        <w:r w:rsidR="00BB59FB" w:rsidRPr="006B7377">
          <w:rPr>
            <w:rFonts w:ascii="Times New Roman" w:eastAsia="Arial Unicode MS" w:hAnsi="Times New Roman" w:cs="Times New Roman"/>
            <w:sz w:val="20"/>
            <w:szCs w:val="20"/>
          </w:rPr>
          <w:t>4</w:t>
        </w:r>
      </w:hyperlink>
      <w:r w:rsidR="00071851" w:rsidRPr="006B7377">
        <w:rPr>
          <w:rFonts w:ascii="Times New Roman" w:eastAsia="Arial Unicode MS" w:hAnsi="Times New Roman" w:cs="Times New Roman"/>
          <w:sz w:val="20"/>
          <w:szCs w:val="20"/>
        </w:rPr>
        <w:t>]</w:t>
      </w:r>
      <w:r w:rsidR="005C22CB" w:rsidRPr="006B7377">
        <w:rPr>
          <w:rFonts w:ascii="Times New Roman" w:eastAsia="Arial Unicode MS" w:hAnsi="Times New Roman" w:cs="Times New Roman"/>
          <w:sz w:val="20"/>
          <w:szCs w:val="20"/>
        </w:rPr>
        <w:fldChar w:fldCharType="end"/>
      </w:r>
      <w:r w:rsidR="0065087E" w:rsidRPr="006B7377">
        <w:rPr>
          <w:rFonts w:ascii="Times New Roman" w:eastAsia="Arial Unicode MS" w:hAnsi="Times New Roman" w:cs="Times New Roman"/>
          <w:sz w:val="20"/>
          <w:szCs w:val="20"/>
        </w:rPr>
        <w:t xml:space="preserve">. The CCl4 induced nephrotoxicity this is a multifaceted process that is observed by augmentation of plasma urea and creatinine levels along with necrosis of renal tubules that ultimately leads to renal failure </w:t>
      </w:r>
      <w:r w:rsidR="005C22CB" w:rsidRPr="006B7377">
        <w:rPr>
          <w:rFonts w:ascii="Times New Roman" w:eastAsia="Arial Unicode MS" w:hAnsi="Times New Roman" w:cs="Times New Roman"/>
          <w:sz w:val="20"/>
          <w:szCs w:val="20"/>
        </w:rPr>
        <w:fldChar w:fldCharType="begin"/>
      </w:r>
      <w:r w:rsidR="00BB59FB"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BB59FB" w:rsidRPr="006B7377">
        <w:rPr>
          <w:rFonts w:ascii="Times New Roman" w:eastAsia="Arial Unicode MS" w:hAnsi="Times New Roman" w:cs="Times New Roman"/>
          <w:sz w:val="20"/>
          <w:szCs w:val="20"/>
        </w:rPr>
        <w:t>[</w:t>
      </w:r>
      <w:hyperlink w:anchor="_ENREF_1" w:tooltip="Shattat, 2015 #17" w:history="1">
        <w:r w:rsidR="00BB59FB" w:rsidRPr="006B7377">
          <w:rPr>
            <w:rFonts w:ascii="Times New Roman" w:eastAsia="Arial Unicode MS" w:hAnsi="Times New Roman" w:cs="Times New Roman"/>
            <w:sz w:val="20"/>
            <w:szCs w:val="20"/>
          </w:rPr>
          <w:t>5</w:t>
        </w:r>
      </w:hyperlink>
      <w:r w:rsidR="00BB59FB" w:rsidRPr="006B7377">
        <w:rPr>
          <w:rFonts w:ascii="Times New Roman" w:eastAsia="Arial Unicode MS" w:hAnsi="Times New Roman" w:cs="Times New Roman"/>
          <w:sz w:val="20"/>
          <w:szCs w:val="20"/>
        </w:rPr>
        <w:t>]</w:t>
      </w:r>
      <w:r w:rsidR="005C22CB" w:rsidRPr="006B7377">
        <w:rPr>
          <w:rFonts w:ascii="Times New Roman" w:eastAsia="Arial Unicode MS" w:hAnsi="Times New Roman" w:cs="Times New Roman"/>
          <w:sz w:val="20"/>
          <w:szCs w:val="20"/>
        </w:rPr>
        <w:fldChar w:fldCharType="end"/>
      </w:r>
      <w:r w:rsidR="0065087E" w:rsidRPr="006B7377">
        <w:rPr>
          <w:rFonts w:ascii="Times New Roman" w:eastAsia="Arial Unicode MS" w:hAnsi="Times New Roman" w:cs="Times New Roman"/>
          <w:sz w:val="20"/>
          <w:szCs w:val="20"/>
        </w:rPr>
        <w:t xml:space="preserve">. One of the reasons behind this manifestation includes increased oxidative stress </w:t>
      </w:r>
      <w:r w:rsidR="005C22CB" w:rsidRPr="006B7377">
        <w:rPr>
          <w:rFonts w:ascii="Times New Roman" w:eastAsia="Arial Unicode MS" w:hAnsi="Times New Roman" w:cs="Times New Roman"/>
          <w:sz w:val="20"/>
          <w:szCs w:val="20"/>
        </w:rPr>
        <w:fldChar w:fldCharType="begin"/>
      </w:r>
      <w:r w:rsidR="00071851"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071851" w:rsidRPr="006B7377">
        <w:rPr>
          <w:rFonts w:ascii="Times New Roman" w:eastAsia="Arial Unicode MS" w:hAnsi="Times New Roman" w:cs="Times New Roman"/>
          <w:sz w:val="20"/>
          <w:szCs w:val="20"/>
        </w:rPr>
        <w:t>[</w:t>
      </w:r>
      <w:r w:rsidR="00BB59FB" w:rsidRPr="006B7377">
        <w:rPr>
          <w:rFonts w:ascii="Times New Roman" w:eastAsia="Arial Unicode MS" w:hAnsi="Times New Roman" w:cs="Times New Roman"/>
          <w:sz w:val="20"/>
          <w:szCs w:val="20"/>
        </w:rPr>
        <w:t>6</w:t>
      </w:r>
      <w:r w:rsidR="00071851" w:rsidRPr="006B7377">
        <w:rPr>
          <w:rFonts w:ascii="Times New Roman" w:eastAsia="Arial Unicode MS" w:hAnsi="Times New Roman" w:cs="Times New Roman"/>
          <w:sz w:val="20"/>
          <w:szCs w:val="20"/>
        </w:rPr>
        <w:t>]</w:t>
      </w:r>
      <w:r w:rsidR="005C22CB" w:rsidRPr="006B7377">
        <w:rPr>
          <w:rFonts w:ascii="Times New Roman" w:eastAsia="Arial Unicode MS" w:hAnsi="Times New Roman" w:cs="Times New Roman"/>
          <w:sz w:val="20"/>
          <w:szCs w:val="20"/>
        </w:rPr>
        <w:fldChar w:fldCharType="end"/>
      </w:r>
      <w:r w:rsidR="00071851" w:rsidRPr="006B7377">
        <w:rPr>
          <w:rFonts w:ascii="Times New Roman" w:eastAsia="Arial Unicode MS" w:hAnsi="Times New Roman" w:cs="Times New Roman"/>
          <w:sz w:val="20"/>
          <w:szCs w:val="20"/>
        </w:rPr>
        <w:t xml:space="preserve">. </w:t>
      </w:r>
      <w:r w:rsidR="0065087E" w:rsidRPr="006B7377">
        <w:rPr>
          <w:rFonts w:ascii="Times New Roman" w:eastAsia="Arial Unicode MS" w:hAnsi="Times New Roman" w:cs="Times New Roman"/>
          <w:sz w:val="20"/>
          <w:szCs w:val="20"/>
        </w:rPr>
        <w:t>Numerous studies conducted in experimental animals model indicated that,</w:t>
      </w:r>
      <w:r w:rsidR="002214B8" w:rsidRPr="006B7377">
        <w:rPr>
          <w:rFonts w:ascii="Times New Roman" w:eastAsia="Arial Unicode MS" w:hAnsi="Times New Roman" w:cs="Times New Roman"/>
          <w:sz w:val="20"/>
          <w:szCs w:val="20"/>
        </w:rPr>
        <w:t xml:space="preserve"> </w:t>
      </w:r>
      <w:r w:rsidR="0065087E" w:rsidRPr="006B7377">
        <w:rPr>
          <w:rFonts w:ascii="Times New Roman" w:eastAsia="Arial Unicode MS" w:hAnsi="Times New Roman" w:cs="Times New Roman"/>
          <w:sz w:val="20"/>
          <w:szCs w:val="20"/>
        </w:rPr>
        <w:t>reactive oxygen specie</w:t>
      </w:r>
      <w:r w:rsidRPr="006B7377">
        <w:rPr>
          <w:rFonts w:ascii="Times New Roman" w:eastAsia="Arial Unicode MS" w:hAnsi="Times New Roman" w:cs="Times New Roman"/>
          <w:sz w:val="20"/>
          <w:szCs w:val="20"/>
        </w:rPr>
        <w:t>s (</w:t>
      </w:r>
      <w:r w:rsidR="0065087E" w:rsidRPr="006B7377">
        <w:rPr>
          <w:rFonts w:ascii="Times New Roman" w:eastAsia="Arial Unicode MS" w:hAnsi="Times New Roman" w:cs="Times New Roman"/>
          <w:sz w:val="20"/>
          <w:szCs w:val="20"/>
        </w:rPr>
        <w:t xml:space="preserve">ROS) are potential mediators involved in CCl4 </w:t>
      </w:r>
      <w:r w:rsidR="005C22CB" w:rsidRPr="006B7377">
        <w:rPr>
          <w:rFonts w:ascii="Times New Roman" w:eastAsia="Arial Unicode MS" w:hAnsi="Times New Roman" w:cs="Times New Roman"/>
          <w:sz w:val="20"/>
          <w:szCs w:val="20"/>
        </w:rPr>
        <w:fldChar w:fldCharType="begin"/>
      </w:r>
      <w:r w:rsidR="00BB59FB"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BB59FB" w:rsidRPr="006B7377">
        <w:rPr>
          <w:rFonts w:ascii="Times New Roman" w:eastAsia="Arial Unicode MS" w:hAnsi="Times New Roman" w:cs="Times New Roman"/>
          <w:sz w:val="20"/>
          <w:szCs w:val="20"/>
        </w:rPr>
        <w:t>[7]</w:t>
      </w:r>
      <w:r w:rsidR="005C22CB" w:rsidRPr="006B7377">
        <w:rPr>
          <w:rFonts w:ascii="Times New Roman" w:eastAsia="Arial Unicode MS" w:hAnsi="Times New Roman" w:cs="Times New Roman"/>
          <w:sz w:val="20"/>
          <w:szCs w:val="20"/>
        </w:rPr>
        <w:fldChar w:fldCharType="end"/>
      </w:r>
      <w:r w:rsidR="00BB59FB" w:rsidRPr="006B7377">
        <w:rPr>
          <w:rFonts w:ascii="Times New Roman" w:eastAsia="Arial Unicode MS" w:hAnsi="Times New Roman" w:cs="Times New Roman"/>
          <w:sz w:val="20"/>
          <w:szCs w:val="20"/>
        </w:rPr>
        <w:t>.</w:t>
      </w:r>
    </w:p>
    <w:p w:rsidR="006B7377" w:rsidRPr="006B7377" w:rsidRDefault="0065087E" w:rsidP="005D7954">
      <w:pPr>
        <w:bidi w:val="0"/>
        <w:snapToGrid w:val="0"/>
        <w:spacing w:after="0" w:line="240" w:lineRule="auto"/>
        <w:ind w:firstLine="425"/>
        <w:jc w:val="both"/>
        <w:rPr>
          <w:rFonts w:ascii="Times New Roman" w:eastAsia="Arial Unicode MS" w:hAnsi="Times New Roman" w:cs="Times New Roman"/>
          <w:sz w:val="20"/>
          <w:szCs w:val="20"/>
        </w:rPr>
      </w:pPr>
      <w:r w:rsidRPr="006B7377">
        <w:rPr>
          <w:rFonts w:ascii="Times New Roman" w:eastAsia="Arial Unicode MS" w:hAnsi="Times New Roman" w:cs="Times New Roman"/>
          <w:i/>
          <w:iCs/>
          <w:sz w:val="20"/>
          <w:szCs w:val="20"/>
        </w:rPr>
        <w:t>Tamarindus</w:t>
      </w:r>
      <w:r w:rsidR="002214B8" w:rsidRPr="006B7377">
        <w:rPr>
          <w:rFonts w:ascii="Times New Roman" w:eastAsia="Arial Unicode MS" w:hAnsi="Times New Roman" w:cs="Times New Roman"/>
          <w:i/>
          <w:iCs/>
          <w:sz w:val="20"/>
          <w:szCs w:val="20"/>
        </w:rPr>
        <w:t xml:space="preserve"> </w:t>
      </w:r>
      <w:r w:rsidRPr="006B7377">
        <w:rPr>
          <w:rFonts w:ascii="Times New Roman" w:eastAsia="Arial Unicode MS" w:hAnsi="Times New Roman" w:cs="Times New Roman"/>
          <w:i/>
          <w:iCs/>
          <w:sz w:val="20"/>
          <w:szCs w:val="20"/>
        </w:rPr>
        <w:t>indica</w:t>
      </w:r>
      <w:r w:rsidRPr="006B7377">
        <w:rPr>
          <w:rFonts w:ascii="Times New Roman" w:eastAsia="Arial Unicode MS" w:hAnsi="Times New Roman" w:cs="Times New Roman"/>
          <w:sz w:val="20"/>
          <w:szCs w:val="20"/>
        </w:rPr>
        <w:t xml:space="preserve"> L</w:t>
      </w:r>
      <w:r w:rsidR="002214B8" w:rsidRPr="006B7377">
        <w:rPr>
          <w:rFonts w:ascii="Times New Roman" w:eastAsia="Arial Unicode MS" w:hAnsi="Times New Roman" w:cs="Times New Roman"/>
          <w:sz w:val="20"/>
          <w:szCs w:val="20"/>
        </w:rPr>
        <w:t xml:space="preserve"> </w:t>
      </w:r>
      <w:r w:rsidRPr="006B7377">
        <w:rPr>
          <w:rFonts w:ascii="Times New Roman" w:eastAsia="Arial Unicode MS" w:hAnsi="Times New Roman" w:cs="Times New Roman"/>
          <w:sz w:val="20"/>
          <w:szCs w:val="20"/>
        </w:rPr>
        <w:t>inn. (</w:t>
      </w:r>
      <w:r w:rsidRPr="006B7377">
        <w:rPr>
          <w:rFonts w:ascii="Times New Roman" w:eastAsia="Arial Unicode MS" w:hAnsi="Times New Roman" w:cs="Times New Roman"/>
          <w:i/>
          <w:iCs/>
          <w:sz w:val="20"/>
          <w:szCs w:val="20"/>
        </w:rPr>
        <w:t>Leguminosae</w:t>
      </w:r>
      <w:r w:rsidRPr="006B7377">
        <w:rPr>
          <w:rFonts w:ascii="Times New Roman" w:eastAsia="Arial Unicode MS" w:hAnsi="Times New Roman" w:cs="Times New Roman"/>
          <w:sz w:val="20"/>
          <w:szCs w:val="20"/>
        </w:rPr>
        <w:t>) seeds are reported to contain phenolic compoundspolymeric tannins and Fatty acids Andriamanantena</w:t>
      </w:r>
      <w:r w:rsidR="002214B8" w:rsidRPr="006B7377">
        <w:rPr>
          <w:rFonts w:ascii="Times New Roman" w:eastAsia="Arial Unicode MS" w:hAnsi="Times New Roman" w:cs="Times New Roman"/>
          <w:sz w:val="20"/>
          <w:szCs w:val="20"/>
        </w:rPr>
        <w:t xml:space="preserve"> </w:t>
      </w:r>
      <w:r w:rsidR="005C22CB" w:rsidRPr="006B7377">
        <w:rPr>
          <w:rFonts w:ascii="Times New Roman" w:eastAsia="Arial Unicode MS" w:hAnsi="Times New Roman" w:cs="Times New Roman"/>
          <w:sz w:val="20"/>
          <w:szCs w:val="20"/>
        </w:rPr>
        <w:fldChar w:fldCharType="begin"/>
      </w:r>
      <w:r w:rsidR="001F2E90"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1F2E90" w:rsidRPr="006B7377">
        <w:rPr>
          <w:rFonts w:ascii="Times New Roman" w:eastAsia="Arial Unicode MS" w:hAnsi="Times New Roman" w:cs="Times New Roman"/>
          <w:sz w:val="20"/>
          <w:szCs w:val="20"/>
        </w:rPr>
        <w:t>[8]</w:t>
      </w:r>
      <w:r w:rsidR="005C22CB" w:rsidRPr="006B7377">
        <w:rPr>
          <w:rFonts w:ascii="Times New Roman" w:eastAsia="Arial Unicode MS" w:hAnsi="Times New Roman" w:cs="Times New Roman"/>
          <w:sz w:val="20"/>
          <w:szCs w:val="20"/>
        </w:rPr>
        <w:fldChar w:fldCharType="end"/>
      </w:r>
      <w:r w:rsidR="005D7954" w:rsidRPr="006B7377">
        <w:rPr>
          <w:rFonts w:ascii="Times New Roman" w:eastAsia="Arial Unicode MS" w:hAnsi="Times New Roman" w:cs="Times New Roman"/>
          <w:sz w:val="20"/>
          <w:szCs w:val="20"/>
        </w:rPr>
        <w:t>,</w:t>
      </w:r>
      <w:r w:rsidR="005D7954">
        <w:rPr>
          <w:rFonts w:ascii="Times New Roman" w:eastAsia="Arial Unicode MS" w:hAnsi="Times New Roman" w:cs="Times New Roman"/>
          <w:sz w:val="20"/>
          <w:szCs w:val="20"/>
        </w:rPr>
        <w:t xml:space="preserve"> </w:t>
      </w:r>
      <w:r w:rsidR="005D7954" w:rsidRPr="006B7377">
        <w:rPr>
          <w:rFonts w:ascii="Times New Roman" w:eastAsia="Arial Unicode MS" w:hAnsi="Times New Roman" w:cs="Times New Roman"/>
          <w:sz w:val="20"/>
          <w:szCs w:val="20"/>
        </w:rPr>
        <w:t>t</w:t>
      </w:r>
      <w:r w:rsidRPr="006B7377">
        <w:rPr>
          <w:rFonts w:ascii="Times New Roman" w:eastAsia="Arial Unicode MS" w:hAnsi="Times New Roman" w:cs="Times New Roman"/>
          <w:sz w:val="20"/>
          <w:szCs w:val="20"/>
        </w:rPr>
        <w:t>he leaves contain triterpenes</w:t>
      </w:r>
      <w:r w:rsidR="006B7377" w:rsidRPr="006B7377">
        <w:rPr>
          <w:rFonts w:ascii="Times New Roman" w:eastAsia="Arial Unicode MS" w:hAnsi="Times New Roman" w:cs="Times New Roman"/>
          <w:sz w:val="20"/>
          <w:szCs w:val="20"/>
        </w:rPr>
        <w:t xml:space="preserve"> </w:t>
      </w:r>
      <w:r w:rsidRPr="006B7377">
        <w:rPr>
          <w:rFonts w:ascii="Times New Roman" w:eastAsia="Arial Unicode MS" w:hAnsi="Times New Roman" w:cs="Times New Roman"/>
          <w:sz w:val="20"/>
          <w:szCs w:val="20"/>
        </w:rPr>
        <w:t>Imam</w:t>
      </w:r>
      <w:r w:rsidR="006B7377" w:rsidRPr="006B7377">
        <w:rPr>
          <w:rFonts w:ascii="Times New Roman" w:eastAsia="Arial Unicode MS" w:hAnsi="Times New Roman" w:cs="Times New Roman"/>
          <w:sz w:val="20"/>
          <w:szCs w:val="20"/>
        </w:rPr>
        <w:t>,</w:t>
      </w:r>
      <w:r w:rsidRPr="006B7377">
        <w:rPr>
          <w:rFonts w:ascii="Times New Roman" w:eastAsia="Arial Unicode MS" w:hAnsi="Times New Roman" w:cs="Times New Roman"/>
          <w:sz w:val="20"/>
          <w:szCs w:val="20"/>
        </w:rPr>
        <w:t xml:space="preserve"> Flavones, and flavonols</w:t>
      </w:r>
      <w:r w:rsidR="005C22CB" w:rsidRPr="006B7377">
        <w:rPr>
          <w:rFonts w:ascii="Times New Roman" w:eastAsia="Arial Unicode MS" w:hAnsi="Times New Roman" w:cs="Times New Roman"/>
          <w:sz w:val="20"/>
          <w:szCs w:val="20"/>
        </w:rPr>
        <w:fldChar w:fldCharType="begin"/>
      </w:r>
      <w:r w:rsidR="00663D19"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663D19" w:rsidRPr="006B7377">
        <w:rPr>
          <w:rFonts w:ascii="Times New Roman" w:eastAsia="Arial Unicode MS" w:hAnsi="Times New Roman" w:cs="Times New Roman"/>
          <w:sz w:val="20"/>
          <w:szCs w:val="20"/>
        </w:rPr>
        <w:t>[9]</w:t>
      </w:r>
      <w:r w:rsidR="005C22CB" w:rsidRPr="006B7377">
        <w:rPr>
          <w:rFonts w:ascii="Times New Roman" w:eastAsia="Arial Unicode MS" w:hAnsi="Times New Roman" w:cs="Times New Roman"/>
          <w:sz w:val="20"/>
          <w:szCs w:val="20"/>
        </w:rPr>
        <w:fldChar w:fldCharType="end"/>
      </w:r>
      <w:r w:rsidRPr="006B7377">
        <w:rPr>
          <w:rFonts w:ascii="Times New Roman" w:eastAsia="Arial Unicode MS" w:hAnsi="Times New Roman" w:cs="Times New Roman"/>
          <w:sz w:val="20"/>
          <w:szCs w:val="20"/>
        </w:rPr>
        <w:t xml:space="preserve"> the pericarp contains (+)-catechin, </w:t>
      </w:r>
      <w:r w:rsidRPr="006B7377">
        <w:rPr>
          <w:rFonts w:ascii="Times New Roman" w:eastAsia="Arial Unicode MS" w:hAnsi="Times New Roman" w:cs="Times New Roman"/>
          <w:sz w:val="20"/>
          <w:szCs w:val="20"/>
        </w:rPr>
        <w:lastRenderedPageBreak/>
        <w:t>procyanidin B2, (-) epicatechin, procyanidintrimer, procyanidin tetramer, procyanidinpentamer, procyanidinhexamer, taxifolin, apigenin, eriodictyol, luteolin, and naringenin.</w:t>
      </w:r>
      <w:r w:rsidR="002214B8" w:rsidRPr="006B7377">
        <w:rPr>
          <w:rFonts w:ascii="Times New Roman" w:eastAsia="Arial Unicode MS" w:hAnsi="Times New Roman" w:cs="Times New Roman"/>
          <w:sz w:val="20"/>
          <w:szCs w:val="20"/>
        </w:rPr>
        <w:t xml:space="preserve"> </w:t>
      </w:r>
      <w:r w:rsidR="005C22CB" w:rsidRPr="006B7377">
        <w:rPr>
          <w:rFonts w:ascii="Times New Roman" w:eastAsia="Arial Unicode MS" w:hAnsi="Times New Roman" w:cs="Times New Roman"/>
          <w:sz w:val="20"/>
          <w:szCs w:val="20"/>
        </w:rPr>
        <w:fldChar w:fldCharType="begin"/>
      </w:r>
      <w:r w:rsidR="001F2E90"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1F2E90" w:rsidRPr="006B7377">
        <w:rPr>
          <w:rFonts w:ascii="Times New Roman" w:eastAsia="Arial Unicode MS" w:hAnsi="Times New Roman" w:cs="Times New Roman"/>
          <w:sz w:val="20"/>
          <w:szCs w:val="20"/>
        </w:rPr>
        <w:t>[10]</w:t>
      </w:r>
      <w:r w:rsidR="005C22CB" w:rsidRPr="006B7377">
        <w:rPr>
          <w:rFonts w:ascii="Times New Roman" w:eastAsia="Arial Unicode MS" w:hAnsi="Times New Roman" w:cs="Times New Roman"/>
          <w:sz w:val="20"/>
          <w:szCs w:val="20"/>
        </w:rPr>
        <w:fldChar w:fldCharType="end"/>
      </w:r>
      <w:r w:rsidR="002214B8" w:rsidRPr="006B7377">
        <w:rPr>
          <w:rFonts w:ascii="Times New Roman" w:eastAsia="Arial Unicode MS" w:hAnsi="Times New Roman" w:cs="Times New Roman"/>
          <w:sz w:val="20"/>
          <w:szCs w:val="20"/>
        </w:rPr>
        <w:t xml:space="preserve"> </w:t>
      </w:r>
      <w:r w:rsidRPr="006B7377">
        <w:rPr>
          <w:rFonts w:ascii="Times New Roman" w:eastAsia="Arial Unicode MS" w:hAnsi="Times New Roman" w:cs="Times New Roman"/>
          <w:sz w:val="20"/>
          <w:szCs w:val="20"/>
        </w:rPr>
        <w:t>Leaves have hepatoregenerative properties. Pulp of fruits have hypolipidemic, antioxidant</w:t>
      </w:r>
      <w:r w:rsidR="00264CC3" w:rsidRPr="006B7377">
        <w:rPr>
          <w:rFonts w:ascii="Times New Roman" w:eastAsia="Arial Unicode MS" w:hAnsi="Times New Roman" w:cs="Times New Roman"/>
          <w:sz w:val="20"/>
          <w:szCs w:val="20"/>
        </w:rPr>
        <w:t xml:space="preserve"> effects </w:t>
      </w:r>
      <w:r w:rsidR="005C22CB" w:rsidRPr="006B7377">
        <w:rPr>
          <w:rFonts w:ascii="Times New Roman" w:eastAsia="Arial Unicode MS" w:hAnsi="Times New Roman" w:cs="Times New Roman"/>
          <w:sz w:val="20"/>
          <w:szCs w:val="20"/>
        </w:rPr>
        <w:fldChar w:fldCharType="begin"/>
      </w:r>
      <w:r w:rsidR="006D2AD1"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6D2AD1" w:rsidRPr="006B7377">
        <w:rPr>
          <w:rFonts w:ascii="Times New Roman" w:eastAsia="Arial Unicode MS" w:hAnsi="Times New Roman" w:cs="Times New Roman"/>
          <w:sz w:val="20"/>
          <w:szCs w:val="20"/>
        </w:rPr>
        <w:t>[11]</w:t>
      </w:r>
      <w:r w:rsidR="005C22CB" w:rsidRPr="006B7377">
        <w:rPr>
          <w:rFonts w:ascii="Times New Roman" w:eastAsia="Arial Unicode MS" w:hAnsi="Times New Roman" w:cs="Times New Roman"/>
          <w:sz w:val="20"/>
          <w:szCs w:val="20"/>
        </w:rPr>
        <w:fldChar w:fldCharType="end"/>
      </w:r>
      <w:r w:rsidR="00264CC3" w:rsidRPr="006B7377">
        <w:rPr>
          <w:rFonts w:ascii="Times New Roman" w:eastAsia="Arial Unicode MS" w:hAnsi="Times New Roman" w:cs="Times New Roman"/>
          <w:sz w:val="20"/>
          <w:szCs w:val="20"/>
        </w:rPr>
        <w:t>.</w:t>
      </w:r>
    </w:p>
    <w:p w:rsidR="00E932A1" w:rsidRPr="006B7377" w:rsidRDefault="006B7377" w:rsidP="005D7954">
      <w:pPr>
        <w:bidi w:val="0"/>
        <w:snapToGrid w:val="0"/>
        <w:spacing w:after="0" w:line="240" w:lineRule="auto"/>
        <w:ind w:firstLine="425"/>
        <w:jc w:val="both"/>
        <w:rPr>
          <w:rFonts w:ascii="Times New Roman" w:hAnsi="Times New Roman" w:cs="Times New Roman"/>
          <w:b/>
          <w:bCs/>
          <w:sz w:val="20"/>
          <w:szCs w:val="20"/>
          <w:lang w:bidi="ar-EG"/>
        </w:rPr>
      </w:pPr>
      <w:r w:rsidRPr="006B7377">
        <w:rPr>
          <w:rFonts w:ascii="Times New Roman" w:eastAsia="Arial Unicode MS" w:hAnsi="Times New Roman" w:cs="Times New Roman"/>
          <w:sz w:val="20"/>
          <w:szCs w:val="20"/>
        </w:rPr>
        <w:t>G</w:t>
      </w:r>
      <w:r w:rsidR="00264CC3" w:rsidRPr="006B7377">
        <w:rPr>
          <w:rFonts w:ascii="Times New Roman" w:eastAsia="Arial Unicode MS" w:hAnsi="Times New Roman" w:cs="Times New Roman"/>
          <w:sz w:val="20"/>
          <w:szCs w:val="20"/>
        </w:rPr>
        <w:t xml:space="preserve">inkgo biloba L. (Family: Ginkgoaceae), is an important herb medicine, achieving unprecedented popularity over the past decade, and the recognition of the important therapeutic effects shown by this plant </w:t>
      </w:r>
      <w:r w:rsidR="005C22CB" w:rsidRPr="006B7377">
        <w:rPr>
          <w:rFonts w:ascii="Times New Roman" w:eastAsia="Arial Unicode MS" w:hAnsi="Times New Roman" w:cs="Times New Roman"/>
          <w:sz w:val="20"/>
          <w:szCs w:val="20"/>
        </w:rPr>
        <w:fldChar w:fldCharType="begin"/>
      </w:r>
      <w:r w:rsidR="00DE2BB7"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DE2BB7" w:rsidRPr="006B7377">
        <w:rPr>
          <w:rFonts w:ascii="Times New Roman" w:eastAsia="Arial Unicode MS" w:hAnsi="Times New Roman" w:cs="Times New Roman"/>
          <w:sz w:val="20"/>
          <w:szCs w:val="20"/>
        </w:rPr>
        <w:t>[3]</w:t>
      </w:r>
      <w:r w:rsidR="005C22CB" w:rsidRPr="006B7377">
        <w:rPr>
          <w:rFonts w:ascii="Times New Roman" w:eastAsia="Arial Unicode MS" w:hAnsi="Times New Roman" w:cs="Times New Roman"/>
          <w:sz w:val="20"/>
          <w:szCs w:val="20"/>
        </w:rPr>
        <w:fldChar w:fldCharType="end"/>
      </w:r>
      <w:r w:rsidR="00264CC3" w:rsidRPr="006B7377">
        <w:rPr>
          <w:rFonts w:ascii="Times New Roman" w:eastAsia="Arial Unicode MS" w:hAnsi="Times New Roman" w:cs="Times New Roman"/>
          <w:sz w:val="20"/>
          <w:szCs w:val="20"/>
        </w:rPr>
        <w:t>. Chemically, the active constituents of Ginkgo biloba leaf are mainly (kaempferol, quercitin and isorhamnetin), diterpene lactones namely Ginkgolides A, B, C, M and J and bilobalide, biflavones (ginkgetin, isoginkgetin, bilobetin) and organic acids such as 4-hydroxybenzoic acid</w:t>
      </w:r>
      <w:r w:rsidR="005D7954" w:rsidRPr="006B7377">
        <w:rPr>
          <w:rFonts w:ascii="Times New Roman" w:eastAsia="Arial Unicode MS" w:hAnsi="Times New Roman" w:cs="Times New Roman"/>
          <w:sz w:val="20"/>
          <w:szCs w:val="20"/>
        </w:rPr>
        <w:t>,</w:t>
      </w:r>
      <w:r w:rsidR="005D7954">
        <w:rPr>
          <w:rFonts w:ascii="Times New Roman" w:eastAsia="Arial Unicode MS" w:hAnsi="Times New Roman" w:cs="Times New Roman"/>
          <w:sz w:val="20"/>
          <w:szCs w:val="20"/>
        </w:rPr>
        <w:t xml:space="preserve"> </w:t>
      </w:r>
      <w:r w:rsidR="005D7954" w:rsidRPr="006B7377">
        <w:rPr>
          <w:rFonts w:ascii="Times New Roman" w:eastAsia="Arial Unicode MS" w:hAnsi="Times New Roman" w:cs="Times New Roman"/>
          <w:sz w:val="20"/>
          <w:szCs w:val="20"/>
        </w:rPr>
        <w:t>t</w:t>
      </w:r>
      <w:r w:rsidR="00264CC3" w:rsidRPr="006B7377">
        <w:rPr>
          <w:rFonts w:ascii="Times New Roman" w:eastAsia="Arial Unicode MS" w:hAnsi="Times New Roman" w:cs="Times New Roman"/>
          <w:sz w:val="20"/>
          <w:szCs w:val="20"/>
        </w:rPr>
        <w:t xml:space="preserve">hat have presented various pharmacological activities </w:t>
      </w:r>
      <w:r w:rsidR="005C22CB" w:rsidRPr="006B7377">
        <w:rPr>
          <w:rFonts w:ascii="Times New Roman" w:eastAsia="Arial Unicode MS" w:hAnsi="Times New Roman" w:cs="Times New Roman"/>
          <w:sz w:val="20"/>
          <w:szCs w:val="20"/>
        </w:rPr>
        <w:fldChar w:fldCharType="begin"/>
      </w:r>
      <w:r w:rsidR="00DE2BB7"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DE2BB7" w:rsidRPr="006B7377">
        <w:rPr>
          <w:rFonts w:ascii="Times New Roman" w:eastAsia="Arial Unicode MS" w:hAnsi="Times New Roman" w:cs="Times New Roman"/>
          <w:sz w:val="20"/>
          <w:szCs w:val="20"/>
        </w:rPr>
        <w:t>[12]</w:t>
      </w:r>
      <w:r w:rsidR="005C22CB" w:rsidRPr="006B7377">
        <w:rPr>
          <w:rFonts w:ascii="Times New Roman" w:eastAsia="Arial Unicode MS" w:hAnsi="Times New Roman" w:cs="Times New Roman"/>
          <w:sz w:val="20"/>
          <w:szCs w:val="20"/>
        </w:rPr>
        <w:fldChar w:fldCharType="end"/>
      </w:r>
      <w:r w:rsidR="00264CC3" w:rsidRPr="006B7377">
        <w:rPr>
          <w:rFonts w:ascii="Times New Roman" w:eastAsia="Arial Unicode MS" w:hAnsi="Times New Roman" w:cs="Times New Roman"/>
          <w:sz w:val="20"/>
          <w:szCs w:val="20"/>
        </w:rPr>
        <w:t>. The extract of G</w:t>
      </w:r>
      <w:r w:rsidRPr="006B7377">
        <w:rPr>
          <w:rFonts w:ascii="Times New Roman" w:eastAsia="Arial Unicode MS" w:hAnsi="Times New Roman" w:cs="Times New Roman"/>
          <w:sz w:val="20"/>
          <w:szCs w:val="20"/>
        </w:rPr>
        <w:t>.</w:t>
      </w:r>
      <w:r w:rsidR="002214B8" w:rsidRPr="006B7377">
        <w:rPr>
          <w:rFonts w:ascii="Times New Roman" w:eastAsia="Arial Unicode MS" w:hAnsi="Times New Roman" w:cs="Times New Roman"/>
          <w:sz w:val="20"/>
          <w:szCs w:val="20"/>
        </w:rPr>
        <w:t xml:space="preserve"> </w:t>
      </w:r>
      <w:r w:rsidR="00264CC3" w:rsidRPr="006B7377">
        <w:rPr>
          <w:rFonts w:ascii="Times New Roman" w:eastAsia="Arial Unicode MS" w:hAnsi="Times New Roman" w:cs="Times New Roman"/>
          <w:sz w:val="20"/>
          <w:szCs w:val="20"/>
        </w:rPr>
        <w:t xml:space="preserve">biloba leaves have been proved to be an effective antioxidant and found to possess cardioprotective, antiasthmatic, antidiabetic, and potent central nervous system activities, including enhancement of memory, concentration, mental alertness and decrease in mental fatigue </w:t>
      </w:r>
      <w:r w:rsidR="005C22CB" w:rsidRPr="006B7377">
        <w:rPr>
          <w:rFonts w:ascii="Times New Roman" w:eastAsia="Arial Unicode MS" w:hAnsi="Times New Roman" w:cs="Times New Roman"/>
          <w:sz w:val="20"/>
          <w:szCs w:val="20"/>
        </w:rPr>
        <w:fldChar w:fldCharType="begin"/>
      </w:r>
      <w:r w:rsidR="00DE2BB7" w:rsidRPr="006B7377">
        <w:rPr>
          <w:rFonts w:ascii="Times New Roman" w:eastAsia="Arial Unicode MS" w:hAnsi="Times New Roman" w:cs="Times New Roman"/>
          <w:sz w:val="20"/>
          <w:szCs w:val="20"/>
        </w:rPr>
        <w:instrText xml:space="preserve"> ADDIN EN.CITE &lt;EndNote&gt;&lt;Cite&gt;&lt;Author&gt;Shattat&lt;/Author&gt;&lt;Year&gt;2015&lt;/Year&gt;&lt;RecNum&gt;17&lt;/RecNum&gt;&lt;DisplayText&gt;[1]&lt;/DisplayText&gt;&lt;record&gt;&lt;rec-number&gt;17&lt;/rec-number&gt;&lt;foreign-keys&gt;&lt;key app="EN" db-id="9r0e5rxvmers08e2zfkpwpxgzs2fd5sepz95" timestamp="1517260408"&gt;17&lt;/key&gt;&lt;/foreign-keys&gt;&lt;ref-type name="Journal Article"&gt;17&lt;/ref-type&gt;&lt;contributors&gt;&lt;authors&gt;&lt;author&gt;Shattat, Ghassan F&lt;/author&gt;&lt;/authors&gt;&lt;/contributors&gt;&lt;titles&gt;&lt;title&gt;A review article on hyperlipidemia: types, treatments and new drug targets&lt;/title&gt;&lt;secondary-title&gt;Biomedical and Pharmacology Journal&lt;/secondary-title&gt;&lt;/titles&gt;&lt;periodical&gt;&lt;full-title&gt;Biomedical and Pharmacology Journal&lt;/full-title&gt;&lt;/periodical&gt;&lt;pages&gt;399-409&lt;/pages&gt;&lt;volume&gt;7&lt;/volume&gt;&lt;number&gt;1&lt;/number&gt;&lt;dates&gt;&lt;year&gt;2015&lt;/year&gt;&lt;/dates&gt;&lt;urls&gt;&lt;/urls&gt;&lt;/record&gt;&lt;/Cite&gt;&lt;/EndNote&gt;</w:instrText>
      </w:r>
      <w:r w:rsidR="005C22CB" w:rsidRPr="006B7377">
        <w:rPr>
          <w:rFonts w:ascii="Times New Roman" w:eastAsia="Arial Unicode MS" w:hAnsi="Times New Roman" w:cs="Times New Roman"/>
          <w:sz w:val="20"/>
          <w:szCs w:val="20"/>
        </w:rPr>
        <w:fldChar w:fldCharType="separate"/>
      </w:r>
      <w:r w:rsidR="00DE2BB7" w:rsidRPr="006B7377">
        <w:rPr>
          <w:rFonts w:ascii="Times New Roman" w:eastAsia="Arial Unicode MS" w:hAnsi="Times New Roman" w:cs="Times New Roman"/>
          <w:sz w:val="20"/>
          <w:szCs w:val="20"/>
        </w:rPr>
        <w:t>[13]</w:t>
      </w:r>
      <w:r w:rsidR="005C22CB" w:rsidRPr="006B7377">
        <w:rPr>
          <w:rFonts w:ascii="Times New Roman" w:eastAsia="Arial Unicode MS" w:hAnsi="Times New Roman" w:cs="Times New Roman"/>
          <w:sz w:val="20"/>
          <w:szCs w:val="20"/>
        </w:rPr>
        <w:fldChar w:fldCharType="end"/>
      </w:r>
      <w:r w:rsidR="001C799D" w:rsidRPr="006B7377">
        <w:rPr>
          <w:rFonts w:ascii="Times New Roman" w:eastAsia="Arial Unicode MS" w:hAnsi="Times New Roman" w:cs="Times New Roman"/>
          <w:sz w:val="20"/>
          <w:szCs w:val="20"/>
        </w:rPr>
        <w:t xml:space="preserve">. </w:t>
      </w:r>
      <w:r w:rsidR="00264CC3" w:rsidRPr="006B7377">
        <w:rPr>
          <w:rFonts w:ascii="Times New Roman" w:eastAsia="Arial Unicode MS" w:hAnsi="Times New Roman" w:cs="Times New Roman"/>
          <w:sz w:val="20"/>
          <w:szCs w:val="20"/>
        </w:rPr>
        <w:t xml:space="preserve">Therefore, the purpose of this study was designed to </w:t>
      </w:r>
      <w:r w:rsidR="00E932A1" w:rsidRPr="006B7377">
        <w:rPr>
          <w:rFonts w:ascii="Times New Roman" w:eastAsia="Arial Unicode MS" w:hAnsi="Times New Roman" w:cs="Times New Roman"/>
          <w:sz w:val="20"/>
          <w:szCs w:val="20"/>
        </w:rPr>
        <w:t xml:space="preserve">investigate the effect of </w:t>
      </w:r>
      <w:r w:rsidR="002214B8" w:rsidRPr="006B7377">
        <w:rPr>
          <w:rFonts w:ascii="Times New Roman" w:eastAsia="Arial Unicode MS" w:hAnsi="Times New Roman" w:cs="Times New Roman"/>
          <w:i/>
          <w:iCs/>
          <w:sz w:val="20"/>
          <w:szCs w:val="20"/>
        </w:rPr>
        <w:t>T</w:t>
      </w:r>
      <w:r w:rsidR="00E932A1" w:rsidRPr="006B7377">
        <w:rPr>
          <w:rFonts w:ascii="Times New Roman" w:eastAsia="Arial Unicode MS" w:hAnsi="Times New Roman" w:cs="Times New Roman"/>
          <w:i/>
          <w:iCs/>
          <w:sz w:val="20"/>
          <w:szCs w:val="20"/>
        </w:rPr>
        <w:t>amarindus</w:t>
      </w:r>
      <w:r w:rsidR="002214B8" w:rsidRPr="006B7377">
        <w:rPr>
          <w:rFonts w:ascii="Times New Roman" w:eastAsia="Arial Unicode MS" w:hAnsi="Times New Roman" w:cs="Times New Roman"/>
          <w:i/>
          <w:iCs/>
          <w:sz w:val="20"/>
          <w:szCs w:val="20"/>
        </w:rPr>
        <w:t xml:space="preserve"> </w:t>
      </w:r>
      <w:r w:rsidR="00E932A1" w:rsidRPr="006B7377">
        <w:rPr>
          <w:rFonts w:ascii="Times New Roman" w:eastAsia="Arial Unicode MS" w:hAnsi="Times New Roman" w:cs="Times New Roman"/>
          <w:i/>
          <w:iCs/>
          <w:sz w:val="20"/>
          <w:szCs w:val="20"/>
        </w:rPr>
        <w:t xml:space="preserve">indica </w:t>
      </w:r>
      <w:r w:rsidR="002214B8" w:rsidRPr="006B7377">
        <w:rPr>
          <w:rFonts w:ascii="Times New Roman" w:eastAsia="Arial Unicode MS" w:hAnsi="Times New Roman" w:cs="Times New Roman"/>
          <w:i/>
          <w:iCs/>
          <w:sz w:val="20"/>
          <w:szCs w:val="20"/>
        </w:rPr>
        <w:t>L and</w:t>
      </w:r>
      <w:r w:rsidR="00E932A1" w:rsidRPr="006B7377">
        <w:rPr>
          <w:rFonts w:ascii="Times New Roman" w:eastAsia="Arial Unicode MS" w:hAnsi="Times New Roman" w:cs="Times New Roman"/>
          <w:i/>
          <w:iCs/>
          <w:sz w:val="20"/>
          <w:szCs w:val="20"/>
        </w:rPr>
        <w:t xml:space="preserve"> Ginkgo biloba L</w:t>
      </w:r>
      <w:r w:rsidR="00E932A1" w:rsidRPr="006B7377">
        <w:rPr>
          <w:rFonts w:ascii="Times New Roman" w:eastAsia="Arial Unicode MS" w:hAnsi="Times New Roman" w:cs="Times New Roman"/>
          <w:sz w:val="20"/>
          <w:szCs w:val="20"/>
        </w:rPr>
        <w:t xml:space="preserve">., Leaves Extracts on </w:t>
      </w:r>
      <w:r w:rsidR="00E932A1" w:rsidRPr="006B7377">
        <w:rPr>
          <w:rFonts w:ascii="Times New Roman" w:eastAsia="Arial Unicode MS" w:hAnsi="Times New Roman" w:cs="Times New Roman"/>
          <w:sz w:val="20"/>
          <w:szCs w:val="20"/>
        </w:rPr>
        <w:lastRenderedPageBreak/>
        <w:t>Hepatorenal Functions of Male Rats intoxicated with CCl4.</w:t>
      </w:r>
    </w:p>
    <w:p w:rsidR="00A94796" w:rsidRPr="006B7377" w:rsidRDefault="00A94796" w:rsidP="005D795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041E26" w:rsidRPr="006B7377" w:rsidRDefault="00041E26" w:rsidP="005D795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B7377">
        <w:rPr>
          <w:rFonts w:ascii="Times New Roman" w:hAnsi="Times New Roman" w:cs="Times New Roman"/>
          <w:b/>
          <w:bCs/>
          <w:color w:val="000000"/>
          <w:sz w:val="20"/>
          <w:szCs w:val="20"/>
        </w:rPr>
        <w:t xml:space="preserve">2. Material and Methods </w:t>
      </w:r>
    </w:p>
    <w:p w:rsidR="006F1C6A" w:rsidRPr="006B7377" w:rsidRDefault="006F1C6A" w:rsidP="005D7954">
      <w:pPr>
        <w:bidi w:val="0"/>
        <w:snapToGrid w:val="0"/>
        <w:spacing w:after="0" w:line="240" w:lineRule="auto"/>
        <w:jc w:val="both"/>
        <w:rPr>
          <w:rFonts w:ascii="Times New Roman" w:hAnsi="Times New Roman" w:cs="Times New Roman"/>
          <w:b/>
          <w:bCs/>
          <w:sz w:val="20"/>
          <w:szCs w:val="20"/>
        </w:rPr>
      </w:pPr>
      <w:r w:rsidRPr="006B7377">
        <w:rPr>
          <w:rFonts w:ascii="Times New Roman" w:hAnsi="Times New Roman" w:cs="Times New Roman"/>
          <w:b/>
          <w:bCs/>
          <w:sz w:val="20"/>
          <w:szCs w:val="20"/>
        </w:rPr>
        <w:t>Material and Methods</w:t>
      </w:r>
    </w:p>
    <w:p w:rsidR="006F1C6A" w:rsidRPr="006B7377" w:rsidRDefault="006F1C6A" w:rsidP="005D7954">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6B7377">
        <w:rPr>
          <w:rFonts w:ascii="Times New Roman" w:eastAsia="Times New Roman" w:hAnsi="Times New Roman" w:cs="Times New Roman"/>
          <w:b/>
          <w:bCs/>
          <w:color w:val="000000"/>
          <w:sz w:val="20"/>
          <w:szCs w:val="20"/>
        </w:rPr>
        <w:t>Chemicals and Drugs</w:t>
      </w:r>
    </w:p>
    <w:p w:rsidR="006F1C6A" w:rsidRPr="006B7377" w:rsidRDefault="006F1C6A" w:rsidP="005D7954">
      <w:pPr>
        <w:autoSpaceDE w:val="0"/>
        <w:autoSpaceDN w:val="0"/>
        <w:bidi w:val="0"/>
        <w:adjustRightInd w:val="0"/>
        <w:snapToGrid w:val="0"/>
        <w:spacing w:after="0" w:line="240" w:lineRule="auto"/>
        <w:ind w:firstLine="425"/>
        <w:jc w:val="both"/>
        <w:rPr>
          <w:rFonts w:ascii="Times New Roman" w:eastAsia="Arial Unicode MS" w:hAnsi="Times New Roman" w:cs="Times New Roman"/>
          <w:color w:val="000000" w:themeColor="text1"/>
          <w:sz w:val="20"/>
          <w:szCs w:val="20"/>
        </w:rPr>
      </w:pPr>
      <w:r w:rsidRPr="006B7377">
        <w:rPr>
          <w:rFonts w:ascii="Times New Roman" w:eastAsia="Arial Unicode MS" w:hAnsi="Times New Roman" w:cs="Times New Roman"/>
          <w:color w:val="000000" w:themeColor="text1"/>
          <w:sz w:val="20"/>
          <w:szCs w:val="20"/>
        </w:rPr>
        <w:t>All chemicals with high analytical grade and CCl4 were purchased from Sigma, USA. The tested kits for determinations of total cholesterol, triglycerides, lipoprotein fractions, liver enzymes as well as kidneys function were purchased from Biosystems (Barcelona, Spain).</w:t>
      </w:r>
    </w:p>
    <w:p w:rsidR="006F1C6A" w:rsidRPr="006B7377" w:rsidRDefault="006F1C6A" w:rsidP="005D7954">
      <w:pPr>
        <w:bidi w:val="0"/>
        <w:snapToGrid w:val="0"/>
        <w:spacing w:after="0" w:line="240" w:lineRule="auto"/>
        <w:jc w:val="both"/>
        <w:rPr>
          <w:rFonts w:ascii="Times New Roman" w:eastAsia="Times New Roman" w:hAnsi="Times New Roman" w:cs="Times New Roman"/>
          <w:b/>
          <w:bCs/>
          <w:i/>
          <w:iCs/>
          <w:color w:val="000000"/>
          <w:sz w:val="20"/>
          <w:szCs w:val="20"/>
        </w:rPr>
      </w:pPr>
      <w:r w:rsidRPr="006B7377">
        <w:rPr>
          <w:rFonts w:ascii="Times New Roman" w:eastAsia="Times New Roman" w:hAnsi="Times New Roman" w:cs="Times New Roman"/>
          <w:b/>
          <w:bCs/>
          <w:i/>
          <w:iCs/>
          <w:color w:val="000000"/>
          <w:sz w:val="20"/>
          <w:szCs w:val="20"/>
        </w:rPr>
        <w:t xml:space="preserve">Plant </w:t>
      </w:r>
    </w:p>
    <w:p w:rsidR="006F1C6A" w:rsidRPr="006B7377" w:rsidRDefault="00A94796" w:rsidP="005D7954">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6B7377">
        <w:rPr>
          <w:rFonts w:ascii="Times New Roman" w:hAnsi="Times New Roman" w:cs="Times New Roman"/>
          <w:i/>
          <w:iCs/>
          <w:sz w:val="20"/>
          <w:szCs w:val="20"/>
          <w:lang w:bidi="ar-EG"/>
        </w:rPr>
        <w:t>T</w:t>
      </w:r>
      <w:r w:rsidR="006F1C6A" w:rsidRPr="006B7377">
        <w:rPr>
          <w:rFonts w:ascii="Times New Roman" w:hAnsi="Times New Roman" w:cs="Times New Roman"/>
          <w:i/>
          <w:iCs/>
          <w:sz w:val="20"/>
          <w:szCs w:val="20"/>
          <w:lang w:bidi="ar-EG"/>
        </w:rPr>
        <w:t>amarindus</w:t>
      </w:r>
      <w:r w:rsidR="002214B8" w:rsidRPr="006B7377">
        <w:rPr>
          <w:rFonts w:ascii="Times New Roman" w:hAnsi="Times New Roman" w:cs="Times New Roman"/>
          <w:i/>
          <w:iCs/>
          <w:sz w:val="20"/>
          <w:szCs w:val="20"/>
          <w:lang w:bidi="ar-EG"/>
        </w:rPr>
        <w:t xml:space="preserve"> </w:t>
      </w:r>
      <w:r w:rsidRPr="006B7377">
        <w:rPr>
          <w:rFonts w:ascii="Times New Roman" w:hAnsi="Times New Roman" w:cs="Times New Roman"/>
          <w:i/>
          <w:iCs/>
          <w:sz w:val="20"/>
          <w:szCs w:val="20"/>
          <w:lang w:bidi="ar-EG"/>
        </w:rPr>
        <w:t>indica</w:t>
      </w:r>
      <w:r w:rsidRPr="006B7377">
        <w:rPr>
          <w:rFonts w:ascii="Times New Roman" w:hAnsi="Times New Roman" w:cs="Times New Roman"/>
          <w:sz w:val="20"/>
          <w:szCs w:val="20"/>
          <w:lang w:bidi="ar-EG"/>
        </w:rPr>
        <w:t xml:space="preserve"> (</w:t>
      </w:r>
      <w:r w:rsidR="006F1C6A" w:rsidRPr="006B7377">
        <w:rPr>
          <w:rFonts w:ascii="Times New Roman" w:hAnsi="Times New Roman" w:cs="Times New Roman"/>
          <w:sz w:val="20"/>
          <w:szCs w:val="20"/>
          <w:lang w:bidi="ar-EG"/>
        </w:rPr>
        <w:t>TI</w:t>
      </w:r>
      <w:r w:rsidRPr="006B7377">
        <w:rPr>
          <w:rFonts w:ascii="Times New Roman" w:hAnsi="Times New Roman" w:cs="Times New Roman"/>
          <w:sz w:val="20"/>
          <w:szCs w:val="20"/>
          <w:lang w:bidi="ar-EG"/>
        </w:rPr>
        <w:t>),</w:t>
      </w:r>
      <w:r w:rsidR="002214B8" w:rsidRPr="006B7377">
        <w:rPr>
          <w:rFonts w:ascii="Times New Roman" w:hAnsi="Times New Roman" w:cs="Times New Roman"/>
          <w:i/>
          <w:iCs/>
          <w:sz w:val="20"/>
          <w:szCs w:val="20"/>
          <w:lang w:bidi="ar-EG"/>
        </w:rPr>
        <w:t xml:space="preserve"> </w:t>
      </w:r>
      <w:r w:rsidR="006F1C6A" w:rsidRPr="006B7377">
        <w:rPr>
          <w:rFonts w:ascii="Times New Roman" w:hAnsi="Times New Roman" w:cs="Times New Roman"/>
          <w:i/>
          <w:iCs/>
          <w:sz w:val="20"/>
          <w:szCs w:val="20"/>
          <w:lang w:bidi="ar-EG"/>
        </w:rPr>
        <w:t>Ginkgo biloba L</w:t>
      </w:r>
      <w:r w:rsidR="006F1C6A" w:rsidRPr="006B7377">
        <w:rPr>
          <w:rFonts w:ascii="Times New Roman" w:hAnsi="Times New Roman" w:cs="Times New Roman"/>
          <w:sz w:val="20"/>
          <w:szCs w:val="20"/>
          <w:lang w:bidi="ar-EG"/>
        </w:rPr>
        <w:t xml:space="preserve"> (GB) </w:t>
      </w:r>
      <w:r w:rsidR="006F1C6A" w:rsidRPr="006B7377">
        <w:rPr>
          <w:rFonts w:ascii="Times New Roman" w:eastAsia="Times New Roman" w:hAnsi="Times New Roman" w:cs="Times New Roman"/>
          <w:color w:val="000000"/>
          <w:sz w:val="20"/>
          <w:szCs w:val="20"/>
        </w:rPr>
        <w:t>were obtained from iHerb.com, HERB PHARM, Saudi Arabia.</w:t>
      </w:r>
    </w:p>
    <w:p w:rsidR="006F1C6A" w:rsidRPr="006B7377" w:rsidRDefault="006F1C6A" w:rsidP="005D7954">
      <w:pPr>
        <w:bidi w:val="0"/>
        <w:snapToGrid w:val="0"/>
        <w:spacing w:after="0" w:line="240" w:lineRule="auto"/>
        <w:jc w:val="both"/>
        <w:rPr>
          <w:rFonts w:ascii="Times New Roman" w:eastAsia="Times New Roman" w:hAnsi="Times New Roman" w:cs="Times New Roman"/>
          <w:b/>
          <w:bCs/>
          <w:color w:val="000000"/>
          <w:sz w:val="20"/>
          <w:szCs w:val="20"/>
        </w:rPr>
      </w:pPr>
      <w:r w:rsidRPr="006B7377">
        <w:rPr>
          <w:rFonts w:ascii="Times New Roman" w:eastAsia="Times New Roman" w:hAnsi="Times New Roman" w:cs="Times New Roman"/>
          <w:b/>
          <w:bCs/>
          <w:color w:val="000000"/>
          <w:sz w:val="20"/>
          <w:szCs w:val="20"/>
        </w:rPr>
        <w:t>Experimental animals</w:t>
      </w:r>
    </w:p>
    <w:p w:rsidR="006F1C6A" w:rsidRPr="006B7377" w:rsidRDefault="006F1C6A" w:rsidP="005D7954">
      <w:pPr>
        <w:bidi w:val="0"/>
        <w:snapToGrid w:val="0"/>
        <w:spacing w:after="0" w:line="240" w:lineRule="auto"/>
        <w:ind w:firstLine="425"/>
        <w:jc w:val="both"/>
        <w:rPr>
          <w:rFonts w:ascii="Times New Roman" w:eastAsia="Times New Roman" w:hAnsi="Times New Roman" w:cs="Times New Roman"/>
          <w:color w:val="000000"/>
          <w:sz w:val="20"/>
          <w:szCs w:val="20"/>
        </w:rPr>
      </w:pPr>
      <w:r w:rsidRPr="006B7377">
        <w:rPr>
          <w:rFonts w:ascii="Times New Roman" w:eastAsia="Times New Roman" w:hAnsi="Times New Roman" w:cs="Times New Roman"/>
          <w:color w:val="000000"/>
          <w:sz w:val="20"/>
          <w:szCs w:val="20"/>
        </w:rPr>
        <w:t>A total of 80 adult Male Wister albino rats, weighing 1</w:t>
      </w:r>
      <w:r w:rsidR="0001231C" w:rsidRPr="006B7377">
        <w:rPr>
          <w:rFonts w:ascii="Times New Roman" w:eastAsia="Times New Roman" w:hAnsi="Times New Roman" w:cs="Times New Roman"/>
          <w:color w:val="000000"/>
          <w:sz w:val="20"/>
          <w:szCs w:val="20"/>
        </w:rPr>
        <w:t>75</w:t>
      </w:r>
      <w:r w:rsidRPr="006B7377">
        <w:rPr>
          <w:rFonts w:ascii="Times New Roman" w:eastAsia="Times New Roman" w:hAnsi="Times New Roman" w:cs="Times New Roman"/>
          <w:color w:val="000000"/>
          <w:sz w:val="20"/>
          <w:szCs w:val="20"/>
        </w:rPr>
        <w:t xml:space="preserve"> ± 5 grams, were purchased from King Fahd Medical Research Center. Basal diet constituents were purchased from Baghafar Company for Pharmaceutical and Chemical, Jeddah, KSA.</w:t>
      </w:r>
      <w:r w:rsidR="006B7377" w:rsidRPr="006B7377">
        <w:rPr>
          <w:rFonts w:ascii="Times New Roman" w:eastAsia="Times New Roman" w:hAnsi="Times New Roman" w:cs="Times New Roman"/>
          <w:color w:val="000000"/>
          <w:sz w:val="20"/>
          <w:szCs w:val="20"/>
        </w:rPr>
        <w:t xml:space="preserve"> </w:t>
      </w:r>
    </w:p>
    <w:p w:rsidR="006F1C6A" w:rsidRPr="006B7377" w:rsidRDefault="006F1C6A" w:rsidP="005D7954">
      <w:pPr>
        <w:bidi w:val="0"/>
        <w:snapToGrid w:val="0"/>
        <w:spacing w:after="0" w:line="240" w:lineRule="auto"/>
        <w:jc w:val="both"/>
        <w:rPr>
          <w:rFonts w:ascii="Times New Roman" w:eastAsia="Times New Roman" w:hAnsi="Times New Roman" w:cs="Times New Roman"/>
          <w:b/>
          <w:bCs/>
          <w:color w:val="000000"/>
          <w:sz w:val="20"/>
          <w:szCs w:val="20"/>
        </w:rPr>
      </w:pPr>
      <w:r w:rsidRPr="006B7377">
        <w:rPr>
          <w:rFonts w:ascii="Times New Roman" w:eastAsia="Times New Roman" w:hAnsi="Times New Roman" w:cs="Times New Roman"/>
          <w:b/>
          <w:bCs/>
          <w:color w:val="000000"/>
          <w:sz w:val="20"/>
          <w:szCs w:val="20"/>
        </w:rPr>
        <w:t xml:space="preserve">Basal diet </w:t>
      </w:r>
      <w:r w:rsidR="00A94796" w:rsidRPr="006B7377">
        <w:rPr>
          <w:rFonts w:ascii="Times New Roman" w:eastAsia="Times New Roman" w:hAnsi="Times New Roman" w:cs="Times New Roman"/>
          <w:b/>
          <w:bCs/>
          <w:color w:val="000000"/>
          <w:sz w:val="20"/>
          <w:szCs w:val="20"/>
        </w:rPr>
        <w:t>preparation,</w:t>
      </w:r>
      <w:r w:rsidRPr="006B7377">
        <w:rPr>
          <w:rFonts w:ascii="Times New Roman" w:eastAsia="Times New Roman" w:hAnsi="Times New Roman" w:cs="Times New Roman"/>
          <w:b/>
          <w:bCs/>
          <w:color w:val="000000"/>
          <w:sz w:val="20"/>
          <w:szCs w:val="20"/>
        </w:rPr>
        <w:t xml:space="preserve"> hepatotoxicity induction </w:t>
      </w:r>
    </w:p>
    <w:p w:rsidR="006F1C6A" w:rsidRPr="006B7377" w:rsidRDefault="006F1C6A" w:rsidP="005D7954">
      <w:pPr>
        <w:bidi w:val="0"/>
        <w:snapToGrid w:val="0"/>
        <w:spacing w:after="0" w:line="240" w:lineRule="auto"/>
        <w:ind w:firstLine="425"/>
        <w:jc w:val="both"/>
        <w:rPr>
          <w:rFonts w:ascii="Times New Roman" w:eastAsia="Times New Roman" w:hAnsi="Times New Roman" w:cs="Times New Roman"/>
          <w:color w:val="000000"/>
          <w:sz w:val="20"/>
          <w:szCs w:val="20"/>
        </w:rPr>
      </w:pPr>
      <w:r w:rsidRPr="006B7377">
        <w:rPr>
          <w:rFonts w:ascii="Times New Roman" w:eastAsia="Times New Roman" w:hAnsi="Times New Roman" w:cs="Times New Roman"/>
          <w:color w:val="000000"/>
          <w:sz w:val="20"/>
          <w:szCs w:val="20"/>
        </w:rPr>
        <w:t xml:space="preserve">Diet was set as described </w:t>
      </w:r>
      <w:r w:rsidR="002214B8" w:rsidRPr="006B7377">
        <w:rPr>
          <w:rFonts w:ascii="Times New Roman" w:eastAsia="Times New Roman" w:hAnsi="Times New Roman" w:cs="Times New Roman"/>
          <w:color w:val="000000"/>
          <w:sz w:val="20"/>
          <w:szCs w:val="20"/>
        </w:rPr>
        <w:t xml:space="preserve">in Reeves et al. [14]. </w:t>
      </w:r>
      <w:r w:rsidRPr="006B7377">
        <w:rPr>
          <w:rFonts w:ascii="Times New Roman" w:eastAsia="Times New Roman" w:hAnsi="Times New Roman" w:cs="Times New Roman"/>
          <w:color w:val="000000"/>
          <w:sz w:val="20"/>
          <w:szCs w:val="20"/>
        </w:rPr>
        <w:t>Hepatotoxicity was induced by a subcutaneous administration of</w:t>
      </w:r>
      <w:r w:rsidR="006B7377" w:rsidRPr="006B7377">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a single dose of CCl4 (30%V/V) in paraffin oil (1ml/kg) for 2 days from start of the experimental period</w:t>
      </w:r>
      <w:r w:rsidR="006B7377" w:rsidRPr="006B7377">
        <w:rPr>
          <w:rFonts w:ascii="Times New Roman" w:eastAsia="Times New Roman" w:hAnsi="Times New Roman" w:cs="Times New Roman"/>
          <w:color w:val="000000"/>
          <w:sz w:val="20"/>
          <w:szCs w:val="20"/>
        </w:rPr>
        <w:t>,</w:t>
      </w:r>
      <w:r w:rsidRPr="006B7377">
        <w:rPr>
          <w:rFonts w:ascii="Times New Roman" w:eastAsia="Times New Roman" w:hAnsi="Times New Roman" w:cs="Times New Roman"/>
          <w:color w:val="000000"/>
          <w:sz w:val="20"/>
          <w:szCs w:val="20"/>
        </w:rPr>
        <w:t xml:space="preserve"> to induce acute hepatic damage according to the method described by Nadeem et al., (1996).</w:t>
      </w:r>
    </w:p>
    <w:p w:rsidR="006F1C6A" w:rsidRPr="006B7377" w:rsidRDefault="006F1C6A" w:rsidP="005D7954">
      <w:pPr>
        <w:bidi w:val="0"/>
        <w:snapToGrid w:val="0"/>
        <w:spacing w:after="0" w:line="240" w:lineRule="auto"/>
        <w:jc w:val="both"/>
        <w:rPr>
          <w:rFonts w:ascii="Times New Roman" w:eastAsia="Times New Roman" w:hAnsi="Times New Roman" w:cs="Times New Roman"/>
          <w:b/>
          <w:bCs/>
          <w:color w:val="000000"/>
          <w:sz w:val="20"/>
          <w:szCs w:val="20"/>
        </w:rPr>
      </w:pPr>
      <w:r w:rsidRPr="006B7377">
        <w:rPr>
          <w:rFonts w:ascii="Times New Roman" w:eastAsia="Times New Roman" w:hAnsi="Times New Roman" w:cs="Times New Roman"/>
          <w:b/>
          <w:bCs/>
          <w:color w:val="000000"/>
          <w:sz w:val="20"/>
          <w:szCs w:val="20"/>
        </w:rPr>
        <w:t xml:space="preserve">Preparation of </w:t>
      </w:r>
      <w:r w:rsidR="00631B94" w:rsidRPr="006B7377">
        <w:rPr>
          <w:rFonts w:ascii="Times New Roman" w:eastAsia="Times New Roman" w:hAnsi="Times New Roman" w:cs="Times New Roman"/>
          <w:b/>
          <w:bCs/>
          <w:color w:val="000000"/>
          <w:sz w:val="20"/>
          <w:szCs w:val="20"/>
        </w:rPr>
        <w:t>herb</w:t>
      </w:r>
      <w:r w:rsidRPr="006B7377">
        <w:rPr>
          <w:rFonts w:ascii="Times New Roman" w:eastAsia="Times New Roman" w:hAnsi="Times New Roman" w:cs="Times New Roman"/>
          <w:b/>
          <w:bCs/>
          <w:color w:val="000000"/>
          <w:sz w:val="20"/>
          <w:szCs w:val="20"/>
        </w:rPr>
        <w:t>t extract</w:t>
      </w:r>
    </w:p>
    <w:p w:rsidR="00631B94" w:rsidRPr="006B7377" w:rsidRDefault="00631B94" w:rsidP="005D7954">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6B7377">
        <w:rPr>
          <w:rFonts w:ascii="Times New Roman" w:eastAsia="Times New Roman" w:hAnsi="Times New Roman" w:cs="Times New Roman"/>
          <w:color w:val="000000"/>
          <w:sz w:val="20"/>
          <w:szCs w:val="20"/>
        </w:rPr>
        <w:t xml:space="preserve">The </w:t>
      </w:r>
      <w:r w:rsidR="0065087E" w:rsidRPr="006B7377">
        <w:rPr>
          <w:rFonts w:ascii="Times New Roman" w:eastAsia="Times New Roman" w:hAnsi="Times New Roman" w:cs="Times New Roman"/>
          <w:color w:val="000000"/>
          <w:sz w:val="20"/>
          <w:szCs w:val="20"/>
        </w:rPr>
        <w:t xml:space="preserve">leaves </w:t>
      </w:r>
      <w:r w:rsidRPr="006B7377">
        <w:rPr>
          <w:rFonts w:ascii="Times New Roman" w:eastAsia="Times New Roman" w:hAnsi="Times New Roman" w:cs="Times New Roman"/>
          <w:color w:val="000000"/>
          <w:sz w:val="20"/>
          <w:szCs w:val="20"/>
        </w:rPr>
        <w:t xml:space="preserve">powder of the two herbs </w:t>
      </w:r>
      <w:r w:rsidR="00A94796" w:rsidRPr="006B7377">
        <w:rPr>
          <w:rFonts w:ascii="Times New Roman" w:hAnsi="Times New Roman" w:cs="Times New Roman"/>
          <w:i/>
          <w:iCs/>
          <w:sz w:val="20"/>
          <w:szCs w:val="20"/>
          <w:lang w:bidi="ar-EG"/>
        </w:rPr>
        <w:t>T</w:t>
      </w:r>
      <w:r w:rsidRPr="006B7377">
        <w:rPr>
          <w:rFonts w:ascii="Times New Roman" w:hAnsi="Times New Roman" w:cs="Times New Roman"/>
          <w:i/>
          <w:iCs/>
          <w:sz w:val="20"/>
          <w:szCs w:val="20"/>
          <w:lang w:bidi="ar-EG"/>
        </w:rPr>
        <w:t>amarindus</w:t>
      </w:r>
      <w:r w:rsidR="002214B8" w:rsidRPr="006B7377">
        <w:rPr>
          <w:rFonts w:ascii="Times New Roman" w:hAnsi="Times New Roman" w:cs="Times New Roman"/>
          <w:i/>
          <w:iCs/>
          <w:sz w:val="20"/>
          <w:szCs w:val="20"/>
          <w:lang w:bidi="ar-EG"/>
        </w:rPr>
        <w:t xml:space="preserve"> </w:t>
      </w:r>
      <w:r w:rsidRPr="006B7377">
        <w:rPr>
          <w:rFonts w:ascii="Times New Roman" w:hAnsi="Times New Roman" w:cs="Times New Roman"/>
          <w:i/>
          <w:iCs/>
          <w:sz w:val="20"/>
          <w:szCs w:val="20"/>
          <w:lang w:bidi="ar-EG"/>
        </w:rPr>
        <w:t>indica</w:t>
      </w:r>
      <w:r w:rsidRPr="006B7377">
        <w:rPr>
          <w:rFonts w:ascii="Times New Roman" w:hAnsi="Times New Roman" w:cs="Times New Roman"/>
          <w:sz w:val="20"/>
          <w:szCs w:val="20"/>
          <w:lang w:bidi="ar-EG"/>
        </w:rPr>
        <w:t xml:space="preserve"> (TI), </w:t>
      </w:r>
      <w:r w:rsidRPr="006B7377">
        <w:rPr>
          <w:rFonts w:ascii="Times New Roman" w:hAnsi="Times New Roman" w:cs="Times New Roman"/>
          <w:i/>
          <w:iCs/>
          <w:sz w:val="20"/>
          <w:szCs w:val="20"/>
          <w:lang w:bidi="ar-EG"/>
        </w:rPr>
        <w:t>Ginkgo biloba L</w:t>
      </w:r>
      <w:r w:rsidRPr="006B7377">
        <w:rPr>
          <w:rFonts w:ascii="Times New Roman" w:hAnsi="Times New Roman" w:cs="Times New Roman"/>
          <w:sz w:val="20"/>
          <w:szCs w:val="20"/>
          <w:lang w:bidi="ar-EG"/>
        </w:rPr>
        <w:t xml:space="preserve"> (GB) </w:t>
      </w:r>
      <w:r w:rsidRPr="006B7377">
        <w:rPr>
          <w:rFonts w:ascii="Times New Roman" w:eastAsia="Times New Roman" w:hAnsi="Times New Roman" w:cs="Times New Roman"/>
          <w:color w:val="000000"/>
          <w:sz w:val="20"/>
          <w:szCs w:val="20"/>
        </w:rPr>
        <w:t>had been mixed with 90% ethylic</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alcohol</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by</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1part</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in</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3.</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Container</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closed</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with</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par</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film</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and</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covered</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with</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aluminum</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foil</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to</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avoid</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potentially</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light</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effect</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on</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extract</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components.</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Before</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use,</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extracts</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kept</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in</w:t>
      </w:r>
      <w:r w:rsidR="005D7954">
        <w:rPr>
          <w:rFonts w:ascii="Times New Roman" w:eastAsia="Times New Roman" w:hAnsi="Times New Roman" w:cs="Times New Roman"/>
          <w:color w:val="000000"/>
          <w:sz w:val="20"/>
          <w:szCs w:val="20"/>
        </w:rPr>
        <w:t xml:space="preserve"> </w:t>
      </w:r>
      <w:r w:rsidRPr="006B7377">
        <w:rPr>
          <w:rFonts w:ascii="Times New Roman" w:eastAsia="Times New Roman" w:hAnsi="Times New Roman" w:cs="Times New Roman"/>
          <w:color w:val="000000"/>
          <w:sz w:val="20"/>
          <w:szCs w:val="20"/>
        </w:rPr>
        <w:t>refrigerator.</w:t>
      </w:r>
    </w:p>
    <w:p w:rsidR="006F1C6A" w:rsidRPr="006B7377" w:rsidRDefault="006F1C6A" w:rsidP="005D7954">
      <w:pPr>
        <w:bidi w:val="0"/>
        <w:snapToGrid w:val="0"/>
        <w:spacing w:after="0" w:line="240" w:lineRule="auto"/>
        <w:jc w:val="both"/>
        <w:rPr>
          <w:rFonts w:ascii="Times New Roman" w:hAnsi="Times New Roman" w:cs="Times New Roman"/>
          <w:b/>
          <w:bCs/>
          <w:i/>
          <w:iCs/>
          <w:sz w:val="20"/>
          <w:szCs w:val="20"/>
        </w:rPr>
      </w:pPr>
      <w:r w:rsidRPr="006B7377">
        <w:rPr>
          <w:rFonts w:ascii="Times New Roman" w:hAnsi="Times New Roman" w:cs="Times New Roman"/>
          <w:b/>
          <w:bCs/>
          <w:i/>
          <w:iCs/>
          <w:sz w:val="20"/>
          <w:szCs w:val="20"/>
        </w:rPr>
        <w:t>Experiment</w:t>
      </w:r>
      <w:r w:rsidR="005D7954">
        <w:rPr>
          <w:rFonts w:ascii="Times New Roman" w:hAnsi="Times New Roman" w:cs="Times New Roman"/>
          <w:b/>
          <w:bCs/>
          <w:i/>
          <w:iCs/>
          <w:sz w:val="20"/>
          <w:szCs w:val="20"/>
        </w:rPr>
        <w:t xml:space="preserve"> </w:t>
      </w:r>
      <w:r w:rsidRPr="006B7377">
        <w:rPr>
          <w:rFonts w:ascii="Times New Roman" w:hAnsi="Times New Roman" w:cs="Times New Roman"/>
          <w:b/>
          <w:bCs/>
          <w:i/>
          <w:iCs/>
          <w:sz w:val="20"/>
          <w:szCs w:val="20"/>
        </w:rPr>
        <w:t>and</w:t>
      </w:r>
      <w:r w:rsidR="005D7954">
        <w:rPr>
          <w:rFonts w:ascii="Times New Roman" w:hAnsi="Times New Roman" w:cs="Times New Roman"/>
          <w:b/>
          <w:bCs/>
          <w:i/>
          <w:iCs/>
          <w:sz w:val="20"/>
          <w:szCs w:val="20"/>
        </w:rPr>
        <w:t xml:space="preserve"> </w:t>
      </w:r>
      <w:r w:rsidRPr="006B7377">
        <w:rPr>
          <w:rFonts w:ascii="Times New Roman" w:hAnsi="Times New Roman" w:cs="Times New Roman"/>
          <w:b/>
          <w:bCs/>
          <w:i/>
          <w:iCs/>
          <w:sz w:val="20"/>
          <w:szCs w:val="20"/>
        </w:rPr>
        <w:t>grouping</w:t>
      </w:r>
      <w:r w:rsidR="005D7954">
        <w:rPr>
          <w:rFonts w:ascii="Times New Roman" w:hAnsi="Times New Roman" w:cs="Times New Roman"/>
          <w:b/>
          <w:bCs/>
          <w:i/>
          <w:iCs/>
          <w:sz w:val="20"/>
          <w:szCs w:val="20"/>
        </w:rPr>
        <w:t xml:space="preserve"> </w:t>
      </w:r>
      <w:r w:rsidRPr="006B7377">
        <w:rPr>
          <w:rFonts w:ascii="Times New Roman" w:hAnsi="Times New Roman" w:cs="Times New Roman"/>
          <w:b/>
          <w:bCs/>
          <w:i/>
          <w:iCs/>
          <w:sz w:val="20"/>
          <w:szCs w:val="20"/>
        </w:rPr>
        <w:t>of</w:t>
      </w:r>
      <w:r w:rsidR="005D7954">
        <w:rPr>
          <w:rFonts w:ascii="Times New Roman" w:hAnsi="Times New Roman" w:cs="Times New Roman"/>
          <w:b/>
          <w:bCs/>
          <w:i/>
          <w:iCs/>
          <w:sz w:val="20"/>
          <w:szCs w:val="20"/>
        </w:rPr>
        <w:t xml:space="preserve"> </w:t>
      </w:r>
      <w:r w:rsidRPr="006B7377">
        <w:rPr>
          <w:rFonts w:ascii="Times New Roman" w:hAnsi="Times New Roman" w:cs="Times New Roman"/>
          <w:b/>
          <w:bCs/>
          <w:i/>
          <w:iCs/>
          <w:sz w:val="20"/>
          <w:szCs w:val="20"/>
        </w:rPr>
        <w:t>rats</w:t>
      </w:r>
    </w:p>
    <w:p w:rsidR="006F1C6A" w:rsidRPr="006B7377" w:rsidRDefault="006F1C6A" w:rsidP="005D7954">
      <w:pPr>
        <w:shd w:val="clear" w:color="auto" w:fill="FFFFFF"/>
        <w:bidi w:val="0"/>
        <w:snapToGrid w:val="0"/>
        <w:spacing w:after="0" w:line="240" w:lineRule="auto"/>
        <w:ind w:firstLine="425"/>
        <w:jc w:val="both"/>
        <w:rPr>
          <w:rFonts w:ascii="Times New Roman" w:hAnsi="Times New Roman" w:cs="Times New Roman"/>
          <w:sz w:val="20"/>
          <w:szCs w:val="20"/>
        </w:rPr>
      </w:pPr>
      <w:r w:rsidRPr="006B7377">
        <w:rPr>
          <w:rFonts w:ascii="Times New Roman" w:eastAsia="Calibri" w:hAnsi="Times New Roman" w:cs="Times New Roman"/>
          <w:sz w:val="20"/>
          <w:szCs w:val="20"/>
        </w:rPr>
        <w:t>The</w:t>
      </w:r>
      <w:r w:rsidR="005D7954">
        <w:rPr>
          <w:rFonts w:ascii="Times New Roman" w:eastAsia="Calibri" w:hAnsi="Times New Roman" w:cs="Times New Roman"/>
          <w:sz w:val="20"/>
          <w:szCs w:val="20"/>
        </w:rPr>
        <w:t xml:space="preserve"> </w:t>
      </w:r>
      <w:r w:rsidR="00DD7C3C" w:rsidRPr="006B7377">
        <w:rPr>
          <w:rFonts w:ascii="Times New Roman" w:eastAsia="Calibri" w:hAnsi="Times New Roman" w:cs="Times New Roman"/>
          <w:sz w:val="20"/>
          <w:szCs w:val="20"/>
        </w:rPr>
        <w:t>80</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male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Wister</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rats</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weighing</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about</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1</w:t>
      </w:r>
      <w:r w:rsidR="00DD7C3C" w:rsidRPr="006B7377">
        <w:rPr>
          <w:rFonts w:ascii="Times New Roman" w:eastAsia="Calibri" w:hAnsi="Times New Roman" w:cs="Times New Roman"/>
          <w:sz w:val="20"/>
          <w:szCs w:val="20"/>
        </w:rPr>
        <w:t>80</w:t>
      </w:r>
      <w:r w:rsidRPr="006B7377">
        <w:rPr>
          <w:rFonts w:ascii="Times New Roman" w:eastAsia="Calibri" w:hAnsi="Times New Roman" w:cs="Times New Roman"/>
          <w:sz w:val="20"/>
          <w:szCs w:val="20"/>
        </w:rPr>
        <w:t>±5</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g</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was</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used</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in</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the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study.</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Theanimals</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were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housed</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in</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cages</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and</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was</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fed</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on</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standard</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chow</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and</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water</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i/>
          <w:iCs/>
          <w:sz w:val="20"/>
          <w:szCs w:val="20"/>
        </w:rPr>
        <w:t>ad</w:t>
      </w:r>
      <w:r w:rsidR="005D7954">
        <w:rPr>
          <w:rFonts w:ascii="Times New Roman" w:eastAsia="Calibri" w:hAnsi="Times New Roman" w:cs="Times New Roman"/>
          <w:i/>
          <w:iCs/>
          <w:sz w:val="20"/>
          <w:szCs w:val="20"/>
        </w:rPr>
        <w:t xml:space="preserve"> </w:t>
      </w:r>
      <w:r w:rsidRPr="006B7377">
        <w:rPr>
          <w:rFonts w:ascii="Times New Roman" w:eastAsia="Calibri" w:hAnsi="Times New Roman" w:cs="Times New Roman"/>
          <w:i/>
          <w:iCs/>
          <w:sz w:val="20"/>
          <w:szCs w:val="20"/>
        </w:rPr>
        <w:t>libitum</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in</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a</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steady</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environment</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(room</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temperature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22</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three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°C,</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room</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humidity</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50</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five%)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with</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a</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14</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h</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mild</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and</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10</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h</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darkish</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cycle.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The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animals</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were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kept</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beneath</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observation</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for</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one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week</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previous</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to</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the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beginning</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of</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the</w:t>
      </w:r>
      <w:r w:rsidR="005D7954">
        <w:rPr>
          <w:rFonts w:ascii="Times New Roman" w:eastAsia="Calibri" w:hAnsi="Times New Roman" w:cs="Times New Roman"/>
          <w:sz w:val="20"/>
          <w:szCs w:val="20"/>
        </w:rPr>
        <w:t xml:space="preserve"> </w:t>
      </w:r>
      <w:r w:rsidRPr="006B7377">
        <w:rPr>
          <w:rFonts w:ascii="Times New Roman" w:eastAsia="Calibri" w:hAnsi="Times New Roman" w:cs="Times New Roman"/>
          <w:sz w:val="20"/>
          <w:szCs w:val="20"/>
        </w:rPr>
        <w:t>experiment</w:t>
      </w:r>
      <w:r w:rsidRPr="006B7377">
        <w:rPr>
          <w:rFonts w:ascii="Times New Roman" w:hAnsi="Times New Roman" w:cs="Times New Roman"/>
          <w:color w:val="000000"/>
          <w:sz w:val="20"/>
          <w:szCs w:val="20"/>
        </w:rPr>
        <w:t>.</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After</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acclimatization</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period,</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rats</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were</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divided</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into</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two</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main</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groups.</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Group</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(I)</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(n=10)</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w:t>
      </w:r>
      <w:r w:rsidR="002214B8" w:rsidRPr="006B7377">
        <w:rPr>
          <w:rFonts w:ascii="Times New Roman" w:hAnsi="Times New Roman" w:cs="Times New Roman"/>
          <w:color w:val="000000"/>
          <w:sz w:val="20"/>
          <w:szCs w:val="20"/>
        </w:rPr>
        <w:t>NC)</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fed</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on</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normal</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diet.</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Group</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(II)</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(n=50)</w:t>
      </w:r>
      <w:r w:rsidR="005D7954">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was</w:t>
      </w:r>
      <w:r w:rsidR="005D7954">
        <w:rPr>
          <w:rFonts w:ascii="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subcutaneous</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administration</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of</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a</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single</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dose</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of</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CCl4</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(30%V/V)</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in</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paraffin</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oil</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(1ml/kg)</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for</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2</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days</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from</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start</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of</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the</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experimental</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period</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to</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induce</w:t>
      </w:r>
      <w:r w:rsidR="005D7954">
        <w:rPr>
          <w:rFonts w:ascii="Times New Roman" w:eastAsia="Times New Roman" w:hAnsi="Times New Roman" w:cs="Times New Roman"/>
          <w:color w:val="000000"/>
          <w:sz w:val="20"/>
          <w:szCs w:val="20"/>
        </w:rPr>
        <w:t xml:space="preserve"> </w:t>
      </w:r>
      <w:r w:rsidR="00DD7C3C" w:rsidRPr="006B7377">
        <w:rPr>
          <w:rFonts w:ascii="Times New Roman" w:eastAsia="Times New Roman" w:hAnsi="Times New Roman" w:cs="Times New Roman"/>
          <w:color w:val="000000"/>
          <w:sz w:val="20"/>
          <w:szCs w:val="20"/>
        </w:rPr>
        <w:t>hepatotoxicity</w:t>
      </w:r>
      <w:r w:rsidRPr="006B7377">
        <w:rPr>
          <w:rFonts w:ascii="Times New Roman" w:eastAsiaTheme="minorHAnsi" w:hAnsi="Times New Roman" w:cs="Times New Roman"/>
          <w:sz w:val="20"/>
          <w:szCs w:val="20"/>
        </w:rPr>
        <w:t>,</w:t>
      </w:r>
      <w:r w:rsidR="005D7954">
        <w:rPr>
          <w:rFonts w:ascii="Times New Roman" w:eastAsiaTheme="minorHAnsi" w:hAnsi="Times New Roman" w:cs="Times New Roman"/>
          <w:sz w:val="20"/>
          <w:szCs w:val="20"/>
        </w:rPr>
        <w:t xml:space="preserve"> </w:t>
      </w:r>
      <w:r w:rsidRPr="006B7377">
        <w:rPr>
          <w:rFonts w:ascii="Times New Roman" w:eastAsiaTheme="minorHAnsi" w:hAnsi="Times New Roman" w:cs="Times New Roman"/>
          <w:sz w:val="20"/>
          <w:szCs w:val="20"/>
        </w:rPr>
        <w:t>after</w:t>
      </w:r>
      <w:r w:rsidR="005D7954">
        <w:rPr>
          <w:rFonts w:ascii="Times New Roman" w:eastAsiaTheme="minorHAnsi" w:hAnsi="Times New Roman" w:cs="Times New Roman"/>
          <w:sz w:val="20"/>
          <w:szCs w:val="20"/>
        </w:rPr>
        <w:t xml:space="preserve"> </w:t>
      </w:r>
      <w:r w:rsidRPr="006B7377">
        <w:rPr>
          <w:rFonts w:ascii="Times New Roman" w:eastAsiaTheme="minorHAnsi" w:hAnsi="Times New Roman" w:cs="Times New Roman"/>
          <w:sz w:val="20"/>
          <w:szCs w:val="20"/>
        </w:rPr>
        <w:t>that</w:t>
      </w:r>
      <w:r w:rsidR="005D7954">
        <w:rPr>
          <w:rFonts w:ascii="Times New Roman" w:eastAsiaTheme="minorHAnsi" w:hAnsi="Times New Roman" w:cs="Times New Roman"/>
          <w:sz w:val="20"/>
          <w:szCs w:val="20"/>
        </w:rPr>
        <w:t xml:space="preserve"> </w:t>
      </w:r>
      <w:r w:rsidR="00DD7C3C" w:rsidRPr="006B7377">
        <w:rPr>
          <w:rFonts w:ascii="Times New Roman" w:eastAsiaTheme="minorHAnsi" w:hAnsi="Times New Roman" w:cs="Times New Roman"/>
          <w:sz w:val="20"/>
          <w:szCs w:val="20"/>
        </w:rPr>
        <w:t>blood</w:t>
      </w:r>
      <w:r w:rsidR="005D7954">
        <w:rPr>
          <w:rFonts w:ascii="Times New Roman" w:eastAsiaTheme="minorHAnsi" w:hAnsi="Times New Roman" w:cs="Times New Roman"/>
          <w:sz w:val="20"/>
          <w:szCs w:val="20"/>
        </w:rPr>
        <w:t xml:space="preserve"> </w:t>
      </w:r>
      <w:r w:rsidR="00DD7C3C" w:rsidRPr="006B7377">
        <w:rPr>
          <w:rFonts w:ascii="Times New Roman" w:eastAsiaTheme="minorHAnsi" w:hAnsi="Times New Roman" w:cs="Times New Roman"/>
          <w:sz w:val="20"/>
          <w:szCs w:val="20"/>
        </w:rPr>
        <w:t>samples</w:t>
      </w:r>
      <w:r w:rsidR="005D7954">
        <w:rPr>
          <w:rFonts w:ascii="Times New Roman" w:eastAsiaTheme="minorHAnsi" w:hAnsi="Times New Roman" w:cs="Times New Roman"/>
          <w:sz w:val="20"/>
          <w:szCs w:val="20"/>
        </w:rPr>
        <w:t xml:space="preserve"> </w:t>
      </w:r>
      <w:r w:rsidR="00DD7C3C" w:rsidRPr="006B7377">
        <w:rPr>
          <w:rFonts w:ascii="Times New Roman" w:eastAsiaTheme="minorHAnsi" w:hAnsi="Times New Roman" w:cs="Times New Roman"/>
          <w:sz w:val="20"/>
          <w:szCs w:val="20"/>
        </w:rPr>
        <w:t>were</w:t>
      </w:r>
      <w:r w:rsidR="005D7954">
        <w:rPr>
          <w:rFonts w:ascii="Times New Roman" w:eastAsiaTheme="minorHAnsi" w:hAnsi="Times New Roman" w:cs="Times New Roman"/>
          <w:sz w:val="20"/>
          <w:szCs w:val="20"/>
        </w:rPr>
        <w:t xml:space="preserve"> </w:t>
      </w:r>
      <w:r w:rsidR="00DD7C3C" w:rsidRPr="006B7377">
        <w:rPr>
          <w:rFonts w:ascii="Times New Roman" w:eastAsiaTheme="minorHAnsi" w:hAnsi="Times New Roman" w:cs="Times New Roman"/>
          <w:sz w:val="20"/>
          <w:szCs w:val="20"/>
        </w:rPr>
        <w:t>taken</w:t>
      </w:r>
      <w:r w:rsidR="005D7954">
        <w:rPr>
          <w:rFonts w:ascii="Times New Roman" w:eastAsiaTheme="minorHAnsi" w:hAnsi="Times New Roman" w:cs="Times New Roman"/>
          <w:sz w:val="20"/>
          <w:szCs w:val="20"/>
        </w:rPr>
        <w:t xml:space="preserve"> </w:t>
      </w:r>
      <w:r w:rsidR="00DD7C3C" w:rsidRPr="006B7377">
        <w:rPr>
          <w:rFonts w:ascii="Times New Roman" w:eastAsiaTheme="minorHAnsi" w:hAnsi="Times New Roman" w:cs="Times New Roman"/>
          <w:sz w:val="20"/>
          <w:szCs w:val="20"/>
        </w:rPr>
        <w:t>from</w:t>
      </w:r>
      <w:r w:rsidR="005D7954">
        <w:rPr>
          <w:rFonts w:ascii="Times New Roman" w:eastAsiaTheme="minorHAnsi" w:hAnsi="Times New Roman" w:cs="Times New Roman"/>
          <w:sz w:val="20"/>
          <w:szCs w:val="20"/>
        </w:rPr>
        <w:t xml:space="preserve"> </w:t>
      </w:r>
      <w:r w:rsidR="00DD7C3C" w:rsidRPr="006B7377">
        <w:rPr>
          <w:rFonts w:ascii="Times New Roman" w:eastAsiaTheme="minorHAnsi" w:hAnsi="Times New Roman" w:cs="Times New Roman"/>
          <w:sz w:val="20"/>
          <w:szCs w:val="20"/>
        </w:rPr>
        <w:t>rats</w:t>
      </w:r>
      <w:r w:rsidRPr="006B7377">
        <w:rPr>
          <w:rFonts w:ascii="Times New Roman" w:hAnsi="Times New Roman" w:cs="Times New Roman"/>
          <w:sz w:val="20"/>
          <w:szCs w:val="20"/>
        </w:rPr>
        <w:t>to</w:t>
      </w:r>
      <w:r w:rsidR="005D7954">
        <w:rPr>
          <w:rFonts w:ascii="Times New Roman" w:hAnsi="Times New Roman" w:cs="Times New Roman"/>
          <w:sz w:val="20"/>
          <w:szCs w:val="20"/>
        </w:rPr>
        <w:t xml:space="preserve"> </w:t>
      </w:r>
      <w:r w:rsidRPr="006B7377">
        <w:rPr>
          <w:rFonts w:ascii="Times New Roman" w:hAnsi="Times New Roman" w:cs="Times New Roman"/>
          <w:sz w:val="20"/>
          <w:szCs w:val="20"/>
        </w:rPr>
        <w:t>analyze</w:t>
      </w:r>
      <w:r w:rsidR="005D7954">
        <w:rPr>
          <w:rFonts w:ascii="Times New Roman" w:hAnsi="Times New Roman" w:cs="Times New Roman"/>
          <w:sz w:val="20"/>
          <w:szCs w:val="20"/>
        </w:rPr>
        <w:t xml:space="preserve"> </w:t>
      </w:r>
      <w:r w:rsidR="00DD7C3C" w:rsidRPr="006B7377">
        <w:rPr>
          <w:rFonts w:ascii="Times New Roman" w:hAnsi="Times New Roman" w:cs="Times New Roman"/>
          <w:sz w:val="20"/>
          <w:szCs w:val="20"/>
        </w:rPr>
        <w:t>the</w:t>
      </w:r>
      <w:r w:rsidR="005D7954">
        <w:rPr>
          <w:rFonts w:ascii="Times New Roman" w:hAnsi="Times New Roman" w:cs="Times New Roman"/>
          <w:sz w:val="20"/>
          <w:szCs w:val="20"/>
        </w:rPr>
        <w:t xml:space="preserve"> </w:t>
      </w:r>
      <w:r w:rsidR="00DD7C3C" w:rsidRPr="006B7377">
        <w:rPr>
          <w:rFonts w:ascii="Times New Roman" w:hAnsi="Times New Roman" w:cs="Times New Roman"/>
          <w:sz w:val="20"/>
          <w:szCs w:val="20"/>
        </w:rPr>
        <w:t>activity</w:t>
      </w:r>
      <w:r w:rsidR="005D7954">
        <w:rPr>
          <w:rFonts w:ascii="Times New Roman" w:hAnsi="Times New Roman" w:cs="Times New Roman"/>
          <w:sz w:val="20"/>
          <w:szCs w:val="20"/>
        </w:rPr>
        <w:t xml:space="preserve"> </w:t>
      </w:r>
      <w:r w:rsidR="00DD7C3C" w:rsidRPr="006B7377">
        <w:rPr>
          <w:rFonts w:ascii="Times New Roman" w:hAnsi="Times New Roman" w:cs="Times New Roman"/>
          <w:sz w:val="20"/>
          <w:szCs w:val="20"/>
        </w:rPr>
        <w:t>of</w:t>
      </w:r>
      <w:r w:rsidR="005D7954">
        <w:rPr>
          <w:rFonts w:ascii="Times New Roman" w:hAnsi="Times New Roman" w:cs="Times New Roman"/>
          <w:sz w:val="20"/>
          <w:szCs w:val="20"/>
        </w:rPr>
        <w:t xml:space="preserve"> </w:t>
      </w:r>
      <w:r w:rsidR="00DD7C3C" w:rsidRPr="006B7377">
        <w:rPr>
          <w:rFonts w:ascii="Times New Roman" w:hAnsi="Times New Roman" w:cs="Times New Roman"/>
          <w:sz w:val="20"/>
          <w:szCs w:val="20"/>
        </w:rPr>
        <w:t>liver</w:t>
      </w:r>
      <w:r w:rsidR="005D7954">
        <w:rPr>
          <w:rFonts w:ascii="Times New Roman" w:hAnsi="Times New Roman" w:cs="Times New Roman"/>
          <w:sz w:val="20"/>
          <w:szCs w:val="20"/>
        </w:rPr>
        <w:t xml:space="preserve"> </w:t>
      </w:r>
      <w:r w:rsidR="00DD7C3C" w:rsidRPr="006B7377">
        <w:rPr>
          <w:rFonts w:ascii="Times New Roman" w:hAnsi="Times New Roman" w:cs="Times New Roman"/>
          <w:sz w:val="20"/>
          <w:szCs w:val="20"/>
        </w:rPr>
        <w:t>enzymes.</w:t>
      </w:r>
      <w:r w:rsidR="005D7954">
        <w:rPr>
          <w:rFonts w:ascii="Times New Roman" w:hAnsi="Times New Roman" w:cs="Times New Roman"/>
          <w:sz w:val="20"/>
          <w:szCs w:val="20"/>
        </w:rPr>
        <w:t xml:space="preserve"> </w:t>
      </w:r>
      <w:r w:rsidR="00DD7C3C" w:rsidRPr="006B7377">
        <w:rPr>
          <w:rFonts w:ascii="Times New Roman" w:hAnsi="Times New Roman" w:cs="Times New Roman"/>
          <w:sz w:val="20"/>
          <w:szCs w:val="20"/>
        </w:rPr>
        <w:t>Hepatotoxic</w:t>
      </w:r>
      <w:r w:rsidR="005D7954">
        <w:rPr>
          <w:rFonts w:ascii="Times New Roman" w:hAnsi="Times New Roman" w:cs="Times New Roman"/>
          <w:sz w:val="20"/>
          <w:szCs w:val="20"/>
        </w:rPr>
        <w:t xml:space="preserve"> </w:t>
      </w:r>
      <w:r w:rsidR="00DD7C3C" w:rsidRPr="006B7377">
        <w:rPr>
          <w:rFonts w:ascii="Times New Roman" w:hAnsi="Times New Roman" w:cs="Times New Roman"/>
          <w:sz w:val="20"/>
          <w:szCs w:val="20"/>
        </w:rPr>
        <w:t>rats</w:t>
      </w:r>
      <w:r w:rsidRPr="006B7377">
        <w:rPr>
          <w:rFonts w:ascii="Times New Roman" w:hAnsi="Times New Roman" w:cs="Times New Roman"/>
          <w:color w:val="000000"/>
          <w:sz w:val="20"/>
          <w:szCs w:val="20"/>
        </w:rPr>
        <w:t xml:space="preserve"> were </w:t>
      </w:r>
      <w:r w:rsidR="0056218D" w:rsidRPr="006B7377">
        <w:rPr>
          <w:rFonts w:ascii="Times New Roman" w:hAnsi="Times New Roman" w:cs="Times New Roman"/>
          <w:color w:val="000000"/>
          <w:sz w:val="20"/>
          <w:szCs w:val="20"/>
        </w:rPr>
        <w:t>distributed into</w:t>
      </w:r>
      <w:r w:rsidR="00DD7C3C" w:rsidRPr="006B7377">
        <w:rPr>
          <w:rFonts w:ascii="Times New Roman" w:hAnsi="Times New Roman" w:cs="Times New Roman"/>
          <w:color w:val="000000"/>
          <w:sz w:val="20"/>
          <w:szCs w:val="20"/>
        </w:rPr>
        <w:t>7</w:t>
      </w:r>
      <w:r w:rsidRPr="006B7377">
        <w:rPr>
          <w:rFonts w:ascii="Times New Roman" w:hAnsi="Times New Roman" w:cs="Times New Roman"/>
          <w:color w:val="000000"/>
          <w:sz w:val="20"/>
          <w:szCs w:val="20"/>
        </w:rPr>
        <w:t xml:space="preserve"> sub- groups (n=10 rats each group) and all rats were fed on rat pallets. The groups </w:t>
      </w:r>
      <w:r w:rsidR="0056218D" w:rsidRPr="006B7377">
        <w:rPr>
          <w:rFonts w:ascii="Times New Roman" w:hAnsi="Times New Roman" w:cs="Times New Roman"/>
          <w:color w:val="000000"/>
          <w:sz w:val="20"/>
          <w:szCs w:val="20"/>
        </w:rPr>
        <w:t>were</w:t>
      </w:r>
      <w:r w:rsidRPr="006B7377">
        <w:rPr>
          <w:rFonts w:ascii="Times New Roman" w:hAnsi="Times New Roman" w:cs="Times New Roman"/>
          <w:color w:val="000000"/>
          <w:sz w:val="20"/>
          <w:szCs w:val="20"/>
        </w:rPr>
        <w:t xml:space="preserve"> kept as follows:</w:t>
      </w:r>
    </w:p>
    <w:p w:rsidR="006F1C6A" w:rsidRPr="006B7377" w:rsidRDefault="006F1C6A" w:rsidP="005D7954">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B7377">
        <w:rPr>
          <w:rFonts w:ascii="Times New Roman" w:hAnsi="Times New Roman" w:cs="Times New Roman"/>
          <w:b/>
          <w:bCs/>
          <w:sz w:val="20"/>
          <w:szCs w:val="20"/>
          <w:lang w:bidi="ar-EG"/>
        </w:rPr>
        <w:lastRenderedPageBreak/>
        <w:t>Group (1):</w:t>
      </w:r>
      <w:r w:rsidRPr="006B7377">
        <w:rPr>
          <w:rFonts w:ascii="Times New Roman" w:hAnsi="Times New Roman" w:cs="Times New Roman"/>
          <w:color w:val="000000"/>
          <w:sz w:val="20"/>
          <w:szCs w:val="20"/>
        </w:rPr>
        <w:t xml:space="preserve"> Control negative group (NC)</w:t>
      </w:r>
    </w:p>
    <w:p w:rsidR="006F1C6A" w:rsidRPr="006B7377" w:rsidRDefault="006F1C6A" w:rsidP="005D7954">
      <w:pPr>
        <w:bidi w:val="0"/>
        <w:snapToGrid w:val="0"/>
        <w:spacing w:after="0" w:line="240" w:lineRule="auto"/>
        <w:ind w:firstLine="425"/>
        <w:jc w:val="both"/>
        <w:rPr>
          <w:rFonts w:ascii="Times New Roman" w:hAnsi="Times New Roman" w:cs="Times New Roman"/>
          <w:sz w:val="20"/>
          <w:szCs w:val="20"/>
        </w:rPr>
      </w:pPr>
      <w:r w:rsidRPr="006B7377">
        <w:rPr>
          <w:rFonts w:ascii="Times New Roman" w:hAnsi="Times New Roman" w:cs="Times New Roman"/>
          <w:b/>
          <w:bCs/>
          <w:sz w:val="20"/>
          <w:szCs w:val="20"/>
        </w:rPr>
        <w:t>Group (2)</w:t>
      </w:r>
      <w:r w:rsidR="002214B8" w:rsidRPr="006B7377">
        <w:rPr>
          <w:rFonts w:ascii="Times New Roman" w:hAnsi="Times New Roman" w:cs="Times New Roman"/>
          <w:b/>
          <w:bCs/>
          <w:sz w:val="20"/>
          <w:szCs w:val="20"/>
        </w:rPr>
        <w:t>:</w:t>
      </w:r>
      <w:r w:rsidR="002214B8" w:rsidRPr="006B7377">
        <w:rPr>
          <w:rFonts w:ascii="Times New Roman" w:hAnsi="Times New Roman" w:cs="Times New Roman"/>
          <w:color w:val="000000"/>
          <w:sz w:val="20"/>
          <w:szCs w:val="20"/>
        </w:rPr>
        <w:t xml:space="preserve"> Control</w:t>
      </w:r>
      <w:r w:rsidRPr="006B7377">
        <w:rPr>
          <w:rFonts w:ascii="Times New Roman" w:hAnsi="Times New Roman" w:cs="Times New Roman"/>
          <w:color w:val="000000"/>
          <w:sz w:val="20"/>
          <w:szCs w:val="20"/>
        </w:rPr>
        <w:t xml:space="preserve"> positive group </w:t>
      </w:r>
      <w:r w:rsidRPr="006B7377">
        <w:rPr>
          <w:rFonts w:ascii="Times New Roman" w:hAnsi="Times New Roman" w:cs="Times New Roman"/>
          <w:sz w:val="20"/>
          <w:szCs w:val="20"/>
        </w:rPr>
        <w:t>(PC)</w:t>
      </w:r>
    </w:p>
    <w:p w:rsidR="006F1C6A" w:rsidRPr="006B7377" w:rsidRDefault="006F1C6A" w:rsidP="005D7954">
      <w:pPr>
        <w:bidi w:val="0"/>
        <w:snapToGrid w:val="0"/>
        <w:spacing w:after="0" w:line="240" w:lineRule="auto"/>
        <w:ind w:firstLine="425"/>
        <w:jc w:val="both"/>
        <w:rPr>
          <w:rFonts w:ascii="Times New Roman" w:hAnsi="Times New Roman" w:cs="Times New Roman"/>
          <w:color w:val="000000"/>
          <w:sz w:val="20"/>
          <w:szCs w:val="20"/>
        </w:rPr>
      </w:pPr>
      <w:r w:rsidRPr="006B7377">
        <w:rPr>
          <w:rFonts w:ascii="Times New Roman" w:hAnsi="Times New Roman" w:cs="Times New Roman"/>
          <w:b/>
          <w:bCs/>
          <w:sz w:val="20"/>
          <w:szCs w:val="20"/>
        </w:rPr>
        <w:t>Group (3)</w:t>
      </w:r>
      <w:r w:rsidR="002214B8" w:rsidRPr="006B7377">
        <w:rPr>
          <w:rFonts w:ascii="Times New Roman" w:hAnsi="Times New Roman" w:cs="Times New Roman"/>
          <w:b/>
          <w:bCs/>
          <w:sz w:val="20"/>
          <w:szCs w:val="20"/>
        </w:rPr>
        <w:t>:</w:t>
      </w:r>
      <w:r w:rsidR="002214B8" w:rsidRPr="006B7377">
        <w:rPr>
          <w:rFonts w:ascii="Times New Roman" w:hAnsi="Times New Roman" w:cs="Times New Roman"/>
          <w:color w:val="000000"/>
          <w:sz w:val="20"/>
          <w:szCs w:val="20"/>
        </w:rPr>
        <w:t xml:space="preserve"> Treated</w:t>
      </w:r>
      <w:r w:rsidR="0056218D" w:rsidRPr="006B7377">
        <w:rPr>
          <w:rFonts w:ascii="Times New Roman" w:hAnsi="Times New Roman" w:cs="Times New Roman"/>
          <w:color w:val="000000"/>
          <w:sz w:val="20"/>
          <w:szCs w:val="20"/>
        </w:rPr>
        <w:t xml:space="preserve"> with</w:t>
      </w:r>
      <w:r w:rsidR="002214B8" w:rsidRPr="006B7377">
        <w:rPr>
          <w:rFonts w:ascii="Times New Roman" w:hAnsi="Times New Roman" w:cs="Times New Roman"/>
          <w:i/>
          <w:iCs/>
          <w:sz w:val="20"/>
          <w:szCs w:val="20"/>
          <w:lang w:bidi="ar-EG"/>
        </w:rPr>
        <w:t xml:space="preserve"> </w:t>
      </w:r>
      <w:r w:rsidR="00A94796" w:rsidRPr="006B7377">
        <w:rPr>
          <w:rFonts w:ascii="Times New Roman" w:hAnsi="Times New Roman" w:cs="Times New Roman"/>
          <w:i/>
          <w:iCs/>
          <w:sz w:val="20"/>
          <w:szCs w:val="20"/>
          <w:lang w:bidi="ar-EG"/>
        </w:rPr>
        <w:t>T</w:t>
      </w:r>
      <w:r w:rsidR="0056218D" w:rsidRPr="006B7377">
        <w:rPr>
          <w:rFonts w:ascii="Times New Roman" w:hAnsi="Times New Roman" w:cs="Times New Roman"/>
          <w:i/>
          <w:iCs/>
          <w:sz w:val="20"/>
          <w:szCs w:val="20"/>
          <w:lang w:bidi="ar-EG"/>
        </w:rPr>
        <w:t>amarindus</w:t>
      </w:r>
      <w:r w:rsidR="002214B8" w:rsidRPr="006B7377">
        <w:rPr>
          <w:rFonts w:ascii="Times New Roman" w:hAnsi="Times New Roman" w:cs="Times New Roman"/>
          <w:i/>
          <w:iCs/>
          <w:sz w:val="20"/>
          <w:szCs w:val="20"/>
          <w:lang w:bidi="ar-EG"/>
        </w:rPr>
        <w:t xml:space="preserve"> </w:t>
      </w:r>
      <w:r w:rsidR="0056218D" w:rsidRPr="006B7377">
        <w:rPr>
          <w:rFonts w:ascii="Times New Roman" w:hAnsi="Times New Roman" w:cs="Times New Roman"/>
          <w:i/>
          <w:iCs/>
          <w:sz w:val="20"/>
          <w:szCs w:val="20"/>
          <w:lang w:bidi="ar-EG"/>
        </w:rPr>
        <w:t>indica</w:t>
      </w:r>
      <w:r w:rsidR="002214B8" w:rsidRPr="006B7377">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w:t>
      </w:r>
      <w:r w:rsidR="0056218D" w:rsidRPr="006B7377">
        <w:rPr>
          <w:rFonts w:ascii="Times New Roman" w:hAnsi="Times New Roman" w:cs="Times New Roman"/>
          <w:color w:val="000000"/>
          <w:sz w:val="20"/>
          <w:szCs w:val="20"/>
        </w:rPr>
        <w:t>2</w:t>
      </w:r>
      <w:r w:rsidRPr="006B7377">
        <w:rPr>
          <w:rFonts w:ascii="Times New Roman" w:hAnsi="Times New Roman" w:cs="Times New Roman"/>
          <w:color w:val="000000"/>
          <w:sz w:val="20"/>
          <w:szCs w:val="20"/>
        </w:rPr>
        <w:t>00 mg/kg) (</w:t>
      </w:r>
      <w:r w:rsidR="0056218D" w:rsidRPr="006B7377">
        <w:rPr>
          <w:rFonts w:ascii="Times New Roman" w:hAnsi="Times New Roman" w:cs="Times New Roman"/>
          <w:color w:val="000000"/>
          <w:sz w:val="20"/>
          <w:szCs w:val="20"/>
        </w:rPr>
        <w:t>TI</w:t>
      </w:r>
      <w:r w:rsidRPr="006B7377">
        <w:rPr>
          <w:rFonts w:ascii="Times New Roman" w:hAnsi="Times New Roman" w:cs="Times New Roman"/>
          <w:color w:val="000000"/>
          <w:sz w:val="20"/>
          <w:szCs w:val="20"/>
        </w:rPr>
        <w:t>)</w:t>
      </w:r>
    </w:p>
    <w:p w:rsidR="006F1C6A" w:rsidRPr="006B7377" w:rsidRDefault="006F1C6A" w:rsidP="005D7954">
      <w:pPr>
        <w:bidi w:val="0"/>
        <w:snapToGrid w:val="0"/>
        <w:spacing w:after="0" w:line="240" w:lineRule="auto"/>
        <w:ind w:firstLine="425"/>
        <w:jc w:val="both"/>
        <w:rPr>
          <w:rFonts w:ascii="Times New Roman" w:hAnsi="Times New Roman" w:cs="Times New Roman"/>
          <w:b/>
          <w:bCs/>
          <w:sz w:val="20"/>
          <w:szCs w:val="20"/>
        </w:rPr>
      </w:pPr>
      <w:r w:rsidRPr="006B7377">
        <w:rPr>
          <w:rFonts w:ascii="Times New Roman" w:hAnsi="Times New Roman" w:cs="Times New Roman"/>
          <w:b/>
          <w:bCs/>
          <w:sz w:val="20"/>
          <w:szCs w:val="20"/>
        </w:rPr>
        <w:t>Group (4)</w:t>
      </w:r>
      <w:r w:rsidR="002214B8" w:rsidRPr="006B7377">
        <w:rPr>
          <w:rFonts w:ascii="Times New Roman" w:hAnsi="Times New Roman" w:cs="Times New Roman"/>
          <w:b/>
          <w:bCs/>
          <w:sz w:val="20"/>
          <w:szCs w:val="20"/>
        </w:rPr>
        <w:t>:</w:t>
      </w:r>
      <w:r w:rsidR="002214B8" w:rsidRPr="006B7377">
        <w:rPr>
          <w:rFonts w:ascii="Times New Roman" w:hAnsi="Times New Roman" w:cs="Times New Roman"/>
          <w:color w:val="000000"/>
          <w:sz w:val="20"/>
          <w:szCs w:val="20"/>
        </w:rPr>
        <w:t xml:space="preserve"> Treated</w:t>
      </w:r>
      <w:r w:rsidR="0056218D" w:rsidRPr="006B7377">
        <w:rPr>
          <w:rFonts w:ascii="Times New Roman" w:hAnsi="Times New Roman" w:cs="Times New Roman"/>
          <w:color w:val="000000"/>
          <w:sz w:val="20"/>
          <w:szCs w:val="20"/>
        </w:rPr>
        <w:t xml:space="preserve"> with</w:t>
      </w:r>
      <w:r w:rsidR="002214B8" w:rsidRPr="006B7377">
        <w:rPr>
          <w:rFonts w:ascii="Times New Roman" w:hAnsi="Times New Roman" w:cs="Times New Roman"/>
          <w:i/>
          <w:iCs/>
          <w:sz w:val="20"/>
          <w:szCs w:val="20"/>
          <w:lang w:bidi="ar-EG"/>
        </w:rPr>
        <w:t xml:space="preserve"> </w:t>
      </w:r>
      <w:r w:rsidR="00A94796" w:rsidRPr="006B7377">
        <w:rPr>
          <w:rFonts w:ascii="Times New Roman" w:hAnsi="Times New Roman" w:cs="Times New Roman"/>
          <w:i/>
          <w:iCs/>
          <w:sz w:val="20"/>
          <w:szCs w:val="20"/>
          <w:lang w:bidi="ar-EG"/>
        </w:rPr>
        <w:t>T</w:t>
      </w:r>
      <w:r w:rsidR="0056218D" w:rsidRPr="006B7377">
        <w:rPr>
          <w:rFonts w:ascii="Times New Roman" w:hAnsi="Times New Roman" w:cs="Times New Roman"/>
          <w:i/>
          <w:iCs/>
          <w:sz w:val="20"/>
          <w:szCs w:val="20"/>
          <w:lang w:bidi="ar-EG"/>
        </w:rPr>
        <w:t>amarindus</w:t>
      </w:r>
      <w:r w:rsidR="002214B8" w:rsidRPr="006B7377">
        <w:rPr>
          <w:rFonts w:ascii="Times New Roman" w:hAnsi="Times New Roman" w:cs="Times New Roman"/>
          <w:i/>
          <w:iCs/>
          <w:sz w:val="20"/>
          <w:szCs w:val="20"/>
          <w:lang w:bidi="ar-EG"/>
        </w:rPr>
        <w:t xml:space="preserve"> </w:t>
      </w:r>
      <w:r w:rsidR="0056218D" w:rsidRPr="006B7377">
        <w:rPr>
          <w:rFonts w:ascii="Times New Roman" w:hAnsi="Times New Roman" w:cs="Times New Roman"/>
          <w:i/>
          <w:iCs/>
          <w:sz w:val="20"/>
          <w:szCs w:val="20"/>
          <w:lang w:bidi="ar-EG"/>
        </w:rPr>
        <w:t>indic</w:t>
      </w:r>
      <w:r w:rsidR="006B7377" w:rsidRPr="006B7377">
        <w:rPr>
          <w:rFonts w:ascii="Times New Roman" w:hAnsi="Times New Roman" w:cs="Times New Roman"/>
          <w:i/>
          <w:iCs/>
          <w:sz w:val="20"/>
          <w:szCs w:val="20"/>
          <w:lang w:bidi="ar-EG"/>
        </w:rPr>
        <w:t xml:space="preserve">a </w:t>
      </w:r>
      <w:r w:rsidR="006B7377" w:rsidRPr="006B7377">
        <w:rPr>
          <w:rFonts w:ascii="Times New Roman" w:hAnsi="Times New Roman" w:cs="Times New Roman"/>
          <w:color w:val="000000"/>
          <w:sz w:val="20"/>
          <w:szCs w:val="20"/>
        </w:rPr>
        <w:t>(</w:t>
      </w:r>
      <w:r w:rsidR="0056218D" w:rsidRPr="006B7377">
        <w:rPr>
          <w:rFonts w:ascii="Times New Roman" w:hAnsi="Times New Roman" w:cs="Times New Roman"/>
          <w:color w:val="000000"/>
          <w:sz w:val="20"/>
          <w:szCs w:val="20"/>
        </w:rPr>
        <w:t>4</w:t>
      </w:r>
      <w:r w:rsidRPr="006B7377">
        <w:rPr>
          <w:rFonts w:ascii="Times New Roman" w:hAnsi="Times New Roman" w:cs="Times New Roman"/>
          <w:color w:val="000000"/>
          <w:sz w:val="20"/>
          <w:szCs w:val="20"/>
        </w:rPr>
        <w:t>00 mg/kg) (</w:t>
      </w:r>
      <w:r w:rsidR="0056218D" w:rsidRPr="006B7377">
        <w:rPr>
          <w:rFonts w:ascii="Times New Roman" w:hAnsi="Times New Roman" w:cs="Times New Roman"/>
          <w:color w:val="000000"/>
          <w:sz w:val="20"/>
          <w:szCs w:val="20"/>
        </w:rPr>
        <w:t>TI</w:t>
      </w:r>
      <w:r w:rsidRPr="006B7377">
        <w:rPr>
          <w:rFonts w:ascii="Times New Roman" w:hAnsi="Times New Roman" w:cs="Times New Roman"/>
          <w:color w:val="000000"/>
          <w:sz w:val="20"/>
          <w:szCs w:val="20"/>
        </w:rPr>
        <w:t>)</w:t>
      </w:r>
    </w:p>
    <w:p w:rsidR="006F1C6A" w:rsidRPr="006B7377" w:rsidRDefault="006F1C6A" w:rsidP="005D7954">
      <w:pPr>
        <w:bidi w:val="0"/>
        <w:snapToGrid w:val="0"/>
        <w:spacing w:after="0" w:line="240" w:lineRule="auto"/>
        <w:ind w:firstLine="425"/>
        <w:jc w:val="both"/>
        <w:rPr>
          <w:rFonts w:ascii="Times New Roman" w:hAnsi="Times New Roman" w:cs="Times New Roman"/>
          <w:color w:val="000000"/>
          <w:sz w:val="20"/>
          <w:szCs w:val="20"/>
        </w:rPr>
      </w:pPr>
      <w:r w:rsidRPr="006B7377">
        <w:rPr>
          <w:rFonts w:ascii="Times New Roman" w:hAnsi="Times New Roman" w:cs="Times New Roman"/>
          <w:b/>
          <w:bCs/>
          <w:sz w:val="20"/>
          <w:szCs w:val="20"/>
        </w:rPr>
        <w:t>Group (5)</w:t>
      </w:r>
      <w:r w:rsidR="002214B8" w:rsidRPr="006B7377">
        <w:rPr>
          <w:rFonts w:ascii="Times New Roman" w:hAnsi="Times New Roman" w:cs="Times New Roman"/>
          <w:b/>
          <w:bCs/>
          <w:sz w:val="20"/>
          <w:szCs w:val="20"/>
        </w:rPr>
        <w:t>:</w:t>
      </w:r>
      <w:r w:rsidR="002214B8" w:rsidRPr="006B7377">
        <w:rPr>
          <w:rFonts w:ascii="Times New Roman" w:hAnsi="Times New Roman" w:cs="Times New Roman"/>
          <w:color w:val="000000"/>
          <w:sz w:val="20"/>
          <w:szCs w:val="20"/>
        </w:rPr>
        <w:t xml:space="preserve"> Treated</w:t>
      </w:r>
      <w:r w:rsidR="0056218D" w:rsidRPr="006B7377">
        <w:rPr>
          <w:rFonts w:ascii="Times New Roman" w:hAnsi="Times New Roman" w:cs="Times New Roman"/>
          <w:color w:val="000000"/>
          <w:sz w:val="20"/>
          <w:szCs w:val="20"/>
        </w:rPr>
        <w:t xml:space="preserve"> with</w:t>
      </w:r>
      <w:r w:rsidR="002214B8" w:rsidRPr="006B7377">
        <w:rPr>
          <w:rFonts w:ascii="Times New Roman" w:hAnsi="Times New Roman" w:cs="Times New Roman"/>
          <w:color w:val="000000"/>
          <w:sz w:val="20"/>
          <w:szCs w:val="20"/>
        </w:rPr>
        <w:t xml:space="preserve"> </w:t>
      </w:r>
      <w:r w:rsidR="0056218D" w:rsidRPr="006B7377">
        <w:rPr>
          <w:rFonts w:ascii="Times New Roman" w:eastAsia="Times New Roman" w:hAnsi="Times New Roman" w:cs="Times New Roman"/>
          <w:i/>
          <w:iCs/>
          <w:color w:val="000000"/>
          <w:sz w:val="20"/>
          <w:szCs w:val="20"/>
        </w:rPr>
        <w:t>Ginkgo biloba</w:t>
      </w:r>
      <w:r w:rsidR="002214B8" w:rsidRPr="006B7377">
        <w:rPr>
          <w:rFonts w:ascii="Times New Roman" w:eastAsia="Times New Roman" w:hAnsi="Times New Roman" w:cs="Times New Roman"/>
          <w:i/>
          <w:iCs/>
          <w:color w:val="000000"/>
          <w:sz w:val="20"/>
          <w:szCs w:val="20"/>
        </w:rPr>
        <w:t xml:space="preserve"> </w:t>
      </w:r>
      <w:r w:rsidRPr="006B7377">
        <w:rPr>
          <w:rFonts w:ascii="Times New Roman" w:hAnsi="Times New Roman" w:cs="Times New Roman"/>
          <w:color w:val="000000"/>
          <w:sz w:val="20"/>
          <w:szCs w:val="20"/>
        </w:rPr>
        <w:t>(</w:t>
      </w:r>
      <w:r w:rsidR="0056218D" w:rsidRPr="006B7377">
        <w:rPr>
          <w:rFonts w:ascii="Times New Roman" w:hAnsi="Times New Roman" w:cs="Times New Roman"/>
          <w:color w:val="000000"/>
          <w:sz w:val="20"/>
          <w:szCs w:val="20"/>
        </w:rPr>
        <w:t>2</w:t>
      </w:r>
      <w:r w:rsidRPr="006B7377">
        <w:rPr>
          <w:rFonts w:ascii="Times New Roman" w:hAnsi="Times New Roman" w:cs="Times New Roman"/>
          <w:color w:val="000000"/>
          <w:sz w:val="20"/>
          <w:szCs w:val="20"/>
        </w:rPr>
        <w:t>00 mg/kg) (</w:t>
      </w:r>
      <w:r w:rsidR="0056218D" w:rsidRPr="006B7377">
        <w:rPr>
          <w:rFonts w:ascii="Times New Roman" w:hAnsi="Times New Roman" w:cs="Times New Roman"/>
          <w:color w:val="000000"/>
          <w:sz w:val="20"/>
          <w:szCs w:val="20"/>
        </w:rPr>
        <w:t>GB</w:t>
      </w:r>
      <w:r w:rsidRPr="006B7377">
        <w:rPr>
          <w:rFonts w:ascii="Times New Roman" w:hAnsi="Times New Roman" w:cs="Times New Roman"/>
          <w:color w:val="000000"/>
          <w:sz w:val="20"/>
          <w:szCs w:val="20"/>
        </w:rPr>
        <w:t>)</w:t>
      </w:r>
    </w:p>
    <w:p w:rsidR="006F1C6A" w:rsidRPr="006B7377" w:rsidRDefault="006F1C6A" w:rsidP="005D7954">
      <w:pPr>
        <w:bidi w:val="0"/>
        <w:snapToGrid w:val="0"/>
        <w:spacing w:after="0" w:line="240" w:lineRule="auto"/>
        <w:ind w:firstLine="425"/>
        <w:jc w:val="both"/>
        <w:rPr>
          <w:rFonts w:ascii="Times New Roman" w:hAnsi="Times New Roman" w:cs="Times New Roman"/>
          <w:color w:val="FF0000"/>
          <w:sz w:val="20"/>
          <w:szCs w:val="20"/>
        </w:rPr>
      </w:pPr>
      <w:r w:rsidRPr="006B7377">
        <w:rPr>
          <w:rFonts w:ascii="Times New Roman" w:hAnsi="Times New Roman" w:cs="Times New Roman"/>
          <w:b/>
          <w:bCs/>
          <w:sz w:val="20"/>
          <w:szCs w:val="20"/>
        </w:rPr>
        <w:t>Group (6)</w:t>
      </w:r>
      <w:r w:rsidR="002214B8" w:rsidRPr="006B7377">
        <w:rPr>
          <w:rFonts w:ascii="Times New Roman" w:hAnsi="Times New Roman" w:cs="Times New Roman"/>
          <w:b/>
          <w:bCs/>
          <w:sz w:val="20"/>
          <w:szCs w:val="20"/>
        </w:rPr>
        <w:t>:</w:t>
      </w:r>
      <w:r w:rsidR="002214B8" w:rsidRPr="006B7377">
        <w:rPr>
          <w:rFonts w:ascii="Times New Roman" w:hAnsi="Times New Roman" w:cs="Times New Roman"/>
          <w:color w:val="000000"/>
          <w:sz w:val="20"/>
          <w:szCs w:val="20"/>
        </w:rPr>
        <w:t xml:space="preserve"> Treated</w:t>
      </w:r>
      <w:r w:rsidR="0056218D" w:rsidRPr="006B7377">
        <w:rPr>
          <w:rFonts w:ascii="Times New Roman" w:hAnsi="Times New Roman" w:cs="Times New Roman"/>
          <w:color w:val="000000"/>
          <w:sz w:val="20"/>
          <w:szCs w:val="20"/>
        </w:rPr>
        <w:t xml:space="preserve"> with</w:t>
      </w:r>
      <w:r w:rsidR="002214B8" w:rsidRPr="006B7377">
        <w:rPr>
          <w:rFonts w:ascii="Times New Roman" w:eastAsia="Times New Roman" w:hAnsi="Times New Roman" w:cs="Times New Roman"/>
          <w:i/>
          <w:iCs/>
          <w:color w:val="000000"/>
          <w:sz w:val="20"/>
          <w:szCs w:val="20"/>
        </w:rPr>
        <w:t xml:space="preserve"> </w:t>
      </w:r>
      <w:r w:rsidR="0056218D" w:rsidRPr="006B7377">
        <w:rPr>
          <w:rFonts w:ascii="Times New Roman" w:eastAsia="Times New Roman" w:hAnsi="Times New Roman" w:cs="Times New Roman"/>
          <w:i/>
          <w:iCs/>
          <w:color w:val="000000"/>
          <w:sz w:val="20"/>
          <w:szCs w:val="20"/>
        </w:rPr>
        <w:t>Ginkgo biloba</w:t>
      </w:r>
      <w:r w:rsidR="002214B8" w:rsidRPr="006B7377">
        <w:rPr>
          <w:rFonts w:ascii="Times New Roman" w:hAnsi="Times New Roman" w:cs="Times New Roman"/>
          <w:color w:val="000000"/>
          <w:sz w:val="20"/>
          <w:szCs w:val="20"/>
        </w:rPr>
        <w:t xml:space="preserve"> </w:t>
      </w:r>
      <w:r w:rsidRPr="006B7377">
        <w:rPr>
          <w:rFonts w:ascii="Times New Roman" w:hAnsi="Times New Roman" w:cs="Times New Roman"/>
          <w:color w:val="000000"/>
          <w:sz w:val="20"/>
          <w:szCs w:val="20"/>
        </w:rPr>
        <w:t>(</w:t>
      </w:r>
      <w:r w:rsidR="0056218D" w:rsidRPr="006B7377">
        <w:rPr>
          <w:rFonts w:ascii="Times New Roman" w:hAnsi="Times New Roman" w:cs="Times New Roman"/>
          <w:color w:val="000000"/>
          <w:sz w:val="20"/>
          <w:szCs w:val="20"/>
        </w:rPr>
        <w:t>4</w:t>
      </w:r>
      <w:r w:rsidRPr="006B7377">
        <w:rPr>
          <w:rFonts w:ascii="Times New Roman" w:hAnsi="Times New Roman" w:cs="Times New Roman"/>
          <w:color w:val="000000"/>
          <w:sz w:val="20"/>
          <w:szCs w:val="20"/>
        </w:rPr>
        <w:t>00 mg/kg) (</w:t>
      </w:r>
      <w:r w:rsidR="0056218D" w:rsidRPr="006B7377">
        <w:rPr>
          <w:rFonts w:ascii="Times New Roman" w:hAnsi="Times New Roman" w:cs="Times New Roman"/>
          <w:color w:val="000000"/>
          <w:sz w:val="20"/>
          <w:szCs w:val="20"/>
        </w:rPr>
        <w:t>GB</w:t>
      </w:r>
      <w:r w:rsidRPr="006B7377">
        <w:rPr>
          <w:rFonts w:ascii="Times New Roman" w:hAnsi="Times New Roman" w:cs="Times New Roman"/>
          <w:color w:val="000000"/>
          <w:sz w:val="20"/>
          <w:szCs w:val="20"/>
        </w:rPr>
        <w:t>)</w:t>
      </w:r>
    </w:p>
    <w:p w:rsidR="0056218D" w:rsidRPr="006B7377" w:rsidRDefault="0056218D" w:rsidP="005D7954">
      <w:pPr>
        <w:bidi w:val="0"/>
        <w:snapToGrid w:val="0"/>
        <w:spacing w:after="0" w:line="240" w:lineRule="auto"/>
        <w:ind w:firstLine="425"/>
        <w:jc w:val="both"/>
        <w:rPr>
          <w:rFonts w:ascii="Times New Roman" w:hAnsi="Times New Roman" w:cs="Times New Roman"/>
          <w:color w:val="FF0000"/>
          <w:sz w:val="20"/>
          <w:szCs w:val="20"/>
        </w:rPr>
      </w:pPr>
      <w:r w:rsidRPr="006B7377">
        <w:rPr>
          <w:rFonts w:ascii="Times New Roman" w:hAnsi="Times New Roman" w:cs="Times New Roman"/>
          <w:b/>
          <w:bCs/>
          <w:sz w:val="20"/>
          <w:szCs w:val="20"/>
        </w:rPr>
        <w:t>Group (7)</w:t>
      </w:r>
      <w:r w:rsidR="002214B8" w:rsidRPr="006B7377">
        <w:rPr>
          <w:rFonts w:ascii="Times New Roman" w:hAnsi="Times New Roman" w:cs="Times New Roman"/>
          <w:b/>
          <w:bCs/>
          <w:sz w:val="20"/>
          <w:szCs w:val="20"/>
        </w:rPr>
        <w:t>:</w:t>
      </w:r>
      <w:r w:rsidR="002214B8" w:rsidRPr="006B7377">
        <w:rPr>
          <w:rFonts w:ascii="Times New Roman" w:hAnsi="Times New Roman" w:cs="Times New Roman"/>
          <w:color w:val="000000"/>
          <w:sz w:val="20"/>
          <w:szCs w:val="20"/>
        </w:rPr>
        <w:t xml:space="preserve"> Treated</w:t>
      </w:r>
      <w:r w:rsidRPr="006B7377">
        <w:rPr>
          <w:rFonts w:ascii="Times New Roman" w:hAnsi="Times New Roman" w:cs="Times New Roman"/>
          <w:color w:val="000000"/>
          <w:sz w:val="20"/>
          <w:szCs w:val="20"/>
        </w:rPr>
        <w:t xml:space="preserve"> with Both </w:t>
      </w:r>
      <w:r w:rsidRPr="006B7377">
        <w:rPr>
          <w:rFonts w:ascii="Times New Roman" w:hAnsi="Times New Roman" w:cs="Times New Roman"/>
          <w:sz w:val="20"/>
          <w:szCs w:val="20"/>
          <w:lang w:bidi="ar-EG"/>
        </w:rPr>
        <w:t xml:space="preserve">TI + </w:t>
      </w:r>
      <w:r w:rsidRPr="006B7377">
        <w:rPr>
          <w:rFonts w:ascii="Times New Roman" w:eastAsia="Times New Roman" w:hAnsi="Times New Roman" w:cs="Times New Roman"/>
          <w:color w:val="000000"/>
          <w:sz w:val="20"/>
          <w:szCs w:val="20"/>
        </w:rPr>
        <w:t xml:space="preserve">GB </w:t>
      </w:r>
      <w:r w:rsidRPr="006B7377">
        <w:rPr>
          <w:rFonts w:ascii="Times New Roman" w:hAnsi="Times New Roman" w:cs="Times New Roman"/>
          <w:color w:val="000000"/>
          <w:sz w:val="20"/>
          <w:szCs w:val="20"/>
        </w:rPr>
        <w:t xml:space="preserve">(200 mg/kg) </w:t>
      </w:r>
    </w:p>
    <w:p w:rsidR="0056218D" w:rsidRPr="006B7377" w:rsidRDefault="0056218D" w:rsidP="005D7954">
      <w:pPr>
        <w:bidi w:val="0"/>
        <w:snapToGrid w:val="0"/>
        <w:spacing w:after="0" w:line="240" w:lineRule="auto"/>
        <w:ind w:firstLine="425"/>
        <w:jc w:val="both"/>
        <w:rPr>
          <w:rFonts w:ascii="Times New Roman" w:hAnsi="Times New Roman" w:cs="Times New Roman"/>
          <w:color w:val="FF0000"/>
          <w:sz w:val="20"/>
          <w:szCs w:val="20"/>
        </w:rPr>
      </w:pPr>
      <w:r w:rsidRPr="006B7377">
        <w:rPr>
          <w:rFonts w:ascii="Times New Roman" w:hAnsi="Times New Roman" w:cs="Times New Roman"/>
          <w:b/>
          <w:bCs/>
          <w:sz w:val="20"/>
          <w:szCs w:val="20"/>
        </w:rPr>
        <w:t>Group (8)</w:t>
      </w:r>
      <w:r w:rsidR="002214B8" w:rsidRPr="006B7377">
        <w:rPr>
          <w:rFonts w:ascii="Times New Roman" w:hAnsi="Times New Roman" w:cs="Times New Roman"/>
          <w:b/>
          <w:bCs/>
          <w:sz w:val="20"/>
          <w:szCs w:val="20"/>
        </w:rPr>
        <w:t>:</w:t>
      </w:r>
      <w:r w:rsidR="002214B8" w:rsidRPr="006B7377">
        <w:rPr>
          <w:rFonts w:ascii="Times New Roman" w:hAnsi="Times New Roman" w:cs="Times New Roman"/>
          <w:color w:val="000000"/>
          <w:sz w:val="20"/>
          <w:szCs w:val="20"/>
        </w:rPr>
        <w:t xml:space="preserve"> Treated</w:t>
      </w:r>
      <w:r w:rsidRPr="006B7377">
        <w:rPr>
          <w:rFonts w:ascii="Times New Roman" w:hAnsi="Times New Roman" w:cs="Times New Roman"/>
          <w:color w:val="000000"/>
          <w:sz w:val="20"/>
          <w:szCs w:val="20"/>
        </w:rPr>
        <w:t xml:space="preserve"> with TI</w:t>
      </w:r>
      <w:r w:rsidRPr="006B7377">
        <w:rPr>
          <w:rFonts w:ascii="Times New Roman" w:hAnsi="Times New Roman" w:cs="Times New Roman"/>
          <w:sz w:val="20"/>
          <w:szCs w:val="20"/>
          <w:lang w:bidi="ar-EG"/>
        </w:rPr>
        <w:t xml:space="preserve"> + </w:t>
      </w:r>
      <w:r w:rsidRPr="006B7377">
        <w:rPr>
          <w:rFonts w:ascii="Times New Roman" w:eastAsia="Times New Roman" w:hAnsi="Times New Roman" w:cs="Times New Roman"/>
          <w:i/>
          <w:iCs/>
          <w:color w:val="000000"/>
          <w:sz w:val="20"/>
          <w:szCs w:val="20"/>
        </w:rPr>
        <w:t>GB</w:t>
      </w:r>
      <w:r w:rsidRPr="006B7377">
        <w:rPr>
          <w:rFonts w:ascii="Times New Roman" w:hAnsi="Times New Roman" w:cs="Times New Roman"/>
          <w:color w:val="000000"/>
          <w:sz w:val="20"/>
          <w:szCs w:val="20"/>
        </w:rPr>
        <w:t xml:space="preserve"> (400 mg/kg) </w:t>
      </w:r>
    </w:p>
    <w:p w:rsidR="006F1C6A" w:rsidRPr="006B7377" w:rsidRDefault="006F1C6A" w:rsidP="005D7954">
      <w:pPr>
        <w:bidi w:val="0"/>
        <w:snapToGrid w:val="0"/>
        <w:spacing w:after="0" w:line="240" w:lineRule="auto"/>
        <w:ind w:firstLine="425"/>
        <w:jc w:val="both"/>
        <w:rPr>
          <w:rFonts w:ascii="Times New Roman" w:hAnsi="Times New Roman" w:cs="Times New Roman"/>
          <w:b/>
          <w:bCs/>
          <w:sz w:val="20"/>
          <w:szCs w:val="20"/>
          <w:lang w:bidi="ar-EG"/>
        </w:rPr>
      </w:pPr>
      <w:r w:rsidRPr="006B7377">
        <w:rPr>
          <w:rFonts w:ascii="Times New Roman" w:eastAsiaTheme="minorHAnsi" w:hAnsi="Times New Roman" w:cs="Times New Roman"/>
          <w:sz w:val="20"/>
          <w:szCs w:val="20"/>
        </w:rPr>
        <w:t xml:space="preserve">At day twenty eight blood samples were collected for biochemical analyses. </w:t>
      </w:r>
    </w:p>
    <w:p w:rsidR="006F1C6A" w:rsidRPr="006B7377" w:rsidRDefault="006F1C6A" w:rsidP="005D7954">
      <w:pPr>
        <w:pStyle w:val="Heading4"/>
        <w:keepNext w:val="0"/>
        <w:keepLines w:val="0"/>
        <w:snapToGrid w:val="0"/>
        <w:spacing w:before="0" w:line="240" w:lineRule="auto"/>
        <w:jc w:val="both"/>
        <w:rPr>
          <w:rFonts w:ascii="Times New Roman" w:eastAsiaTheme="minorHAnsi" w:hAnsi="Times New Roman" w:cs="Times New Roman"/>
          <w:i w:val="0"/>
          <w:iCs w:val="0"/>
          <w:caps/>
          <w:color w:val="auto"/>
          <w:sz w:val="20"/>
          <w:szCs w:val="20"/>
        </w:rPr>
      </w:pPr>
      <w:r w:rsidRPr="006B7377">
        <w:rPr>
          <w:rFonts w:ascii="Times New Roman" w:eastAsiaTheme="minorHAnsi" w:hAnsi="Times New Roman" w:cs="Times New Roman"/>
          <w:i w:val="0"/>
          <w:iCs w:val="0"/>
          <w:color w:val="auto"/>
          <w:sz w:val="20"/>
          <w:szCs w:val="20"/>
        </w:rPr>
        <w:t>Determination of biological evaluation</w:t>
      </w:r>
    </w:p>
    <w:p w:rsidR="006F1C6A" w:rsidRPr="006B7377" w:rsidRDefault="006F1C6A" w:rsidP="005D7954">
      <w:pPr>
        <w:bidi w:val="0"/>
        <w:snapToGrid w:val="0"/>
        <w:spacing w:after="0" w:line="240" w:lineRule="auto"/>
        <w:ind w:firstLine="425"/>
        <w:jc w:val="both"/>
        <w:rPr>
          <w:rFonts w:ascii="Times New Roman" w:eastAsia="Calibri" w:hAnsi="Times New Roman" w:cs="Times New Roman"/>
          <w:sz w:val="20"/>
          <w:szCs w:val="20"/>
        </w:rPr>
      </w:pPr>
      <w:r w:rsidRPr="006B7377">
        <w:rPr>
          <w:rFonts w:ascii="Times New Roman" w:hAnsi="Times New Roman" w:cs="Times New Roman"/>
          <w:color w:val="000000"/>
          <w:sz w:val="20"/>
          <w:szCs w:val="20"/>
        </w:rPr>
        <w:t xml:space="preserve">Each day feed intake (FI) for all groups were recorded throw out the experimental time (8 weeks). Body weight gain percentage (BWG %) and feed efficiency ratio (FER) were calculated </w:t>
      </w:r>
      <w:r w:rsidRPr="006B7377">
        <w:rPr>
          <w:rFonts w:ascii="Times New Roman" w:hAnsi="Times New Roman" w:cs="Times New Roman"/>
          <w:color w:val="111111"/>
          <w:sz w:val="20"/>
          <w:szCs w:val="20"/>
        </w:rPr>
        <w:t>consistent with</w:t>
      </w:r>
      <w:r w:rsidRPr="006B7377">
        <w:rPr>
          <w:rFonts w:ascii="Times New Roman" w:hAnsi="Times New Roman" w:cs="Times New Roman"/>
          <w:color w:val="111111"/>
          <w:sz w:val="20"/>
          <w:szCs w:val="20"/>
          <w:shd w:val="clear" w:color="auto" w:fill="FFFFFF"/>
        </w:rPr>
        <w:t> the </w:t>
      </w:r>
      <w:r w:rsidRPr="006B7377">
        <w:rPr>
          <w:rFonts w:ascii="Times New Roman" w:hAnsi="Times New Roman" w:cs="Times New Roman"/>
          <w:sz w:val="20"/>
          <w:szCs w:val="20"/>
        </w:rPr>
        <w:t>approach</w:t>
      </w:r>
      <w:r w:rsidRPr="006B7377">
        <w:rPr>
          <w:rFonts w:ascii="Times New Roman" w:hAnsi="Times New Roman" w:cs="Times New Roman"/>
          <w:sz w:val="20"/>
          <w:szCs w:val="20"/>
          <w:shd w:val="clear" w:color="auto" w:fill="FFFFFF"/>
        </w:rPr>
        <w:t> of</w:t>
      </w:r>
      <w:r w:rsidRPr="006B7377">
        <w:rPr>
          <w:rFonts w:ascii="Times New Roman" w:hAnsi="Times New Roman" w:cs="Times New Roman"/>
          <w:sz w:val="20"/>
          <w:szCs w:val="20"/>
        </w:rPr>
        <w:t xml:space="preserve"> [</w:t>
      </w:r>
      <w:r w:rsidR="008D1091" w:rsidRPr="006B7377">
        <w:rPr>
          <w:rFonts w:ascii="Times New Roman" w:hAnsi="Times New Roman" w:cs="Times New Roman"/>
          <w:sz w:val="20"/>
          <w:szCs w:val="20"/>
        </w:rPr>
        <w:t>15</w:t>
      </w:r>
      <w:r w:rsidRPr="006B7377">
        <w:rPr>
          <w:rFonts w:ascii="Times New Roman" w:hAnsi="Times New Roman" w:cs="Times New Roman"/>
          <w:sz w:val="20"/>
          <w:szCs w:val="20"/>
        </w:rPr>
        <w:t>].</w:t>
      </w:r>
    </w:p>
    <w:p w:rsidR="0056218D" w:rsidRPr="006B7377" w:rsidRDefault="0056218D" w:rsidP="005D7954">
      <w:pPr>
        <w:pStyle w:val="Heading4"/>
        <w:keepNext w:val="0"/>
        <w:keepLines w:val="0"/>
        <w:snapToGrid w:val="0"/>
        <w:spacing w:before="0" w:line="240" w:lineRule="auto"/>
        <w:jc w:val="both"/>
        <w:rPr>
          <w:rFonts w:ascii="Times New Roman" w:eastAsiaTheme="minorHAnsi" w:hAnsi="Times New Roman" w:cs="Times New Roman"/>
          <w:b w:val="0"/>
          <w:bCs w:val="0"/>
          <w:i w:val="0"/>
          <w:iCs w:val="0"/>
          <w:caps/>
          <w:color w:val="auto"/>
          <w:sz w:val="20"/>
          <w:szCs w:val="20"/>
        </w:rPr>
      </w:pPr>
      <w:r w:rsidRPr="006B7377">
        <w:rPr>
          <w:rFonts w:ascii="Times New Roman" w:eastAsiaTheme="minorHAnsi" w:hAnsi="Times New Roman" w:cs="Times New Roman"/>
          <w:i w:val="0"/>
          <w:iCs w:val="0"/>
          <w:color w:val="auto"/>
          <w:sz w:val="20"/>
          <w:szCs w:val="20"/>
        </w:rPr>
        <w:t>Determination of hepatic enzymes activity</w:t>
      </w:r>
    </w:p>
    <w:p w:rsidR="0056218D" w:rsidRPr="006B7377" w:rsidRDefault="00A94796" w:rsidP="005D795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B7377">
        <w:rPr>
          <w:rFonts w:ascii="Times New Roman" w:hAnsi="Times New Roman" w:cs="Times New Roman"/>
          <w:sz w:val="20"/>
          <w:szCs w:val="20"/>
        </w:rPr>
        <w:t>Aspartate</w:t>
      </w:r>
      <w:r w:rsidR="0056218D" w:rsidRPr="006B7377">
        <w:rPr>
          <w:rFonts w:ascii="Times New Roman" w:hAnsi="Times New Roman" w:cs="Times New Roman"/>
          <w:sz w:val="20"/>
          <w:szCs w:val="20"/>
        </w:rPr>
        <w:t xml:space="preserve"> and alanine aminotransferase (AST and ALT) were chemically determined according to Bergmeyer et al., [</w:t>
      </w:r>
      <w:r w:rsidR="0024209C" w:rsidRPr="006B7377">
        <w:rPr>
          <w:rFonts w:ascii="Times New Roman" w:hAnsi="Times New Roman" w:cs="Times New Roman"/>
          <w:sz w:val="20"/>
          <w:szCs w:val="20"/>
        </w:rPr>
        <w:t>16</w:t>
      </w:r>
      <w:r w:rsidR="0056218D" w:rsidRPr="006B7377">
        <w:rPr>
          <w:rFonts w:ascii="Times New Roman" w:hAnsi="Times New Roman" w:cs="Times New Roman"/>
          <w:sz w:val="20"/>
          <w:szCs w:val="20"/>
        </w:rPr>
        <w:t xml:space="preserve">]. </w:t>
      </w:r>
    </w:p>
    <w:p w:rsidR="006F1C6A" w:rsidRPr="006B7377" w:rsidRDefault="006F1C6A" w:rsidP="005D7954">
      <w:pPr>
        <w:pStyle w:val="Heading4"/>
        <w:keepNext w:val="0"/>
        <w:keepLines w:val="0"/>
        <w:snapToGrid w:val="0"/>
        <w:spacing w:before="0" w:line="240" w:lineRule="auto"/>
        <w:jc w:val="both"/>
        <w:rPr>
          <w:rFonts w:ascii="Times New Roman" w:hAnsi="Times New Roman" w:cs="Times New Roman"/>
          <w:b w:val="0"/>
          <w:bCs w:val="0"/>
          <w:i w:val="0"/>
          <w:iCs w:val="0"/>
          <w:caps/>
          <w:color w:val="000000"/>
          <w:sz w:val="20"/>
          <w:szCs w:val="20"/>
        </w:rPr>
      </w:pPr>
      <w:r w:rsidRPr="006B7377">
        <w:rPr>
          <w:rFonts w:ascii="Times New Roman" w:eastAsiaTheme="minorHAnsi" w:hAnsi="Times New Roman" w:cs="Times New Roman"/>
          <w:i w:val="0"/>
          <w:iCs w:val="0"/>
          <w:color w:val="auto"/>
          <w:sz w:val="20"/>
          <w:szCs w:val="20"/>
        </w:rPr>
        <w:t>Determination of</w:t>
      </w:r>
      <w:r w:rsidRPr="006B7377">
        <w:rPr>
          <w:rFonts w:ascii="Times New Roman" w:hAnsi="Times New Roman" w:cs="Times New Roman"/>
          <w:i w:val="0"/>
          <w:iCs w:val="0"/>
          <w:color w:val="000000"/>
          <w:sz w:val="20"/>
          <w:szCs w:val="20"/>
        </w:rPr>
        <w:t xml:space="preserve"> serum blood lipid</w:t>
      </w:r>
    </w:p>
    <w:p w:rsidR="006F1C6A" w:rsidRPr="006B7377" w:rsidRDefault="006F1C6A" w:rsidP="005D7954">
      <w:pPr>
        <w:bidi w:val="0"/>
        <w:snapToGrid w:val="0"/>
        <w:spacing w:after="0" w:line="240" w:lineRule="auto"/>
        <w:ind w:firstLine="425"/>
        <w:jc w:val="both"/>
        <w:rPr>
          <w:rFonts w:ascii="Times New Roman" w:hAnsi="Times New Roman" w:cs="Times New Roman"/>
          <w:color w:val="000000"/>
          <w:sz w:val="20"/>
          <w:szCs w:val="20"/>
        </w:rPr>
      </w:pPr>
      <w:r w:rsidRPr="006B7377">
        <w:rPr>
          <w:rFonts w:ascii="Times New Roman" w:hAnsi="Times New Roman" w:cs="Times New Roman"/>
          <w:color w:val="000000"/>
          <w:sz w:val="20"/>
          <w:szCs w:val="20"/>
        </w:rPr>
        <w:t xml:space="preserve">Total cholesterol, triglycerides, lipoprotein fractions level were assessed by commercial chemical kits </w:t>
      </w:r>
      <w:r w:rsidRPr="006B7377">
        <w:rPr>
          <w:rFonts w:ascii="Times New Roman" w:hAnsi="Times New Roman" w:cs="Times New Roman"/>
          <w:i/>
          <w:iCs/>
          <w:color w:val="000000"/>
          <w:sz w:val="20"/>
          <w:szCs w:val="20"/>
        </w:rPr>
        <w:t>protocol</w:t>
      </w:r>
      <w:r w:rsidRPr="006B7377">
        <w:rPr>
          <w:rFonts w:ascii="Times New Roman" w:hAnsi="Times New Roman" w:cs="Times New Roman"/>
          <w:sz w:val="20"/>
          <w:szCs w:val="20"/>
        </w:rPr>
        <w:t xml:space="preserve"> [</w:t>
      </w:r>
      <w:r w:rsidR="0024209C" w:rsidRPr="006B7377">
        <w:rPr>
          <w:rFonts w:ascii="Times New Roman" w:hAnsi="Times New Roman" w:cs="Times New Roman"/>
          <w:sz w:val="20"/>
          <w:szCs w:val="20"/>
        </w:rPr>
        <w:t>17</w:t>
      </w:r>
      <w:r w:rsidRPr="006B7377">
        <w:rPr>
          <w:rFonts w:ascii="Times New Roman" w:hAnsi="Times New Roman" w:cs="Times New Roman"/>
          <w:sz w:val="20"/>
          <w:szCs w:val="20"/>
        </w:rPr>
        <w:t>]</w:t>
      </w:r>
      <w:r w:rsidRPr="006B7377">
        <w:rPr>
          <w:rFonts w:ascii="Times New Roman" w:hAnsi="Times New Roman" w:cs="Times New Roman"/>
          <w:color w:val="000000"/>
          <w:sz w:val="20"/>
          <w:szCs w:val="20"/>
        </w:rPr>
        <w:t xml:space="preserve">. </w:t>
      </w:r>
    </w:p>
    <w:p w:rsidR="0056218D" w:rsidRPr="006B7377" w:rsidRDefault="0056218D" w:rsidP="005D7954">
      <w:pPr>
        <w:pStyle w:val="Heading4"/>
        <w:keepNext w:val="0"/>
        <w:keepLines w:val="0"/>
        <w:snapToGrid w:val="0"/>
        <w:spacing w:before="0" w:line="240" w:lineRule="auto"/>
        <w:jc w:val="both"/>
        <w:rPr>
          <w:rFonts w:ascii="Times New Roman" w:hAnsi="Times New Roman" w:cs="Times New Roman"/>
          <w:b w:val="0"/>
          <w:bCs w:val="0"/>
          <w:i w:val="0"/>
          <w:iCs w:val="0"/>
          <w:caps/>
          <w:color w:val="000000"/>
          <w:sz w:val="20"/>
          <w:szCs w:val="20"/>
        </w:rPr>
      </w:pPr>
      <w:r w:rsidRPr="006B7377">
        <w:rPr>
          <w:rFonts w:ascii="Times New Roman" w:eastAsiaTheme="minorHAnsi" w:hAnsi="Times New Roman" w:cs="Times New Roman"/>
          <w:i w:val="0"/>
          <w:iCs w:val="0"/>
          <w:color w:val="auto"/>
          <w:sz w:val="20"/>
          <w:szCs w:val="20"/>
        </w:rPr>
        <w:t>Determination of</w:t>
      </w:r>
      <w:r w:rsidR="002214B8" w:rsidRPr="006B7377">
        <w:rPr>
          <w:rFonts w:ascii="Times New Roman" w:eastAsiaTheme="minorHAnsi" w:hAnsi="Times New Roman" w:cs="Times New Roman"/>
          <w:i w:val="0"/>
          <w:iCs w:val="0"/>
          <w:color w:val="auto"/>
          <w:sz w:val="20"/>
          <w:szCs w:val="20"/>
        </w:rPr>
        <w:t xml:space="preserve"> </w:t>
      </w:r>
      <w:r w:rsidRPr="006B7377">
        <w:rPr>
          <w:rFonts w:ascii="Times New Roman" w:hAnsi="Times New Roman" w:cs="Times New Roman"/>
          <w:i w:val="0"/>
          <w:iCs w:val="0"/>
          <w:color w:val="000000"/>
          <w:sz w:val="20"/>
          <w:szCs w:val="20"/>
        </w:rPr>
        <w:t>kidnesy function</w:t>
      </w:r>
    </w:p>
    <w:p w:rsidR="0056218D" w:rsidRPr="006B7377" w:rsidRDefault="00CF3B6D" w:rsidP="005D7954">
      <w:pPr>
        <w:bidi w:val="0"/>
        <w:snapToGrid w:val="0"/>
        <w:spacing w:after="0" w:line="240" w:lineRule="auto"/>
        <w:ind w:firstLine="425"/>
        <w:jc w:val="both"/>
        <w:rPr>
          <w:rFonts w:ascii="Times New Roman" w:hAnsi="Times New Roman" w:cs="Times New Roman"/>
          <w:sz w:val="20"/>
          <w:szCs w:val="20"/>
        </w:rPr>
      </w:pPr>
      <w:r w:rsidRPr="006B7377">
        <w:rPr>
          <w:rFonts w:ascii="Times New Roman" w:eastAsia="Arial Unicode MS" w:hAnsi="Times New Roman" w:cs="Times New Roman"/>
          <w:color w:val="000000" w:themeColor="text1"/>
          <w:sz w:val="20"/>
          <w:szCs w:val="20"/>
          <w:lang w:bidi="ar-EG"/>
        </w:rPr>
        <w:t xml:space="preserve">Blood urea nitrogen was determined using Bio Mérieux kits according to </w:t>
      </w:r>
      <w:r w:rsidRPr="006B7377">
        <w:rPr>
          <w:rFonts w:ascii="Times New Roman" w:hAnsi="Times New Roman" w:cs="Times New Roman"/>
          <w:sz w:val="20"/>
          <w:szCs w:val="20"/>
        </w:rPr>
        <w:t>[18]</w:t>
      </w:r>
      <w:r w:rsidR="005D7954" w:rsidRPr="006B7377">
        <w:rPr>
          <w:rFonts w:ascii="Times New Roman" w:eastAsia="Arial Unicode MS" w:hAnsi="Times New Roman" w:cs="Times New Roman"/>
          <w:color w:val="000000" w:themeColor="text1"/>
          <w:sz w:val="20"/>
          <w:szCs w:val="20"/>
          <w:lang w:bidi="ar-EG"/>
        </w:rPr>
        <w:t>,</w:t>
      </w:r>
      <w:r w:rsidR="005D7954">
        <w:rPr>
          <w:rFonts w:ascii="Times New Roman" w:eastAsia="Arial Unicode MS" w:hAnsi="Times New Roman" w:cs="Times New Roman"/>
          <w:color w:val="000000" w:themeColor="text1"/>
          <w:sz w:val="20"/>
          <w:szCs w:val="20"/>
          <w:lang w:bidi="ar-EG"/>
        </w:rPr>
        <w:t xml:space="preserve"> </w:t>
      </w:r>
      <w:r w:rsidR="005D7954" w:rsidRPr="006B7377">
        <w:rPr>
          <w:rFonts w:ascii="Times New Roman" w:hAnsi="Times New Roman" w:cs="Times New Roman"/>
          <w:sz w:val="20"/>
          <w:szCs w:val="20"/>
        </w:rPr>
        <w:t>S</w:t>
      </w:r>
      <w:r w:rsidR="0056218D" w:rsidRPr="006B7377">
        <w:rPr>
          <w:rFonts w:ascii="Times New Roman" w:hAnsi="Times New Roman" w:cs="Times New Roman"/>
          <w:sz w:val="20"/>
          <w:szCs w:val="20"/>
        </w:rPr>
        <w:t xml:space="preserve">erum uric acid was determined using the enzymatic colorimetric method as described by </w:t>
      </w:r>
      <w:r w:rsidR="000164E5" w:rsidRPr="006B7377">
        <w:rPr>
          <w:rFonts w:ascii="Times New Roman" w:hAnsi="Times New Roman" w:cs="Times New Roman"/>
          <w:sz w:val="20"/>
          <w:szCs w:val="20"/>
        </w:rPr>
        <w:t>[</w:t>
      </w:r>
      <w:r w:rsidRPr="006B7377">
        <w:rPr>
          <w:rFonts w:ascii="Times New Roman" w:hAnsi="Times New Roman" w:cs="Times New Roman"/>
          <w:sz w:val="20"/>
          <w:szCs w:val="20"/>
        </w:rPr>
        <w:t>19</w:t>
      </w:r>
      <w:r w:rsidR="000164E5" w:rsidRPr="006B7377">
        <w:rPr>
          <w:rFonts w:ascii="Times New Roman" w:hAnsi="Times New Roman" w:cs="Times New Roman"/>
          <w:sz w:val="20"/>
          <w:szCs w:val="20"/>
        </w:rPr>
        <w:t>]</w:t>
      </w:r>
      <w:r w:rsidR="000164E5" w:rsidRPr="006B7377">
        <w:rPr>
          <w:rFonts w:ascii="Times New Roman" w:hAnsi="Times New Roman" w:cs="Times New Roman"/>
          <w:color w:val="000000"/>
          <w:sz w:val="20"/>
          <w:szCs w:val="20"/>
        </w:rPr>
        <w:t>.</w:t>
      </w:r>
      <w:r w:rsidR="0056218D" w:rsidRPr="006B7377">
        <w:rPr>
          <w:rFonts w:ascii="Times New Roman" w:hAnsi="Times New Roman" w:cs="Times New Roman"/>
          <w:sz w:val="20"/>
          <w:szCs w:val="20"/>
        </w:rPr>
        <w:t xml:space="preserve"> Serum creatinine concentrations were colorimetrically determined by Jaffe reaction</w:t>
      </w:r>
      <w:r w:rsidR="000164E5" w:rsidRPr="006B7377">
        <w:rPr>
          <w:rFonts w:ascii="Times New Roman" w:hAnsi="Times New Roman" w:cs="Times New Roman"/>
          <w:sz w:val="20"/>
          <w:szCs w:val="20"/>
        </w:rPr>
        <w:t xml:space="preserve"> [</w:t>
      </w:r>
      <w:r w:rsidRPr="006B7377">
        <w:rPr>
          <w:rFonts w:ascii="Times New Roman" w:hAnsi="Times New Roman" w:cs="Times New Roman"/>
          <w:sz w:val="20"/>
          <w:szCs w:val="20"/>
        </w:rPr>
        <w:t>20</w:t>
      </w:r>
      <w:r w:rsidR="000164E5" w:rsidRPr="006B7377">
        <w:rPr>
          <w:rFonts w:ascii="Times New Roman" w:hAnsi="Times New Roman" w:cs="Times New Roman"/>
          <w:sz w:val="20"/>
          <w:szCs w:val="20"/>
        </w:rPr>
        <w:t>]</w:t>
      </w:r>
      <w:r w:rsidR="000164E5" w:rsidRPr="006B7377">
        <w:rPr>
          <w:rFonts w:ascii="Times New Roman" w:hAnsi="Times New Roman" w:cs="Times New Roman"/>
          <w:color w:val="000000"/>
          <w:sz w:val="20"/>
          <w:szCs w:val="20"/>
        </w:rPr>
        <w:t xml:space="preserve">. </w:t>
      </w:r>
    </w:p>
    <w:p w:rsidR="006F1C6A" w:rsidRPr="006B7377" w:rsidRDefault="006F1C6A" w:rsidP="005D7954">
      <w:pPr>
        <w:shd w:val="clear" w:color="auto" w:fill="FFFFFF"/>
        <w:bidi w:val="0"/>
        <w:snapToGrid w:val="0"/>
        <w:spacing w:after="0" w:line="240" w:lineRule="auto"/>
        <w:jc w:val="both"/>
        <w:rPr>
          <w:rFonts w:ascii="Times New Roman" w:hAnsi="Times New Roman" w:cs="Times New Roman"/>
          <w:b/>
          <w:bCs/>
          <w:sz w:val="20"/>
          <w:szCs w:val="20"/>
        </w:rPr>
      </w:pPr>
      <w:r w:rsidRPr="006B7377">
        <w:rPr>
          <w:rFonts w:ascii="Times New Roman" w:hAnsi="Times New Roman" w:cs="Times New Roman"/>
          <w:b/>
          <w:bCs/>
          <w:sz w:val="20"/>
          <w:szCs w:val="20"/>
        </w:rPr>
        <w:t>Statistical analysis</w:t>
      </w:r>
      <w:r w:rsidR="006B7377" w:rsidRPr="006B7377">
        <w:rPr>
          <w:rFonts w:ascii="Times New Roman" w:hAnsi="Times New Roman" w:cs="Times New Roman"/>
          <w:b/>
          <w:bCs/>
          <w:sz w:val="20"/>
          <w:szCs w:val="20"/>
        </w:rPr>
        <w:t xml:space="preserve"> </w:t>
      </w:r>
    </w:p>
    <w:p w:rsidR="006F1C6A" w:rsidRPr="006B7377" w:rsidRDefault="006F1C6A" w:rsidP="005D7954">
      <w:pPr>
        <w:pStyle w:val="p"/>
        <w:snapToGrid w:val="0"/>
        <w:spacing w:before="0" w:beforeAutospacing="0" w:after="0" w:afterAutospacing="0"/>
        <w:ind w:firstLine="425"/>
        <w:jc w:val="both"/>
        <w:rPr>
          <w:sz w:val="20"/>
          <w:szCs w:val="20"/>
        </w:rPr>
      </w:pPr>
      <w:r w:rsidRPr="006B7377">
        <w:rPr>
          <w:sz w:val="20"/>
          <w:szCs w:val="20"/>
        </w:rPr>
        <w:t>All results were presented as the mean ± SD. Data were evaluated using SPSS 22 for windows. An analysis of variance, L.S.D. test will be performed to test the differences in the treatment [21]</w:t>
      </w:r>
      <w:r w:rsidRPr="006B7377">
        <w:rPr>
          <w:color w:val="000000"/>
          <w:sz w:val="20"/>
          <w:szCs w:val="20"/>
        </w:rPr>
        <w:t>.</w:t>
      </w:r>
    </w:p>
    <w:p w:rsidR="00757AC5" w:rsidRPr="006B7377" w:rsidRDefault="00757AC5" w:rsidP="005D7954">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115004" w:rsidRPr="006B7377" w:rsidRDefault="00A94796" w:rsidP="005D7954">
      <w:pPr>
        <w:shd w:val="clear" w:color="auto" w:fill="FFFFFF"/>
        <w:bidi w:val="0"/>
        <w:snapToGrid w:val="0"/>
        <w:spacing w:after="0" w:line="240" w:lineRule="auto"/>
        <w:jc w:val="both"/>
        <w:rPr>
          <w:rFonts w:ascii="Times New Roman" w:hAnsi="Times New Roman" w:cs="Times New Roman"/>
          <w:b/>
          <w:bCs/>
          <w:sz w:val="20"/>
          <w:szCs w:val="20"/>
        </w:rPr>
      </w:pPr>
      <w:r w:rsidRPr="006B7377">
        <w:rPr>
          <w:rFonts w:ascii="Times New Roman" w:hAnsi="Times New Roman" w:cs="Times New Roman"/>
          <w:b/>
          <w:bCs/>
          <w:sz w:val="20"/>
          <w:szCs w:val="20"/>
        </w:rPr>
        <w:t xml:space="preserve">3. </w:t>
      </w:r>
      <w:r w:rsidR="00115004" w:rsidRPr="006B7377">
        <w:rPr>
          <w:rFonts w:ascii="Times New Roman" w:hAnsi="Times New Roman" w:cs="Times New Roman"/>
          <w:b/>
          <w:bCs/>
          <w:sz w:val="20"/>
          <w:szCs w:val="20"/>
        </w:rPr>
        <w:t>Results and Discussion</w:t>
      </w:r>
    </w:p>
    <w:p w:rsidR="00115004" w:rsidRPr="006B7377" w:rsidRDefault="00115004" w:rsidP="005D7954">
      <w:pPr>
        <w:shd w:val="clear" w:color="auto" w:fill="FFFFFF"/>
        <w:bidi w:val="0"/>
        <w:snapToGrid w:val="0"/>
        <w:spacing w:after="0" w:line="240" w:lineRule="auto"/>
        <w:ind w:firstLine="425"/>
        <w:jc w:val="both"/>
        <w:rPr>
          <w:rFonts w:ascii="Times New Roman" w:eastAsia="Arial Unicode MS" w:hAnsi="Times New Roman" w:cs="Times New Roman"/>
          <w:color w:val="000000" w:themeColor="text1"/>
          <w:sz w:val="20"/>
          <w:szCs w:val="20"/>
        </w:rPr>
      </w:pPr>
      <w:r w:rsidRPr="006B7377">
        <w:rPr>
          <w:rFonts w:ascii="Times New Roman" w:hAnsi="Times New Roman" w:cs="Times New Roman"/>
          <w:sz w:val="20"/>
          <w:szCs w:val="20"/>
        </w:rPr>
        <w:t xml:space="preserve">From data in Table (1) non-significant difference in initial body weight between all experimental groups. There was significant decrease in final body weight and weight gain in Cont+ve group, as well as FI noticeable decrease in Cont+ve group compared with Cont-ve group. Treatment with TI induced significant increase in final weight and weight gain % compared with Cont+ve rats. The high dose of GB improved biological evaluation in treated rats, there was non-significant difference in final weight compared with Cont-ve group. Combination of TI and GB improved biological evaluation in treated rats, their values </w:t>
      </w:r>
      <w:r w:rsidR="00ED1016" w:rsidRPr="006B7377">
        <w:rPr>
          <w:rFonts w:ascii="Times New Roman" w:hAnsi="Times New Roman" w:cs="Times New Roman"/>
          <w:sz w:val="20"/>
          <w:szCs w:val="20"/>
        </w:rPr>
        <w:t xml:space="preserve">were </w:t>
      </w:r>
      <w:r w:rsidRPr="006B7377">
        <w:rPr>
          <w:rFonts w:ascii="Times New Roman" w:hAnsi="Times New Roman" w:cs="Times New Roman"/>
          <w:sz w:val="20"/>
          <w:szCs w:val="20"/>
        </w:rPr>
        <w:t xml:space="preserve">non-significant as compared with </w:t>
      </w:r>
      <w:r w:rsidRPr="006B7377">
        <w:rPr>
          <w:rFonts w:ascii="Times New Roman" w:hAnsi="Times New Roman" w:cs="Times New Roman"/>
          <w:sz w:val="20"/>
          <w:szCs w:val="20"/>
        </w:rPr>
        <w:lastRenderedPageBreak/>
        <w:t>Cont-ve group, at the same time there was significant increase in final weight and weight gain %</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 xml:space="preserve"> as well as FI compared with Cont+ve rats. </w:t>
      </w:r>
      <w:r w:rsidR="002214B8" w:rsidRPr="006B7377">
        <w:rPr>
          <w:rFonts w:ascii="Times New Roman" w:eastAsia="Arial Unicode MS" w:hAnsi="Times New Roman" w:cs="Times New Roman"/>
          <w:color w:val="000000" w:themeColor="text1"/>
          <w:sz w:val="20"/>
          <w:szCs w:val="20"/>
        </w:rPr>
        <w:t>In hepatotoxic</w:t>
      </w:r>
      <w:r w:rsidRPr="006B7377">
        <w:rPr>
          <w:rFonts w:ascii="Times New Roman" w:eastAsia="Arial Unicode MS" w:hAnsi="Times New Roman" w:cs="Times New Roman"/>
          <w:color w:val="000000" w:themeColor="text1"/>
          <w:sz w:val="20"/>
          <w:szCs w:val="20"/>
        </w:rPr>
        <w:t xml:space="preserve"> rats the reduction in biological evaluation was agreed with [22 - 24]. The GB and TI improved weight gain % and FI. These results confirmed with the study done by Guo</w:t>
      </w:r>
      <w:r w:rsidRPr="006B7377">
        <w:rPr>
          <w:rFonts w:ascii="Times New Roman" w:eastAsia="Arial Unicode MS" w:hAnsi="Times New Roman" w:cs="Times New Roman"/>
          <w:i/>
          <w:iCs/>
          <w:color w:val="000000" w:themeColor="text1"/>
          <w:sz w:val="20"/>
          <w:szCs w:val="20"/>
        </w:rPr>
        <w:t>et al</w:t>
      </w:r>
      <w:r w:rsidRPr="006B7377">
        <w:rPr>
          <w:rFonts w:ascii="Times New Roman" w:eastAsia="Arial Unicode MS" w:hAnsi="Times New Roman" w:cs="Times New Roman"/>
          <w:color w:val="000000" w:themeColor="text1"/>
          <w:sz w:val="20"/>
          <w:szCs w:val="20"/>
        </w:rPr>
        <w:t xml:space="preserve">. [25] who found that GB significantly suppressed </w:t>
      </w:r>
      <w:r w:rsidRPr="006B7377">
        <w:rPr>
          <w:rFonts w:ascii="Times New Roman" w:eastAsia="Arial Unicode MS" w:hAnsi="Times New Roman" w:cs="Times New Roman"/>
          <w:color w:val="000000" w:themeColor="text1"/>
          <w:sz w:val="20"/>
          <w:szCs w:val="20"/>
        </w:rPr>
        <w:lastRenderedPageBreak/>
        <w:t xml:space="preserve">thehepatotoxic effect of CCl4. </w:t>
      </w:r>
      <w:r w:rsidR="00ED1016" w:rsidRPr="006B7377">
        <w:rPr>
          <w:rFonts w:ascii="Times New Roman" w:eastAsia="Arial Unicode MS" w:hAnsi="Times New Roman" w:cs="Times New Roman"/>
          <w:color w:val="000000" w:themeColor="text1"/>
          <w:sz w:val="20"/>
          <w:szCs w:val="20"/>
        </w:rPr>
        <w:t xml:space="preserve">The same results regarding TI reported by </w:t>
      </w:r>
      <w:r w:rsidRPr="006B7377">
        <w:rPr>
          <w:rFonts w:ascii="Times New Roman" w:eastAsia="Arial Unicode MS" w:hAnsi="Times New Roman" w:cs="Times New Roman"/>
          <w:color w:val="000000" w:themeColor="text1"/>
          <w:sz w:val="20"/>
          <w:szCs w:val="20"/>
        </w:rPr>
        <w:t xml:space="preserve">Shammi et al. [26]. In addition the combination of GB and TI normalized the biological values, thus indicated the potent hepato-treated effects of the </w:t>
      </w:r>
      <w:r w:rsidR="00ED1016" w:rsidRPr="006B7377">
        <w:rPr>
          <w:rFonts w:ascii="Times New Roman" w:eastAsia="Arial Unicode MS" w:hAnsi="Times New Roman" w:cs="Times New Roman"/>
          <w:color w:val="000000" w:themeColor="text1"/>
          <w:sz w:val="20"/>
          <w:szCs w:val="20"/>
        </w:rPr>
        <w:t xml:space="preserve">treatment with </w:t>
      </w:r>
      <w:r w:rsidRPr="006B7377">
        <w:rPr>
          <w:rFonts w:ascii="Times New Roman" w:eastAsia="Arial Unicode MS" w:hAnsi="Times New Roman" w:cs="Times New Roman"/>
          <w:color w:val="000000" w:themeColor="text1"/>
          <w:sz w:val="20"/>
          <w:szCs w:val="20"/>
        </w:rPr>
        <w:t xml:space="preserve">leaves </w:t>
      </w:r>
      <w:r w:rsidR="00ED1016" w:rsidRPr="006B7377">
        <w:rPr>
          <w:rFonts w:ascii="Times New Roman" w:eastAsia="Arial Unicode MS" w:hAnsi="Times New Roman" w:cs="Times New Roman"/>
          <w:color w:val="000000" w:themeColor="text1"/>
          <w:sz w:val="20"/>
          <w:szCs w:val="20"/>
        </w:rPr>
        <w:t xml:space="preserve">extract </w:t>
      </w:r>
      <w:r w:rsidRPr="006B7377">
        <w:rPr>
          <w:rFonts w:ascii="Times New Roman" w:eastAsia="Arial Unicode MS" w:hAnsi="Times New Roman" w:cs="Times New Roman"/>
          <w:color w:val="000000" w:themeColor="text1"/>
          <w:sz w:val="20"/>
          <w:szCs w:val="20"/>
        </w:rPr>
        <w:t xml:space="preserve">mixture. </w:t>
      </w:r>
    </w:p>
    <w:p w:rsidR="006B7377" w:rsidRDefault="006B7377" w:rsidP="005D7954">
      <w:pPr>
        <w:shd w:val="clear" w:color="auto" w:fill="FFFFFF"/>
        <w:bidi w:val="0"/>
        <w:snapToGrid w:val="0"/>
        <w:spacing w:after="0" w:line="240" w:lineRule="auto"/>
        <w:ind w:firstLine="425"/>
        <w:jc w:val="both"/>
        <w:rPr>
          <w:rFonts w:ascii="Times New Roman" w:hAnsi="Times New Roman" w:cs="Times New Roman"/>
          <w:sz w:val="20"/>
          <w:szCs w:val="20"/>
        </w:rPr>
        <w:sectPr w:rsidR="006B7377" w:rsidSect="005D7954">
          <w:type w:val="continuous"/>
          <w:pgSz w:w="12240" w:h="15840"/>
          <w:pgMar w:top="1440" w:right="1440" w:bottom="1440" w:left="1440" w:header="720" w:footer="720" w:gutter="0"/>
          <w:cols w:num="2" w:space="550"/>
          <w:docGrid w:linePitch="360"/>
        </w:sectPr>
      </w:pPr>
    </w:p>
    <w:p w:rsidR="00115004" w:rsidRPr="006B7377" w:rsidRDefault="006B7377" w:rsidP="005D7954">
      <w:pPr>
        <w:shd w:val="clear" w:color="auto" w:fill="FFFFFF"/>
        <w:bidi w:val="0"/>
        <w:snapToGrid w:val="0"/>
        <w:spacing w:after="0" w:line="240" w:lineRule="auto"/>
        <w:ind w:firstLine="425"/>
        <w:jc w:val="both"/>
        <w:rPr>
          <w:rFonts w:ascii="Times New Roman" w:eastAsia="Arial Unicode MS" w:hAnsi="Times New Roman" w:cs="Times New Roman"/>
          <w:b/>
          <w:bCs/>
          <w:color w:val="000000" w:themeColor="text1"/>
          <w:sz w:val="20"/>
          <w:szCs w:val="20"/>
        </w:rPr>
      </w:pPr>
      <w:r>
        <w:rPr>
          <w:rFonts w:ascii="Times New Roman" w:hAnsi="Times New Roman" w:cs="Times New Roman"/>
          <w:sz w:val="20"/>
          <w:szCs w:val="20"/>
        </w:rPr>
        <w:lastRenderedPageBreak/>
        <w:cr/>
      </w:r>
      <w:r w:rsidR="00115004" w:rsidRPr="006B7377">
        <w:rPr>
          <w:rFonts w:ascii="Times New Roman" w:hAnsi="Times New Roman" w:cs="Times New Roman"/>
          <w:b/>
          <w:bCs/>
          <w:sz w:val="20"/>
          <w:szCs w:val="20"/>
        </w:rPr>
        <w:t>Table</w:t>
      </w:r>
      <w:r w:rsidRPr="006B7377">
        <w:rPr>
          <w:rFonts w:ascii="Times New Roman" w:hAnsi="Times New Roman" w:cs="Times New Roman"/>
          <w:b/>
          <w:bCs/>
          <w:sz w:val="20"/>
          <w:szCs w:val="20"/>
        </w:rPr>
        <w:t xml:space="preserve"> </w:t>
      </w:r>
      <w:r w:rsidR="00115004" w:rsidRPr="006B7377">
        <w:rPr>
          <w:rFonts w:ascii="Times New Roman" w:hAnsi="Times New Roman" w:cs="Times New Roman"/>
          <w:b/>
          <w:bCs/>
          <w:sz w:val="20"/>
          <w:szCs w:val="20"/>
        </w:rPr>
        <w:t xml:space="preserve">1: </w:t>
      </w:r>
      <w:r w:rsidR="00115004" w:rsidRPr="006B7377">
        <w:rPr>
          <w:rFonts w:ascii="Times New Roman" w:eastAsia="Arial Unicode MS" w:hAnsi="Times New Roman" w:cs="Times New Roman"/>
          <w:b/>
          <w:bCs/>
          <w:color w:val="000000" w:themeColor="text1"/>
          <w:sz w:val="20"/>
          <w:szCs w:val="20"/>
        </w:rPr>
        <w:t xml:space="preserve">Effect of </w:t>
      </w:r>
      <w:r w:rsidR="00115004" w:rsidRPr="006B7377">
        <w:rPr>
          <w:rFonts w:ascii="Times New Roman" w:eastAsia="Arial Unicode MS" w:hAnsi="Times New Roman" w:cs="Times New Roman"/>
          <w:b/>
          <w:bCs/>
          <w:i/>
          <w:iCs/>
          <w:color w:val="000000" w:themeColor="text1"/>
          <w:sz w:val="20"/>
          <w:szCs w:val="20"/>
        </w:rPr>
        <w:t>Tamarindusindica</w:t>
      </w:r>
      <w:r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color w:val="000000" w:themeColor="text1"/>
          <w:sz w:val="20"/>
          <w:szCs w:val="20"/>
        </w:rPr>
        <w:t xml:space="preserve">and </w:t>
      </w:r>
      <w:r w:rsidR="00115004" w:rsidRPr="006B7377">
        <w:rPr>
          <w:rFonts w:ascii="Times New Roman" w:eastAsia="Arial Unicode MS" w:hAnsi="Times New Roman" w:cs="Times New Roman"/>
          <w:b/>
          <w:bCs/>
          <w:i/>
          <w:iCs/>
          <w:color w:val="000000" w:themeColor="text1"/>
          <w:sz w:val="20"/>
          <w:szCs w:val="20"/>
        </w:rPr>
        <w:t>Ginkgo biloba</w:t>
      </w:r>
      <w:r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color w:val="000000" w:themeColor="text1"/>
          <w:sz w:val="20"/>
          <w:szCs w:val="20"/>
        </w:rPr>
        <w:t>leaves extract and their mixture on</w:t>
      </w:r>
      <w:r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color w:val="000000" w:themeColor="text1"/>
          <w:sz w:val="20"/>
          <w:szCs w:val="20"/>
        </w:rPr>
        <w:t>body</w:t>
      </w:r>
      <w:r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color w:val="000000" w:themeColor="text1"/>
          <w:sz w:val="20"/>
          <w:szCs w:val="20"/>
        </w:rPr>
        <w:t>weight gain % and</w:t>
      </w:r>
      <w:r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color w:val="000000" w:themeColor="text1"/>
          <w:sz w:val="20"/>
          <w:szCs w:val="20"/>
        </w:rPr>
        <w:t>feed</w:t>
      </w:r>
      <w:r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color w:val="000000" w:themeColor="text1"/>
          <w:sz w:val="20"/>
          <w:szCs w:val="20"/>
        </w:rPr>
        <w:t>intake in</w:t>
      </w:r>
      <w:r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color w:val="000000" w:themeColor="text1"/>
          <w:sz w:val="20"/>
          <w:szCs w:val="20"/>
        </w:rPr>
        <w:t>hepatotoxic rats</w:t>
      </w:r>
    </w:p>
    <w:tbl>
      <w:tblPr>
        <w:tblStyle w:val="TableGrid2"/>
        <w:bidiVisual/>
        <w:tblW w:w="5000" w:type="pct"/>
        <w:jc w:val="center"/>
        <w:tblBorders>
          <w:left w:val="none" w:sz="0" w:space="0" w:color="auto"/>
          <w:right w:val="none" w:sz="0" w:space="0" w:color="auto"/>
          <w:insideV w:val="none" w:sz="0" w:space="0" w:color="auto"/>
        </w:tblBorders>
        <w:tblCellMar>
          <w:left w:w="57" w:type="dxa"/>
          <w:right w:w="57" w:type="dxa"/>
        </w:tblCellMar>
        <w:tblLook w:val="04A0"/>
      </w:tblPr>
      <w:tblGrid>
        <w:gridCol w:w="828"/>
        <w:gridCol w:w="1828"/>
        <w:gridCol w:w="2048"/>
        <w:gridCol w:w="1954"/>
        <w:gridCol w:w="2816"/>
      </w:tblGrid>
      <w:tr w:rsidR="00115004" w:rsidRPr="006B7377" w:rsidTr="006B7377">
        <w:trPr>
          <w:jc w:val="center"/>
        </w:trPr>
        <w:tc>
          <w:tcPr>
            <w:tcW w:w="3514" w:type="pct"/>
            <w:gridSpan w:val="4"/>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lang w:bidi="ar-EG"/>
              </w:rPr>
              <w:t>Biological evaluation</w:t>
            </w:r>
          </w:p>
        </w:tc>
        <w:tc>
          <w:tcPr>
            <w:tcW w:w="1486" w:type="pct"/>
            <w:vMerge w:val="restart"/>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rPr>
              <w:t>Experimental groups</w:t>
            </w:r>
          </w:p>
        </w:tc>
      </w:tr>
      <w:tr w:rsidR="006B7377" w:rsidRPr="006B7377" w:rsidTr="006B7377">
        <w:trPr>
          <w:jc w:val="center"/>
        </w:trPr>
        <w:tc>
          <w:tcPr>
            <w:tcW w:w="437" w:type="pct"/>
            <w:shd w:val="clear" w:color="auto" w:fill="C2D69B" w:themeFill="accent3" w:themeFillTint="99"/>
            <w:vAlign w:val="center"/>
          </w:tcPr>
          <w:p w:rsidR="008C0CB0"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lang w:bidi="ar-EG"/>
              </w:rPr>
              <w:t>FI</w:t>
            </w:r>
          </w:p>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sz w:val="20"/>
                <w:szCs w:val="20"/>
                <w:lang w:bidi="ar-EG"/>
              </w:rPr>
              <w:t>g</w:t>
            </w:r>
          </w:p>
        </w:tc>
        <w:tc>
          <w:tcPr>
            <w:tcW w:w="965" w:type="pct"/>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lang w:bidi="ar-EG"/>
              </w:rPr>
              <w:t>Weight gain</w:t>
            </w:r>
          </w:p>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lang w:bidi="ar-EG"/>
              </w:rPr>
              <w:t>%</w:t>
            </w:r>
          </w:p>
        </w:tc>
        <w:tc>
          <w:tcPr>
            <w:tcW w:w="1081" w:type="pct"/>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lang w:bidi="ar-EG"/>
              </w:rPr>
              <w:t>Final weight</w:t>
            </w:r>
          </w:p>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g</w:t>
            </w:r>
          </w:p>
        </w:tc>
        <w:tc>
          <w:tcPr>
            <w:tcW w:w="1031" w:type="pct"/>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lang w:bidi="ar-EG"/>
              </w:rPr>
              <w:t>Initial weight</w:t>
            </w:r>
          </w:p>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g</w:t>
            </w:r>
          </w:p>
        </w:tc>
        <w:tc>
          <w:tcPr>
            <w:tcW w:w="1486" w:type="pct"/>
            <w:vMerge/>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p>
        </w:tc>
      </w:tr>
      <w:tr w:rsidR="00115004" w:rsidRPr="006B7377" w:rsidTr="006B7377">
        <w:trPr>
          <w:jc w:val="center"/>
        </w:trPr>
        <w:tc>
          <w:tcPr>
            <w:tcW w:w="43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22.43</w:t>
            </w:r>
          </w:p>
        </w:tc>
        <w:tc>
          <w:tcPr>
            <w:tcW w:w="965"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45.70 ± 1. 07</w:t>
            </w:r>
            <w:r w:rsidRPr="006B7377">
              <w:rPr>
                <w:rFonts w:ascii="Times New Roman" w:hAnsi="Times New Roman" w:cs="Times New Roman"/>
                <w:sz w:val="20"/>
                <w:szCs w:val="20"/>
                <w:vertAlign w:val="superscript"/>
                <w:lang w:bidi="ar-EG"/>
              </w:rPr>
              <w:t>a</w:t>
            </w:r>
          </w:p>
        </w:tc>
        <w:tc>
          <w:tcPr>
            <w:tcW w:w="108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254.63 ±11.64 </w:t>
            </w:r>
            <w:r w:rsidRPr="006B7377">
              <w:rPr>
                <w:rFonts w:ascii="Times New Roman" w:hAnsi="Times New Roman" w:cs="Times New Roman"/>
                <w:sz w:val="20"/>
                <w:szCs w:val="20"/>
                <w:vertAlign w:val="superscript"/>
                <w:lang w:bidi="ar-EG"/>
              </w:rPr>
              <w:t>a</w:t>
            </w:r>
          </w:p>
        </w:tc>
        <w:tc>
          <w:tcPr>
            <w:tcW w:w="103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177.43 ± 6.43 </w:t>
            </w:r>
            <w:r w:rsidRPr="006B7377">
              <w:rPr>
                <w:rFonts w:ascii="Times New Roman" w:hAnsi="Times New Roman" w:cs="Times New Roman"/>
                <w:sz w:val="20"/>
                <w:szCs w:val="20"/>
                <w:vertAlign w:val="superscript"/>
                <w:lang w:bidi="ar-EG"/>
              </w:rPr>
              <w:t>a</w:t>
            </w:r>
          </w:p>
        </w:tc>
        <w:tc>
          <w:tcPr>
            <w:tcW w:w="1486"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Group (1) Cont -ve</w:t>
            </w:r>
          </w:p>
        </w:tc>
      </w:tr>
      <w:tr w:rsidR="00115004" w:rsidRPr="006B7377" w:rsidTr="006B7377">
        <w:trPr>
          <w:jc w:val="center"/>
        </w:trPr>
        <w:tc>
          <w:tcPr>
            <w:tcW w:w="43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13.59</w:t>
            </w:r>
          </w:p>
        </w:tc>
        <w:tc>
          <w:tcPr>
            <w:tcW w:w="965"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17.43 ± 1.08</w:t>
            </w:r>
            <w:r w:rsidRPr="006B7377">
              <w:rPr>
                <w:rFonts w:ascii="Times New Roman" w:hAnsi="Times New Roman" w:cs="Times New Roman"/>
                <w:sz w:val="20"/>
                <w:szCs w:val="20"/>
                <w:vertAlign w:val="superscript"/>
                <w:lang w:bidi="ar-EG"/>
              </w:rPr>
              <w:t>d</w:t>
            </w:r>
          </w:p>
        </w:tc>
        <w:tc>
          <w:tcPr>
            <w:tcW w:w="108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205.33 ± 9.02</w:t>
            </w:r>
            <w:r w:rsidRPr="006B7377">
              <w:rPr>
                <w:rFonts w:ascii="Times New Roman" w:hAnsi="Times New Roman" w:cs="Times New Roman"/>
                <w:sz w:val="20"/>
                <w:szCs w:val="20"/>
                <w:vertAlign w:val="superscript"/>
                <w:lang w:bidi="ar-EG"/>
              </w:rPr>
              <w:t>d</w:t>
            </w:r>
          </w:p>
        </w:tc>
        <w:tc>
          <w:tcPr>
            <w:tcW w:w="103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175.56 ± 3.14 </w:t>
            </w:r>
            <w:r w:rsidRPr="006B7377">
              <w:rPr>
                <w:rFonts w:ascii="Times New Roman" w:hAnsi="Times New Roman" w:cs="Times New Roman"/>
                <w:sz w:val="20"/>
                <w:szCs w:val="20"/>
                <w:vertAlign w:val="superscript"/>
                <w:lang w:bidi="ar-EG"/>
              </w:rPr>
              <w:t>a</w:t>
            </w:r>
          </w:p>
        </w:tc>
        <w:tc>
          <w:tcPr>
            <w:tcW w:w="1486"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Group (2)</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Cont+ve</w:t>
            </w:r>
          </w:p>
        </w:tc>
      </w:tr>
      <w:tr w:rsidR="00115004" w:rsidRPr="006B7377" w:rsidTr="006B7377">
        <w:trPr>
          <w:jc w:val="center"/>
        </w:trPr>
        <w:tc>
          <w:tcPr>
            <w:tcW w:w="43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15.27</w:t>
            </w:r>
          </w:p>
        </w:tc>
        <w:tc>
          <w:tcPr>
            <w:tcW w:w="965"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28.22 ± 1.34 </w:t>
            </w:r>
            <w:r w:rsidRPr="006B7377">
              <w:rPr>
                <w:rFonts w:ascii="Times New Roman" w:hAnsi="Times New Roman" w:cs="Times New Roman"/>
                <w:sz w:val="20"/>
                <w:szCs w:val="20"/>
                <w:vertAlign w:val="superscript"/>
                <w:lang w:bidi="ar-EG"/>
              </w:rPr>
              <w:t>c</w:t>
            </w:r>
          </w:p>
        </w:tc>
        <w:tc>
          <w:tcPr>
            <w:tcW w:w="108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224.29 ± 6.12</w:t>
            </w:r>
            <w:r w:rsidRPr="006B7377">
              <w:rPr>
                <w:rFonts w:ascii="Times New Roman" w:hAnsi="Times New Roman" w:cs="Times New Roman"/>
                <w:sz w:val="20"/>
                <w:szCs w:val="20"/>
                <w:vertAlign w:val="superscript"/>
                <w:lang w:bidi="ar-EG"/>
              </w:rPr>
              <w:t>c</w:t>
            </w:r>
          </w:p>
        </w:tc>
        <w:tc>
          <w:tcPr>
            <w:tcW w:w="103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174.35 ± 5.02 </w:t>
            </w:r>
            <w:r w:rsidRPr="006B7377">
              <w:rPr>
                <w:rFonts w:ascii="Times New Roman" w:hAnsi="Times New Roman" w:cs="Times New Roman"/>
                <w:sz w:val="20"/>
                <w:szCs w:val="20"/>
                <w:vertAlign w:val="superscript"/>
                <w:lang w:bidi="ar-EG"/>
              </w:rPr>
              <w:t>a</w:t>
            </w:r>
          </w:p>
        </w:tc>
        <w:tc>
          <w:tcPr>
            <w:tcW w:w="1486" w:type="pct"/>
            <w:vAlign w:val="center"/>
          </w:tcPr>
          <w:p w:rsidR="006B7377"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Group (3) TI</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p>
          <w:p w:rsidR="00115004" w:rsidRPr="006B7377" w:rsidRDefault="006B7377"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w:t>
            </w:r>
            <w:r w:rsidR="00115004" w:rsidRPr="006B7377">
              <w:rPr>
                <w:rFonts w:ascii="Times New Roman" w:hAnsi="Times New Roman" w:cs="Times New Roman"/>
                <w:sz w:val="20"/>
                <w:szCs w:val="20"/>
              </w:rPr>
              <w:t>200 mg/kg b.wt)</w:t>
            </w:r>
            <w:r w:rsidRPr="006B7377">
              <w:rPr>
                <w:rFonts w:ascii="Times New Roman" w:hAnsi="Times New Roman" w:cs="Times New Roman"/>
                <w:sz w:val="20"/>
                <w:szCs w:val="20"/>
              </w:rPr>
              <w:t xml:space="preserve"> </w:t>
            </w:r>
          </w:p>
        </w:tc>
      </w:tr>
      <w:tr w:rsidR="00115004" w:rsidRPr="006B7377" w:rsidTr="006B7377">
        <w:trPr>
          <w:jc w:val="center"/>
        </w:trPr>
        <w:tc>
          <w:tcPr>
            <w:tcW w:w="43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16.09</w:t>
            </w:r>
          </w:p>
        </w:tc>
        <w:tc>
          <w:tcPr>
            <w:tcW w:w="965"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31.72 ± 1.13</w:t>
            </w:r>
            <w:r w:rsidRPr="006B7377">
              <w:rPr>
                <w:rFonts w:ascii="Times New Roman" w:hAnsi="Times New Roman" w:cs="Times New Roman"/>
                <w:sz w:val="20"/>
                <w:szCs w:val="20"/>
                <w:vertAlign w:val="superscript"/>
                <w:lang w:bidi="ar-EG"/>
              </w:rPr>
              <w:t>c</w:t>
            </w:r>
          </w:p>
        </w:tc>
        <w:tc>
          <w:tcPr>
            <w:tcW w:w="108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228.12 ± 6.16 </w:t>
            </w:r>
            <w:r w:rsidRPr="006B7377">
              <w:rPr>
                <w:rFonts w:ascii="Times New Roman" w:hAnsi="Times New Roman" w:cs="Times New Roman"/>
                <w:sz w:val="20"/>
                <w:szCs w:val="20"/>
                <w:vertAlign w:val="superscript"/>
                <w:lang w:bidi="ar-EG"/>
              </w:rPr>
              <w:t>bc</w:t>
            </w:r>
          </w:p>
        </w:tc>
        <w:tc>
          <w:tcPr>
            <w:tcW w:w="103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173.41 ± 5.13 </w:t>
            </w:r>
            <w:r w:rsidRPr="006B7377">
              <w:rPr>
                <w:rFonts w:ascii="Times New Roman" w:hAnsi="Times New Roman" w:cs="Times New Roman"/>
                <w:sz w:val="20"/>
                <w:szCs w:val="20"/>
                <w:vertAlign w:val="superscript"/>
                <w:lang w:bidi="ar-EG"/>
              </w:rPr>
              <w:t>a</w:t>
            </w:r>
          </w:p>
        </w:tc>
        <w:tc>
          <w:tcPr>
            <w:tcW w:w="1486" w:type="pct"/>
            <w:vAlign w:val="center"/>
          </w:tcPr>
          <w:p w:rsidR="006B7377"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Group (4) TI</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p>
          <w:p w:rsidR="00115004" w:rsidRPr="006B7377" w:rsidRDefault="006B7377"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w:t>
            </w:r>
            <w:r w:rsidR="00115004" w:rsidRPr="006B7377">
              <w:rPr>
                <w:rFonts w:ascii="Times New Roman" w:hAnsi="Times New Roman" w:cs="Times New Roman"/>
                <w:sz w:val="20"/>
                <w:szCs w:val="20"/>
              </w:rPr>
              <w:t xml:space="preserve">400 mg/kg b.wt) </w:t>
            </w:r>
          </w:p>
        </w:tc>
      </w:tr>
      <w:tr w:rsidR="00115004" w:rsidRPr="006B7377" w:rsidTr="006B7377">
        <w:trPr>
          <w:jc w:val="center"/>
        </w:trPr>
        <w:tc>
          <w:tcPr>
            <w:tcW w:w="43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18.99</w:t>
            </w:r>
          </w:p>
        </w:tc>
        <w:tc>
          <w:tcPr>
            <w:tcW w:w="965"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35.34 ± 0.91</w:t>
            </w:r>
            <w:r w:rsidRPr="006B7377">
              <w:rPr>
                <w:rFonts w:ascii="Times New Roman" w:hAnsi="Times New Roman" w:cs="Times New Roman"/>
                <w:sz w:val="20"/>
                <w:szCs w:val="20"/>
                <w:vertAlign w:val="superscript"/>
                <w:lang w:bidi="ar-EG"/>
              </w:rPr>
              <w:t>bc</w:t>
            </w:r>
          </w:p>
        </w:tc>
        <w:tc>
          <w:tcPr>
            <w:tcW w:w="108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239.33 ± 6.11</w:t>
            </w:r>
            <w:r w:rsidRPr="006B7377">
              <w:rPr>
                <w:rFonts w:ascii="Times New Roman" w:hAnsi="Times New Roman" w:cs="Times New Roman"/>
                <w:sz w:val="20"/>
                <w:szCs w:val="20"/>
                <w:vertAlign w:val="superscript"/>
                <w:lang w:bidi="ar-EG"/>
              </w:rPr>
              <w:t>b</w:t>
            </w:r>
          </w:p>
        </w:tc>
        <w:tc>
          <w:tcPr>
            <w:tcW w:w="103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173.80 ± 3.43 </w:t>
            </w:r>
            <w:r w:rsidRPr="006B7377">
              <w:rPr>
                <w:rFonts w:ascii="Times New Roman" w:hAnsi="Times New Roman" w:cs="Times New Roman"/>
                <w:sz w:val="20"/>
                <w:szCs w:val="20"/>
                <w:vertAlign w:val="superscript"/>
                <w:lang w:bidi="ar-EG"/>
              </w:rPr>
              <w:t>a</w:t>
            </w:r>
          </w:p>
        </w:tc>
        <w:tc>
          <w:tcPr>
            <w:tcW w:w="1486"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w:t>
            </w:r>
            <w:r w:rsidR="006B7377" w:rsidRPr="006B7377">
              <w:rPr>
                <w:rFonts w:ascii="Times New Roman" w:hAnsi="Times New Roman" w:cs="Times New Roman"/>
                <w:sz w:val="20"/>
                <w:szCs w:val="20"/>
              </w:rPr>
              <w:t>p (</w:t>
            </w:r>
            <w:r w:rsidRPr="006B7377">
              <w:rPr>
                <w:rFonts w:ascii="Times New Roman" w:hAnsi="Times New Roman" w:cs="Times New Roman"/>
                <w:sz w:val="20"/>
                <w:szCs w:val="20"/>
              </w:rPr>
              <w:t xml:space="preserve"> 5) GB</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 xml:space="preserve">extract </w:t>
            </w:r>
          </w:p>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(200 mg/kg b.wt)</w:t>
            </w:r>
            <w:r w:rsidR="006B7377" w:rsidRPr="006B7377">
              <w:rPr>
                <w:rFonts w:ascii="Times New Roman" w:hAnsi="Times New Roman" w:cs="Times New Roman"/>
                <w:sz w:val="20"/>
                <w:szCs w:val="20"/>
              </w:rPr>
              <w:t xml:space="preserve"> </w:t>
            </w:r>
          </w:p>
        </w:tc>
      </w:tr>
      <w:tr w:rsidR="00115004" w:rsidRPr="006B7377" w:rsidTr="006B7377">
        <w:trPr>
          <w:jc w:val="center"/>
        </w:trPr>
        <w:tc>
          <w:tcPr>
            <w:tcW w:w="43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19.29</w:t>
            </w:r>
          </w:p>
        </w:tc>
        <w:tc>
          <w:tcPr>
            <w:tcW w:w="965"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39.44 ± 1.21</w:t>
            </w:r>
            <w:r w:rsidRPr="006B7377">
              <w:rPr>
                <w:rFonts w:ascii="Times New Roman" w:hAnsi="Times New Roman" w:cs="Times New Roman"/>
                <w:sz w:val="20"/>
                <w:szCs w:val="20"/>
                <w:vertAlign w:val="superscript"/>
                <w:lang w:bidi="ar-EG"/>
              </w:rPr>
              <w:t>b</w:t>
            </w:r>
          </w:p>
        </w:tc>
        <w:tc>
          <w:tcPr>
            <w:tcW w:w="108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248.43 ± 7.21 </w:t>
            </w:r>
            <w:r w:rsidRPr="006B7377">
              <w:rPr>
                <w:rFonts w:ascii="Times New Roman" w:hAnsi="Times New Roman" w:cs="Times New Roman"/>
                <w:sz w:val="20"/>
                <w:szCs w:val="20"/>
                <w:vertAlign w:val="superscript"/>
                <w:lang w:bidi="ar-EG"/>
              </w:rPr>
              <w:t>a</w:t>
            </w:r>
          </w:p>
        </w:tc>
        <w:tc>
          <w:tcPr>
            <w:tcW w:w="103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175.43 ±4.29 </w:t>
            </w:r>
            <w:r w:rsidRPr="006B7377">
              <w:rPr>
                <w:rFonts w:ascii="Times New Roman" w:hAnsi="Times New Roman" w:cs="Times New Roman"/>
                <w:sz w:val="20"/>
                <w:szCs w:val="20"/>
                <w:vertAlign w:val="superscript"/>
                <w:lang w:bidi="ar-EG"/>
              </w:rPr>
              <w:t>a</w:t>
            </w:r>
          </w:p>
        </w:tc>
        <w:tc>
          <w:tcPr>
            <w:tcW w:w="1486" w:type="pct"/>
            <w:vAlign w:val="center"/>
          </w:tcPr>
          <w:p w:rsidR="006B7377"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(6) GB extract </w:t>
            </w:r>
          </w:p>
          <w:p w:rsidR="00115004" w:rsidRPr="006B7377" w:rsidRDefault="006B7377"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w:t>
            </w:r>
            <w:r w:rsidR="00115004" w:rsidRPr="006B7377">
              <w:rPr>
                <w:rFonts w:ascii="Times New Roman" w:hAnsi="Times New Roman" w:cs="Times New Roman"/>
                <w:sz w:val="20"/>
                <w:szCs w:val="20"/>
              </w:rPr>
              <w:t>400 mg/kg b.wt)</w:t>
            </w:r>
          </w:p>
        </w:tc>
      </w:tr>
      <w:tr w:rsidR="00115004" w:rsidRPr="006B7377" w:rsidTr="006B7377">
        <w:trPr>
          <w:jc w:val="center"/>
        </w:trPr>
        <w:tc>
          <w:tcPr>
            <w:tcW w:w="43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21.09</w:t>
            </w:r>
          </w:p>
        </w:tc>
        <w:tc>
          <w:tcPr>
            <w:tcW w:w="965"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45.20 ± 1.62 </w:t>
            </w:r>
            <w:r w:rsidRPr="006B7377">
              <w:rPr>
                <w:rFonts w:ascii="Times New Roman" w:hAnsi="Times New Roman" w:cs="Times New Roman"/>
                <w:sz w:val="20"/>
                <w:szCs w:val="20"/>
                <w:vertAlign w:val="superscript"/>
                <w:lang w:bidi="ar-EG"/>
              </w:rPr>
              <w:t>a</w:t>
            </w:r>
          </w:p>
        </w:tc>
        <w:tc>
          <w:tcPr>
            <w:tcW w:w="108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253.92 ± 8.42 </w:t>
            </w:r>
            <w:r w:rsidRPr="006B7377">
              <w:rPr>
                <w:rFonts w:ascii="Times New Roman" w:hAnsi="Times New Roman" w:cs="Times New Roman"/>
                <w:sz w:val="20"/>
                <w:szCs w:val="20"/>
                <w:vertAlign w:val="superscript"/>
                <w:lang w:bidi="ar-EG"/>
              </w:rPr>
              <w:t>a</w:t>
            </w:r>
          </w:p>
        </w:tc>
        <w:tc>
          <w:tcPr>
            <w:tcW w:w="103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174.87 ± 3.62 </w:t>
            </w:r>
            <w:r w:rsidRPr="006B7377">
              <w:rPr>
                <w:rFonts w:ascii="Times New Roman" w:hAnsi="Times New Roman" w:cs="Times New Roman"/>
                <w:sz w:val="20"/>
                <w:szCs w:val="20"/>
                <w:vertAlign w:val="superscript"/>
                <w:lang w:bidi="ar-EG"/>
              </w:rPr>
              <w:t>a</w:t>
            </w:r>
          </w:p>
          <w:p w:rsidR="00115004" w:rsidRPr="006B7377" w:rsidRDefault="00115004" w:rsidP="005D7954">
            <w:pPr>
              <w:bidi w:val="0"/>
              <w:snapToGrid w:val="0"/>
              <w:jc w:val="both"/>
              <w:rPr>
                <w:rFonts w:ascii="Times New Roman" w:hAnsi="Times New Roman" w:cs="Times New Roman"/>
                <w:sz w:val="20"/>
                <w:szCs w:val="20"/>
                <w:lang w:bidi="ar-EG"/>
              </w:rPr>
            </w:pPr>
          </w:p>
        </w:tc>
        <w:tc>
          <w:tcPr>
            <w:tcW w:w="1486"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(7) Mixture </w:t>
            </w:r>
          </w:p>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(200 mg/kg b.wt)</w:t>
            </w:r>
          </w:p>
        </w:tc>
      </w:tr>
      <w:tr w:rsidR="00115004" w:rsidRPr="006B7377" w:rsidTr="006B7377">
        <w:trPr>
          <w:jc w:val="center"/>
        </w:trPr>
        <w:tc>
          <w:tcPr>
            <w:tcW w:w="43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23.76</w:t>
            </w:r>
          </w:p>
        </w:tc>
        <w:tc>
          <w:tcPr>
            <w:tcW w:w="965"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43.80 ± 3.54 </w:t>
            </w:r>
            <w:r w:rsidRPr="006B7377">
              <w:rPr>
                <w:rFonts w:ascii="Times New Roman" w:hAnsi="Times New Roman" w:cs="Times New Roman"/>
                <w:sz w:val="20"/>
                <w:szCs w:val="20"/>
                <w:vertAlign w:val="superscript"/>
                <w:lang w:bidi="ar-EG"/>
              </w:rPr>
              <w:t>a</w:t>
            </w:r>
          </w:p>
        </w:tc>
        <w:tc>
          <w:tcPr>
            <w:tcW w:w="108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252.32 ± 6.46 </w:t>
            </w:r>
            <w:r w:rsidRPr="006B7377">
              <w:rPr>
                <w:rFonts w:ascii="Times New Roman" w:hAnsi="Times New Roman" w:cs="Times New Roman"/>
                <w:sz w:val="20"/>
                <w:szCs w:val="20"/>
                <w:vertAlign w:val="superscript"/>
                <w:lang w:bidi="ar-EG"/>
              </w:rPr>
              <w:t>a</w:t>
            </w:r>
          </w:p>
        </w:tc>
        <w:tc>
          <w:tcPr>
            <w:tcW w:w="103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 xml:space="preserve">175.46 ± 2.62 </w:t>
            </w:r>
            <w:r w:rsidRPr="006B7377">
              <w:rPr>
                <w:rFonts w:ascii="Times New Roman" w:hAnsi="Times New Roman" w:cs="Times New Roman"/>
                <w:sz w:val="20"/>
                <w:szCs w:val="20"/>
                <w:vertAlign w:val="superscript"/>
                <w:lang w:bidi="ar-EG"/>
              </w:rPr>
              <w:t>a</w:t>
            </w:r>
          </w:p>
          <w:p w:rsidR="00115004" w:rsidRPr="006B7377" w:rsidRDefault="00115004" w:rsidP="005D7954">
            <w:pPr>
              <w:bidi w:val="0"/>
              <w:snapToGrid w:val="0"/>
              <w:jc w:val="both"/>
              <w:rPr>
                <w:rFonts w:ascii="Times New Roman" w:hAnsi="Times New Roman" w:cs="Times New Roman"/>
                <w:sz w:val="20"/>
                <w:szCs w:val="20"/>
                <w:lang w:bidi="ar-EG"/>
              </w:rPr>
            </w:pPr>
          </w:p>
        </w:tc>
        <w:tc>
          <w:tcPr>
            <w:tcW w:w="1486"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(8) Mixture </w:t>
            </w:r>
          </w:p>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(400 mg/kg b.wt)</w:t>
            </w:r>
          </w:p>
        </w:tc>
      </w:tr>
    </w:tbl>
    <w:p w:rsidR="007C2209" w:rsidRPr="006B7377" w:rsidRDefault="007C2209" w:rsidP="005D7954">
      <w:pPr>
        <w:bidi w:val="0"/>
        <w:snapToGrid w:val="0"/>
        <w:spacing w:after="0" w:line="240" w:lineRule="auto"/>
        <w:jc w:val="both"/>
        <w:rPr>
          <w:rFonts w:ascii="Times New Roman" w:hAnsi="Times New Roman" w:cs="Times New Roman"/>
          <w:sz w:val="20"/>
          <w:szCs w:val="18"/>
        </w:rPr>
      </w:pPr>
      <w:r w:rsidRPr="006B7377">
        <w:rPr>
          <w:rFonts w:ascii="Times New Roman" w:hAnsi="Times New Roman" w:cs="Times New Roman"/>
          <w:sz w:val="20"/>
          <w:szCs w:val="18"/>
        </w:rPr>
        <w:t>Means (n=10 rat) with different letters in the same column considered significant (P &lt; 0.05)</w:t>
      </w:r>
    </w:p>
    <w:p w:rsidR="006B7377" w:rsidRPr="006B7377" w:rsidRDefault="006B7377" w:rsidP="005D7954">
      <w:pPr>
        <w:shd w:val="clear" w:color="auto" w:fill="FFFFFF"/>
        <w:bidi w:val="0"/>
        <w:snapToGrid w:val="0"/>
        <w:spacing w:after="0" w:line="240" w:lineRule="auto"/>
        <w:ind w:firstLine="425"/>
        <w:jc w:val="both"/>
        <w:rPr>
          <w:rFonts w:ascii="Times New Roman" w:hAnsi="Times New Roman" w:cs="Times New Roman"/>
          <w:sz w:val="20"/>
          <w:szCs w:val="20"/>
        </w:rPr>
      </w:pPr>
    </w:p>
    <w:p w:rsidR="006B7377" w:rsidRDefault="006B7377" w:rsidP="005D7954">
      <w:pPr>
        <w:shd w:val="clear" w:color="auto" w:fill="FFFFFF"/>
        <w:bidi w:val="0"/>
        <w:snapToGrid w:val="0"/>
        <w:spacing w:after="0" w:line="240" w:lineRule="auto"/>
        <w:ind w:firstLine="425"/>
        <w:jc w:val="both"/>
        <w:rPr>
          <w:rFonts w:ascii="Times New Roman" w:hAnsi="Times New Roman" w:cs="Times New Roman"/>
          <w:sz w:val="20"/>
          <w:szCs w:val="20"/>
        </w:rPr>
        <w:sectPr w:rsidR="006B7377" w:rsidSect="006B7377">
          <w:type w:val="continuous"/>
          <w:pgSz w:w="12240" w:h="15840"/>
          <w:pgMar w:top="1440" w:right="1440" w:bottom="1440" w:left="1440" w:header="720" w:footer="720" w:gutter="0"/>
          <w:cols w:space="708"/>
          <w:docGrid w:linePitch="360"/>
        </w:sectPr>
      </w:pPr>
    </w:p>
    <w:p w:rsidR="00115004" w:rsidRPr="006B7377" w:rsidRDefault="00115004" w:rsidP="005D7954">
      <w:pPr>
        <w:shd w:val="clear" w:color="auto" w:fill="FFFFFF"/>
        <w:bidi w:val="0"/>
        <w:snapToGrid w:val="0"/>
        <w:spacing w:after="0" w:line="240" w:lineRule="auto"/>
        <w:ind w:firstLine="425"/>
        <w:jc w:val="both"/>
        <w:rPr>
          <w:rFonts w:ascii="Times New Roman" w:hAnsi="Times New Roman" w:cs="Times New Roman"/>
          <w:sz w:val="20"/>
          <w:szCs w:val="20"/>
        </w:rPr>
      </w:pPr>
      <w:r w:rsidRPr="006B7377">
        <w:rPr>
          <w:rFonts w:ascii="Times New Roman" w:hAnsi="Times New Roman" w:cs="Times New Roman"/>
          <w:sz w:val="20"/>
          <w:szCs w:val="20"/>
        </w:rPr>
        <w:lastRenderedPageBreak/>
        <w:t xml:space="preserve">Liver enzymes activities are illustrated in Table (2). There was significant </w:t>
      </w:r>
      <w:r w:rsidR="002214B8" w:rsidRPr="006B7377">
        <w:rPr>
          <w:rFonts w:ascii="Times New Roman" w:hAnsi="Times New Roman" w:cs="Times New Roman"/>
          <w:sz w:val="20"/>
          <w:szCs w:val="20"/>
        </w:rPr>
        <w:t>increase in</w:t>
      </w:r>
      <w:r w:rsidRPr="006B7377">
        <w:rPr>
          <w:rFonts w:ascii="Times New Roman" w:hAnsi="Times New Roman" w:cs="Times New Roman"/>
          <w:sz w:val="20"/>
          <w:szCs w:val="20"/>
        </w:rPr>
        <w:t xml:space="preserve"> AST and ALT in Cont+ve group compared with Cont-ve group. Treatment with TI at 200 and 400 mg induced significant decrease in liver enzymes compared with Cont+ve rats. The low and high doses of GB improved AST and ALT in treated rats, there was significant difference compared with Cont+ve group. Combination of TI and GB improved liver functions in treated rats, the values of high dose of TI and GB treated rats revealed non-significant difference as compared with Cont-ve group, at the same time there was significant decrease compared with Cont+ve rats.</w:t>
      </w:r>
    </w:p>
    <w:p w:rsidR="00115004" w:rsidRPr="006B7377" w:rsidRDefault="00115004" w:rsidP="005D7954">
      <w:pPr>
        <w:shd w:val="clear" w:color="auto" w:fill="FFFFFF"/>
        <w:bidi w:val="0"/>
        <w:snapToGrid w:val="0"/>
        <w:spacing w:after="0" w:line="240" w:lineRule="auto"/>
        <w:ind w:firstLine="425"/>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Subcutaneously administered of CCl4 induced dramatically significant increase in liver enzymes activities compared with normal rats. The obtained results were confirmed by Tirkey</w:t>
      </w:r>
      <w:r w:rsidRPr="006B7377">
        <w:rPr>
          <w:rFonts w:ascii="Times New Roman" w:hAnsi="Times New Roman" w:cs="Times New Roman"/>
          <w:i/>
          <w:iCs/>
          <w:sz w:val="20"/>
          <w:szCs w:val="20"/>
          <w:lang w:bidi="ar-EG"/>
        </w:rPr>
        <w:t>et al</w:t>
      </w:r>
      <w:r w:rsidRPr="006B7377">
        <w:rPr>
          <w:rFonts w:ascii="Times New Roman" w:hAnsi="Times New Roman" w:cs="Times New Roman"/>
          <w:sz w:val="20"/>
          <w:szCs w:val="20"/>
          <w:lang w:bidi="ar-EG"/>
        </w:rPr>
        <w:t>. [27] and Anand</w:t>
      </w:r>
      <w:r w:rsidRPr="006B7377">
        <w:rPr>
          <w:rFonts w:ascii="Times New Roman" w:hAnsi="Times New Roman" w:cs="Times New Roman"/>
          <w:i/>
          <w:iCs/>
          <w:sz w:val="20"/>
          <w:szCs w:val="20"/>
          <w:lang w:bidi="ar-EG"/>
        </w:rPr>
        <w:t>et al</w:t>
      </w:r>
      <w:r w:rsidRPr="006B7377">
        <w:rPr>
          <w:rFonts w:ascii="Times New Roman" w:hAnsi="Times New Roman" w:cs="Times New Roman"/>
          <w:sz w:val="20"/>
          <w:szCs w:val="20"/>
          <w:lang w:bidi="ar-EG"/>
        </w:rPr>
        <w:t xml:space="preserve">. [28]. Thus indicated that there was cellular and mitochondrial damage and loss of functional integrity of liver cells membrane [29-30]. Treatment with TI and GB induced significant restorations of liver enzymes activities. Thus indicated that the mixture of TI and GB induced healing of hepatic parenchyma and regenerated of hepatocytes. These results confirmed by </w:t>
      </w:r>
      <w:r w:rsidRPr="006B7377">
        <w:rPr>
          <w:rFonts w:ascii="Times New Roman" w:hAnsi="Times New Roman" w:cs="Times New Roman"/>
          <w:sz w:val="20"/>
          <w:szCs w:val="20"/>
        </w:rPr>
        <w:t xml:space="preserve">Pimple </w:t>
      </w:r>
      <w:r w:rsidRPr="006B7377">
        <w:rPr>
          <w:rFonts w:ascii="Times New Roman" w:hAnsi="Times New Roman" w:cs="Times New Roman"/>
          <w:i/>
          <w:iCs/>
          <w:sz w:val="20"/>
          <w:szCs w:val="20"/>
        </w:rPr>
        <w:t>et al</w:t>
      </w:r>
      <w:r w:rsidRPr="006B7377">
        <w:rPr>
          <w:rFonts w:ascii="Times New Roman" w:hAnsi="Times New Roman" w:cs="Times New Roman"/>
          <w:sz w:val="20"/>
          <w:szCs w:val="20"/>
        </w:rPr>
        <w:t xml:space="preserve">. [31]. These effect could be explained by the presence of many </w:t>
      </w:r>
      <w:r w:rsidRPr="006B7377">
        <w:rPr>
          <w:rFonts w:ascii="Times New Roman" w:hAnsi="Times New Roman" w:cs="Times New Roman"/>
          <w:sz w:val="20"/>
          <w:szCs w:val="20"/>
        </w:rPr>
        <w:lastRenderedPageBreak/>
        <w:t xml:space="preserve">active compounds in TI as flavonoids, polyphemols, beta-carotene and ascorbic acid, which have antioxidant properties [32-33]. In addition, flavonoids, </w:t>
      </w:r>
      <w:r w:rsidRPr="006B7377">
        <w:rPr>
          <w:rFonts w:ascii="Times New Roman" w:hAnsi="Times New Roman" w:cs="Times New Roman"/>
          <w:sz w:val="20"/>
          <w:szCs w:val="20"/>
          <w:lang w:bidi="ar-EG"/>
        </w:rPr>
        <w:t>ginkgo-flavone glycosides, terpenoid</w:t>
      </w:r>
      <w:r w:rsidR="00562838" w:rsidRPr="006B7377">
        <w:rPr>
          <w:rFonts w:ascii="Times New Roman" w:hAnsi="Times New Roman" w:cs="Times New Roman"/>
          <w:sz w:val="20"/>
          <w:szCs w:val="20"/>
          <w:lang w:bidi="ar-EG"/>
        </w:rPr>
        <w:t xml:space="preserve">as antioxidant compounds </w:t>
      </w:r>
      <w:r w:rsidRPr="006B7377">
        <w:rPr>
          <w:rFonts w:ascii="Times New Roman" w:hAnsi="Times New Roman" w:cs="Times New Roman"/>
          <w:sz w:val="20"/>
          <w:szCs w:val="20"/>
          <w:lang w:bidi="ar-EG"/>
        </w:rPr>
        <w:t>in the GB [34-36].</w:t>
      </w:r>
    </w:p>
    <w:p w:rsidR="00A94796" w:rsidRPr="006B7377" w:rsidRDefault="00A94796" w:rsidP="005D7954">
      <w:pPr>
        <w:shd w:val="clear" w:color="auto" w:fill="FFFFFF"/>
        <w:bidi w:val="0"/>
        <w:snapToGrid w:val="0"/>
        <w:spacing w:after="0" w:line="240" w:lineRule="auto"/>
        <w:ind w:firstLine="425"/>
        <w:jc w:val="both"/>
        <w:rPr>
          <w:rFonts w:ascii="Times New Roman" w:eastAsia="Arial Unicode MS" w:hAnsi="Times New Roman" w:cs="Times New Roman"/>
          <w:color w:val="000000" w:themeColor="text1"/>
          <w:sz w:val="20"/>
          <w:szCs w:val="20"/>
        </w:rPr>
      </w:pPr>
      <w:r w:rsidRPr="006B7377">
        <w:rPr>
          <w:rFonts w:ascii="Times New Roman" w:hAnsi="Times New Roman" w:cs="Times New Roman"/>
          <w:sz w:val="20"/>
          <w:szCs w:val="20"/>
        </w:rPr>
        <w:t>There was significant hyperlipidemic in Cont+ve group compared with Cont-ve group. Treatment with TI at 200 and 400 mg induced significant improved in lipid tested parameters compared with Cont+ve rats. The low and high doses of GB induced hypolipidemic effects in treated rats, there was significant difference compared with Cont+ve group. Treatment</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with</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TI and GB revealed</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 xml:space="preserve">noticeable hypolipidemic effects in treated rats, their values were significant difference as compared with Cont+ve group, at the same time there was significant decrease compared with Cont-ve rats Tables (3 and 4). Thus indicated that the </w:t>
      </w:r>
      <w:r w:rsidR="00562838" w:rsidRPr="006B7377">
        <w:rPr>
          <w:rFonts w:ascii="Times New Roman" w:hAnsi="Times New Roman" w:cs="Times New Roman"/>
          <w:sz w:val="20"/>
          <w:szCs w:val="20"/>
        </w:rPr>
        <w:t xml:space="preserve">combination of </w:t>
      </w:r>
      <w:r w:rsidRPr="006B7377">
        <w:rPr>
          <w:rFonts w:ascii="Times New Roman" w:eastAsia="Arial Unicode MS" w:hAnsi="Times New Roman" w:cs="Times New Roman"/>
          <w:color w:val="000000" w:themeColor="text1"/>
          <w:sz w:val="20"/>
          <w:szCs w:val="20"/>
        </w:rPr>
        <w:t xml:space="preserve">leaves of TI and GB have </w:t>
      </w:r>
      <w:r w:rsidR="00562838" w:rsidRPr="006B7377">
        <w:rPr>
          <w:rFonts w:ascii="Times New Roman" w:eastAsia="Arial Unicode MS" w:hAnsi="Times New Roman" w:cs="Times New Roman"/>
          <w:color w:val="000000" w:themeColor="text1"/>
          <w:sz w:val="20"/>
          <w:szCs w:val="20"/>
        </w:rPr>
        <w:t xml:space="preserve">potent </w:t>
      </w:r>
      <w:r w:rsidRPr="006B7377">
        <w:rPr>
          <w:rFonts w:ascii="Times New Roman" w:eastAsia="Arial Unicode MS" w:hAnsi="Times New Roman" w:cs="Times New Roman"/>
          <w:color w:val="000000" w:themeColor="text1"/>
          <w:sz w:val="20"/>
          <w:szCs w:val="20"/>
        </w:rPr>
        <w:t>hypolipidemic and hypocholesterolemic effects.</w:t>
      </w:r>
    </w:p>
    <w:p w:rsidR="00A94796" w:rsidRPr="006B7377" w:rsidRDefault="00A94796" w:rsidP="005D7954">
      <w:pPr>
        <w:shd w:val="clear" w:color="auto" w:fill="FFFFFF"/>
        <w:bidi w:val="0"/>
        <w:snapToGrid w:val="0"/>
        <w:spacing w:after="0" w:line="240" w:lineRule="auto"/>
        <w:ind w:firstLine="425"/>
        <w:jc w:val="both"/>
        <w:rPr>
          <w:rFonts w:ascii="Times New Roman" w:eastAsia="Arial Unicode MS" w:hAnsi="Times New Roman" w:cs="Times New Roman"/>
          <w:color w:val="000000" w:themeColor="text1"/>
          <w:sz w:val="20"/>
          <w:szCs w:val="20"/>
        </w:rPr>
      </w:pPr>
      <w:r w:rsidRPr="006B7377">
        <w:rPr>
          <w:rFonts w:ascii="Times New Roman" w:eastAsia="Arial Unicode MS" w:hAnsi="Times New Roman" w:cs="Times New Roman"/>
          <w:color w:val="000000" w:themeColor="text1"/>
          <w:sz w:val="20"/>
          <w:szCs w:val="20"/>
        </w:rPr>
        <w:t xml:space="preserve">Hyperlipidemic effect </w:t>
      </w:r>
      <w:r w:rsidR="00562838" w:rsidRPr="006B7377">
        <w:rPr>
          <w:rFonts w:ascii="Times New Roman" w:eastAsia="Arial Unicode MS" w:hAnsi="Times New Roman" w:cs="Times New Roman"/>
          <w:color w:val="000000" w:themeColor="text1"/>
          <w:sz w:val="20"/>
          <w:szCs w:val="20"/>
        </w:rPr>
        <w:t>of s</w:t>
      </w:r>
      <w:r w:rsidRPr="006B7377">
        <w:rPr>
          <w:rFonts w:ascii="Times New Roman" w:hAnsi="Times New Roman" w:cs="Times New Roman"/>
          <w:sz w:val="20"/>
          <w:szCs w:val="20"/>
          <w:lang w:bidi="ar-EG"/>
        </w:rPr>
        <w:t xml:space="preserve">ubcutaneously administered of CCl4 </w:t>
      </w:r>
      <w:r w:rsidRPr="006B7377">
        <w:rPr>
          <w:rFonts w:ascii="Times New Roman" w:eastAsia="Arial Unicode MS" w:hAnsi="Times New Roman" w:cs="Times New Roman"/>
          <w:color w:val="000000" w:themeColor="text1"/>
          <w:sz w:val="20"/>
          <w:szCs w:val="20"/>
        </w:rPr>
        <w:t xml:space="preserve">in hepatotoxic rats was in agreed with </w:t>
      </w:r>
      <w:r w:rsidRPr="006B7377">
        <w:rPr>
          <w:rFonts w:ascii="Times New Roman" w:hAnsi="Times New Roman" w:cs="Times New Roman"/>
          <w:sz w:val="20"/>
          <w:szCs w:val="20"/>
        </w:rPr>
        <w:t>El-Habibi</w:t>
      </w:r>
      <w:r w:rsidRPr="006B7377">
        <w:rPr>
          <w:rFonts w:ascii="Times New Roman" w:hAnsi="Times New Roman" w:cs="Times New Roman"/>
          <w:i/>
          <w:iCs/>
          <w:sz w:val="20"/>
          <w:szCs w:val="20"/>
        </w:rPr>
        <w:t>et al</w:t>
      </w:r>
      <w:r w:rsidRPr="006B7377">
        <w:rPr>
          <w:rFonts w:ascii="Times New Roman" w:hAnsi="Times New Roman" w:cs="Times New Roman"/>
          <w:sz w:val="20"/>
          <w:szCs w:val="20"/>
        </w:rPr>
        <w:t>. [37] and Al-Dosar</w:t>
      </w:r>
      <w:r w:rsidR="006B7377" w:rsidRPr="006B7377">
        <w:rPr>
          <w:rFonts w:ascii="Times New Roman" w:hAnsi="Times New Roman" w:cs="Times New Roman"/>
          <w:sz w:val="20"/>
          <w:szCs w:val="20"/>
        </w:rPr>
        <w:t>i [</w:t>
      </w:r>
      <w:r w:rsidRPr="006B7377">
        <w:rPr>
          <w:rFonts w:ascii="Times New Roman" w:hAnsi="Times New Roman" w:cs="Times New Roman"/>
          <w:sz w:val="20"/>
          <w:szCs w:val="20"/>
        </w:rPr>
        <w:t>38].</w:t>
      </w:r>
      <w:r w:rsidR="006B7377" w:rsidRPr="006B7377">
        <w:rPr>
          <w:rFonts w:ascii="Times New Roman" w:hAnsi="Times New Roman" w:cs="Times New Roman"/>
          <w:sz w:val="20"/>
          <w:szCs w:val="20"/>
        </w:rPr>
        <w:t xml:space="preserve"> </w:t>
      </w:r>
      <w:r w:rsidRPr="006B7377">
        <w:rPr>
          <w:rFonts w:ascii="Times New Roman" w:eastAsia="Arial Unicode MS" w:hAnsi="Times New Roman" w:cs="Times New Roman"/>
          <w:color w:val="000000" w:themeColor="text1"/>
          <w:sz w:val="20"/>
          <w:szCs w:val="20"/>
        </w:rPr>
        <w:t xml:space="preserve">This effect could be explained by increase the fatty acids synthesis and TG from acetate, which influenced </w:t>
      </w:r>
      <w:r w:rsidR="002214B8" w:rsidRPr="006B7377">
        <w:rPr>
          <w:rFonts w:ascii="Times New Roman" w:eastAsia="Arial Unicode MS" w:hAnsi="Times New Roman" w:cs="Times New Roman"/>
          <w:color w:val="000000" w:themeColor="text1"/>
          <w:sz w:val="20"/>
          <w:szCs w:val="20"/>
        </w:rPr>
        <w:t>by CCl4</w:t>
      </w:r>
      <w:r w:rsidRPr="006B7377">
        <w:rPr>
          <w:rFonts w:ascii="Times New Roman" w:eastAsia="Arial Unicode MS" w:hAnsi="Times New Roman" w:cs="Times New Roman"/>
          <w:color w:val="000000" w:themeColor="text1"/>
          <w:sz w:val="20"/>
          <w:szCs w:val="20"/>
        </w:rPr>
        <w:t xml:space="preserve">. In addition, CCl4 inhibit the bile acids synthesis thus increase cholesterol level [39]. In addition, CCl4 </w:t>
      </w:r>
      <w:r w:rsidRPr="006B7377">
        <w:rPr>
          <w:rFonts w:ascii="Times New Roman" w:eastAsia="Arial Unicode MS" w:hAnsi="Times New Roman" w:cs="Times New Roman"/>
          <w:color w:val="000000" w:themeColor="text1"/>
          <w:sz w:val="20"/>
          <w:szCs w:val="20"/>
        </w:rPr>
        <w:lastRenderedPageBreak/>
        <w:t xml:space="preserve">increases the availability of esterification of fatty acids [40]. The improved in lipid parameters by </w:t>
      </w:r>
      <w:r w:rsidR="00562838" w:rsidRPr="006B7377">
        <w:rPr>
          <w:rFonts w:ascii="Times New Roman" w:eastAsia="Arial Unicode MS" w:hAnsi="Times New Roman" w:cs="Times New Roman"/>
          <w:color w:val="000000" w:themeColor="text1"/>
          <w:sz w:val="20"/>
          <w:szCs w:val="20"/>
        </w:rPr>
        <w:t xml:space="preserve">treatment with either </w:t>
      </w:r>
      <w:r w:rsidRPr="006B7377">
        <w:rPr>
          <w:rFonts w:ascii="Times New Roman" w:eastAsia="Arial Unicode MS" w:hAnsi="Times New Roman" w:cs="Times New Roman"/>
          <w:color w:val="000000" w:themeColor="text1"/>
          <w:sz w:val="20"/>
          <w:szCs w:val="20"/>
        </w:rPr>
        <w:t xml:space="preserve">TI </w:t>
      </w:r>
      <w:r w:rsidR="00562838" w:rsidRPr="006B7377">
        <w:rPr>
          <w:rFonts w:ascii="Times New Roman" w:eastAsia="Arial Unicode MS" w:hAnsi="Times New Roman" w:cs="Times New Roman"/>
          <w:color w:val="000000" w:themeColor="text1"/>
          <w:sz w:val="20"/>
          <w:szCs w:val="20"/>
        </w:rPr>
        <w:t>or</w:t>
      </w:r>
      <w:r w:rsidRPr="006B7377">
        <w:rPr>
          <w:rFonts w:ascii="Times New Roman" w:eastAsia="Arial Unicode MS" w:hAnsi="Times New Roman" w:cs="Times New Roman"/>
          <w:color w:val="000000" w:themeColor="text1"/>
          <w:sz w:val="20"/>
          <w:szCs w:val="20"/>
        </w:rPr>
        <w:t xml:space="preserve"> GB </w:t>
      </w:r>
      <w:r w:rsidR="00562838" w:rsidRPr="006B7377">
        <w:rPr>
          <w:rFonts w:ascii="Times New Roman" w:eastAsia="Arial Unicode MS" w:hAnsi="Times New Roman" w:cs="Times New Roman"/>
          <w:color w:val="000000" w:themeColor="text1"/>
          <w:sz w:val="20"/>
          <w:szCs w:val="20"/>
        </w:rPr>
        <w:t xml:space="preserve">extract, revealed </w:t>
      </w:r>
      <w:r w:rsidRPr="006B7377">
        <w:rPr>
          <w:rFonts w:ascii="Times New Roman" w:eastAsia="Arial Unicode MS" w:hAnsi="Times New Roman" w:cs="Times New Roman"/>
          <w:color w:val="000000" w:themeColor="text1"/>
          <w:sz w:val="20"/>
          <w:szCs w:val="20"/>
        </w:rPr>
        <w:t xml:space="preserve">normalize </w:t>
      </w:r>
      <w:r w:rsidR="00562838" w:rsidRPr="006B7377">
        <w:rPr>
          <w:rFonts w:ascii="Times New Roman" w:eastAsia="Arial Unicode MS" w:hAnsi="Times New Roman" w:cs="Times New Roman"/>
          <w:color w:val="000000" w:themeColor="text1"/>
          <w:sz w:val="20"/>
          <w:szCs w:val="20"/>
        </w:rPr>
        <w:t xml:space="preserve">in </w:t>
      </w:r>
      <w:r w:rsidRPr="006B7377">
        <w:rPr>
          <w:rFonts w:ascii="Times New Roman" w:eastAsia="Arial Unicode MS" w:hAnsi="Times New Roman" w:cs="Times New Roman"/>
          <w:color w:val="000000" w:themeColor="text1"/>
          <w:sz w:val="20"/>
          <w:szCs w:val="20"/>
        </w:rPr>
        <w:t xml:space="preserve">their values </w:t>
      </w:r>
      <w:r w:rsidR="00562838" w:rsidRPr="006B7377">
        <w:rPr>
          <w:rFonts w:ascii="Times New Roman" w:eastAsia="Arial Unicode MS" w:hAnsi="Times New Roman" w:cs="Times New Roman"/>
          <w:color w:val="000000" w:themeColor="text1"/>
          <w:sz w:val="20"/>
          <w:szCs w:val="20"/>
        </w:rPr>
        <w:t>as compared with</w:t>
      </w:r>
      <w:r w:rsidRPr="006B7377">
        <w:rPr>
          <w:rFonts w:ascii="Times New Roman" w:eastAsia="Arial Unicode MS" w:hAnsi="Times New Roman" w:cs="Times New Roman"/>
          <w:color w:val="000000" w:themeColor="text1"/>
          <w:sz w:val="20"/>
          <w:szCs w:val="20"/>
        </w:rPr>
        <w:t xml:space="preserve"> normal range</w:t>
      </w:r>
      <w:r w:rsidR="00562838" w:rsidRPr="006B7377">
        <w:rPr>
          <w:rFonts w:ascii="Times New Roman" w:eastAsia="Arial Unicode MS" w:hAnsi="Times New Roman" w:cs="Times New Roman"/>
          <w:color w:val="000000" w:themeColor="text1"/>
          <w:sz w:val="20"/>
          <w:szCs w:val="20"/>
        </w:rPr>
        <w:t xml:space="preserve"> in contr-</w:t>
      </w:r>
      <w:r w:rsidR="00562838" w:rsidRPr="006B7377">
        <w:rPr>
          <w:rFonts w:ascii="Times New Roman" w:eastAsia="Arial Unicode MS" w:hAnsi="Times New Roman" w:cs="Times New Roman"/>
          <w:color w:val="000000" w:themeColor="text1"/>
          <w:sz w:val="20"/>
          <w:szCs w:val="20"/>
        </w:rPr>
        <w:lastRenderedPageBreak/>
        <w:t>ve group</w:t>
      </w:r>
      <w:r w:rsidRPr="006B7377">
        <w:rPr>
          <w:rFonts w:ascii="Times New Roman" w:eastAsia="Arial Unicode MS" w:hAnsi="Times New Roman" w:cs="Times New Roman"/>
          <w:color w:val="000000" w:themeColor="text1"/>
          <w:sz w:val="20"/>
          <w:szCs w:val="20"/>
        </w:rPr>
        <w:t>,</w:t>
      </w:r>
      <w:r w:rsidR="00562838" w:rsidRPr="006B7377">
        <w:rPr>
          <w:rFonts w:ascii="Times New Roman" w:eastAsia="Arial Unicode MS" w:hAnsi="Times New Roman" w:cs="Times New Roman"/>
          <w:color w:val="000000" w:themeColor="text1"/>
          <w:sz w:val="20"/>
          <w:szCs w:val="20"/>
        </w:rPr>
        <w:t xml:space="preserve"> thus</w:t>
      </w:r>
      <w:r w:rsidRPr="006B7377">
        <w:rPr>
          <w:rFonts w:ascii="Times New Roman" w:eastAsia="Arial Unicode MS" w:hAnsi="Times New Roman" w:cs="Times New Roman"/>
          <w:color w:val="000000" w:themeColor="text1"/>
          <w:sz w:val="20"/>
          <w:szCs w:val="20"/>
        </w:rPr>
        <w:t xml:space="preserve"> could be explained by antioxidant compounds in leaves extract as confirmed by Olatunde</w:t>
      </w:r>
      <w:r w:rsidR="002214B8" w:rsidRPr="006B7377">
        <w:rPr>
          <w:rFonts w:ascii="Times New Roman" w:eastAsia="Arial Unicode MS" w:hAnsi="Times New Roman" w:cs="Times New Roman"/>
          <w:i/>
          <w:iCs/>
          <w:color w:val="000000" w:themeColor="text1"/>
          <w:sz w:val="20"/>
          <w:szCs w:val="20"/>
        </w:rPr>
        <w:t xml:space="preserve"> </w:t>
      </w:r>
      <w:r w:rsidRPr="006B7377">
        <w:rPr>
          <w:rFonts w:ascii="Times New Roman" w:eastAsia="Arial Unicode MS" w:hAnsi="Times New Roman" w:cs="Times New Roman"/>
          <w:i/>
          <w:iCs/>
          <w:color w:val="000000" w:themeColor="text1"/>
          <w:sz w:val="20"/>
          <w:szCs w:val="20"/>
        </w:rPr>
        <w:t>et al</w:t>
      </w:r>
      <w:r w:rsidRPr="006B7377">
        <w:rPr>
          <w:rFonts w:ascii="Times New Roman" w:eastAsia="Arial Unicode MS" w:hAnsi="Times New Roman" w:cs="Times New Roman"/>
          <w:color w:val="000000" w:themeColor="text1"/>
          <w:sz w:val="20"/>
          <w:szCs w:val="20"/>
        </w:rPr>
        <w:t>. [32]</w:t>
      </w:r>
      <w:r w:rsidR="00FF26C0" w:rsidRPr="006B7377">
        <w:rPr>
          <w:rFonts w:ascii="Times New Roman" w:eastAsia="Arial Unicode MS" w:hAnsi="Times New Roman" w:cs="Times New Roman"/>
          <w:color w:val="000000" w:themeColor="text1"/>
          <w:sz w:val="20"/>
          <w:szCs w:val="20"/>
        </w:rPr>
        <w:t xml:space="preserve">, </w:t>
      </w:r>
      <w:r w:rsidRPr="006B7377">
        <w:rPr>
          <w:rFonts w:ascii="Times New Roman" w:eastAsia="Arial Unicode MS" w:hAnsi="Times New Roman" w:cs="Times New Roman"/>
          <w:color w:val="000000" w:themeColor="text1"/>
          <w:sz w:val="20"/>
          <w:szCs w:val="20"/>
        </w:rPr>
        <w:t>Ross [33]</w:t>
      </w:r>
      <w:r w:rsidR="00FF26C0" w:rsidRPr="006B7377">
        <w:rPr>
          <w:rFonts w:ascii="Times New Roman" w:eastAsia="Arial Unicode MS" w:hAnsi="Times New Roman" w:cs="Times New Roman"/>
          <w:color w:val="000000" w:themeColor="text1"/>
          <w:sz w:val="20"/>
          <w:szCs w:val="20"/>
        </w:rPr>
        <w:t xml:space="preserve">, </w:t>
      </w:r>
      <w:r w:rsidRPr="006B7377">
        <w:rPr>
          <w:rFonts w:ascii="Times New Roman" w:eastAsia="Arial Unicode MS" w:hAnsi="Times New Roman" w:cs="Times New Roman"/>
          <w:color w:val="000000" w:themeColor="text1"/>
          <w:sz w:val="20"/>
          <w:szCs w:val="20"/>
        </w:rPr>
        <w:t>Oteiza</w:t>
      </w:r>
      <w:r w:rsidR="002214B8" w:rsidRPr="006B7377">
        <w:rPr>
          <w:rFonts w:ascii="Times New Roman" w:eastAsia="Arial Unicode MS" w:hAnsi="Times New Roman" w:cs="Times New Roman"/>
          <w:i/>
          <w:iCs/>
          <w:color w:val="000000" w:themeColor="text1"/>
          <w:sz w:val="20"/>
          <w:szCs w:val="20"/>
        </w:rPr>
        <w:t xml:space="preserve"> </w:t>
      </w:r>
      <w:r w:rsidRPr="006B7377">
        <w:rPr>
          <w:rFonts w:ascii="Times New Roman" w:eastAsia="Arial Unicode MS" w:hAnsi="Times New Roman" w:cs="Times New Roman"/>
          <w:i/>
          <w:iCs/>
          <w:color w:val="000000" w:themeColor="text1"/>
          <w:sz w:val="20"/>
          <w:szCs w:val="20"/>
        </w:rPr>
        <w:t>et al.</w:t>
      </w:r>
      <w:r w:rsidRPr="006B7377">
        <w:rPr>
          <w:rFonts w:ascii="Times New Roman" w:eastAsia="Arial Unicode MS" w:hAnsi="Times New Roman" w:cs="Times New Roman"/>
          <w:color w:val="000000" w:themeColor="text1"/>
          <w:sz w:val="20"/>
          <w:szCs w:val="20"/>
        </w:rPr>
        <w:t xml:space="preserve"> [41]</w:t>
      </w:r>
      <w:r w:rsidR="00335357" w:rsidRPr="006B7377">
        <w:rPr>
          <w:rFonts w:ascii="Times New Roman" w:eastAsia="Arial Unicode MS" w:hAnsi="Times New Roman" w:cs="Times New Roman"/>
          <w:color w:val="000000" w:themeColor="text1"/>
          <w:sz w:val="20"/>
          <w:szCs w:val="20"/>
        </w:rPr>
        <w:t xml:space="preserve"> an</w:t>
      </w:r>
      <w:r w:rsidR="005D7954" w:rsidRPr="006B7377">
        <w:rPr>
          <w:rFonts w:ascii="Times New Roman" w:eastAsia="Arial Unicode MS" w:hAnsi="Times New Roman" w:cs="Times New Roman"/>
          <w:color w:val="000000" w:themeColor="text1"/>
          <w:sz w:val="20"/>
          <w:szCs w:val="20"/>
        </w:rPr>
        <w:t>d</w:t>
      </w:r>
      <w:r w:rsidR="005D7954">
        <w:rPr>
          <w:rFonts w:ascii="Times New Roman" w:eastAsia="Arial Unicode MS" w:hAnsi="Times New Roman" w:cs="Times New Roman"/>
          <w:color w:val="000000" w:themeColor="text1"/>
          <w:sz w:val="20"/>
          <w:szCs w:val="20"/>
        </w:rPr>
        <w:t xml:space="preserve"> </w:t>
      </w:r>
      <w:r w:rsidR="005D7954" w:rsidRPr="006B7377">
        <w:rPr>
          <w:rFonts w:ascii="Times New Roman" w:eastAsia="Arial Unicode MS" w:hAnsi="Times New Roman" w:cs="Times New Roman"/>
          <w:color w:val="000000" w:themeColor="text1"/>
          <w:sz w:val="20"/>
          <w:szCs w:val="20"/>
        </w:rPr>
        <w:t>B</w:t>
      </w:r>
      <w:r w:rsidRPr="006B7377">
        <w:rPr>
          <w:rFonts w:ascii="Times New Roman" w:eastAsia="Arial Unicode MS" w:hAnsi="Times New Roman" w:cs="Times New Roman"/>
          <w:color w:val="000000" w:themeColor="text1"/>
          <w:sz w:val="20"/>
          <w:szCs w:val="20"/>
        </w:rPr>
        <w:t>hendric [42].</w:t>
      </w:r>
    </w:p>
    <w:p w:rsidR="006B7377" w:rsidRDefault="006B7377" w:rsidP="005D7954">
      <w:pPr>
        <w:autoSpaceDE w:val="0"/>
        <w:autoSpaceDN w:val="0"/>
        <w:bidi w:val="0"/>
        <w:adjustRightInd w:val="0"/>
        <w:snapToGrid w:val="0"/>
        <w:spacing w:after="0" w:line="240" w:lineRule="auto"/>
        <w:jc w:val="center"/>
        <w:rPr>
          <w:rFonts w:ascii="Times New Roman" w:hAnsi="Times New Roman" w:cs="Times New Roman"/>
          <w:b/>
          <w:bCs/>
          <w:sz w:val="20"/>
          <w:szCs w:val="20"/>
        </w:rPr>
        <w:sectPr w:rsidR="006B7377" w:rsidSect="005D7954">
          <w:type w:val="continuous"/>
          <w:pgSz w:w="12240" w:h="15840"/>
          <w:pgMar w:top="1440" w:right="1440" w:bottom="1440" w:left="1440" w:header="720" w:footer="720" w:gutter="0"/>
          <w:cols w:num="2" w:space="550"/>
          <w:docGrid w:linePitch="360"/>
        </w:sectPr>
      </w:pPr>
    </w:p>
    <w:p w:rsidR="00562838" w:rsidRPr="006B7377" w:rsidRDefault="006B7377" w:rsidP="005D7954">
      <w:pPr>
        <w:autoSpaceDE w:val="0"/>
        <w:autoSpaceDN w:val="0"/>
        <w:bidi w:val="0"/>
        <w:adjustRightInd w:val="0"/>
        <w:snapToGrid w:val="0"/>
        <w:spacing w:after="0" w:line="240" w:lineRule="auto"/>
        <w:jc w:val="both"/>
        <w:rPr>
          <w:rFonts w:ascii="Times New Roman" w:eastAsia="Arial Unicode MS" w:hAnsi="Times New Roman" w:cs="Times New Roman"/>
          <w:b/>
          <w:bCs/>
          <w:color w:val="000000" w:themeColor="text1"/>
          <w:sz w:val="20"/>
          <w:szCs w:val="4"/>
        </w:rPr>
      </w:pPr>
      <w:r>
        <w:rPr>
          <w:rFonts w:ascii="Times New Roman" w:hAnsi="Times New Roman" w:cs="Times New Roman"/>
          <w:b/>
          <w:bCs/>
          <w:sz w:val="20"/>
          <w:szCs w:val="20"/>
        </w:rPr>
        <w:lastRenderedPageBreak/>
        <w:cr/>
      </w:r>
      <w:r w:rsidR="002214B8" w:rsidRPr="006B7377">
        <w:rPr>
          <w:rFonts w:ascii="Times New Roman" w:hAnsi="Times New Roman" w:cs="Times New Roman"/>
          <w:b/>
          <w:bCs/>
          <w:sz w:val="20"/>
          <w:szCs w:val="20"/>
        </w:rPr>
        <w:t>Table 2</w:t>
      </w:r>
      <w:r w:rsidR="00115004" w:rsidRPr="006B7377">
        <w:rPr>
          <w:rFonts w:ascii="Times New Roman" w:hAnsi="Times New Roman" w:cs="Times New Roman"/>
          <w:b/>
          <w:bCs/>
          <w:sz w:val="20"/>
          <w:szCs w:val="20"/>
        </w:rPr>
        <w:t xml:space="preserve">: </w:t>
      </w:r>
      <w:r w:rsidR="00115004" w:rsidRPr="006B7377">
        <w:rPr>
          <w:rFonts w:ascii="Times New Roman" w:eastAsia="Arial Unicode MS" w:hAnsi="Times New Roman" w:cs="Times New Roman"/>
          <w:b/>
          <w:bCs/>
          <w:color w:val="000000" w:themeColor="text1"/>
          <w:sz w:val="20"/>
          <w:szCs w:val="20"/>
        </w:rPr>
        <w:t xml:space="preserve">Effect of </w:t>
      </w:r>
      <w:r w:rsidR="002214B8" w:rsidRPr="006B7377">
        <w:rPr>
          <w:rFonts w:ascii="Times New Roman" w:eastAsia="Arial Unicode MS" w:hAnsi="Times New Roman" w:cs="Times New Roman"/>
          <w:b/>
          <w:bCs/>
          <w:i/>
          <w:iCs/>
          <w:color w:val="000000" w:themeColor="text1"/>
          <w:sz w:val="20"/>
          <w:szCs w:val="20"/>
        </w:rPr>
        <w:t>Tamarindus indica</w:t>
      </w:r>
      <w:r w:rsidR="002214B8" w:rsidRPr="006B7377">
        <w:rPr>
          <w:rFonts w:ascii="Times New Roman" w:eastAsia="Arial Unicode MS" w:hAnsi="Times New Roman" w:cs="Times New Roman"/>
          <w:b/>
          <w:bCs/>
          <w:color w:val="000000" w:themeColor="text1"/>
          <w:sz w:val="20"/>
          <w:szCs w:val="20"/>
        </w:rPr>
        <w:t xml:space="preserve"> and</w:t>
      </w:r>
      <w:r w:rsidR="00115004"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i/>
          <w:iCs/>
          <w:color w:val="000000" w:themeColor="text1"/>
          <w:sz w:val="20"/>
          <w:szCs w:val="20"/>
        </w:rPr>
        <w:t xml:space="preserve">Ginkgo </w:t>
      </w:r>
      <w:r w:rsidR="002214B8" w:rsidRPr="006B7377">
        <w:rPr>
          <w:rFonts w:ascii="Times New Roman" w:eastAsia="Arial Unicode MS" w:hAnsi="Times New Roman" w:cs="Times New Roman"/>
          <w:b/>
          <w:bCs/>
          <w:i/>
          <w:iCs/>
          <w:color w:val="000000" w:themeColor="text1"/>
          <w:sz w:val="20"/>
          <w:szCs w:val="20"/>
        </w:rPr>
        <w:t>biloba</w:t>
      </w:r>
      <w:r w:rsidR="002214B8" w:rsidRPr="006B7377">
        <w:rPr>
          <w:rFonts w:ascii="Times New Roman" w:eastAsia="Arial Unicode MS" w:hAnsi="Times New Roman" w:cs="Times New Roman"/>
          <w:b/>
          <w:bCs/>
          <w:color w:val="000000" w:themeColor="text1"/>
          <w:sz w:val="20"/>
          <w:szCs w:val="20"/>
        </w:rPr>
        <w:t xml:space="preserve"> leaves</w:t>
      </w:r>
      <w:r w:rsidR="00115004" w:rsidRPr="006B7377">
        <w:rPr>
          <w:rFonts w:ascii="Times New Roman" w:eastAsia="Arial Unicode MS" w:hAnsi="Times New Roman" w:cs="Times New Roman"/>
          <w:b/>
          <w:bCs/>
          <w:color w:val="000000" w:themeColor="text1"/>
          <w:sz w:val="20"/>
          <w:szCs w:val="20"/>
        </w:rPr>
        <w:t xml:space="preserve"> extract and their mixture</w:t>
      </w:r>
      <w:r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color w:val="000000" w:themeColor="text1"/>
          <w:sz w:val="20"/>
          <w:szCs w:val="20"/>
        </w:rPr>
        <w:t>on</w:t>
      </w:r>
      <w:r w:rsidRPr="006B7377">
        <w:rPr>
          <w:rFonts w:ascii="Times New Roman" w:eastAsia="Arial Unicode MS" w:hAnsi="Times New Roman" w:cs="Times New Roman"/>
          <w:b/>
          <w:bCs/>
          <w:color w:val="000000" w:themeColor="text1"/>
          <w:sz w:val="20"/>
          <w:szCs w:val="20"/>
        </w:rPr>
        <w:t xml:space="preserve"> </w:t>
      </w:r>
      <w:r w:rsidR="00115004" w:rsidRPr="006B7377">
        <w:rPr>
          <w:rFonts w:ascii="Times New Roman" w:eastAsia="Arial Unicode MS" w:hAnsi="Times New Roman" w:cs="Times New Roman"/>
          <w:b/>
          <w:bCs/>
          <w:color w:val="000000" w:themeColor="text1"/>
          <w:sz w:val="20"/>
          <w:szCs w:val="20"/>
        </w:rPr>
        <w:t>levels of serum liver enzymes (AST and ALT) in hepatotoxic rats</w:t>
      </w:r>
    </w:p>
    <w:tbl>
      <w:tblPr>
        <w:tblStyle w:val="TableGrid2"/>
        <w:bidiVisual/>
        <w:tblW w:w="5000" w:type="pct"/>
        <w:jc w:val="center"/>
        <w:tblBorders>
          <w:left w:val="none" w:sz="0" w:space="0" w:color="auto"/>
          <w:right w:val="none" w:sz="0" w:space="0" w:color="auto"/>
          <w:insideV w:val="none" w:sz="0" w:space="0" w:color="auto"/>
        </w:tblBorders>
        <w:tblCellMar>
          <w:left w:w="57" w:type="dxa"/>
          <w:right w:w="57" w:type="dxa"/>
        </w:tblCellMar>
        <w:tblLook w:val="04A0"/>
      </w:tblPr>
      <w:tblGrid>
        <w:gridCol w:w="2774"/>
        <w:gridCol w:w="2746"/>
        <w:gridCol w:w="3954"/>
      </w:tblGrid>
      <w:tr w:rsidR="00115004" w:rsidRPr="006B7377" w:rsidTr="006B7377">
        <w:trPr>
          <w:jc w:val="center"/>
        </w:trPr>
        <w:tc>
          <w:tcPr>
            <w:tcW w:w="2913" w:type="pct"/>
            <w:gridSpan w:val="2"/>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lang w:bidi="ar-EG"/>
              </w:rPr>
              <w:t>Parameters</w:t>
            </w:r>
          </w:p>
        </w:tc>
        <w:tc>
          <w:tcPr>
            <w:tcW w:w="2087" w:type="pct"/>
            <w:vMerge w:val="restart"/>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rPr>
              <w:t>Experimental groups</w:t>
            </w:r>
          </w:p>
        </w:tc>
      </w:tr>
      <w:tr w:rsidR="00115004" w:rsidRPr="006B7377" w:rsidTr="006B7377">
        <w:trPr>
          <w:jc w:val="center"/>
        </w:trPr>
        <w:tc>
          <w:tcPr>
            <w:tcW w:w="1464" w:type="pct"/>
            <w:shd w:val="clear" w:color="auto" w:fill="C2D69B" w:themeFill="accent3" w:themeFillTint="99"/>
            <w:vAlign w:val="center"/>
          </w:tcPr>
          <w:p w:rsidR="00115004" w:rsidRPr="006B7377" w:rsidRDefault="00115004" w:rsidP="005D7954">
            <w:pPr>
              <w:pStyle w:val="Default"/>
              <w:snapToGrid w:val="0"/>
              <w:jc w:val="both"/>
              <w:rPr>
                <w:sz w:val="20"/>
                <w:szCs w:val="20"/>
              </w:rPr>
            </w:pPr>
            <w:r w:rsidRPr="006B7377">
              <w:rPr>
                <w:b/>
                <w:bCs/>
                <w:sz w:val="20"/>
                <w:szCs w:val="20"/>
              </w:rPr>
              <w:t>AST</w:t>
            </w:r>
            <w:r w:rsidR="005D7954">
              <w:rPr>
                <w:sz w:val="20"/>
                <w:szCs w:val="20"/>
              </w:rPr>
              <w:t xml:space="preserve"> </w:t>
            </w:r>
            <w:r w:rsidRPr="006B7377">
              <w:rPr>
                <w:sz w:val="20"/>
                <w:szCs w:val="20"/>
              </w:rPr>
              <w:t>U/L</w:t>
            </w:r>
          </w:p>
        </w:tc>
        <w:tc>
          <w:tcPr>
            <w:tcW w:w="1448" w:type="pct"/>
            <w:shd w:val="clear" w:color="auto" w:fill="C2D69B" w:themeFill="accent3" w:themeFillTint="99"/>
            <w:vAlign w:val="center"/>
          </w:tcPr>
          <w:p w:rsidR="00115004" w:rsidRPr="006B7377" w:rsidRDefault="00115004" w:rsidP="005D7954">
            <w:pPr>
              <w:pStyle w:val="Default"/>
              <w:snapToGrid w:val="0"/>
              <w:jc w:val="both"/>
              <w:rPr>
                <w:sz w:val="20"/>
                <w:szCs w:val="20"/>
              </w:rPr>
            </w:pPr>
            <w:r w:rsidRPr="006B7377">
              <w:rPr>
                <w:b/>
                <w:bCs/>
                <w:sz w:val="20"/>
                <w:szCs w:val="20"/>
              </w:rPr>
              <w:t>ALT</w:t>
            </w:r>
            <w:r w:rsidR="005D7954">
              <w:rPr>
                <w:sz w:val="20"/>
                <w:szCs w:val="20"/>
              </w:rPr>
              <w:t xml:space="preserve"> </w:t>
            </w:r>
            <w:r w:rsidRPr="006B7377">
              <w:rPr>
                <w:sz w:val="20"/>
                <w:szCs w:val="20"/>
              </w:rPr>
              <w:t>U/L</w:t>
            </w:r>
          </w:p>
        </w:tc>
        <w:tc>
          <w:tcPr>
            <w:tcW w:w="2087" w:type="pct"/>
            <w:vMerge/>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p>
        </w:tc>
      </w:tr>
      <w:tr w:rsidR="00115004" w:rsidRPr="006B7377" w:rsidTr="006B7377">
        <w:trPr>
          <w:jc w:val="center"/>
        </w:trPr>
        <w:tc>
          <w:tcPr>
            <w:tcW w:w="1464" w:type="pct"/>
            <w:vAlign w:val="center"/>
          </w:tcPr>
          <w:p w:rsidR="00115004" w:rsidRPr="006B7377" w:rsidRDefault="00115004" w:rsidP="005D7954">
            <w:pPr>
              <w:pStyle w:val="Default"/>
              <w:snapToGrid w:val="0"/>
              <w:jc w:val="both"/>
              <w:rPr>
                <w:sz w:val="20"/>
                <w:szCs w:val="20"/>
              </w:rPr>
            </w:pPr>
            <w:r w:rsidRPr="006B7377">
              <w:rPr>
                <w:sz w:val="20"/>
                <w:szCs w:val="20"/>
              </w:rPr>
              <w:t xml:space="preserve">67.245± 2.07 </w:t>
            </w:r>
            <w:r w:rsidRPr="006B7377">
              <w:rPr>
                <w:sz w:val="20"/>
                <w:szCs w:val="20"/>
                <w:vertAlign w:val="superscript"/>
              </w:rPr>
              <w:t>a</w:t>
            </w:r>
          </w:p>
        </w:tc>
        <w:tc>
          <w:tcPr>
            <w:tcW w:w="1448" w:type="pct"/>
            <w:vAlign w:val="center"/>
          </w:tcPr>
          <w:p w:rsidR="00115004" w:rsidRPr="006B7377" w:rsidRDefault="00115004" w:rsidP="005D7954">
            <w:pPr>
              <w:pStyle w:val="Default"/>
              <w:snapToGrid w:val="0"/>
              <w:jc w:val="both"/>
              <w:rPr>
                <w:sz w:val="20"/>
                <w:szCs w:val="20"/>
              </w:rPr>
            </w:pPr>
            <w:r w:rsidRPr="006B7377">
              <w:rPr>
                <w:sz w:val="20"/>
                <w:szCs w:val="20"/>
              </w:rPr>
              <w:t xml:space="preserve">33.246± 2.23 </w:t>
            </w:r>
            <w:r w:rsidRPr="006B7377">
              <w:rPr>
                <w:sz w:val="20"/>
                <w:szCs w:val="20"/>
                <w:vertAlign w:val="superscript"/>
              </w:rPr>
              <w:t>a</w:t>
            </w:r>
          </w:p>
        </w:tc>
        <w:tc>
          <w:tcPr>
            <w:tcW w:w="208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Group (1) Cont -ve</w:t>
            </w:r>
          </w:p>
        </w:tc>
      </w:tr>
      <w:tr w:rsidR="00115004" w:rsidRPr="006B7377" w:rsidTr="006B7377">
        <w:trPr>
          <w:jc w:val="center"/>
        </w:trPr>
        <w:tc>
          <w:tcPr>
            <w:tcW w:w="1464" w:type="pct"/>
            <w:vAlign w:val="center"/>
          </w:tcPr>
          <w:p w:rsidR="00115004" w:rsidRPr="006B7377" w:rsidRDefault="00115004" w:rsidP="005D7954">
            <w:pPr>
              <w:pStyle w:val="Default"/>
              <w:snapToGrid w:val="0"/>
              <w:jc w:val="both"/>
              <w:rPr>
                <w:sz w:val="20"/>
                <w:szCs w:val="20"/>
              </w:rPr>
            </w:pPr>
            <w:r w:rsidRPr="006B7377">
              <w:rPr>
                <w:sz w:val="20"/>
                <w:szCs w:val="20"/>
              </w:rPr>
              <w:t xml:space="preserve">78.472± 1.66 </w:t>
            </w:r>
            <w:r w:rsidRPr="006B7377">
              <w:rPr>
                <w:sz w:val="20"/>
                <w:szCs w:val="20"/>
                <w:vertAlign w:val="superscript"/>
              </w:rPr>
              <w:t>a</w:t>
            </w:r>
          </w:p>
        </w:tc>
        <w:tc>
          <w:tcPr>
            <w:tcW w:w="1448" w:type="pct"/>
            <w:vAlign w:val="center"/>
          </w:tcPr>
          <w:p w:rsidR="00115004" w:rsidRPr="006B7377" w:rsidRDefault="00115004" w:rsidP="005D7954">
            <w:pPr>
              <w:pStyle w:val="Default"/>
              <w:snapToGrid w:val="0"/>
              <w:jc w:val="both"/>
              <w:rPr>
                <w:sz w:val="20"/>
                <w:szCs w:val="20"/>
              </w:rPr>
            </w:pPr>
            <w:r w:rsidRPr="006B7377">
              <w:rPr>
                <w:sz w:val="20"/>
                <w:szCs w:val="20"/>
              </w:rPr>
              <w:t>56.231± 2.621</w:t>
            </w:r>
            <w:r w:rsidRPr="006B7377">
              <w:rPr>
                <w:sz w:val="20"/>
                <w:szCs w:val="20"/>
                <w:vertAlign w:val="superscript"/>
              </w:rPr>
              <w:t>a</w:t>
            </w:r>
          </w:p>
        </w:tc>
        <w:tc>
          <w:tcPr>
            <w:tcW w:w="208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Group (2)</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Cont+ve</w:t>
            </w:r>
          </w:p>
        </w:tc>
      </w:tr>
      <w:tr w:rsidR="00115004" w:rsidRPr="006B7377" w:rsidTr="006B7377">
        <w:trPr>
          <w:jc w:val="center"/>
        </w:trPr>
        <w:tc>
          <w:tcPr>
            <w:tcW w:w="1464" w:type="pct"/>
            <w:vAlign w:val="center"/>
          </w:tcPr>
          <w:p w:rsidR="00115004" w:rsidRPr="006B7377" w:rsidRDefault="00115004" w:rsidP="005D7954">
            <w:pPr>
              <w:pStyle w:val="Default"/>
              <w:snapToGrid w:val="0"/>
              <w:jc w:val="both"/>
              <w:rPr>
                <w:sz w:val="20"/>
                <w:szCs w:val="20"/>
              </w:rPr>
            </w:pPr>
            <w:r w:rsidRPr="006B7377">
              <w:rPr>
                <w:sz w:val="20"/>
                <w:szCs w:val="20"/>
              </w:rPr>
              <w:t xml:space="preserve">72.381± 2.42 </w:t>
            </w:r>
            <w:r w:rsidRPr="006B7377">
              <w:rPr>
                <w:sz w:val="20"/>
                <w:szCs w:val="20"/>
                <w:vertAlign w:val="superscript"/>
              </w:rPr>
              <w:t>ab</w:t>
            </w:r>
          </w:p>
        </w:tc>
        <w:tc>
          <w:tcPr>
            <w:tcW w:w="1448" w:type="pct"/>
            <w:vAlign w:val="center"/>
          </w:tcPr>
          <w:p w:rsidR="00115004" w:rsidRPr="006B7377" w:rsidRDefault="00115004" w:rsidP="005D7954">
            <w:pPr>
              <w:pStyle w:val="Default"/>
              <w:snapToGrid w:val="0"/>
              <w:jc w:val="both"/>
              <w:rPr>
                <w:sz w:val="20"/>
                <w:szCs w:val="20"/>
              </w:rPr>
            </w:pPr>
            <w:r w:rsidRPr="006B7377">
              <w:rPr>
                <w:sz w:val="20"/>
                <w:szCs w:val="20"/>
              </w:rPr>
              <w:t xml:space="preserve">48.821± 1.69 </w:t>
            </w:r>
            <w:r w:rsidRPr="006B7377">
              <w:rPr>
                <w:sz w:val="20"/>
                <w:szCs w:val="20"/>
                <w:vertAlign w:val="superscript"/>
              </w:rPr>
              <w:t>b</w:t>
            </w:r>
          </w:p>
        </w:tc>
        <w:tc>
          <w:tcPr>
            <w:tcW w:w="2087"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Group (3) TI</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5D7954">
              <w:rPr>
                <w:rFonts w:ascii="Times New Roman" w:hAnsi="Times New Roman" w:cs="Times New Roman"/>
                <w:sz w:val="20"/>
                <w:szCs w:val="20"/>
              </w:rPr>
              <w:t xml:space="preserve"> </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200 mg/kg b.wt)</w:t>
            </w:r>
            <w:r w:rsidR="006B7377" w:rsidRPr="006B7377">
              <w:rPr>
                <w:rFonts w:ascii="Times New Roman" w:hAnsi="Times New Roman" w:cs="Times New Roman"/>
                <w:sz w:val="20"/>
                <w:szCs w:val="20"/>
              </w:rPr>
              <w:t xml:space="preserve"> </w:t>
            </w:r>
          </w:p>
        </w:tc>
      </w:tr>
      <w:tr w:rsidR="00115004" w:rsidRPr="006B7377" w:rsidTr="006B7377">
        <w:trPr>
          <w:jc w:val="center"/>
        </w:trPr>
        <w:tc>
          <w:tcPr>
            <w:tcW w:w="1464" w:type="pct"/>
            <w:vAlign w:val="center"/>
          </w:tcPr>
          <w:p w:rsidR="00115004" w:rsidRPr="006B7377" w:rsidRDefault="00115004" w:rsidP="005D7954">
            <w:pPr>
              <w:pStyle w:val="Default"/>
              <w:snapToGrid w:val="0"/>
              <w:jc w:val="both"/>
              <w:rPr>
                <w:sz w:val="20"/>
                <w:szCs w:val="20"/>
              </w:rPr>
            </w:pPr>
            <w:r w:rsidRPr="006B7377">
              <w:rPr>
                <w:sz w:val="20"/>
                <w:szCs w:val="20"/>
              </w:rPr>
              <w:t xml:space="preserve">69.176± 1.76 </w:t>
            </w:r>
            <w:r w:rsidRPr="006B7377">
              <w:rPr>
                <w:sz w:val="20"/>
                <w:szCs w:val="20"/>
                <w:vertAlign w:val="superscript"/>
              </w:rPr>
              <w:t>b</w:t>
            </w:r>
          </w:p>
        </w:tc>
        <w:tc>
          <w:tcPr>
            <w:tcW w:w="1448" w:type="pct"/>
            <w:vAlign w:val="center"/>
          </w:tcPr>
          <w:p w:rsidR="00115004" w:rsidRPr="006B7377" w:rsidRDefault="00115004" w:rsidP="005D7954">
            <w:pPr>
              <w:pStyle w:val="Default"/>
              <w:snapToGrid w:val="0"/>
              <w:jc w:val="both"/>
              <w:rPr>
                <w:sz w:val="20"/>
                <w:szCs w:val="20"/>
              </w:rPr>
            </w:pPr>
            <w:r w:rsidRPr="006B7377">
              <w:rPr>
                <w:sz w:val="20"/>
                <w:szCs w:val="20"/>
              </w:rPr>
              <w:t>34.001± 0.98</w:t>
            </w:r>
            <w:r w:rsidRPr="006B7377">
              <w:rPr>
                <w:sz w:val="20"/>
                <w:szCs w:val="20"/>
                <w:vertAlign w:val="superscript"/>
              </w:rPr>
              <w:t xml:space="preserve"> c</w:t>
            </w:r>
          </w:p>
        </w:tc>
        <w:tc>
          <w:tcPr>
            <w:tcW w:w="2087"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Group (4) TI</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5D7954">
              <w:rPr>
                <w:rFonts w:ascii="Times New Roman" w:hAnsi="Times New Roman" w:cs="Times New Roman"/>
                <w:sz w:val="20"/>
                <w:szCs w:val="20"/>
              </w:rPr>
              <w:t xml:space="preserve"> </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 xml:space="preserve">400 mg/kg b.wt) </w:t>
            </w:r>
          </w:p>
        </w:tc>
      </w:tr>
      <w:tr w:rsidR="00115004" w:rsidRPr="006B7377" w:rsidTr="006B7377">
        <w:trPr>
          <w:jc w:val="center"/>
        </w:trPr>
        <w:tc>
          <w:tcPr>
            <w:tcW w:w="1464" w:type="pct"/>
            <w:vAlign w:val="center"/>
          </w:tcPr>
          <w:p w:rsidR="00115004" w:rsidRPr="006B7377" w:rsidRDefault="00115004" w:rsidP="005D7954">
            <w:pPr>
              <w:pStyle w:val="Default"/>
              <w:snapToGrid w:val="0"/>
              <w:jc w:val="both"/>
              <w:rPr>
                <w:sz w:val="20"/>
                <w:szCs w:val="20"/>
              </w:rPr>
            </w:pPr>
            <w:r w:rsidRPr="006B7377">
              <w:rPr>
                <w:sz w:val="20"/>
                <w:szCs w:val="20"/>
              </w:rPr>
              <w:t>74.653± 2.81</w:t>
            </w:r>
            <w:r w:rsidRPr="006B7377">
              <w:rPr>
                <w:sz w:val="20"/>
                <w:szCs w:val="20"/>
                <w:vertAlign w:val="superscript"/>
              </w:rPr>
              <w:t>ab</w:t>
            </w:r>
          </w:p>
        </w:tc>
        <w:tc>
          <w:tcPr>
            <w:tcW w:w="1448" w:type="pct"/>
            <w:vAlign w:val="center"/>
          </w:tcPr>
          <w:p w:rsidR="00115004" w:rsidRPr="006B7377" w:rsidRDefault="00115004" w:rsidP="005D7954">
            <w:pPr>
              <w:pStyle w:val="Default"/>
              <w:snapToGrid w:val="0"/>
              <w:jc w:val="both"/>
              <w:rPr>
                <w:sz w:val="20"/>
                <w:szCs w:val="20"/>
              </w:rPr>
            </w:pPr>
            <w:r w:rsidRPr="006B7377">
              <w:rPr>
                <w:sz w:val="20"/>
                <w:szCs w:val="20"/>
              </w:rPr>
              <w:t>46.764± 1.75</w:t>
            </w:r>
            <w:r w:rsidRPr="006B7377">
              <w:rPr>
                <w:sz w:val="20"/>
                <w:szCs w:val="20"/>
                <w:vertAlign w:val="superscript"/>
              </w:rPr>
              <w:t>b</w:t>
            </w:r>
          </w:p>
        </w:tc>
        <w:tc>
          <w:tcPr>
            <w:tcW w:w="2087"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w:t>
            </w:r>
            <w:r w:rsidR="006B7377" w:rsidRPr="006B7377">
              <w:rPr>
                <w:rFonts w:ascii="Times New Roman" w:hAnsi="Times New Roman" w:cs="Times New Roman"/>
                <w:sz w:val="20"/>
                <w:szCs w:val="20"/>
              </w:rPr>
              <w:t>p (</w:t>
            </w:r>
            <w:r w:rsidRPr="006B7377">
              <w:rPr>
                <w:rFonts w:ascii="Times New Roman" w:hAnsi="Times New Roman" w:cs="Times New Roman"/>
                <w:sz w:val="20"/>
                <w:szCs w:val="20"/>
              </w:rPr>
              <w:t xml:space="preserve"> 5) GB</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 xml:space="preserve">extract </w:t>
            </w:r>
            <w:r w:rsidR="005D7954">
              <w:rPr>
                <w:rFonts w:ascii="Times New Roman" w:hAnsi="Times New Roman" w:cs="Times New Roman"/>
                <w:sz w:val="20"/>
                <w:szCs w:val="20"/>
              </w:rPr>
              <w:t xml:space="preserve"> </w:t>
            </w:r>
            <w:r w:rsidRPr="006B7377">
              <w:rPr>
                <w:rFonts w:ascii="Times New Roman" w:hAnsi="Times New Roman" w:cs="Times New Roman"/>
                <w:sz w:val="20"/>
                <w:szCs w:val="20"/>
              </w:rPr>
              <w:t>(200 mg/kg b.wt)</w:t>
            </w:r>
            <w:r w:rsidR="006B7377" w:rsidRPr="006B7377">
              <w:rPr>
                <w:rFonts w:ascii="Times New Roman" w:hAnsi="Times New Roman" w:cs="Times New Roman"/>
                <w:sz w:val="20"/>
                <w:szCs w:val="20"/>
              </w:rPr>
              <w:t xml:space="preserve"> </w:t>
            </w:r>
          </w:p>
        </w:tc>
      </w:tr>
      <w:tr w:rsidR="00115004" w:rsidRPr="006B7377" w:rsidTr="006B7377">
        <w:trPr>
          <w:jc w:val="center"/>
        </w:trPr>
        <w:tc>
          <w:tcPr>
            <w:tcW w:w="1464" w:type="pct"/>
            <w:vAlign w:val="center"/>
          </w:tcPr>
          <w:p w:rsidR="00115004" w:rsidRPr="006B7377" w:rsidRDefault="00115004" w:rsidP="005D7954">
            <w:pPr>
              <w:pStyle w:val="Default"/>
              <w:snapToGrid w:val="0"/>
              <w:jc w:val="both"/>
              <w:rPr>
                <w:sz w:val="20"/>
                <w:szCs w:val="20"/>
              </w:rPr>
            </w:pPr>
            <w:r w:rsidRPr="006B7377">
              <w:rPr>
                <w:sz w:val="20"/>
                <w:szCs w:val="20"/>
              </w:rPr>
              <w:t xml:space="preserve">71.874± 0.89 </w:t>
            </w:r>
            <w:r w:rsidRPr="006B7377">
              <w:rPr>
                <w:sz w:val="20"/>
                <w:szCs w:val="20"/>
                <w:vertAlign w:val="superscript"/>
              </w:rPr>
              <w:t>b</w:t>
            </w:r>
          </w:p>
        </w:tc>
        <w:tc>
          <w:tcPr>
            <w:tcW w:w="1448" w:type="pct"/>
            <w:vAlign w:val="center"/>
          </w:tcPr>
          <w:p w:rsidR="00115004" w:rsidRPr="006B7377" w:rsidRDefault="00115004" w:rsidP="005D7954">
            <w:pPr>
              <w:pStyle w:val="Default"/>
              <w:snapToGrid w:val="0"/>
              <w:jc w:val="both"/>
              <w:rPr>
                <w:sz w:val="20"/>
                <w:szCs w:val="20"/>
              </w:rPr>
            </w:pPr>
            <w:r w:rsidRPr="006B7377">
              <w:rPr>
                <w:sz w:val="20"/>
                <w:szCs w:val="20"/>
              </w:rPr>
              <w:t>39.357± 2.33</w:t>
            </w:r>
            <w:r w:rsidRPr="006B7377">
              <w:rPr>
                <w:sz w:val="20"/>
                <w:szCs w:val="20"/>
                <w:vertAlign w:val="superscript"/>
              </w:rPr>
              <w:t>c</w:t>
            </w:r>
          </w:p>
        </w:tc>
        <w:tc>
          <w:tcPr>
            <w:tcW w:w="2087"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(6) GB extract </w:t>
            </w:r>
            <w:r w:rsidR="005D7954">
              <w:rPr>
                <w:rFonts w:ascii="Times New Roman" w:hAnsi="Times New Roman" w:cs="Times New Roman"/>
                <w:sz w:val="20"/>
                <w:szCs w:val="20"/>
              </w:rPr>
              <w:t xml:space="preserve"> </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400 mg/kg b.wt)</w:t>
            </w:r>
          </w:p>
        </w:tc>
      </w:tr>
      <w:tr w:rsidR="00115004" w:rsidRPr="006B7377" w:rsidTr="006B7377">
        <w:trPr>
          <w:jc w:val="center"/>
        </w:trPr>
        <w:tc>
          <w:tcPr>
            <w:tcW w:w="1464" w:type="pct"/>
            <w:vAlign w:val="center"/>
          </w:tcPr>
          <w:p w:rsidR="00115004" w:rsidRPr="006B7377" w:rsidRDefault="00115004" w:rsidP="005D7954">
            <w:pPr>
              <w:pStyle w:val="Default"/>
              <w:snapToGrid w:val="0"/>
              <w:jc w:val="both"/>
              <w:rPr>
                <w:sz w:val="20"/>
                <w:szCs w:val="20"/>
              </w:rPr>
            </w:pPr>
            <w:r w:rsidRPr="006B7377">
              <w:rPr>
                <w:sz w:val="20"/>
                <w:szCs w:val="20"/>
              </w:rPr>
              <w:t xml:space="preserve">72.458± 1.98 </w:t>
            </w:r>
            <w:r w:rsidRPr="006B7377">
              <w:rPr>
                <w:sz w:val="20"/>
                <w:szCs w:val="20"/>
                <w:vertAlign w:val="superscript"/>
              </w:rPr>
              <w:t>b</w:t>
            </w:r>
          </w:p>
        </w:tc>
        <w:tc>
          <w:tcPr>
            <w:tcW w:w="1448" w:type="pct"/>
            <w:vAlign w:val="center"/>
          </w:tcPr>
          <w:p w:rsidR="00115004" w:rsidRPr="006B7377" w:rsidRDefault="00115004" w:rsidP="005D7954">
            <w:pPr>
              <w:pStyle w:val="Default"/>
              <w:snapToGrid w:val="0"/>
              <w:jc w:val="both"/>
              <w:rPr>
                <w:sz w:val="20"/>
                <w:szCs w:val="20"/>
              </w:rPr>
            </w:pPr>
            <w:r w:rsidRPr="006B7377">
              <w:rPr>
                <w:sz w:val="20"/>
                <w:szCs w:val="20"/>
              </w:rPr>
              <w:t xml:space="preserve">45.541± 1.34 </w:t>
            </w:r>
            <w:r w:rsidRPr="006B7377">
              <w:rPr>
                <w:sz w:val="20"/>
                <w:szCs w:val="20"/>
                <w:vertAlign w:val="superscript"/>
              </w:rPr>
              <w:t>c</w:t>
            </w:r>
          </w:p>
        </w:tc>
        <w:tc>
          <w:tcPr>
            <w:tcW w:w="2087"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(7) Mixture </w:t>
            </w:r>
            <w:r w:rsidR="005D7954">
              <w:rPr>
                <w:rFonts w:ascii="Times New Roman" w:hAnsi="Times New Roman" w:cs="Times New Roman"/>
                <w:sz w:val="20"/>
                <w:szCs w:val="20"/>
              </w:rPr>
              <w:t xml:space="preserve"> </w:t>
            </w:r>
            <w:r w:rsidRPr="006B7377">
              <w:rPr>
                <w:rFonts w:ascii="Times New Roman" w:hAnsi="Times New Roman" w:cs="Times New Roman"/>
                <w:sz w:val="20"/>
                <w:szCs w:val="20"/>
              </w:rPr>
              <w:t>(200 mg/kg b.wt)</w:t>
            </w:r>
          </w:p>
        </w:tc>
      </w:tr>
      <w:tr w:rsidR="00115004" w:rsidRPr="006B7377" w:rsidTr="006B7377">
        <w:trPr>
          <w:jc w:val="center"/>
        </w:trPr>
        <w:tc>
          <w:tcPr>
            <w:tcW w:w="1464" w:type="pct"/>
            <w:vAlign w:val="center"/>
          </w:tcPr>
          <w:p w:rsidR="00115004" w:rsidRPr="006B7377" w:rsidRDefault="00115004" w:rsidP="005D7954">
            <w:pPr>
              <w:pStyle w:val="Default"/>
              <w:snapToGrid w:val="0"/>
              <w:jc w:val="both"/>
              <w:rPr>
                <w:sz w:val="20"/>
                <w:szCs w:val="20"/>
              </w:rPr>
            </w:pPr>
            <w:r w:rsidRPr="006B7377">
              <w:rPr>
                <w:sz w:val="20"/>
                <w:szCs w:val="20"/>
              </w:rPr>
              <w:t xml:space="preserve">68.382± 0.78 </w:t>
            </w:r>
            <w:r w:rsidRPr="006B7377">
              <w:rPr>
                <w:sz w:val="20"/>
                <w:szCs w:val="20"/>
                <w:vertAlign w:val="superscript"/>
              </w:rPr>
              <w:t>a</w:t>
            </w:r>
          </w:p>
        </w:tc>
        <w:tc>
          <w:tcPr>
            <w:tcW w:w="1448" w:type="pct"/>
            <w:vAlign w:val="center"/>
          </w:tcPr>
          <w:p w:rsidR="00115004" w:rsidRPr="006B7377" w:rsidRDefault="00115004" w:rsidP="005D7954">
            <w:pPr>
              <w:pStyle w:val="Default"/>
              <w:snapToGrid w:val="0"/>
              <w:jc w:val="both"/>
              <w:rPr>
                <w:sz w:val="20"/>
                <w:szCs w:val="20"/>
              </w:rPr>
            </w:pPr>
            <w:r w:rsidRPr="006B7377">
              <w:rPr>
                <w:sz w:val="20"/>
                <w:szCs w:val="20"/>
              </w:rPr>
              <w:t xml:space="preserve">34.867± 1.56 </w:t>
            </w:r>
            <w:r w:rsidRPr="006B7377">
              <w:rPr>
                <w:sz w:val="20"/>
                <w:szCs w:val="20"/>
                <w:vertAlign w:val="superscript"/>
              </w:rPr>
              <w:t>a</w:t>
            </w:r>
          </w:p>
        </w:tc>
        <w:tc>
          <w:tcPr>
            <w:tcW w:w="2087"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(8) Mixture </w:t>
            </w:r>
            <w:r w:rsidR="005D7954">
              <w:rPr>
                <w:rFonts w:ascii="Times New Roman" w:hAnsi="Times New Roman" w:cs="Times New Roman"/>
                <w:sz w:val="20"/>
                <w:szCs w:val="20"/>
              </w:rPr>
              <w:t xml:space="preserve"> </w:t>
            </w:r>
            <w:r w:rsidRPr="006B7377">
              <w:rPr>
                <w:rFonts w:ascii="Times New Roman" w:hAnsi="Times New Roman" w:cs="Times New Roman"/>
                <w:sz w:val="20"/>
                <w:szCs w:val="20"/>
              </w:rPr>
              <w:t>(400 mg/kg b.wt)</w:t>
            </w:r>
          </w:p>
        </w:tc>
      </w:tr>
    </w:tbl>
    <w:p w:rsidR="007C2209" w:rsidRPr="006B7377" w:rsidRDefault="007C2209" w:rsidP="005D7954">
      <w:pPr>
        <w:bidi w:val="0"/>
        <w:snapToGrid w:val="0"/>
        <w:spacing w:after="0" w:line="240" w:lineRule="auto"/>
        <w:jc w:val="both"/>
        <w:rPr>
          <w:rFonts w:ascii="Times New Roman" w:hAnsi="Times New Roman" w:cs="Times New Roman"/>
          <w:sz w:val="20"/>
          <w:szCs w:val="18"/>
        </w:rPr>
      </w:pPr>
      <w:r w:rsidRPr="006B7377">
        <w:rPr>
          <w:rFonts w:ascii="Times New Roman" w:hAnsi="Times New Roman" w:cs="Times New Roman"/>
          <w:sz w:val="20"/>
          <w:szCs w:val="18"/>
        </w:rPr>
        <w:t>Means (n=10 rat) with different letters in the same column considered significant (P &lt; 0.05)</w:t>
      </w:r>
    </w:p>
    <w:p w:rsidR="00115004" w:rsidRPr="006B7377" w:rsidRDefault="00115004" w:rsidP="005D7954">
      <w:pPr>
        <w:shd w:val="clear" w:color="auto" w:fill="FFFFFF"/>
        <w:bidi w:val="0"/>
        <w:snapToGrid w:val="0"/>
        <w:spacing w:after="0" w:line="240" w:lineRule="auto"/>
        <w:jc w:val="center"/>
        <w:rPr>
          <w:rFonts w:ascii="Times New Roman" w:hAnsi="Times New Roman" w:cs="Times New Roman"/>
          <w:sz w:val="20"/>
          <w:szCs w:val="20"/>
        </w:rPr>
      </w:pPr>
    </w:p>
    <w:p w:rsidR="00562838" w:rsidRPr="006B7377" w:rsidRDefault="00115004" w:rsidP="005D7954">
      <w:pPr>
        <w:pStyle w:val="Default"/>
        <w:snapToGrid w:val="0"/>
        <w:jc w:val="both"/>
        <w:rPr>
          <w:rFonts w:eastAsia="Arial Unicode MS"/>
          <w:b/>
          <w:bCs/>
          <w:color w:val="000000" w:themeColor="text1"/>
          <w:sz w:val="20"/>
          <w:szCs w:val="4"/>
        </w:rPr>
      </w:pPr>
      <w:r w:rsidRPr="006B7377">
        <w:rPr>
          <w:b/>
          <w:bCs/>
          <w:sz w:val="20"/>
          <w:szCs w:val="20"/>
        </w:rPr>
        <w:t xml:space="preserve">Table 3: </w:t>
      </w:r>
      <w:r w:rsidRPr="006B7377">
        <w:rPr>
          <w:rFonts w:eastAsia="Arial Unicode MS"/>
          <w:b/>
          <w:bCs/>
          <w:color w:val="000000" w:themeColor="text1"/>
          <w:sz w:val="20"/>
          <w:szCs w:val="20"/>
        </w:rPr>
        <w:t xml:space="preserve">Effect of </w:t>
      </w:r>
      <w:r w:rsidR="002214B8" w:rsidRPr="006B7377">
        <w:rPr>
          <w:rFonts w:eastAsia="Arial Unicode MS"/>
          <w:b/>
          <w:bCs/>
          <w:i/>
          <w:iCs/>
          <w:color w:val="000000" w:themeColor="text1"/>
          <w:sz w:val="20"/>
          <w:szCs w:val="20"/>
        </w:rPr>
        <w:t>Tamarindus indica</w:t>
      </w:r>
      <w:r w:rsidR="002214B8" w:rsidRPr="006B7377">
        <w:rPr>
          <w:rFonts w:eastAsia="Arial Unicode MS"/>
          <w:b/>
          <w:bCs/>
          <w:color w:val="000000" w:themeColor="text1"/>
          <w:sz w:val="20"/>
          <w:szCs w:val="20"/>
        </w:rPr>
        <w:t xml:space="preserve"> and</w:t>
      </w:r>
      <w:r w:rsidRPr="006B7377">
        <w:rPr>
          <w:rFonts w:eastAsia="Arial Unicode MS"/>
          <w:b/>
          <w:bCs/>
          <w:color w:val="000000" w:themeColor="text1"/>
          <w:sz w:val="20"/>
          <w:szCs w:val="20"/>
        </w:rPr>
        <w:t xml:space="preserve"> </w:t>
      </w:r>
      <w:r w:rsidRPr="006B7377">
        <w:rPr>
          <w:rFonts w:eastAsia="Arial Unicode MS"/>
          <w:b/>
          <w:bCs/>
          <w:i/>
          <w:iCs/>
          <w:color w:val="000000" w:themeColor="text1"/>
          <w:sz w:val="20"/>
          <w:szCs w:val="20"/>
        </w:rPr>
        <w:t>Ginkgo biloba</w:t>
      </w:r>
      <w:r w:rsidRPr="006B7377">
        <w:rPr>
          <w:rFonts w:eastAsia="Arial Unicode MS"/>
          <w:b/>
          <w:bCs/>
          <w:color w:val="000000" w:themeColor="text1"/>
          <w:sz w:val="20"/>
          <w:szCs w:val="20"/>
        </w:rPr>
        <w:t xml:space="preserve"> leaves extract and their mixture </w:t>
      </w:r>
      <w:r w:rsidR="002214B8" w:rsidRPr="006B7377">
        <w:rPr>
          <w:rFonts w:eastAsia="Arial Unicode MS"/>
          <w:b/>
          <w:bCs/>
          <w:color w:val="000000" w:themeColor="text1"/>
          <w:sz w:val="20"/>
          <w:szCs w:val="20"/>
        </w:rPr>
        <w:t>on total</w:t>
      </w:r>
      <w:r w:rsidRPr="006B7377">
        <w:rPr>
          <w:rFonts w:eastAsia="Arial Unicode MS"/>
          <w:b/>
          <w:bCs/>
          <w:color w:val="000000" w:themeColor="text1"/>
          <w:sz w:val="20"/>
          <w:szCs w:val="20"/>
        </w:rPr>
        <w:t xml:space="preserve"> cholesterol (TC) and </w:t>
      </w:r>
      <w:r w:rsidR="002214B8" w:rsidRPr="006B7377">
        <w:rPr>
          <w:rFonts w:eastAsia="Arial Unicode MS"/>
          <w:b/>
          <w:bCs/>
          <w:color w:val="000000" w:themeColor="text1"/>
          <w:sz w:val="20"/>
          <w:szCs w:val="20"/>
        </w:rPr>
        <w:t>triglycerides (</w:t>
      </w:r>
      <w:r w:rsidRPr="006B7377">
        <w:rPr>
          <w:rFonts w:eastAsia="Arial Unicode MS"/>
          <w:b/>
          <w:bCs/>
          <w:color w:val="000000" w:themeColor="text1"/>
          <w:sz w:val="20"/>
          <w:szCs w:val="20"/>
        </w:rPr>
        <w:t xml:space="preserve">TG) </w:t>
      </w:r>
      <w:r w:rsidR="002214B8" w:rsidRPr="006B7377">
        <w:rPr>
          <w:rFonts w:eastAsia="Arial Unicode MS"/>
          <w:b/>
          <w:bCs/>
          <w:color w:val="000000" w:themeColor="text1"/>
          <w:sz w:val="20"/>
          <w:szCs w:val="20"/>
        </w:rPr>
        <w:t>in hepatotoxic</w:t>
      </w:r>
      <w:r w:rsidRPr="006B7377">
        <w:rPr>
          <w:rFonts w:eastAsia="Arial Unicode MS"/>
          <w:b/>
          <w:bCs/>
          <w:color w:val="000000" w:themeColor="text1"/>
          <w:sz w:val="20"/>
          <w:szCs w:val="20"/>
        </w:rPr>
        <w:t xml:space="preserve"> rats </w:t>
      </w:r>
    </w:p>
    <w:tbl>
      <w:tblPr>
        <w:tblStyle w:val="TableGrid2"/>
        <w:bidiVisual/>
        <w:tblW w:w="5000" w:type="pct"/>
        <w:jc w:val="center"/>
        <w:tblBorders>
          <w:left w:val="none" w:sz="0" w:space="0" w:color="auto"/>
          <w:right w:val="none" w:sz="0" w:space="0" w:color="auto"/>
          <w:insideV w:val="none" w:sz="0" w:space="0" w:color="auto"/>
        </w:tblBorders>
        <w:tblCellMar>
          <w:left w:w="57" w:type="dxa"/>
          <w:right w:w="57" w:type="dxa"/>
        </w:tblCellMar>
        <w:tblLook w:val="04A0"/>
      </w:tblPr>
      <w:tblGrid>
        <w:gridCol w:w="2886"/>
        <w:gridCol w:w="2759"/>
        <w:gridCol w:w="3829"/>
      </w:tblGrid>
      <w:tr w:rsidR="00115004" w:rsidRPr="006B7377" w:rsidTr="006B7377">
        <w:trPr>
          <w:jc w:val="center"/>
        </w:trPr>
        <w:tc>
          <w:tcPr>
            <w:tcW w:w="2979" w:type="pct"/>
            <w:gridSpan w:val="2"/>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lang w:bidi="ar-EG"/>
              </w:rPr>
              <w:t>Parameters</w:t>
            </w:r>
          </w:p>
        </w:tc>
        <w:tc>
          <w:tcPr>
            <w:tcW w:w="2021" w:type="pct"/>
            <w:vMerge w:val="restart"/>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rPr>
              <w:t>Experimental groups</w:t>
            </w:r>
          </w:p>
        </w:tc>
      </w:tr>
      <w:tr w:rsidR="00115004" w:rsidRPr="006B7377" w:rsidTr="006B7377">
        <w:trPr>
          <w:jc w:val="center"/>
        </w:trPr>
        <w:tc>
          <w:tcPr>
            <w:tcW w:w="1523" w:type="pct"/>
            <w:shd w:val="clear" w:color="auto" w:fill="C2D69B" w:themeFill="accent3" w:themeFillTint="99"/>
            <w:vAlign w:val="center"/>
          </w:tcPr>
          <w:p w:rsidR="00115004" w:rsidRPr="006B7377" w:rsidRDefault="00115004" w:rsidP="005D7954">
            <w:pPr>
              <w:pStyle w:val="Default"/>
              <w:snapToGrid w:val="0"/>
              <w:jc w:val="both"/>
              <w:rPr>
                <w:sz w:val="20"/>
                <w:szCs w:val="20"/>
              </w:rPr>
            </w:pPr>
            <w:r w:rsidRPr="006B7377">
              <w:rPr>
                <w:b/>
                <w:bCs/>
                <w:color w:val="auto"/>
                <w:sz w:val="20"/>
                <w:szCs w:val="20"/>
                <w:lang w:bidi="ar-EG"/>
              </w:rPr>
              <w:t>TG</w:t>
            </w:r>
            <w:r w:rsidR="005D7954">
              <w:rPr>
                <w:b/>
                <w:bCs/>
                <w:color w:val="auto"/>
                <w:sz w:val="20"/>
                <w:szCs w:val="20"/>
                <w:lang w:bidi="ar-EG"/>
              </w:rPr>
              <w:t xml:space="preserve"> </w:t>
            </w:r>
            <w:r w:rsidRPr="006B7377">
              <w:rPr>
                <w:sz w:val="20"/>
                <w:szCs w:val="20"/>
              </w:rPr>
              <w:t>mg/dl</w:t>
            </w:r>
          </w:p>
        </w:tc>
        <w:tc>
          <w:tcPr>
            <w:tcW w:w="1455" w:type="pct"/>
            <w:shd w:val="clear" w:color="auto" w:fill="C2D69B" w:themeFill="accent3" w:themeFillTint="99"/>
            <w:vAlign w:val="center"/>
          </w:tcPr>
          <w:p w:rsidR="00115004" w:rsidRPr="006B7377" w:rsidRDefault="00115004" w:rsidP="005D7954">
            <w:pPr>
              <w:pStyle w:val="Default"/>
              <w:snapToGrid w:val="0"/>
              <w:jc w:val="both"/>
              <w:rPr>
                <w:sz w:val="20"/>
                <w:szCs w:val="20"/>
              </w:rPr>
            </w:pPr>
            <w:r w:rsidRPr="006B7377">
              <w:rPr>
                <w:b/>
                <w:bCs/>
                <w:sz w:val="20"/>
                <w:szCs w:val="20"/>
                <w:lang w:bidi="ar-EG"/>
              </w:rPr>
              <w:t>TC</w:t>
            </w:r>
            <w:r w:rsidR="005D7954">
              <w:rPr>
                <w:b/>
                <w:bCs/>
                <w:sz w:val="20"/>
                <w:szCs w:val="20"/>
                <w:lang w:bidi="ar-EG"/>
              </w:rPr>
              <w:t xml:space="preserve"> </w:t>
            </w:r>
            <w:r w:rsidRPr="006B7377">
              <w:rPr>
                <w:sz w:val="20"/>
                <w:szCs w:val="20"/>
              </w:rPr>
              <w:t>mg/dl</w:t>
            </w:r>
          </w:p>
        </w:tc>
        <w:tc>
          <w:tcPr>
            <w:tcW w:w="2021" w:type="pct"/>
            <w:vMerge/>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p>
        </w:tc>
      </w:tr>
      <w:tr w:rsidR="00115004" w:rsidRPr="006B7377" w:rsidTr="006B7377">
        <w:trPr>
          <w:jc w:val="center"/>
        </w:trPr>
        <w:tc>
          <w:tcPr>
            <w:tcW w:w="1523" w:type="pct"/>
            <w:vAlign w:val="center"/>
          </w:tcPr>
          <w:p w:rsidR="00115004" w:rsidRPr="006B7377" w:rsidRDefault="00115004" w:rsidP="005D7954">
            <w:pPr>
              <w:pStyle w:val="Default"/>
              <w:snapToGrid w:val="0"/>
              <w:jc w:val="both"/>
              <w:rPr>
                <w:sz w:val="20"/>
                <w:szCs w:val="20"/>
              </w:rPr>
            </w:pPr>
            <w:r w:rsidRPr="006B7377">
              <w:rPr>
                <w:sz w:val="20"/>
                <w:szCs w:val="20"/>
              </w:rPr>
              <w:t>52.33± 1.41</w:t>
            </w:r>
            <w:r w:rsidRPr="006B7377">
              <w:rPr>
                <w:sz w:val="20"/>
                <w:szCs w:val="20"/>
                <w:vertAlign w:val="superscript"/>
              </w:rPr>
              <w:t>c</w:t>
            </w:r>
          </w:p>
        </w:tc>
        <w:tc>
          <w:tcPr>
            <w:tcW w:w="1455" w:type="pct"/>
            <w:vAlign w:val="center"/>
          </w:tcPr>
          <w:p w:rsidR="00115004" w:rsidRPr="006B7377" w:rsidRDefault="00115004" w:rsidP="005D7954">
            <w:pPr>
              <w:pStyle w:val="Default"/>
              <w:snapToGrid w:val="0"/>
              <w:jc w:val="both"/>
              <w:rPr>
                <w:sz w:val="20"/>
                <w:szCs w:val="20"/>
              </w:rPr>
            </w:pPr>
            <w:r w:rsidRPr="006B7377">
              <w:rPr>
                <w:sz w:val="20"/>
                <w:szCs w:val="20"/>
              </w:rPr>
              <w:t>94.47± 1.87</w:t>
            </w:r>
            <w:r w:rsidRPr="006B7377">
              <w:rPr>
                <w:sz w:val="20"/>
                <w:szCs w:val="20"/>
                <w:vertAlign w:val="superscript"/>
              </w:rPr>
              <w:t>a</w:t>
            </w:r>
          </w:p>
        </w:tc>
        <w:tc>
          <w:tcPr>
            <w:tcW w:w="202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Group (1) Cont -ve</w:t>
            </w:r>
          </w:p>
        </w:tc>
      </w:tr>
      <w:tr w:rsidR="00115004" w:rsidRPr="006B7377" w:rsidTr="006B7377">
        <w:trPr>
          <w:jc w:val="center"/>
        </w:trPr>
        <w:tc>
          <w:tcPr>
            <w:tcW w:w="1523" w:type="pct"/>
            <w:vAlign w:val="center"/>
          </w:tcPr>
          <w:p w:rsidR="00115004" w:rsidRPr="006B7377" w:rsidRDefault="00115004" w:rsidP="005D7954">
            <w:pPr>
              <w:pStyle w:val="Default"/>
              <w:snapToGrid w:val="0"/>
              <w:jc w:val="both"/>
              <w:rPr>
                <w:sz w:val="20"/>
                <w:szCs w:val="20"/>
              </w:rPr>
            </w:pPr>
            <w:r w:rsidRPr="006B7377">
              <w:rPr>
                <w:sz w:val="20"/>
                <w:szCs w:val="20"/>
              </w:rPr>
              <w:t xml:space="preserve">133.958± 1.09 </w:t>
            </w:r>
            <w:r w:rsidRPr="006B7377">
              <w:rPr>
                <w:sz w:val="20"/>
                <w:szCs w:val="20"/>
                <w:vertAlign w:val="superscript"/>
              </w:rPr>
              <w:t>d</w:t>
            </w:r>
          </w:p>
        </w:tc>
        <w:tc>
          <w:tcPr>
            <w:tcW w:w="1455" w:type="pct"/>
            <w:vAlign w:val="center"/>
          </w:tcPr>
          <w:p w:rsidR="00115004" w:rsidRPr="006B7377" w:rsidRDefault="00115004" w:rsidP="005D7954">
            <w:pPr>
              <w:pStyle w:val="Default"/>
              <w:snapToGrid w:val="0"/>
              <w:jc w:val="both"/>
              <w:rPr>
                <w:sz w:val="20"/>
                <w:szCs w:val="20"/>
              </w:rPr>
            </w:pPr>
            <w:r w:rsidRPr="006B7377">
              <w:rPr>
                <w:sz w:val="20"/>
                <w:szCs w:val="20"/>
              </w:rPr>
              <w:t xml:space="preserve">114.365± 2.05 </w:t>
            </w:r>
            <w:r w:rsidRPr="006B7377">
              <w:rPr>
                <w:sz w:val="20"/>
                <w:szCs w:val="20"/>
                <w:vertAlign w:val="superscript"/>
              </w:rPr>
              <w:t>e</w:t>
            </w:r>
          </w:p>
        </w:tc>
        <w:tc>
          <w:tcPr>
            <w:tcW w:w="202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Group (2)</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Cont+ve</w:t>
            </w:r>
          </w:p>
        </w:tc>
      </w:tr>
      <w:tr w:rsidR="00115004" w:rsidRPr="006B7377" w:rsidTr="006B7377">
        <w:trPr>
          <w:jc w:val="center"/>
        </w:trPr>
        <w:tc>
          <w:tcPr>
            <w:tcW w:w="1523" w:type="pct"/>
            <w:vAlign w:val="center"/>
          </w:tcPr>
          <w:p w:rsidR="00115004" w:rsidRPr="006B7377" w:rsidRDefault="00115004" w:rsidP="005D7954">
            <w:pPr>
              <w:pStyle w:val="Default"/>
              <w:snapToGrid w:val="0"/>
              <w:jc w:val="both"/>
              <w:rPr>
                <w:sz w:val="20"/>
                <w:szCs w:val="20"/>
              </w:rPr>
            </w:pPr>
            <w:r w:rsidRPr="006B7377">
              <w:rPr>
                <w:sz w:val="20"/>
                <w:szCs w:val="20"/>
              </w:rPr>
              <w:t xml:space="preserve">122.073± 2.13 </w:t>
            </w:r>
            <w:r w:rsidRPr="006B7377">
              <w:rPr>
                <w:sz w:val="20"/>
                <w:szCs w:val="20"/>
                <w:vertAlign w:val="superscript"/>
              </w:rPr>
              <w:t>c</w:t>
            </w:r>
          </w:p>
        </w:tc>
        <w:tc>
          <w:tcPr>
            <w:tcW w:w="1455" w:type="pct"/>
            <w:vAlign w:val="center"/>
          </w:tcPr>
          <w:p w:rsidR="00115004" w:rsidRPr="006B7377" w:rsidRDefault="00115004" w:rsidP="005D7954">
            <w:pPr>
              <w:pStyle w:val="Default"/>
              <w:snapToGrid w:val="0"/>
              <w:jc w:val="both"/>
              <w:rPr>
                <w:sz w:val="20"/>
                <w:szCs w:val="20"/>
              </w:rPr>
            </w:pPr>
            <w:r w:rsidRPr="006B7377">
              <w:rPr>
                <w:sz w:val="20"/>
                <w:szCs w:val="20"/>
              </w:rPr>
              <w:t>95.64 ±1.11</w:t>
            </w:r>
            <w:r w:rsidRPr="006B7377">
              <w:rPr>
                <w:sz w:val="20"/>
                <w:szCs w:val="20"/>
                <w:vertAlign w:val="superscript"/>
              </w:rPr>
              <w:t>ab</w:t>
            </w:r>
          </w:p>
        </w:tc>
        <w:tc>
          <w:tcPr>
            <w:tcW w:w="2021"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Group (3) TI</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5D7954">
              <w:rPr>
                <w:rFonts w:ascii="Times New Roman" w:hAnsi="Times New Roman" w:cs="Times New Roman"/>
                <w:sz w:val="20"/>
                <w:szCs w:val="20"/>
              </w:rPr>
              <w:t xml:space="preserve"> </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200 mg/kg b.wt)</w:t>
            </w:r>
            <w:r w:rsidR="006B7377" w:rsidRPr="006B7377">
              <w:rPr>
                <w:rFonts w:ascii="Times New Roman" w:hAnsi="Times New Roman" w:cs="Times New Roman"/>
                <w:sz w:val="20"/>
                <w:szCs w:val="20"/>
              </w:rPr>
              <w:t xml:space="preserve"> </w:t>
            </w:r>
          </w:p>
        </w:tc>
      </w:tr>
      <w:tr w:rsidR="00115004" w:rsidRPr="006B7377" w:rsidTr="006B7377">
        <w:trPr>
          <w:jc w:val="center"/>
        </w:trPr>
        <w:tc>
          <w:tcPr>
            <w:tcW w:w="1523" w:type="pct"/>
            <w:vAlign w:val="center"/>
          </w:tcPr>
          <w:p w:rsidR="00115004" w:rsidRPr="006B7377" w:rsidRDefault="00115004" w:rsidP="005D7954">
            <w:pPr>
              <w:pStyle w:val="Default"/>
              <w:snapToGrid w:val="0"/>
              <w:jc w:val="both"/>
              <w:rPr>
                <w:sz w:val="20"/>
                <w:szCs w:val="20"/>
              </w:rPr>
            </w:pPr>
            <w:r w:rsidRPr="006B7377">
              <w:rPr>
                <w:sz w:val="20"/>
                <w:szCs w:val="20"/>
              </w:rPr>
              <w:t>104.26± 1.97</w:t>
            </w:r>
            <w:r w:rsidRPr="006B7377">
              <w:rPr>
                <w:sz w:val="20"/>
                <w:szCs w:val="20"/>
                <w:vertAlign w:val="superscript"/>
              </w:rPr>
              <w:t>ab</w:t>
            </w:r>
          </w:p>
        </w:tc>
        <w:tc>
          <w:tcPr>
            <w:tcW w:w="1455" w:type="pct"/>
            <w:vAlign w:val="center"/>
          </w:tcPr>
          <w:p w:rsidR="00115004" w:rsidRPr="006B7377" w:rsidRDefault="00115004" w:rsidP="005D7954">
            <w:pPr>
              <w:pStyle w:val="Default"/>
              <w:snapToGrid w:val="0"/>
              <w:jc w:val="both"/>
              <w:rPr>
                <w:sz w:val="20"/>
                <w:szCs w:val="20"/>
              </w:rPr>
            </w:pPr>
            <w:r w:rsidRPr="006B7377">
              <w:rPr>
                <w:sz w:val="20"/>
                <w:szCs w:val="20"/>
              </w:rPr>
              <w:t>74.415± 2.73</w:t>
            </w:r>
            <w:r w:rsidRPr="006B7377">
              <w:rPr>
                <w:sz w:val="20"/>
                <w:szCs w:val="20"/>
                <w:vertAlign w:val="superscript"/>
              </w:rPr>
              <w:t>b</w:t>
            </w:r>
          </w:p>
        </w:tc>
        <w:tc>
          <w:tcPr>
            <w:tcW w:w="2021"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Group (4) TI</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5D7954">
              <w:rPr>
                <w:rFonts w:ascii="Times New Roman" w:hAnsi="Times New Roman" w:cs="Times New Roman"/>
                <w:sz w:val="20"/>
                <w:szCs w:val="20"/>
              </w:rPr>
              <w:t xml:space="preserve"> </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 xml:space="preserve">400 mg/kg b.wt) </w:t>
            </w:r>
          </w:p>
        </w:tc>
      </w:tr>
      <w:tr w:rsidR="00115004" w:rsidRPr="006B7377" w:rsidTr="006B7377">
        <w:trPr>
          <w:jc w:val="center"/>
        </w:trPr>
        <w:tc>
          <w:tcPr>
            <w:tcW w:w="1523" w:type="pct"/>
            <w:vAlign w:val="center"/>
          </w:tcPr>
          <w:p w:rsidR="00115004" w:rsidRPr="006B7377" w:rsidRDefault="00115004" w:rsidP="005D7954">
            <w:pPr>
              <w:pStyle w:val="Default"/>
              <w:snapToGrid w:val="0"/>
              <w:jc w:val="both"/>
              <w:rPr>
                <w:sz w:val="20"/>
                <w:szCs w:val="20"/>
              </w:rPr>
            </w:pPr>
            <w:r w:rsidRPr="006B7377">
              <w:rPr>
                <w:sz w:val="20"/>
                <w:szCs w:val="20"/>
              </w:rPr>
              <w:t>118.356± 1.17</w:t>
            </w:r>
            <w:r w:rsidRPr="006B7377">
              <w:rPr>
                <w:sz w:val="20"/>
                <w:szCs w:val="20"/>
                <w:vertAlign w:val="superscript"/>
              </w:rPr>
              <w:t>c</w:t>
            </w:r>
          </w:p>
        </w:tc>
        <w:tc>
          <w:tcPr>
            <w:tcW w:w="1455" w:type="pct"/>
            <w:vAlign w:val="center"/>
          </w:tcPr>
          <w:p w:rsidR="00115004" w:rsidRPr="006B7377" w:rsidRDefault="00115004" w:rsidP="005D7954">
            <w:pPr>
              <w:pStyle w:val="Default"/>
              <w:snapToGrid w:val="0"/>
              <w:jc w:val="both"/>
              <w:rPr>
                <w:sz w:val="20"/>
                <w:szCs w:val="20"/>
              </w:rPr>
            </w:pPr>
            <w:r w:rsidRPr="006B7377">
              <w:rPr>
                <w:sz w:val="20"/>
                <w:szCs w:val="20"/>
              </w:rPr>
              <w:t>94.91 ±3.51</w:t>
            </w:r>
            <w:r w:rsidRPr="006B7377">
              <w:rPr>
                <w:sz w:val="20"/>
                <w:szCs w:val="20"/>
                <w:vertAlign w:val="superscript"/>
              </w:rPr>
              <w:t>ab</w:t>
            </w:r>
          </w:p>
        </w:tc>
        <w:tc>
          <w:tcPr>
            <w:tcW w:w="2021"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w:t>
            </w:r>
            <w:r w:rsidR="006B7377" w:rsidRPr="006B7377">
              <w:rPr>
                <w:rFonts w:ascii="Times New Roman" w:hAnsi="Times New Roman" w:cs="Times New Roman"/>
                <w:sz w:val="20"/>
                <w:szCs w:val="20"/>
              </w:rPr>
              <w:t>p (</w:t>
            </w:r>
            <w:r w:rsidRPr="006B7377">
              <w:rPr>
                <w:rFonts w:ascii="Times New Roman" w:hAnsi="Times New Roman" w:cs="Times New Roman"/>
                <w:sz w:val="20"/>
                <w:szCs w:val="20"/>
              </w:rPr>
              <w:t xml:space="preserve"> 5) GB</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 xml:space="preserve">extract </w:t>
            </w:r>
            <w:r w:rsidR="005D7954">
              <w:rPr>
                <w:rFonts w:ascii="Times New Roman" w:hAnsi="Times New Roman" w:cs="Times New Roman"/>
                <w:sz w:val="20"/>
                <w:szCs w:val="20"/>
              </w:rPr>
              <w:t xml:space="preserve"> </w:t>
            </w:r>
            <w:r w:rsidRPr="006B7377">
              <w:rPr>
                <w:rFonts w:ascii="Times New Roman" w:hAnsi="Times New Roman" w:cs="Times New Roman"/>
                <w:sz w:val="20"/>
                <w:szCs w:val="20"/>
              </w:rPr>
              <w:t>(200 mg/kg b.wt)</w:t>
            </w:r>
            <w:r w:rsidR="006B7377" w:rsidRPr="006B7377">
              <w:rPr>
                <w:rFonts w:ascii="Times New Roman" w:hAnsi="Times New Roman" w:cs="Times New Roman"/>
                <w:sz w:val="20"/>
                <w:szCs w:val="20"/>
              </w:rPr>
              <w:t xml:space="preserve"> </w:t>
            </w:r>
          </w:p>
        </w:tc>
      </w:tr>
      <w:tr w:rsidR="00115004" w:rsidRPr="006B7377" w:rsidTr="006B7377">
        <w:trPr>
          <w:jc w:val="center"/>
        </w:trPr>
        <w:tc>
          <w:tcPr>
            <w:tcW w:w="1523" w:type="pct"/>
            <w:vAlign w:val="center"/>
          </w:tcPr>
          <w:p w:rsidR="00115004" w:rsidRPr="006B7377" w:rsidRDefault="00115004" w:rsidP="005D7954">
            <w:pPr>
              <w:pStyle w:val="Default"/>
              <w:snapToGrid w:val="0"/>
              <w:jc w:val="both"/>
              <w:rPr>
                <w:sz w:val="20"/>
                <w:szCs w:val="20"/>
              </w:rPr>
            </w:pPr>
            <w:r w:rsidRPr="006B7377">
              <w:rPr>
                <w:sz w:val="20"/>
                <w:szCs w:val="20"/>
              </w:rPr>
              <w:t xml:space="preserve">100.798± 2.18 </w:t>
            </w:r>
            <w:r w:rsidRPr="006B7377">
              <w:rPr>
                <w:sz w:val="20"/>
                <w:szCs w:val="20"/>
                <w:vertAlign w:val="superscript"/>
              </w:rPr>
              <w:t>ab</w:t>
            </w:r>
          </w:p>
        </w:tc>
        <w:tc>
          <w:tcPr>
            <w:tcW w:w="1455" w:type="pct"/>
            <w:vAlign w:val="center"/>
          </w:tcPr>
          <w:p w:rsidR="00115004" w:rsidRPr="006B7377" w:rsidRDefault="00115004" w:rsidP="005D7954">
            <w:pPr>
              <w:pStyle w:val="Default"/>
              <w:snapToGrid w:val="0"/>
              <w:jc w:val="both"/>
              <w:rPr>
                <w:sz w:val="20"/>
                <w:szCs w:val="20"/>
              </w:rPr>
            </w:pPr>
            <w:r w:rsidRPr="006B7377">
              <w:rPr>
                <w:sz w:val="20"/>
                <w:szCs w:val="20"/>
              </w:rPr>
              <w:t>73.82 ±1.91</w:t>
            </w:r>
            <w:r w:rsidRPr="006B7377">
              <w:rPr>
                <w:sz w:val="20"/>
                <w:szCs w:val="20"/>
                <w:vertAlign w:val="superscript"/>
              </w:rPr>
              <w:t>b</w:t>
            </w:r>
          </w:p>
        </w:tc>
        <w:tc>
          <w:tcPr>
            <w:tcW w:w="2021"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(6) GB extract </w:t>
            </w:r>
            <w:r w:rsidR="005D7954">
              <w:rPr>
                <w:rFonts w:ascii="Times New Roman" w:hAnsi="Times New Roman" w:cs="Times New Roman"/>
                <w:sz w:val="20"/>
                <w:szCs w:val="20"/>
              </w:rPr>
              <w:t xml:space="preserve"> </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400 mg/kg b.wt)</w:t>
            </w:r>
          </w:p>
        </w:tc>
      </w:tr>
      <w:tr w:rsidR="00115004" w:rsidRPr="006B7377" w:rsidTr="006B7377">
        <w:trPr>
          <w:jc w:val="center"/>
        </w:trPr>
        <w:tc>
          <w:tcPr>
            <w:tcW w:w="1523" w:type="pct"/>
            <w:vAlign w:val="center"/>
          </w:tcPr>
          <w:p w:rsidR="00115004" w:rsidRPr="006B7377" w:rsidRDefault="00115004" w:rsidP="005D7954">
            <w:pPr>
              <w:pStyle w:val="Default"/>
              <w:snapToGrid w:val="0"/>
              <w:jc w:val="both"/>
              <w:rPr>
                <w:sz w:val="20"/>
                <w:szCs w:val="20"/>
              </w:rPr>
            </w:pPr>
            <w:r w:rsidRPr="006B7377">
              <w:rPr>
                <w:sz w:val="20"/>
                <w:szCs w:val="20"/>
              </w:rPr>
              <w:t xml:space="preserve">109.048± 2.19 </w:t>
            </w:r>
            <w:r w:rsidRPr="006B7377">
              <w:rPr>
                <w:sz w:val="20"/>
                <w:szCs w:val="20"/>
                <w:vertAlign w:val="superscript"/>
              </w:rPr>
              <w:t>b</w:t>
            </w:r>
          </w:p>
        </w:tc>
        <w:tc>
          <w:tcPr>
            <w:tcW w:w="1455" w:type="pct"/>
            <w:vAlign w:val="center"/>
          </w:tcPr>
          <w:p w:rsidR="00115004" w:rsidRPr="006B7377" w:rsidRDefault="00115004" w:rsidP="005D7954">
            <w:pPr>
              <w:pStyle w:val="Default"/>
              <w:snapToGrid w:val="0"/>
              <w:jc w:val="both"/>
              <w:rPr>
                <w:sz w:val="20"/>
                <w:szCs w:val="20"/>
              </w:rPr>
            </w:pPr>
            <w:r w:rsidRPr="006B7377">
              <w:rPr>
                <w:sz w:val="20"/>
                <w:szCs w:val="20"/>
              </w:rPr>
              <w:t xml:space="preserve">78.105± 1.23 </w:t>
            </w:r>
            <w:r w:rsidRPr="006B7377">
              <w:rPr>
                <w:sz w:val="20"/>
                <w:szCs w:val="20"/>
                <w:vertAlign w:val="superscript"/>
              </w:rPr>
              <w:t>b</w:t>
            </w:r>
          </w:p>
        </w:tc>
        <w:tc>
          <w:tcPr>
            <w:tcW w:w="2021"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(7) Mixture </w:t>
            </w:r>
            <w:r w:rsidR="005D7954">
              <w:rPr>
                <w:rFonts w:ascii="Times New Roman" w:hAnsi="Times New Roman" w:cs="Times New Roman"/>
                <w:sz w:val="20"/>
                <w:szCs w:val="20"/>
              </w:rPr>
              <w:t xml:space="preserve"> </w:t>
            </w:r>
            <w:r w:rsidRPr="006B7377">
              <w:rPr>
                <w:rFonts w:ascii="Times New Roman" w:hAnsi="Times New Roman" w:cs="Times New Roman"/>
                <w:sz w:val="20"/>
                <w:szCs w:val="20"/>
              </w:rPr>
              <w:t>(200 mg/kg b.wt)</w:t>
            </w:r>
          </w:p>
        </w:tc>
      </w:tr>
      <w:tr w:rsidR="00115004" w:rsidRPr="006B7377" w:rsidTr="006B7377">
        <w:trPr>
          <w:jc w:val="center"/>
        </w:trPr>
        <w:tc>
          <w:tcPr>
            <w:tcW w:w="1523" w:type="pct"/>
            <w:vAlign w:val="center"/>
          </w:tcPr>
          <w:p w:rsidR="00115004" w:rsidRPr="006B7377" w:rsidRDefault="00115004" w:rsidP="005D7954">
            <w:pPr>
              <w:pStyle w:val="Default"/>
              <w:snapToGrid w:val="0"/>
              <w:jc w:val="both"/>
              <w:rPr>
                <w:sz w:val="20"/>
                <w:szCs w:val="20"/>
              </w:rPr>
            </w:pPr>
            <w:r w:rsidRPr="006B7377">
              <w:rPr>
                <w:sz w:val="20"/>
                <w:szCs w:val="20"/>
              </w:rPr>
              <w:t xml:space="preserve">98.26± 1.94 </w:t>
            </w:r>
            <w:r w:rsidRPr="006B7377">
              <w:rPr>
                <w:sz w:val="20"/>
                <w:szCs w:val="20"/>
                <w:vertAlign w:val="superscript"/>
              </w:rPr>
              <w:t>a</w:t>
            </w:r>
          </w:p>
        </w:tc>
        <w:tc>
          <w:tcPr>
            <w:tcW w:w="1455" w:type="pct"/>
            <w:vAlign w:val="center"/>
          </w:tcPr>
          <w:p w:rsidR="00115004" w:rsidRPr="006B7377" w:rsidRDefault="00115004" w:rsidP="005D7954">
            <w:pPr>
              <w:pStyle w:val="Default"/>
              <w:snapToGrid w:val="0"/>
              <w:jc w:val="both"/>
              <w:rPr>
                <w:sz w:val="20"/>
                <w:szCs w:val="20"/>
              </w:rPr>
            </w:pPr>
            <w:r w:rsidRPr="006B7377">
              <w:rPr>
                <w:sz w:val="20"/>
                <w:szCs w:val="20"/>
              </w:rPr>
              <w:t xml:space="preserve">62.825±2.42 </w:t>
            </w:r>
            <w:r w:rsidRPr="006B7377">
              <w:rPr>
                <w:sz w:val="20"/>
                <w:szCs w:val="20"/>
                <w:vertAlign w:val="superscript"/>
              </w:rPr>
              <w:t>cb</w:t>
            </w:r>
          </w:p>
        </w:tc>
        <w:tc>
          <w:tcPr>
            <w:tcW w:w="2021"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(8) Mixture </w:t>
            </w:r>
            <w:r w:rsidR="005D7954">
              <w:rPr>
                <w:rFonts w:ascii="Times New Roman" w:hAnsi="Times New Roman" w:cs="Times New Roman"/>
                <w:sz w:val="20"/>
                <w:szCs w:val="20"/>
              </w:rPr>
              <w:t xml:space="preserve"> </w:t>
            </w:r>
            <w:r w:rsidRPr="006B7377">
              <w:rPr>
                <w:rFonts w:ascii="Times New Roman" w:hAnsi="Times New Roman" w:cs="Times New Roman"/>
                <w:sz w:val="20"/>
                <w:szCs w:val="20"/>
              </w:rPr>
              <w:t>(400 mg/kg b.wt)</w:t>
            </w:r>
          </w:p>
        </w:tc>
      </w:tr>
    </w:tbl>
    <w:p w:rsidR="007C2209" w:rsidRPr="006B7377" w:rsidRDefault="007C2209" w:rsidP="005D7954">
      <w:pPr>
        <w:bidi w:val="0"/>
        <w:snapToGrid w:val="0"/>
        <w:spacing w:after="0" w:line="240" w:lineRule="auto"/>
        <w:jc w:val="both"/>
        <w:rPr>
          <w:rFonts w:ascii="Times New Roman" w:hAnsi="Times New Roman" w:cs="Times New Roman"/>
          <w:sz w:val="20"/>
          <w:szCs w:val="18"/>
        </w:rPr>
      </w:pPr>
      <w:r w:rsidRPr="006B7377">
        <w:rPr>
          <w:rFonts w:ascii="Times New Roman" w:hAnsi="Times New Roman" w:cs="Times New Roman"/>
          <w:sz w:val="20"/>
          <w:szCs w:val="18"/>
        </w:rPr>
        <w:t>Means (n=10 rat) with different letters in the same column considered significant (P &lt; 0.05)</w:t>
      </w:r>
    </w:p>
    <w:p w:rsidR="002214B8" w:rsidRPr="006B7377" w:rsidRDefault="002214B8" w:rsidP="005D7954">
      <w:pPr>
        <w:pStyle w:val="Default"/>
        <w:snapToGrid w:val="0"/>
        <w:jc w:val="center"/>
        <w:rPr>
          <w:rFonts w:eastAsia="Arial Unicode MS"/>
          <w:b/>
          <w:bCs/>
          <w:color w:val="000000" w:themeColor="text1"/>
          <w:sz w:val="20"/>
          <w:szCs w:val="20"/>
        </w:rPr>
      </w:pPr>
    </w:p>
    <w:p w:rsidR="00115004" w:rsidRPr="006B7377" w:rsidRDefault="002214B8" w:rsidP="005D7954">
      <w:pPr>
        <w:pStyle w:val="Default"/>
        <w:snapToGrid w:val="0"/>
        <w:jc w:val="both"/>
        <w:rPr>
          <w:rFonts w:eastAsia="Arial Unicode MS"/>
          <w:b/>
          <w:bCs/>
          <w:color w:val="000000" w:themeColor="text1"/>
          <w:sz w:val="20"/>
          <w:szCs w:val="20"/>
        </w:rPr>
      </w:pPr>
      <w:r w:rsidRPr="006B7377">
        <w:rPr>
          <w:rFonts w:eastAsia="Arial Unicode MS"/>
          <w:b/>
          <w:bCs/>
          <w:color w:val="000000" w:themeColor="text1"/>
          <w:sz w:val="20"/>
          <w:szCs w:val="20"/>
        </w:rPr>
        <w:t>Table 4</w:t>
      </w:r>
      <w:r w:rsidR="00115004" w:rsidRPr="006B7377">
        <w:rPr>
          <w:rFonts w:eastAsia="Arial Unicode MS"/>
          <w:b/>
          <w:bCs/>
          <w:color w:val="000000" w:themeColor="text1"/>
          <w:sz w:val="20"/>
          <w:szCs w:val="20"/>
        </w:rPr>
        <w:t xml:space="preserve">: Effect of </w:t>
      </w:r>
      <w:r w:rsidRPr="006B7377">
        <w:rPr>
          <w:rFonts w:eastAsia="Arial Unicode MS"/>
          <w:b/>
          <w:bCs/>
          <w:i/>
          <w:iCs/>
          <w:color w:val="000000" w:themeColor="text1"/>
          <w:sz w:val="20"/>
          <w:szCs w:val="20"/>
        </w:rPr>
        <w:t>Tamarindus indica</w:t>
      </w:r>
      <w:r w:rsidRPr="006B7377">
        <w:rPr>
          <w:rFonts w:eastAsia="Arial Unicode MS"/>
          <w:b/>
          <w:bCs/>
          <w:color w:val="000000" w:themeColor="text1"/>
          <w:sz w:val="20"/>
          <w:szCs w:val="20"/>
        </w:rPr>
        <w:t xml:space="preserve"> and</w:t>
      </w:r>
      <w:r w:rsidR="00115004" w:rsidRPr="006B7377">
        <w:rPr>
          <w:rFonts w:eastAsia="Arial Unicode MS"/>
          <w:b/>
          <w:bCs/>
          <w:color w:val="000000" w:themeColor="text1"/>
          <w:sz w:val="20"/>
          <w:szCs w:val="20"/>
        </w:rPr>
        <w:t xml:space="preserve"> </w:t>
      </w:r>
      <w:r w:rsidR="00115004" w:rsidRPr="006B7377">
        <w:rPr>
          <w:rFonts w:eastAsia="Arial Unicode MS"/>
          <w:b/>
          <w:bCs/>
          <w:i/>
          <w:iCs/>
          <w:color w:val="000000" w:themeColor="text1"/>
          <w:sz w:val="20"/>
          <w:szCs w:val="20"/>
        </w:rPr>
        <w:t>Ginkgo biloba</w:t>
      </w:r>
      <w:r w:rsidRPr="006B7377">
        <w:rPr>
          <w:rFonts w:eastAsia="Arial Unicode MS"/>
          <w:b/>
          <w:bCs/>
          <w:color w:val="000000" w:themeColor="text1"/>
          <w:sz w:val="20"/>
          <w:szCs w:val="20"/>
        </w:rPr>
        <w:t xml:space="preserve"> </w:t>
      </w:r>
      <w:r w:rsidR="00115004" w:rsidRPr="006B7377">
        <w:rPr>
          <w:rFonts w:eastAsia="Arial Unicode MS"/>
          <w:b/>
          <w:bCs/>
          <w:color w:val="000000" w:themeColor="text1"/>
          <w:sz w:val="20"/>
          <w:szCs w:val="20"/>
        </w:rPr>
        <w:t xml:space="preserve">leaves extract and their mixture </w:t>
      </w:r>
      <w:r w:rsidRPr="006B7377">
        <w:rPr>
          <w:rFonts w:eastAsia="Arial Unicode MS"/>
          <w:b/>
          <w:bCs/>
          <w:color w:val="000000" w:themeColor="text1"/>
          <w:sz w:val="20"/>
          <w:szCs w:val="20"/>
        </w:rPr>
        <w:t>on levels</w:t>
      </w:r>
      <w:r w:rsidR="00115004" w:rsidRPr="006B7377">
        <w:rPr>
          <w:rFonts w:eastAsia="Arial Unicode MS"/>
          <w:b/>
          <w:bCs/>
          <w:color w:val="000000" w:themeColor="text1"/>
          <w:sz w:val="20"/>
          <w:szCs w:val="20"/>
        </w:rPr>
        <w:t xml:space="preserve"> of serum lipoprotein fractions (HDL-c, LDL-c and VLDL-c) in hepatotoxic rats </w:t>
      </w:r>
    </w:p>
    <w:tbl>
      <w:tblPr>
        <w:tblStyle w:val="TableGrid2"/>
        <w:bidiVisual/>
        <w:tblW w:w="5000" w:type="pct"/>
        <w:jc w:val="center"/>
        <w:tblBorders>
          <w:left w:val="none" w:sz="0" w:space="0" w:color="auto"/>
          <w:right w:val="none" w:sz="0" w:space="0" w:color="auto"/>
          <w:insideV w:val="none" w:sz="0" w:space="0" w:color="auto"/>
        </w:tblBorders>
        <w:tblCellMar>
          <w:left w:w="57" w:type="dxa"/>
          <w:right w:w="57" w:type="dxa"/>
        </w:tblCellMar>
        <w:tblLook w:val="04A0"/>
      </w:tblPr>
      <w:tblGrid>
        <w:gridCol w:w="2059"/>
        <w:gridCol w:w="2128"/>
        <w:gridCol w:w="2219"/>
        <w:gridCol w:w="3068"/>
      </w:tblGrid>
      <w:tr w:rsidR="00115004" w:rsidRPr="005D7954" w:rsidTr="006B7377">
        <w:trPr>
          <w:jc w:val="center"/>
        </w:trPr>
        <w:tc>
          <w:tcPr>
            <w:tcW w:w="3381" w:type="pct"/>
            <w:gridSpan w:val="3"/>
            <w:shd w:val="clear" w:color="auto" w:fill="C2D69B" w:themeFill="accent3" w:themeFillTint="99"/>
            <w:vAlign w:val="center"/>
          </w:tcPr>
          <w:p w:rsidR="00115004" w:rsidRPr="005D7954" w:rsidRDefault="00115004" w:rsidP="005D7954">
            <w:pPr>
              <w:pStyle w:val="Default"/>
              <w:snapToGrid w:val="0"/>
              <w:jc w:val="both"/>
              <w:rPr>
                <w:b/>
                <w:bCs/>
                <w:sz w:val="18"/>
                <w:szCs w:val="18"/>
              </w:rPr>
            </w:pPr>
            <w:r w:rsidRPr="005D7954">
              <w:rPr>
                <w:b/>
                <w:bCs/>
                <w:sz w:val="18"/>
                <w:szCs w:val="18"/>
                <w:lang w:bidi="ar-EG"/>
              </w:rPr>
              <w:t>Parameters</w:t>
            </w:r>
          </w:p>
        </w:tc>
        <w:tc>
          <w:tcPr>
            <w:tcW w:w="1619" w:type="pct"/>
            <w:vMerge w:val="restart"/>
            <w:shd w:val="clear" w:color="auto" w:fill="C2D69B" w:themeFill="accent3" w:themeFillTint="99"/>
            <w:vAlign w:val="center"/>
          </w:tcPr>
          <w:p w:rsidR="00115004" w:rsidRPr="005D7954" w:rsidRDefault="00115004" w:rsidP="005D7954">
            <w:pPr>
              <w:bidi w:val="0"/>
              <w:snapToGrid w:val="0"/>
              <w:jc w:val="both"/>
              <w:rPr>
                <w:rFonts w:ascii="Times New Roman" w:hAnsi="Times New Roman" w:cs="Times New Roman"/>
                <w:b/>
                <w:bCs/>
                <w:sz w:val="18"/>
                <w:szCs w:val="18"/>
              </w:rPr>
            </w:pPr>
            <w:r w:rsidRPr="005D7954">
              <w:rPr>
                <w:rFonts w:ascii="Times New Roman" w:hAnsi="Times New Roman" w:cs="Times New Roman"/>
                <w:b/>
                <w:bCs/>
                <w:sz w:val="18"/>
                <w:szCs w:val="18"/>
              </w:rPr>
              <w:t>Experimental groups</w:t>
            </w:r>
          </w:p>
        </w:tc>
      </w:tr>
      <w:tr w:rsidR="006B7377" w:rsidRPr="005D7954" w:rsidTr="006B7377">
        <w:trPr>
          <w:jc w:val="center"/>
        </w:trPr>
        <w:tc>
          <w:tcPr>
            <w:tcW w:w="1087" w:type="pct"/>
            <w:shd w:val="clear" w:color="auto" w:fill="C2D69B" w:themeFill="accent3" w:themeFillTint="99"/>
            <w:vAlign w:val="center"/>
          </w:tcPr>
          <w:p w:rsidR="00115004" w:rsidRPr="005D7954" w:rsidRDefault="00115004" w:rsidP="005D7954">
            <w:pPr>
              <w:pStyle w:val="Default"/>
              <w:snapToGrid w:val="0"/>
              <w:jc w:val="both"/>
              <w:rPr>
                <w:sz w:val="18"/>
                <w:szCs w:val="18"/>
              </w:rPr>
            </w:pPr>
            <w:r w:rsidRPr="005D7954">
              <w:rPr>
                <w:b/>
                <w:bCs/>
                <w:sz w:val="18"/>
                <w:szCs w:val="18"/>
              </w:rPr>
              <w:t>HDL-c</w:t>
            </w:r>
            <w:r w:rsidR="005D7954" w:rsidRPr="005D7954">
              <w:rPr>
                <w:sz w:val="18"/>
                <w:szCs w:val="18"/>
              </w:rPr>
              <w:t xml:space="preserve"> </w:t>
            </w:r>
            <w:r w:rsidRPr="005D7954">
              <w:rPr>
                <w:sz w:val="18"/>
                <w:szCs w:val="18"/>
              </w:rPr>
              <w:t>mg/dl</w:t>
            </w:r>
          </w:p>
        </w:tc>
        <w:tc>
          <w:tcPr>
            <w:tcW w:w="1123" w:type="pct"/>
            <w:shd w:val="clear" w:color="auto" w:fill="C2D69B" w:themeFill="accent3" w:themeFillTint="99"/>
            <w:vAlign w:val="center"/>
          </w:tcPr>
          <w:p w:rsidR="00115004" w:rsidRPr="005D7954" w:rsidRDefault="00115004" w:rsidP="005D7954">
            <w:pPr>
              <w:pStyle w:val="Default"/>
              <w:snapToGrid w:val="0"/>
              <w:jc w:val="both"/>
              <w:rPr>
                <w:sz w:val="18"/>
                <w:szCs w:val="18"/>
              </w:rPr>
            </w:pPr>
            <w:r w:rsidRPr="005D7954">
              <w:rPr>
                <w:b/>
                <w:bCs/>
                <w:sz w:val="18"/>
                <w:szCs w:val="18"/>
              </w:rPr>
              <w:t>LDL-c</w:t>
            </w:r>
            <w:r w:rsidR="005D7954" w:rsidRPr="005D7954">
              <w:rPr>
                <w:sz w:val="18"/>
                <w:szCs w:val="18"/>
              </w:rPr>
              <w:t xml:space="preserve"> </w:t>
            </w:r>
            <w:r w:rsidRPr="005D7954">
              <w:rPr>
                <w:sz w:val="18"/>
                <w:szCs w:val="18"/>
              </w:rPr>
              <w:t>mg/dl</w:t>
            </w:r>
          </w:p>
        </w:tc>
        <w:tc>
          <w:tcPr>
            <w:tcW w:w="1171" w:type="pct"/>
            <w:shd w:val="clear" w:color="auto" w:fill="C2D69B" w:themeFill="accent3" w:themeFillTint="99"/>
            <w:vAlign w:val="center"/>
          </w:tcPr>
          <w:p w:rsidR="00115004" w:rsidRPr="005D7954" w:rsidRDefault="00115004" w:rsidP="005D7954">
            <w:pPr>
              <w:pStyle w:val="Default"/>
              <w:snapToGrid w:val="0"/>
              <w:jc w:val="both"/>
              <w:rPr>
                <w:sz w:val="18"/>
                <w:szCs w:val="18"/>
              </w:rPr>
            </w:pPr>
            <w:r w:rsidRPr="005D7954">
              <w:rPr>
                <w:b/>
                <w:bCs/>
                <w:sz w:val="18"/>
                <w:szCs w:val="18"/>
              </w:rPr>
              <w:t xml:space="preserve">VLDL-c </w:t>
            </w:r>
            <w:r w:rsidR="005D7954" w:rsidRPr="005D7954">
              <w:rPr>
                <w:b/>
                <w:bCs/>
                <w:sz w:val="18"/>
                <w:szCs w:val="18"/>
              </w:rPr>
              <w:t xml:space="preserve"> </w:t>
            </w:r>
            <w:r w:rsidRPr="005D7954">
              <w:rPr>
                <w:sz w:val="18"/>
                <w:szCs w:val="18"/>
              </w:rPr>
              <w:t>mg/dl</w:t>
            </w:r>
          </w:p>
        </w:tc>
        <w:tc>
          <w:tcPr>
            <w:tcW w:w="1619" w:type="pct"/>
            <w:vMerge/>
            <w:shd w:val="clear" w:color="auto" w:fill="C2D69B" w:themeFill="accent3" w:themeFillTint="99"/>
            <w:vAlign w:val="center"/>
          </w:tcPr>
          <w:p w:rsidR="00115004" w:rsidRPr="005D7954" w:rsidRDefault="00115004" w:rsidP="005D7954">
            <w:pPr>
              <w:bidi w:val="0"/>
              <w:snapToGrid w:val="0"/>
              <w:jc w:val="both"/>
              <w:rPr>
                <w:rFonts w:ascii="Times New Roman" w:hAnsi="Times New Roman" w:cs="Times New Roman"/>
                <w:b/>
                <w:bCs/>
                <w:sz w:val="18"/>
                <w:szCs w:val="18"/>
                <w:lang w:bidi="ar-EG"/>
              </w:rPr>
            </w:pPr>
          </w:p>
        </w:tc>
      </w:tr>
      <w:tr w:rsidR="00115004" w:rsidRPr="005D7954" w:rsidTr="006B7377">
        <w:trPr>
          <w:jc w:val="center"/>
        </w:trPr>
        <w:tc>
          <w:tcPr>
            <w:tcW w:w="1087" w:type="pct"/>
            <w:vAlign w:val="center"/>
          </w:tcPr>
          <w:p w:rsidR="00115004" w:rsidRPr="005D7954" w:rsidRDefault="00115004" w:rsidP="005D7954">
            <w:pPr>
              <w:pStyle w:val="Default"/>
              <w:snapToGrid w:val="0"/>
              <w:jc w:val="both"/>
              <w:rPr>
                <w:sz w:val="18"/>
                <w:szCs w:val="18"/>
              </w:rPr>
            </w:pPr>
            <w:r w:rsidRPr="005D7954">
              <w:rPr>
                <w:sz w:val="18"/>
                <w:szCs w:val="18"/>
              </w:rPr>
              <w:t xml:space="preserve">66.243± 2.44 </w:t>
            </w:r>
            <w:r w:rsidRPr="005D7954">
              <w:rPr>
                <w:sz w:val="18"/>
                <w:szCs w:val="18"/>
                <w:vertAlign w:val="superscript"/>
              </w:rPr>
              <w:t>a</w:t>
            </w:r>
          </w:p>
        </w:tc>
        <w:tc>
          <w:tcPr>
            <w:tcW w:w="1123" w:type="pct"/>
            <w:vAlign w:val="center"/>
          </w:tcPr>
          <w:p w:rsidR="00115004" w:rsidRPr="005D7954" w:rsidRDefault="00115004" w:rsidP="005D7954">
            <w:pPr>
              <w:pStyle w:val="Default"/>
              <w:snapToGrid w:val="0"/>
              <w:jc w:val="both"/>
              <w:rPr>
                <w:sz w:val="18"/>
                <w:szCs w:val="18"/>
              </w:rPr>
            </w:pPr>
            <w:r w:rsidRPr="005D7954">
              <w:rPr>
                <w:sz w:val="18"/>
                <w:szCs w:val="18"/>
              </w:rPr>
              <w:t xml:space="preserve">14.762± 1.89 </w:t>
            </w:r>
            <w:r w:rsidRPr="005D7954">
              <w:rPr>
                <w:sz w:val="18"/>
                <w:szCs w:val="18"/>
                <w:vertAlign w:val="superscript"/>
              </w:rPr>
              <w:t>d</w:t>
            </w:r>
          </w:p>
        </w:tc>
        <w:tc>
          <w:tcPr>
            <w:tcW w:w="1171" w:type="pct"/>
            <w:vAlign w:val="center"/>
          </w:tcPr>
          <w:p w:rsidR="00115004" w:rsidRPr="005D7954" w:rsidRDefault="00115004" w:rsidP="005D7954">
            <w:pPr>
              <w:pStyle w:val="Default"/>
              <w:snapToGrid w:val="0"/>
              <w:jc w:val="both"/>
              <w:rPr>
                <w:sz w:val="18"/>
                <w:szCs w:val="18"/>
              </w:rPr>
            </w:pPr>
            <w:r w:rsidRPr="005D7954">
              <w:rPr>
                <w:sz w:val="18"/>
                <w:szCs w:val="18"/>
              </w:rPr>
              <w:t xml:space="preserve">10.466± 0.32 </w:t>
            </w:r>
            <w:r w:rsidRPr="005D7954">
              <w:rPr>
                <w:sz w:val="18"/>
                <w:szCs w:val="18"/>
                <w:vertAlign w:val="superscript"/>
              </w:rPr>
              <w:t>c</w:t>
            </w:r>
          </w:p>
        </w:tc>
        <w:tc>
          <w:tcPr>
            <w:tcW w:w="1619" w:type="pct"/>
            <w:vAlign w:val="center"/>
          </w:tcPr>
          <w:p w:rsidR="00115004" w:rsidRPr="005D7954" w:rsidRDefault="00115004" w:rsidP="005D7954">
            <w:pPr>
              <w:bidi w:val="0"/>
              <w:snapToGrid w:val="0"/>
              <w:jc w:val="both"/>
              <w:rPr>
                <w:rFonts w:ascii="Times New Roman" w:hAnsi="Times New Roman" w:cs="Times New Roman"/>
                <w:sz w:val="18"/>
                <w:szCs w:val="18"/>
                <w:lang w:bidi="ar-EG"/>
              </w:rPr>
            </w:pPr>
            <w:r w:rsidRPr="005D7954">
              <w:rPr>
                <w:rFonts w:ascii="Times New Roman" w:hAnsi="Times New Roman" w:cs="Times New Roman"/>
                <w:sz w:val="18"/>
                <w:szCs w:val="18"/>
              </w:rPr>
              <w:t>Group (1) Cont -ve</w:t>
            </w:r>
          </w:p>
        </w:tc>
      </w:tr>
      <w:tr w:rsidR="00115004" w:rsidRPr="005D7954" w:rsidTr="006B7377">
        <w:trPr>
          <w:jc w:val="center"/>
        </w:trPr>
        <w:tc>
          <w:tcPr>
            <w:tcW w:w="1087" w:type="pct"/>
            <w:vAlign w:val="center"/>
          </w:tcPr>
          <w:p w:rsidR="00115004" w:rsidRPr="005D7954" w:rsidRDefault="00115004" w:rsidP="005D7954">
            <w:pPr>
              <w:pStyle w:val="Default"/>
              <w:snapToGrid w:val="0"/>
              <w:jc w:val="both"/>
              <w:rPr>
                <w:sz w:val="18"/>
                <w:szCs w:val="18"/>
              </w:rPr>
            </w:pPr>
            <w:r w:rsidRPr="005D7954">
              <w:rPr>
                <w:sz w:val="18"/>
                <w:szCs w:val="18"/>
              </w:rPr>
              <w:t xml:space="preserve">42.562± 1.98 </w:t>
            </w:r>
            <w:r w:rsidRPr="005D7954">
              <w:rPr>
                <w:sz w:val="18"/>
                <w:szCs w:val="18"/>
                <w:vertAlign w:val="superscript"/>
              </w:rPr>
              <w:t>d</w:t>
            </w:r>
          </w:p>
        </w:tc>
        <w:tc>
          <w:tcPr>
            <w:tcW w:w="1123" w:type="pct"/>
            <w:vAlign w:val="center"/>
          </w:tcPr>
          <w:p w:rsidR="00115004" w:rsidRPr="005D7954" w:rsidRDefault="00115004" w:rsidP="005D7954">
            <w:pPr>
              <w:pStyle w:val="Default"/>
              <w:snapToGrid w:val="0"/>
              <w:jc w:val="both"/>
              <w:rPr>
                <w:sz w:val="18"/>
                <w:szCs w:val="18"/>
              </w:rPr>
            </w:pPr>
            <w:r w:rsidRPr="005D7954">
              <w:rPr>
                <w:sz w:val="18"/>
                <w:szCs w:val="18"/>
              </w:rPr>
              <w:t xml:space="preserve">68.523 ± 2.22 </w:t>
            </w:r>
            <w:r w:rsidRPr="005D7954">
              <w:rPr>
                <w:sz w:val="18"/>
                <w:szCs w:val="18"/>
                <w:vertAlign w:val="superscript"/>
              </w:rPr>
              <w:t>a</w:t>
            </w:r>
          </w:p>
        </w:tc>
        <w:tc>
          <w:tcPr>
            <w:tcW w:w="1171" w:type="pct"/>
            <w:vAlign w:val="center"/>
          </w:tcPr>
          <w:p w:rsidR="00115004" w:rsidRPr="005D7954" w:rsidRDefault="00115004" w:rsidP="005D7954">
            <w:pPr>
              <w:pStyle w:val="Default"/>
              <w:snapToGrid w:val="0"/>
              <w:jc w:val="both"/>
              <w:rPr>
                <w:sz w:val="18"/>
                <w:szCs w:val="18"/>
              </w:rPr>
            </w:pPr>
            <w:r w:rsidRPr="005D7954">
              <w:rPr>
                <w:sz w:val="18"/>
                <w:szCs w:val="18"/>
              </w:rPr>
              <w:t xml:space="preserve">22.874± 0.22 </w:t>
            </w:r>
            <w:r w:rsidRPr="005D7954">
              <w:rPr>
                <w:sz w:val="18"/>
                <w:szCs w:val="18"/>
                <w:vertAlign w:val="superscript"/>
              </w:rPr>
              <w:t>a</w:t>
            </w:r>
          </w:p>
        </w:tc>
        <w:tc>
          <w:tcPr>
            <w:tcW w:w="1619" w:type="pct"/>
            <w:vAlign w:val="center"/>
          </w:tcPr>
          <w:p w:rsidR="00115004" w:rsidRPr="005D7954" w:rsidRDefault="00115004" w:rsidP="005D7954">
            <w:pPr>
              <w:bidi w:val="0"/>
              <w:snapToGrid w:val="0"/>
              <w:jc w:val="both"/>
              <w:rPr>
                <w:rFonts w:ascii="Times New Roman" w:hAnsi="Times New Roman" w:cs="Times New Roman"/>
                <w:sz w:val="18"/>
                <w:szCs w:val="18"/>
                <w:lang w:bidi="ar-EG"/>
              </w:rPr>
            </w:pPr>
            <w:r w:rsidRPr="005D7954">
              <w:rPr>
                <w:rFonts w:ascii="Times New Roman" w:hAnsi="Times New Roman" w:cs="Times New Roman"/>
                <w:sz w:val="18"/>
                <w:szCs w:val="18"/>
              </w:rPr>
              <w:t>Group (2)</w:t>
            </w:r>
            <w:r w:rsidR="006B7377" w:rsidRPr="005D7954">
              <w:rPr>
                <w:rFonts w:ascii="Times New Roman" w:hAnsi="Times New Roman" w:cs="Times New Roman"/>
                <w:sz w:val="18"/>
                <w:szCs w:val="18"/>
              </w:rPr>
              <w:t xml:space="preserve"> </w:t>
            </w:r>
            <w:r w:rsidRPr="005D7954">
              <w:rPr>
                <w:rFonts w:ascii="Times New Roman" w:hAnsi="Times New Roman" w:cs="Times New Roman"/>
                <w:sz w:val="18"/>
                <w:szCs w:val="18"/>
              </w:rPr>
              <w:t>Cont+ve</w:t>
            </w:r>
          </w:p>
        </w:tc>
      </w:tr>
      <w:tr w:rsidR="00115004" w:rsidRPr="005D7954" w:rsidTr="006B7377">
        <w:trPr>
          <w:jc w:val="center"/>
        </w:trPr>
        <w:tc>
          <w:tcPr>
            <w:tcW w:w="1087" w:type="pct"/>
            <w:vAlign w:val="center"/>
          </w:tcPr>
          <w:p w:rsidR="00115004" w:rsidRPr="005D7954" w:rsidRDefault="00115004" w:rsidP="005D7954">
            <w:pPr>
              <w:pStyle w:val="Default"/>
              <w:snapToGrid w:val="0"/>
              <w:jc w:val="both"/>
              <w:rPr>
                <w:sz w:val="18"/>
                <w:szCs w:val="18"/>
              </w:rPr>
            </w:pPr>
            <w:r w:rsidRPr="005D7954">
              <w:rPr>
                <w:sz w:val="18"/>
                <w:szCs w:val="18"/>
              </w:rPr>
              <w:t xml:space="preserve">46.522± 1.23 </w:t>
            </w:r>
            <w:r w:rsidRPr="005D7954">
              <w:rPr>
                <w:sz w:val="18"/>
                <w:szCs w:val="18"/>
                <w:vertAlign w:val="superscript"/>
              </w:rPr>
              <w:t>d</w:t>
            </w:r>
          </w:p>
        </w:tc>
        <w:tc>
          <w:tcPr>
            <w:tcW w:w="1123" w:type="pct"/>
            <w:vAlign w:val="center"/>
          </w:tcPr>
          <w:p w:rsidR="00115004" w:rsidRPr="005D7954" w:rsidRDefault="00115004" w:rsidP="005D7954">
            <w:pPr>
              <w:pStyle w:val="Default"/>
              <w:snapToGrid w:val="0"/>
              <w:jc w:val="both"/>
              <w:rPr>
                <w:sz w:val="18"/>
                <w:szCs w:val="18"/>
              </w:rPr>
            </w:pPr>
            <w:r w:rsidRPr="005D7954">
              <w:rPr>
                <w:sz w:val="18"/>
                <w:szCs w:val="18"/>
              </w:rPr>
              <w:t xml:space="preserve">56.432± 2.11 </w:t>
            </w:r>
            <w:r w:rsidRPr="005D7954">
              <w:rPr>
                <w:sz w:val="18"/>
                <w:szCs w:val="18"/>
                <w:vertAlign w:val="superscript"/>
              </w:rPr>
              <w:t>b</w:t>
            </w:r>
          </w:p>
        </w:tc>
        <w:tc>
          <w:tcPr>
            <w:tcW w:w="1171" w:type="pct"/>
            <w:vAlign w:val="center"/>
          </w:tcPr>
          <w:p w:rsidR="00115004" w:rsidRPr="005D7954" w:rsidRDefault="00115004" w:rsidP="005D7954">
            <w:pPr>
              <w:pStyle w:val="Default"/>
              <w:snapToGrid w:val="0"/>
              <w:jc w:val="both"/>
              <w:rPr>
                <w:sz w:val="18"/>
                <w:szCs w:val="18"/>
              </w:rPr>
            </w:pPr>
            <w:r w:rsidRPr="005D7954">
              <w:rPr>
                <w:sz w:val="18"/>
                <w:szCs w:val="18"/>
              </w:rPr>
              <w:t xml:space="preserve">19.128± 0.36 </w:t>
            </w:r>
            <w:r w:rsidRPr="005D7954">
              <w:rPr>
                <w:sz w:val="18"/>
                <w:szCs w:val="18"/>
                <w:vertAlign w:val="superscript"/>
              </w:rPr>
              <w:t>a</w:t>
            </w:r>
          </w:p>
        </w:tc>
        <w:tc>
          <w:tcPr>
            <w:tcW w:w="1619" w:type="pct"/>
            <w:vAlign w:val="center"/>
          </w:tcPr>
          <w:p w:rsidR="00115004" w:rsidRPr="005D7954" w:rsidRDefault="00115004" w:rsidP="005D7954">
            <w:pPr>
              <w:bidi w:val="0"/>
              <w:snapToGrid w:val="0"/>
              <w:jc w:val="both"/>
              <w:rPr>
                <w:rFonts w:ascii="Times New Roman" w:hAnsi="Times New Roman" w:cs="Times New Roman"/>
                <w:sz w:val="18"/>
                <w:szCs w:val="18"/>
              </w:rPr>
            </w:pPr>
            <w:r w:rsidRPr="005D7954">
              <w:rPr>
                <w:rFonts w:ascii="Times New Roman" w:hAnsi="Times New Roman" w:cs="Times New Roman"/>
                <w:sz w:val="18"/>
                <w:szCs w:val="18"/>
              </w:rPr>
              <w:t>Group (3) TI</w:t>
            </w:r>
            <w:r w:rsidR="006B7377" w:rsidRPr="005D7954">
              <w:rPr>
                <w:rFonts w:ascii="Times New Roman" w:hAnsi="Times New Roman" w:cs="Times New Roman"/>
                <w:sz w:val="18"/>
                <w:szCs w:val="18"/>
              </w:rPr>
              <w:t xml:space="preserve"> </w:t>
            </w:r>
            <w:r w:rsidRPr="005D7954">
              <w:rPr>
                <w:rFonts w:ascii="Times New Roman" w:hAnsi="Times New Roman" w:cs="Times New Roman"/>
                <w:sz w:val="18"/>
                <w:szCs w:val="18"/>
              </w:rPr>
              <w:t>extract</w:t>
            </w:r>
            <w:r w:rsidR="005D7954" w:rsidRPr="005D7954">
              <w:rPr>
                <w:rFonts w:ascii="Times New Roman" w:hAnsi="Times New Roman" w:cs="Times New Roman"/>
                <w:sz w:val="18"/>
                <w:szCs w:val="18"/>
              </w:rPr>
              <w:t xml:space="preserve"> </w:t>
            </w:r>
            <w:r w:rsidR="006B7377" w:rsidRPr="005D7954">
              <w:rPr>
                <w:rFonts w:ascii="Times New Roman" w:hAnsi="Times New Roman" w:cs="Times New Roman"/>
                <w:sz w:val="18"/>
                <w:szCs w:val="18"/>
              </w:rPr>
              <w:t>(</w:t>
            </w:r>
            <w:r w:rsidRPr="005D7954">
              <w:rPr>
                <w:rFonts w:ascii="Times New Roman" w:hAnsi="Times New Roman" w:cs="Times New Roman"/>
                <w:sz w:val="18"/>
                <w:szCs w:val="18"/>
              </w:rPr>
              <w:t>200 mg/kg b.wt)</w:t>
            </w:r>
            <w:r w:rsidR="006B7377" w:rsidRPr="005D7954">
              <w:rPr>
                <w:rFonts w:ascii="Times New Roman" w:hAnsi="Times New Roman" w:cs="Times New Roman"/>
                <w:sz w:val="18"/>
                <w:szCs w:val="18"/>
              </w:rPr>
              <w:t xml:space="preserve"> </w:t>
            </w:r>
          </w:p>
        </w:tc>
      </w:tr>
      <w:tr w:rsidR="00115004" w:rsidRPr="005D7954" w:rsidTr="006B7377">
        <w:trPr>
          <w:jc w:val="center"/>
        </w:trPr>
        <w:tc>
          <w:tcPr>
            <w:tcW w:w="1087" w:type="pct"/>
            <w:vAlign w:val="center"/>
          </w:tcPr>
          <w:p w:rsidR="00115004" w:rsidRPr="005D7954" w:rsidRDefault="00115004" w:rsidP="005D7954">
            <w:pPr>
              <w:pStyle w:val="Default"/>
              <w:snapToGrid w:val="0"/>
              <w:jc w:val="both"/>
              <w:rPr>
                <w:sz w:val="18"/>
                <w:szCs w:val="18"/>
              </w:rPr>
            </w:pPr>
            <w:r w:rsidRPr="005D7954">
              <w:rPr>
                <w:sz w:val="18"/>
                <w:szCs w:val="18"/>
              </w:rPr>
              <w:t xml:space="preserve">55.624± 1.59 </w:t>
            </w:r>
            <w:r w:rsidRPr="005D7954">
              <w:rPr>
                <w:sz w:val="18"/>
                <w:szCs w:val="18"/>
                <w:vertAlign w:val="superscript"/>
              </w:rPr>
              <w:t>c</w:t>
            </w:r>
          </w:p>
        </w:tc>
        <w:tc>
          <w:tcPr>
            <w:tcW w:w="1123" w:type="pct"/>
            <w:vAlign w:val="center"/>
          </w:tcPr>
          <w:p w:rsidR="00115004" w:rsidRPr="005D7954" w:rsidRDefault="00115004" w:rsidP="005D7954">
            <w:pPr>
              <w:pStyle w:val="Default"/>
              <w:snapToGrid w:val="0"/>
              <w:jc w:val="both"/>
              <w:rPr>
                <w:sz w:val="18"/>
                <w:szCs w:val="18"/>
              </w:rPr>
            </w:pPr>
            <w:r w:rsidRPr="005D7954">
              <w:rPr>
                <w:sz w:val="18"/>
                <w:szCs w:val="18"/>
              </w:rPr>
              <w:t>33.753±</w:t>
            </w:r>
            <w:r w:rsidR="006B7377" w:rsidRPr="005D7954">
              <w:rPr>
                <w:sz w:val="18"/>
                <w:szCs w:val="18"/>
              </w:rPr>
              <w:t>.</w:t>
            </w:r>
            <w:r w:rsidRPr="005D7954">
              <w:rPr>
                <w:sz w:val="18"/>
                <w:szCs w:val="18"/>
              </w:rPr>
              <w:t xml:space="preserve">98 </w:t>
            </w:r>
            <w:r w:rsidRPr="005D7954">
              <w:rPr>
                <w:sz w:val="18"/>
                <w:szCs w:val="18"/>
                <w:vertAlign w:val="superscript"/>
              </w:rPr>
              <w:t>c</w:t>
            </w:r>
          </w:p>
        </w:tc>
        <w:tc>
          <w:tcPr>
            <w:tcW w:w="1171" w:type="pct"/>
            <w:vAlign w:val="center"/>
          </w:tcPr>
          <w:p w:rsidR="00115004" w:rsidRPr="005D7954" w:rsidRDefault="00115004" w:rsidP="005D7954">
            <w:pPr>
              <w:pStyle w:val="Default"/>
              <w:snapToGrid w:val="0"/>
              <w:jc w:val="both"/>
              <w:rPr>
                <w:sz w:val="18"/>
                <w:szCs w:val="18"/>
              </w:rPr>
            </w:pPr>
            <w:r w:rsidRPr="005D7954">
              <w:rPr>
                <w:sz w:val="18"/>
                <w:szCs w:val="18"/>
              </w:rPr>
              <w:t xml:space="preserve">14.443± 0.64 </w:t>
            </w:r>
            <w:r w:rsidRPr="005D7954">
              <w:rPr>
                <w:sz w:val="18"/>
                <w:szCs w:val="18"/>
                <w:vertAlign w:val="superscript"/>
              </w:rPr>
              <w:t>b</w:t>
            </w:r>
          </w:p>
        </w:tc>
        <w:tc>
          <w:tcPr>
            <w:tcW w:w="1619" w:type="pct"/>
            <w:vAlign w:val="center"/>
          </w:tcPr>
          <w:p w:rsidR="00115004" w:rsidRPr="005D7954" w:rsidRDefault="00115004" w:rsidP="005D7954">
            <w:pPr>
              <w:bidi w:val="0"/>
              <w:snapToGrid w:val="0"/>
              <w:jc w:val="both"/>
              <w:rPr>
                <w:rFonts w:ascii="Times New Roman" w:hAnsi="Times New Roman" w:cs="Times New Roman"/>
                <w:sz w:val="18"/>
                <w:szCs w:val="18"/>
              </w:rPr>
            </w:pPr>
            <w:r w:rsidRPr="005D7954">
              <w:rPr>
                <w:rFonts w:ascii="Times New Roman" w:hAnsi="Times New Roman" w:cs="Times New Roman"/>
                <w:sz w:val="18"/>
                <w:szCs w:val="18"/>
              </w:rPr>
              <w:t>Group (4) TI</w:t>
            </w:r>
            <w:r w:rsidR="006B7377" w:rsidRPr="005D7954">
              <w:rPr>
                <w:rFonts w:ascii="Times New Roman" w:hAnsi="Times New Roman" w:cs="Times New Roman"/>
                <w:sz w:val="18"/>
                <w:szCs w:val="18"/>
              </w:rPr>
              <w:t xml:space="preserve"> </w:t>
            </w:r>
            <w:r w:rsidRPr="005D7954">
              <w:rPr>
                <w:rFonts w:ascii="Times New Roman" w:hAnsi="Times New Roman" w:cs="Times New Roman"/>
                <w:sz w:val="18"/>
                <w:szCs w:val="18"/>
              </w:rPr>
              <w:t>extract</w:t>
            </w:r>
            <w:r w:rsidR="005D7954" w:rsidRPr="005D7954">
              <w:rPr>
                <w:rFonts w:ascii="Times New Roman" w:hAnsi="Times New Roman" w:cs="Times New Roman"/>
                <w:sz w:val="18"/>
                <w:szCs w:val="18"/>
              </w:rPr>
              <w:t xml:space="preserve"> </w:t>
            </w:r>
            <w:r w:rsidR="006B7377" w:rsidRPr="005D7954">
              <w:rPr>
                <w:rFonts w:ascii="Times New Roman" w:hAnsi="Times New Roman" w:cs="Times New Roman"/>
                <w:sz w:val="18"/>
                <w:szCs w:val="18"/>
              </w:rPr>
              <w:t>(</w:t>
            </w:r>
            <w:r w:rsidRPr="005D7954">
              <w:rPr>
                <w:rFonts w:ascii="Times New Roman" w:hAnsi="Times New Roman" w:cs="Times New Roman"/>
                <w:sz w:val="18"/>
                <w:szCs w:val="18"/>
              </w:rPr>
              <w:t xml:space="preserve">400 mg/kg b.wt) </w:t>
            </w:r>
          </w:p>
        </w:tc>
      </w:tr>
      <w:tr w:rsidR="00115004" w:rsidRPr="005D7954" w:rsidTr="006B7377">
        <w:trPr>
          <w:jc w:val="center"/>
        </w:trPr>
        <w:tc>
          <w:tcPr>
            <w:tcW w:w="1087" w:type="pct"/>
            <w:vAlign w:val="center"/>
          </w:tcPr>
          <w:p w:rsidR="00115004" w:rsidRPr="005D7954" w:rsidRDefault="00115004" w:rsidP="005D7954">
            <w:pPr>
              <w:pStyle w:val="Default"/>
              <w:snapToGrid w:val="0"/>
              <w:jc w:val="both"/>
              <w:rPr>
                <w:sz w:val="18"/>
                <w:szCs w:val="18"/>
              </w:rPr>
            </w:pPr>
            <w:r w:rsidRPr="005D7954">
              <w:rPr>
                <w:sz w:val="18"/>
                <w:szCs w:val="18"/>
              </w:rPr>
              <w:t xml:space="preserve">46.133± 2.34 </w:t>
            </w:r>
            <w:r w:rsidRPr="005D7954">
              <w:rPr>
                <w:sz w:val="18"/>
                <w:szCs w:val="18"/>
                <w:vertAlign w:val="superscript"/>
              </w:rPr>
              <w:t>d</w:t>
            </w:r>
          </w:p>
        </w:tc>
        <w:tc>
          <w:tcPr>
            <w:tcW w:w="1123" w:type="pct"/>
            <w:vAlign w:val="center"/>
          </w:tcPr>
          <w:p w:rsidR="00115004" w:rsidRPr="005D7954" w:rsidRDefault="00115004" w:rsidP="005D7954">
            <w:pPr>
              <w:pStyle w:val="Default"/>
              <w:snapToGrid w:val="0"/>
              <w:jc w:val="both"/>
              <w:rPr>
                <w:sz w:val="18"/>
                <w:szCs w:val="18"/>
              </w:rPr>
            </w:pPr>
            <w:r w:rsidRPr="005D7954">
              <w:rPr>
                <w:sz w:val="18"/>
                <w:szCs w:val="18"/>
              </w:rPr>
              <w:t xml:space="preserve">53.241± 1.67 </w:t>
            </w:r>
            <w:r w:rsidRPr="005D7954">
              <w:rPr>
                <w:sz w:val="18"/>
                <w:szCs w:val="18"/>
                <w:vertAlign w:val="superscript"/>
              </w:rPr>
              <w:t>b</w:t>
            </w:r>
          </w:p>
        </w:tc>
        <w:tc>
          <w:tcPr>
            <w:tcW w:w="1171" w:type="pct"/>
            <w:vAlign w:val="center"/>
          </w:tcPr>
          <w:p w:rsidR="00115004" w:rsidRPr="005D7954" w:rsidRDefault="00115004" w:rsidP="005D7954">
            <w:pPr>
              <w:pStyle w:val="Default"/>
              <w:snapToGrid w:val="0"/>
              <w:jc w:val="both"/>
              <w:rPr>
                <w:sz w:val="18"/>
                <w:szCs w:val="18"/>
              </w:rPr>
            </w:pPr>
            <w:r w:rsidRPr="005D7954">
              <w:rPr>
                <w:sz w:val="18"/>
                <w:szCs w:val="18"/>
              </w:rPr>
              <w:t>18.982± 0.45</w:t>
            </w:r>
            <w:r w:rsidRPr="005D7954">
              <w:rPr>
                <w:sz w:val="18"/>
                <w:szCs w:val="18"/>
                <w:vertAlign w:val="superscript"/>
              </w:rPr>
              <w:t>a</w:t>
            </w:r>
          </w:p>
        </w:tc>
        <w:tc>
          <w:tcPr>
            <w:tcW w:w="1619" w:type="pct"/>
            <w:vAlign w:val="center"/>
          </w:tcPr>
          <w:p w:rsidR="00115004" w:rsidRPr="005D7954" w:rsidRDefault="00115004" w:rsidP="005D7954">
            <w:pPr>
              <w:bidi w:val="0"/>
              <w:snapToGrid w:val="0"/>
              <w:jc w:val="both"/>
              <w:rPr>
                <w:rFonts w:ascii="Times New Roman" w:hAnsi="Times New Roman" w:cs="Times New Roman"/>
                <w:sz w:val="18"/>
                <w:szCs w:val="18"/>
              </w:rPr>
            </w:pPr>
            <w:r w:rsidRPr="005D7954">
              <w:rPr>
                <w:rFonts w:ascii="Times New Roman" w:hAnsi="Times New Roman" w:cs="Times New Roman"/>
                <w:sz w:val="18"/>
                <w:szCs w:val="18"/>
              </w:rPr>
              <w:t>Grou</w:t>
            </w:r>
            <w:r w:rsidR="006B7377" w:rsidRPr="005D7954">
              <w:rPr>
                <w:rFonts w:ascii="Times New Roman" w:hAnsi="Times New Roman" w:cs="Times New Roman"/>
                <w:sz w:val="18"/>
                <w:szCs w:val="18"/>
              </w:rPr>
              <w:t>p (</w:t>
            </w:r>
            <w:r w:rsidRPr="005D7954">
              <w:rPr>
                <w:rFonts w:ascii="Times New Roman" w:hAnsi="Times New Roman" w:cs="Times New Roman"/>
                <w:sz w:val="18"/>
                <w:szCs w:val="18"/>
              </w:rPr>
              <w:t xml:space="preserve"> 5) GB</w:t>
            </w:r>
            <w:r w:rsidR="006B7377" w:rsidRPr="005D7954">
              <w:rPr>
                <w:rFonts w:ascii="Times New Roman" w:hAnsi="Times New Roman" w:cs="Times New Roman"/>
                <w:sz w:val="18"/>
                <w:szCs w:val="18"/>
              </w:rPr>
              <w:t xml:space="preserve"> </w:t>
            </w:r>
            <w:r w:rsidRPr="005D7954">
              <w:rPr>
                <w:rFonts w:ascii="Times New Roman" w:hAnsi="Times New Roman" w:cs="Times New Roman"/>
                <w:sz w:val="18"/>
                <w:szCs w:val="18"/>
              </w:rPr>
              <w:t xml:space="preserve">extract </w:t>
            </w:r>
            <w:r w:rsidR="005D7954" w:rsidRPr="005D7954">
              <w:rPr>
                <w:rFonts w:ascii="Times New Roman" w:hAnsi="Times New Roman" w:cs="Times New Roman"/>
                <w:sz w:val="18"/>
                <w:szCs w:val="18"/>
              </w:rPr>
              <w:t xml:space="preserve"> </w:t>
            </w:r>
            <w:r w:rsidRPr="005D7954">
              <w:rPr>
                <w:rFonts w:ascii="Times New Roman" w:hAnsi="Times New Roman" w:cs="Times New Roman"/>
                <w:sz w:val="18"/>
                <w:szCs w:val="18"/>
              </w:rPr>
              <w:t>(200 mg/kg b.wt)</w:t>
            </w:r>
            <w:r w:rsidR="006B7377" w:rsidRPr="005D7954">
              <w:rPr>
                <w:rFonts w:ascii="Times New Roman" w:hAnsi="Times New Roman" w:cs="Times New Roman"/>
                <w:sz w:val="18"/>
                <w:szCs w:val="18"/>
              </w:rPr>
              <w:t xml:space="preserve"> </w:t>
            </w:r>
          </w:p>
        </w:tc>
      </w:tr>
      <w:tr w:rsidR="00115004" w:rsidRPr="005D7954" w:rsidTr="006B7377">
        <w:trPr>
          <w:jc w:val="center"/>
        </w:trPr>
        <w:tc>
          <w:tcPr>
            <w:tcW w:w="1087" w:type="pct"/>
            <w:vAlign w:val="center"/>
          </w:tcPr>
          <w:p w:rsidR="00115004" w:rsidRPr="005D7954" w:rsidRDefault="00115004" w:rsidP="005D7954">
            <w:pPr>
              <w:pStyle w:val="Default"/>
              <w:snapToGrid w:val="0"/>
              <w:jc w:val="both"/>
              <w:rPr>
                <w:sz w:val="18"/>
                <w:szCs w:val="18"/>
              </w:rPr>
            </w:pPr>
            <w:r w:rsidRPr="005D7954">
              <w:rPr>
                <w:sz w:val="18"/>
                <w:szCs w:val="18"/>
              </w:rPr>
              <w:t xml:space="preserve">5 4.492±1.26 </w:t>
            </w:r>
            <w:r w:rsidRPr="005D7954">
              <w:rPr>
                <w:sz w:val="18"/>
                <w:szCs w:val="18"/>
                <w:vertAlign w:val="superscript"/>
              </w:rPr>
              <w:t>c</w:t>
            </w:r>
          </w:p>
        </w:tc>
        <w:tc>
          <w:tcPr>
            <w:tcW w:w="1123" w:type="pct"/>
            <w:vAlign w:val="center"/>
          </w:tcPr>
          <w:p w:rsidR="00115004" w:rsidRPr="005D7954" w:rsidRDefault="00115004" w:rsidP="005D7954">
            <w:pPr>
              <w:pStyle w:val="Default"/>
              <w:snapToGrid w:val="0"/>
              <w:jc w:val="both"/>
              <w:rPr>
                <w:sz w:val="18"/>
                <w:szCs w:val="18"/>
              </w:rPr>
            </w:pPr>
            <w:r w:rsidRPr="005D7954">
              <w:rPr>
                <w:sz w:val="18"/>
                <w:szCs w:val="18"/>
              </w:rPr>
              <w:t xml:space="preserve">31.542± 1.12 </w:t>
            </w:r>
            <w:r w:rsidRPr="005D7954">
              <w:rPr>
                <w:sz w:val="18"/>
                <w:szCs w:val="18"/>
                <w:vertAlign w:val="superscript"/>
              </w:rPr>
              <w:t>c</w:t>
            </w:r>
          </w:p>
        </w:tc>
        <w:tc>
          <w:tcPr>
            <w:tcW w:w="1171" w:type="pct"/>
            <w:vAlign w:val="center"/>
          </w:tcPr>
          <w:p w:rsidR="00115004" w:rsidRPr="005D7954" w:rsidRDefault="00115004" w:rsidP="005D7954">
            <w:pPr>
              <w:pStyle w:val="Default"/>
              <w:snapToGrid w:val="0"/>
              <w:jc w:val="both"/>
              <w:rPr>
                <w:sz w:val="18"/>
                <w:szCs w:val="18"/>
              </w:rPr>
            </w:pPr>
            <w:r w:rsidRPr="005D7954">
              <w:rPr>
                <w:sz w:val="18"/>
                <w:szCs w:val="18"/>
              </w:rPr>
              <w:t xml:space="preserve">14.764± 0.536 </w:t>
            </w:r>
            <w:r w:rsidRPr="005D7954">
              <w:rPr>
                <w:sz w:val="18"/>
                <w:szCs w:val="18"/>
                <w:vertAlign w:val="superscript"/>
              </w:rPr>
              <w:t>b</w:t>
            </w:r>
          </w:p>
        </w:tc>
        <w:tc>
          <w:tcPr>
            <w:tcW w:w="1619" w:type="pct"/>
            <w:vAlign w:val="center"/>
          </w:tcPr>
          <w:p w:rsidR="00115004" w:rsidRPr="005D7954" w:rsidRDefault="00115004" w:rsidP="005D7954">
            <w:pPr>
              <w:bidi w:val="0"/>
              <w:snapToGrid w:val="0"/>
              <w:jc w:val="both"/>
              <w:rPr>
                <w:rFonts w:ascii="Times New Roman" w:hAnsi="Times New Roman" w:cs="Times New Roman"/>
                <w:sz w:val="18"/>
                <w:szCs w:val="18"/>
              </w:rPr>
            </w:pPr>
            <w:r w:rsidRPr="005D7954">
              <w:rPr>
                <w:rFonts w:ascii="Times New Roman" w:hAnsi="Times New Roman" w:cs="Times New Roman"/>
                <w:sz w:val="18"/>
                <w:szCs w:val="18"/>
              </w:rPr>
              <w:t xml:space="preserve">Group (6) GB extract </w:t>
            </w:r>
            <w:r w:rsidR="005D7954" w:rsidRPr="005D7954">
              <w:rPr>
                <w:rFonts w:ascii="Times New Roman" w:hAnsi="Times New Roman" w:cs="Times New Roman"/>
                <w:sz w:val="18"/>
                <w:szCs w:val="18"/>
              </w:rPr>
              <w:t xml:space="preserve"> </w:t>
            </w:r>
            <w:r w:rsidR="006B7377" w:rsidRPr="005D7954">
              <w:rPr>
                <w:rFonts w:ascii="Times New Roman" w:hAnsi="Times New Roman" w:cs="Times New Roman"/>
                <w:sz w:val="18"/>
                <w:szCs w:val="18"/>
              </w:rPr>
              <w:t>(</w:t>
            </w:r>
            <w:r w:rsidRPr="005D7954">
              <w:rPr>
                <w:rFonts w:ascii="Times New Roman" w:hAnsi="Times New Roman" w:cs="Times New Roman"/>
                <w:sz w:val="18"/>
                <w:szCs w:val="18"/>
              </w:rPr>
              <w:t>400 mg/kg b.wt)</w:t>
            </w:r>
          </w:p>
        </w:tc>
      </w:tr>
      <w:tr w:rsidR="00115004" w:rsidRPr="005D7954" w:rsidTr="006B7377">
        <w:trPr>
          <w:jc w:val="center"/>
        </w:trPr>
        <w:tc>
          <w:tcPr>
            <w:tcW w:w="1087" w:type="pct"/>
            <w:vAlign w:val="center"/>
          </w:tcPr>
          <w:p w:rsidR="00115004" w:rsidRPr="005D7954" w:rsidRDefault="00115004" w:rsidP="005D7954">
            <w:pPr>
              <w:pStyle w:val="Default"/>
              <w:snapToGrid w:val="0"/>
              <w:jc w:val="both"/>
              <w:rPr>
                <w:sz w:val="18"/>
                <w:szCs w:val="18"/>
              </w:rPr>
            </w:pPr>
            <w:r w:rsidRPr="005D7954">
              <w:rPr>
                <w:sz w:val="18"/>
                <w:szCs w:val="18"/>
              </w:rPr>
              <w:t xml:space="preserve">53.762± 1.99 </w:t>
            </w:r>
            <w:r w:rsidRPr="005D7954">
              <w:rPr>
                <w:sz w:val="18"/>
                <w:szCs w:val="18"/>
                <w:vertAlign w:val="superscript"/>
              </w:rPr>
              <w:t>c</w:t>
            </w:r>
          </w:p>
        </w:tc>
        <w:tc>
          <w:tcPr>
            <w:tcW w:w="1123" w:type="pct"/>
            <w:vAlign w:val="center"/>
          </w:tcPr>
          <w:p w:rsidR="00115004" w:rsidRPr="005D7954" w:rsidRDefault="00115004" w:rsidP="005D7954">
            <w:pPr>
              <w:pStyle w:val="Default"/>
              <w:snapToGrid w:val="0"/>
              <w:jc w:val="both"/>
              <w:rPr>
                <w:sz w:val="18"/>
                <w:szCs w:val="18"/>
              </w:rPr>
            </w:pPr>
            <w:r w:rsidRPr="005D7954">
              <w:rPr>
                <w:sz w:val="18"/>
                <w:szCs w:val="18"/>
              </w:rPr>
              <w:t xml:space="preserve">39.655± 1.97 </w:t>
            </w:r>
            <w:r w:rsidRPr="005D7954">
              <w:rPr>
                <w:sz w:val="18"/>
                <w:szCs w:val="18"/>
                <w:vertAlign w:val="superscript"/>
              </w:rPr>
              <w:t>c</w:t>
            </w:r>
          </w:p>
        </w:tc>
        <w:tc>
          <w:tcPr>
            <w:tcW w:w="1171" w:type="pct"/>
            <w:vAlign w:val="center"/>
          </w:tcPr>
          <w:p w:rsidR="00115004" w:rsidRPr="005D7954" w:rsidRDefault="00115004" w:rsidP="005D7954">
            <w:pPr>
              <w:pStyle w:val="Default"/>
              <w:snapToGrid w:val="0"/>
              <w:jc w:val="both"/>
              <w:rPr>
                <w:sz w:val="18"/>
                <w:szCs w:val="18"/>
              </w:rPr>
            </w:pPr>
            <w:r w:rsidRPr="005D7954">
              <w:rPr>
                <w:sz w:val="18"/>
                <w:szCs w:val="18"/>
              </w:rPr>
              <w:t xml:space="preserve">15.621± 0.25 </w:t>
            </w:r>
            <w:r w:rsidRPr="005D7954">
              <w:rPr>
                <w:sz w:val="18"/>
                <w:szCs w:val="18"/>
                <w:vertAlign w:val="superscript"/>
              </w:rPr>
              <w:t>b</w:t>
            </w:r>
          </w:p>
        </w:tc>
        <w:tc>
          <w:tcPr>
            <w:tcW w:w="1619" w:type="pct"/>
            <w:vAlign w:val="center"/>
          </w:tcPr>
          <w:p w:rsidR="00115004" w:rsidRPr="005D7954" w:rsidRDefault="00115004" w:rsidP="005D7954">
            <w:pPr>
              <w:bidi w:val="0"/>
              <w:snapToGrid w:val="0"/>
              <w:jc w:val="both"/>
              <w:rPr>
                <w:rFonts w:ascii="Times New Roman" w:hAnsi="Times New Roman" w:cs="Times New Roman"/>
                <w:sz w:val="18"/>
                <w:szCs w:val="18"/>
              </w:rPr>
            </w:pPr>
            <w:r w:rsidRPr="005D7954">
              <w:rPr>
                <w:rFonts w:ascii="Times New Roman" w:hAnsi="Times New Roman" w:cs="Times New Roman"/>
                <w:sz w:val="18"/>
                <w:szCs w:val="18"/>
              </w:rPr>
              <w:t xml:space="preserve">Group (7) Mixture </w:t>
            </w:r>
            <w:r w:rsidR="005D7954" w:rsidRPr="005D7954">
              <w:rPr>
                <w:rFonts w:ascii="Times New Roman" w:hAnsi="Times New Roman" w:cs="Times New Roman"/>
                <w:sz w:val="18"/>
                <w:szCs w:val="18"/>
              </w:rPr>
              <w:t xml:space="preserve"> </w:t>
            </w:r>
            <w:r w:rsidRPr="005D7954">
              <w:rPr>
                <w:rFonts w:ascii="Times New Roman" w:hAnsi="Times New Roman" w:cs="Times New Roman"/>
                <w:sz w:val="18"/>
                <w:szCs w:val="18"/>
              </w:rPr>
              <w:t>(200 mg/kg b.wt)</w:t>
            </w:r>
          </w:p>
        </w:tc>
      </w:tr>
      <w:tr w:rsidR="00115004" w:rsidRPr="005D7954" w:rsidTr="006B7377">
        <w:trPr>
          <w:jc w:val="center"/>
        </w:trPr>
        <w:tc>
          <w:tcPr>
            <w:tcW w:w="1087" w:type="pct"/>
            <w:vAlign w:val="center"/>
          </w:tcPr>
          <w:p w:rsidR="00115004" w:rsidRPr="005D7954" w:rsidRDefault="00115004" w:rsidP="005D7954">
            <w:pPr>
              <w:pStyle w:val="Default"/>
              <w:snapToGrid w:val="0"/>
              <w:jc w:val="both"/>
              <w:rPr>
                <w:sz w:val="18"/>
                <w:szCs w:val="18"/>
              </w:rPr>
            </w:pPr>
            <w:r w:rsidRPr="005D7954">
              <w:rPr>
                <w:sz w:val="18"/>
                <w:szCs w:val="18"/>
              </w:rPr>
              <w:t xml:space="preserve">63.634± 1.37 </w:t>
            </w:r>
            <w:r w:rsidRPr="005D7954">
              <w:rPr>
                <w:sz w:val="18"/>
                <w:szCs w:val="18"/>
                <w:vertAlign w:val="superscript"/>
              </w:rPr>
              <w:t>a</w:t>
            </w:r>
          </w:p>
        </w:tc>
        <w:tc>
          <w:tcPr>
            <w:tcW w:w="1123" w:type="pct"/>
            <w:vAlign w:val="center"/>
          </w:tcPr>
          <w:p w:rsidR="00115004" w:rsidRPr="005D7954" w:rsidRDefault="00115004" w:rsidP="005D7954">
            <w:pPr>
              <w:pStyle w:val="Default"/>
              <w:snapToGrid w:val="0"/>
              <w:jc w:val="both"/>
              <w:rPr>
                <w:sz w:val="18"/>
                <w:szCs w:val="18"/>
              </w:rPr>
            </w:pPr>
            <w:r w:rsidRPr="005D7954">
              <w:rPr>
                <w:sz w:val="18"/>
                <w:szCs w:val="18"/>
              </w:rPr>
              <w:t>22.26 ± 1</w:t>
            </w:r>
            <w:r w:rsidR="006B7377" w:rsidRPr="005D7954">
              <w:rPr>
                <w:sz w:val="18"/>
                <w:szCs w:val="18"/>
              </w:rPr>
              <w:t>.</w:t>
            </w:r>
            <w:r w:rsidRPr="005D7954">
              <w:rPr>
                <w:sz w:val="18"/>
                <w:szCs w:val="18"/>
              </w:rPr>
              <w:t xml:space="preserve">87 </w:t>
            </w:r>
            <w:r w:rsidRPr="005D7954">
              <w:rPr>
                <w:sz w:val="18"/>
                <w:szCs w:val="18"/>
                <w:vertAlign w:val="superscript"/>
              </w:rPr>
              <w:t>cd</w:t>
            </w:r>
          </w:p>
        </w:tc>
        <w:tc>
          <w:tcPr>
            <w:tcW w:w="1171" w:type="pct"/>
            <w:vAlign w:val="center"/>
          </w:tcPr>
          <w:p w:rsidR="00115004" w:rsidRPr="005D7954" w:rsidRDefault="00115004" w:rsidP="005D7954">
            <w:pPr>
              <w:pStyle w:val="Default"/>
              <w:snapToGrid w:val="0"/>
              <w:jc w:val="both"/>
              <w:rPr>
                <w:sz w:val="18"/>
                <w:szCs w:val="18"/>
              </w:rPr>
            </w:pPr>
            <w:r w:rsidRPr="005D7954">
              <w:rPr>
                <w:sz w:val="18"/>
                <w:szCs w:val="18"/>
              </w:rPr>
              <w:t xml:space="preserve">12.365± 0.23 </w:t>
            </w:r>
            <w:r w:rsidRPr="005D7954">
              <w:rPr>
                <w:sz w:val="18"/>
                <w:szCs w:val="18"/>
                <w:vertAlign w:val="superscript"/>
              </w:rPr>
              <w:t>c</w:t>
            </w:r>
          </w:p>
        </w:tc>
        <w:tc>
          <w:tcPr>
            <w:tcW w:w="1619" w:type="pct"/>
            <w:vAlign w:val="center"/>
          </w:tcPr>
          <w:p w:rsidR="00115004" w:rsidRPr="005D7954" w:rsidRDefault="00115004" w:rsidP="005D7954">
            <w:pPr>
              <w:bidi w:val="0"/>
              <w:snapToGrid w:val="0"/>
              <w:jc w:val="both"/>
              <w:rPr>
                <w:rFonts w:ascii="Times New Roman" w:hAnsi="Times New Roman" w:cs="Times New Roman"/>
                <w:sz w:val="18"/>
                <w:szCs w:val="18"/>
              </w:rPr>
            </w:pPr>
            <w:r w:rsidRPr="005D7954">
              <w:rPr>
                <w:rFonts w:ascii="Times New Roman" w:hAnsi="Times New Roman" w:cs="Times New Roman"/>
                <w:sz w:val="18"/>
                <w:szCs w:val="18"/>
              </w:rPr>
              <w:t xml:space="preserve">Group (8) Mixture </w:t>
            </w:r>
            <w:r w:rsidR="005D7954" w:rsidRPr="005D7954">
              <w:rPr>
                <w:rFonts w:ascii="Times New Roman" w:hAnsi="Times New Roman" w:cs="Times New Roman"/>
                <w:sz w:val="18"/>
                <w:szCs w:val="18"/>
              </w:rPr>
              <w:t xml:space="preserve"> </w:t>
            </w:r>
            <w:r w:rsidRPr="005D7954">
              <w:rPr>
                <w:rFonts w:ascii="Times New Roman" w:hAnsi="Times New Roman" w:cs="Times New Roman"/>
                <w:sz w:val="18"/>
                <w:szCs w:val="18"/>
              </w:rPr>
              <w:t>(400 mg/kg b.wt)</w:t>
            </w:r>
          </w:p>
        </w:tc>
      </w:tr>
    </w:tbl>
    <w:p w:rsidR="007C2209" w:rsidRPr="006B7377" w:rsidRDefault="007C2209" w:rsidP="005D7954">
      <w:pPr>
        <w:bidi w:val="0"/>
        <w:snapToGrid w:val="0"/>
        <w:spacing w:after="0" w:line="240" w:lineRule="auto"/>
        <w:jc w:val="both"/>
        <w:rPr>
          <w:rFonts w:ascii="Times New Roman" w:hAnsi="Times New Roman" w:cs="Times New Roman"/>
          <w:sz w:val="20"/>
          <w:szCs w:val="18"/>
        </w:rPr>
      </w:pPr>
      <w:r w:rsidRPr="006B7377">
        <w:rPr>
          <w:rFonts w:ascii="Times New Roman" w:hAnsi="Times New Roman" w:cs="Times New Roman"/>
          <w:sz w:val="20"/>
          <w:szCs w:val="18"/>
        </w:rPr>
        <w:t>Means (n=10 rat) with different letters in the same column considered significant (P &lt; 0.05)</w:t>
      </w:r>
    </w:p>
    <w:p w:rsidR="006B7377" w:rsidRPr="006B7377" w:rsidRDefault="006B7377" w:rsidP="005D7954">
      <w:pPr>
        <w:shd w:val="clear" w:color="auto" w:fill="FFFFFF"/>
        <w:bidi w:val="0"/>
        <w:snapToGrid w:val="0"/>
        <w:spacing w:after="0" w:line="240" w:lineRule="auto"/>
        <w:ind w:firstLine="425"/>
        <w:jc w:val="both"/>
        <w:rPr>
          <w:rFonts w:ascii="Times New Roman" w:eastAsia="Arial Unicode MS" w:hAnsi="Times New Roman" w:cs="Times New Roman"/>
          <w:sz w:val="20"/>
          <w:szCs w:val="20"/>
        </w:rPr>
      </w:pPr>
    </w:p>
    <w:p w:rsidR="006B7377" w:rsidRDefault="006B7377" w:rsidP="005D7954">
      <w:pPr>
        <w:shd w:val="clear" w:color="auto" w:fill="FFFFFF"/>
        <w:bidi w:val="0"/>
        <w:snapToGrid w:val="0"/>
        <w:spacing w:after="0" w:line="240" w:lineRule="auto"/>
        <w:ind w:firstLine="425"/>
        <w:jc w:val="both"/>
        <w:rPr>
          <w:rFonts w:ascii="Times New Roman" w:eastAsia="Arial Unicode MS" w:hAnsi="Times New Roman" w:cs="Times New Roman"/>
          <w:sz w:val="20"/>
          <w:szCs w:val="20"/>
        </w:rPr>
        <w:sectPr w:rsidR="006B7377" w:rsidSect="006B7377">
          <w:type w:val="continuous"/>
          <w:pgSz w:w="12240" w:h="15840"/>
          <w:pgMar w:top="1440" w:right="1440" w:bottom="1440" w:left="1440" w:header="720" w:footer="720" w:gutter="0"/>
          <w:cols w:space="708"/>
          <w:docGrid w:linePitch="360"/>
        </w:sectPr>
      </w:pPr>
    </w:p>
    <w:p w:rsidR="00BE2C4E" w:rsidRPr="006B7377" w:rsidRDefault="00115004" w:rsidP="005D7954">
      <w:pPr>
        <w:shd w:val="clear" w:color="auto" w:fill="FFFFFF"/>
        <w:bidi w:val="0"/>
        <w:snapToGrid w:val="0"/>
        <w:spacing w:after="0" w:line="240" w:lineRule="auto"/>
        <w:ind w:firstLine="425"/>
        <w:jc w:val="both"/>
        <w:rPr>
          <w:rFonts w:ascii="Times New Roman" w:hAnsi="Times New Roman" w:cs="Times New Roman"/>
          <w:sz w:val="20"/>
          <w:szCs w:val="20"/>
        </w:rPr>
      </w:pPr>
      <w:r w:rsidRPr="006B7377">
        <w:rPr>
          <w:rFonts w:ascii="Times New Roman" w:eastAsia="Arial Unicode MS" w:hAnsi="Times New Roman" w:cs="Times New Roman"/>
          <w:sz w:val="20"/>
          <w:szCs w:val="20"/>
        </w:rPr>
        <w:lastRenderedPageBreak/>
        <w:t xml:space="preserve">Table (5) showed the kidney functions in treated hepatotoxic rats. </w:t>
      </w:r>
      <w:r w:rsidRPr="006B7377">
        <w:rPr>
          <w:rFonts w:ascii="Times New Roman" w:hAnsi="Times New Roman" w:cs="Times New Roman"/>
          <w:sz w:val="20"/>
          <w:szCs w:val="20"/>
        </w:rPr>
        <w:t>There was significant increase in urea, uric acid and creatinine levels in Cont+ve group compared with Cont-ve group. Oral administration of TI and GB at low and high doses induced significant improved in kidney functions compared with Cont</w:t>
      </w:r>
      <w:r w:rsidR="00562838" w:rsidRPr="006B7377">
        <w:rPr>
          <w:rFonts w:ascii="Times New Roman" w:hAnsi="Times New Roman" w:cs="Times New Roman"/>
          <w:sz w:val="20"/>
          <w:szCs w:val="20"/>
        </w:rPr>
        <w:t>+</w:t>
      </w:r>
      <w:r w:rsidRPr="006B7377">
        <w:rPr>
          <w:rFonts w:ascii="Times New Roman" w:hAnsi="Times New Roman" w:cs="Times New Roman"/>
          <w:sz w:val="20"/>
          <w:szCs w:val="20"/>
        </w:rPr>
        <w:t xml:space="preserve">ve rats. </w:t>
      </w:r>
      <w:r w:rsidR="00A94796" w:rsidRPr="006B7377">
        <w:rPr>
          <w:rFonts w:ascii="Times New Roman" w:hAnsi="Times New Roman" w:cs="Times New Roman"/>
          <w:sz w:val="20"/>
          <w:szCs w:val="20"/>
        </w:rPr>
        <w:t>Treatment with mixture</w:t>
      </w:r>
      <w:r w:rsidRPr="006B7377">
        <w:rPr>
          <w:rFonts w:ascii="Times New Roman" w:hAnsi="Times New Roman" w:cs="Times New Roman"/>
          <w:sz w:val="20"/>
          <w:szCs w:val="20"/>
        </w:rPr>
        <w:t xml:space="preserve"> of TI and GB to </w:t>
      </w:r>
      <w:r w:rsidRPr="006B7377">
        <w:rPr>
          <w:rFonts w:ascii="Times New Roman" w:eastAsia="Arial Unicode MS" w:hAnsi="Times New Roman" w:cs="Times New Roman"/>
          <w:sz w:val="20"/>
          <w:szCs w:val="20"/>
        </w:rPr>
        <w:lastRenderedPageBreak/>
        <w:t>hepatotoxic rats</w:t>
      </w:r>
      <w:r w:rsidRPr="006B7377">
        <w:rPr>
          <w:rFonts w:ascii="Times New Roman" w:hAnsi="Times New Roman" w:cs="Times New Roman"/>
          <w:sz w:val="20"/>
          <w:szCs w:val="20"/>
        </w:rPr>
        <w:t>ameliorated urea, uric acid and creatinine levels, their values was nearly with the normal level, there was non-significant difference as compared with Cont-ve group. At the same time, their values were significant difference as compared with Cont+ve group.</w:t>
      </w:r>
    </w:p>
    <w:p w:rsidR="006B7377" w:rsidRDefault="006B7377" w:rsidP="005D7954">
      <w:pPr>
        <w:bidi w:val="0"/>
        <w:snapToGrid w:val="0"/>
        <w:spacing w:after="0" w:line="240" w:lineRule="auto"/>
        <w:jc w:val="center"/>
        <w:rPr>
          <w:rFonts w:ascii="Times New Roman" w:hAnsi="Times New Roman" w:cs="Times New Roman"/>
          <w:sz w:val="20"/>
          <w:szCs w:val="20"/>
        </w:rPr>
        <w:sectPr w:rsidR="006B7377" w:rsidSect="005D7954">
          <w:type w:val="continuous"/>
          <w:pgSz w:w="12240" w:h="15840"/>
          <w:pgMar w:top="1440" w:right="1440" w:bottom="1440" w:left="1440" w:header="720" w:footer="720" w:gutter="0"/>
          <w:cols w:num="2" w:space="550"/>
          <w:docGrid w:linePitch="360"/>
        </w:sectPr>
      </w:pPr>
    </w:p>
    <w:p w:rsidR="007D00E1" w:rsidRPr="006B7377" w:rsidRDefault="00115004" w:rsidP="005D7954">
      <w:pPr>
        <w:bidi w:val="0"/>
        <w:snapToGrid w:val="0"/>
        <w:spacing w:after="0" w:line="240" w:lineRule="auto"/>
        <w:jc w:val="both"/>
        <w:rPr>
          <w:rFonts w:ascii="Times New Roman" w:hAnsi="Times New Roman" w:cs="Times New Roman"/>
          <w:b/>
          <w:bCs/>
          <w:sz w:val="20"/>
          <w:szCs w:val="4"/>
          <w:lang w:bidi="ar-EG"/>
        </w:rPr>
      </w:pPr>
      <w:r w:rsidRPr="006B7377">
        <w:rPr>
          <w:rFonts w:ascii="Times New Roman" w:hAnsi="Times New Roman" w:cs="Times New Roman"/>
          <w:b/>
          <w:bCs/>
          <w:sz w:val="20"/>
          <w:szCs w:val="20"/>
        </w:rPr>
        <w:lastRenderedPageBreak/>
        <w:t xml:space="preserve">Table (5): </w:t>
      </w:r>
      <w:r w:rsidRPr="006B7377">
        <w:rPr>
          <w:rFonts w:ascii="Times New Roman" w:eastAsia="Arial Unicode MS" w:hAnsi="Times New Roman" w:cs="Times New Roman"/>
          <w:b/>
          <w:bCs/>
          <w:color w:val="000000" w:themeColor="text1"/>
          <w:sz w:val="20"/>
          <w:szCs w:val="20"/>
        </w:rPr>
        <w:t xml:space="preserve">Effect of </w:t>
      </w:r>
      <w:r w:rsidRPr="006B7377">
        <w:rPr>
          <w:rFonts w:ascii="Times New Roman" w:eastAsia="Arial Unicode MS" w:hAnsi="Times New Roman" w:cs="Times New Roman"/>
          <w:b/>
          <w:bCs/>
          <w:i/>
          <w:iCs/>
          <w:color w:val="000000" w:themeColor="text1"/>
          <w:sz w:val="20"/>
          <w:szCs w:val="20"/>
        </w:rPr>
        <w:t>Tamarindus</w:t>
      </w:r>
      <w:r w:rsidR="002214B8" w:rsidRPr="006B7377">
        <w:rPr>
          <w:rFonts w:ascii="Times New Roman" w:eastAsia="Arial Unicode MS" w:hAnsi="Times New Roman" w:cs="Times New Roman"/>
          <w:b/>
          <w:bCs/>
          <w:i/>
          <w:iCs/>
          <w:color w:val="000000" w:themeColor="text1"/>
          <w:sz w:val="20"/>
          <w:szCs w:val="20"/>
        </w:rPr>
        <w:t xml:space="preserve"> </w:t>
      </w:r>
      <w:r w:rsidR="00A94796" w:rsidRPr="006B7377">
        <w:rPr>
          <w:rFonts w:ascii="Times New Roman" w:eastAsia="Arial Unicode MS" w:hAnsi="Times New Roman" w:cs="Times New Roman"/>
          <w:b/>
          <w:bCs/>
          <w:i/>
          <w:iCs/>
          <w:color w:val="000000" w:themeColor="text1"/>
          <w:sz w:val="20"/>
          <w:szCs w:val="20"/>
        </w:rPr>
        <w:t>indica</w:t>
      </w:r>
      <w:r w:rsidR="00A94796" w:rsidRPr="006B7377">
        <w:rPr>
          <w:rFonts w:ascii="Times New Roman" w:eastAsia="Arial Unicode MS" w:hAnsi="Times New Roman" w:cs="Times New Roman"/>
          <w:b/>
          <w:bCs/>
          <w:color w:val="000000" w:themeColor="text1"/>
          <w:sz w:val="20"/>
          <w:szCs w:val="20"/>
        </w:rPr>
        <w:t xml:space="preserve"> and</w:t>
      </w:r>
      <w:r w:rsidR="002214B8" w:rsidRPr="006B7377">
        <w:rPr>
          <w:rFonts w:ascii="Times New Roman" w:eastAsia="Arial Unicode MS" w:hAnsi="Times New Roman" w:cs="Times New Roman"/>
          <w:b/>
          <w:bCs/>
          <w:i/>
          <w:iCs/>
          <w:color w:val="000000" w:themeColor="text1"/>
          <w:sz w:val="20"/>
          <w:szCs w:val="20"/>
        </w:rPr>
        <w:t xml:space="preserve"> </w:t>
      </w:r>
      <w:r w:rsidRPr="006B7377">
        <w:rPr>
          <w:rFonts w:ascii="Times New Roman" w:eastAsia="Arial Unicode MS" w:hAnsi="Times New Roman" w:cs="Times New Roman"/>
          <w:b/>
          <w:bCs/>
          <w:i/>
          <w:iCs/>
          <w:color w:val="000000" w:themeColor="text1"/>
          <w:sz w:val="20"/>
          <w:szCs w:val="20"/>
        </w:rPr>
        <w:t>Ginkgo biloba</w:t>
      </w:r>
      <w:r w:rsidR="002214B8" w:rsidRPr="006B7377">
        <w:rPr>
          <w:rFonts w:ascii="Times New Roman" w:eastAsia="Arial Unicode MS" w:hAnsi="Times New Roman" w:cs="Times New Roman"/>
          <w:b/>
          <w:bCs/>
          <w:color w:val="000000" w:themeColor="text1"/>
          <w:sz w:val="20"/>
          <w:szCs w:val="20"/>
        </w:rPr>
        <w:t xml:space="preserve"> </w:t>
      </w:r>
      <w:r w:rsidRPr="006B7377">
        <w:rPr>
          <w:rFonts w:ascii="Times New Roman" w:eastAsia="Arial Unicode MS" w:hAnsi="Times New Roman" w:cs="Times New Roman"/>
          <w:b/>
          <w:bCs/>
          <w:color w:val="000000" w:themeColor="text1"/>
          <w:sz w:val="20"/>
          <w:szCs w:val="20"/>
        </w:rPr>
        <w:t xml:space="preserve">leaves extract and their mixture on </w:t>
      </w:r>
      <w:r w:rsidR="00DF0F6A" w:rsidRPr="006B7377">
        <w:rPr>
          <w:rFonts w:ascii="Times New Roman" w:hAnsi="Times New Roman" w:cs="Times New Roman"/>
          <w:b/>
          <w:bCs/>
          <w:sz w:val="20"/>
          <w:szCs w:val="20"/>
        </w:rPr>
        <w:t xml:space="preserve">kidney </w:t>
      </w:r>
      <w:r w:rsidR="002214B8" w:rsidRPr="006B7377">
        <w:rPr>
          <w:rFonts w:ascii="Times New Roman" w:hAnsi="Times New Roman" w:cs="Times New Roman"/>
          <w:b/>
          <w:bCs/>
          <w:sz w:val="20"/>
          <w:szCs w:val="20"/>
        </w:rPr>
        <w:t xml:space="preserve">functions </w:t>
      </w:r>
      <w:r w:rsidR="002214B8" w:rsidRPr="006B7377">
        <w:rPr>
          <w:rFonts w:ascii="Times New Roman" w:eastAsia="Arial Unicode MS" w:hAnsi="Times New Roman" w:cs="Times New Roman"/>
          <w:b/>
          <w:bCs/>
          <w:color w:val="000000" w:themeColor="text1"/>
          <w:sz w:val="20"/>
          <w:szCs w:val="20"/>
        </w:rPr>
        <w:t>in hepatotoxic</w:t>
      </w:r>
      <w:r w:rsidRPr="006B7377">
        <w:rPr>
          <w:rFonts w:ascii="Times New Roman" w:eastAsia="Arial Unicode MS" w:hAnsi="Times New Roman" w:cs="Times New Roman"/>
          <w:b/>
          <w:bCs/>
          <w:color w:val="000000" w:themeColor="text1"/>
          <w:sz w:val="20"/>
          <w:szCs w:val="20"/>
        </w:rPr>
        <w:t xml:space="preserve"> rats </w:t>
      </w:r>
    </w:p>
    <w:tbl>
      <w:tblPr>
        <w:tblStyle w:val="TableGrid1"/>
        <w:bidiVisual/>
        <w:tblW w:w="5000" w:type="pct"/>
        <w:jc w:val="center"/>
        <w:tblBorders>
          <w:left w:val="none" w:sz="0" w:space="0" w:color="auto"/>
          <w:right w:val="none" w:sz="0" w:space="0" w:color="auto"/>
          <w:insideV w:val="none" w:sz="0" w:space="0" w:color="auto"/>
        </w:tblBorders>
        <w:tblCellMar>
          <w:left w:w="57" w:type="dxa"/>
          <w:right w:w="57" w:type="dxa"/>
        </w:tblCellMar>
        <w:tblLook w:val="04A0"/>
      </w:tblPr>
      <w:tblGrid>
        <w:gridCol w:w="1971"/>
        <w:gridCol w:w="1957"/>
        <w:gridCol w:w="2249"/>
        <w:gridCol w:w="3297"/>
      </w:tblGrid>
      <w:tr w:rsidR="00115004" w:rsidRPr="006B7377" w:rsidTr="006B7377">
        <w:trPr>
          <w:jc w:val="center"/>
        </w:trPr>
        <w:tc>
          <w:tcPr>
            <w:tcW w:w="3259" w:type="pct"/>
            <w:gridSpan w:val="3"/>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rPr>
            </w:pPr>
            <w:r w:rsidRPr="006B7377">
              <w:rPr>
                <w:rFonts w:ascii="Times New Roman" w:hAnsi="Times New Roman" w:cs="Times New Roman"/>
                <w:b/>
                <w:bCs/>
                <w:sz w:val="20"/>
                <w:szCs w:val="20"/>
                <w:lang w:bidi="ar-EG"/>
              </w:rPr>
              <w:t>Parameters</w:t>
            </w:r>
          </w:p>
        </w:tc>
        <w:tc>
          <w:tcPr>
            <w:tcW w:w="1741" w:type="pct"/>
            <w:vMerge w:val="restart"/>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rPr>
            </w:pPr>
            <w:r w:rsidRPr="006B7377">
              <w:rPr>
                <w:rFonts w:ascii="Times New Roman" w:hAnsi="Times New Roman" w:cs="Times New Roman"/>
                <w:b/>
                <w:bCs/>
                <w:sz w:val="20"/>
                <w:szCs w:val="20"/>
              </w:rPr>
              <w:t>Experimental groups</w:t>
            </w:r>
          </w:p>
        </w:tc>
      </w:tr>
      <w:tr w:rsidR="00115004" w:rsidRPr="006B7377" w:rsidTr="006B7377">
        <w:trPr>
          <w:jc w:val="center"/>
        </w:trPr>
        <w:tc>
          <w:tcPr>
            <w:tcW w:w="1040" w:type="pct"/>
            <w:shd w:val="clear" w:color="auto" w:fill="C2D69B" w:themeFill="accent3" w:themeFillTint="99"/>
            <w:vAlign w:val="center"/>
          </w:tcPr>
          <w:p w:rsidR="008C0CB0"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b/>
                <w:bCs/>
                <w:sz w:val="20"/>
                <w:szCs w:val="20"/>
              </w:rPr>
              <w:t xml:space="preserve">Creatinine </w:t>
            </w:r>
          </w:p>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sz w:val="20"/>
                <w:szCs w:val="20"/>
              </w:rPr>
              <w:t>mg /dl</w:t>
            </w:r>
          </w:p>
        </w:tc>
        <w:tc>
          <w:tcPr>
            <w:tcW w:w="1033" w:type="pct"/>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rPr>
              <w:t>Uric acid</w:t>
            </w:r>
          </w:p>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mg/dl</w:t>
            </w:r>
          </w:p>
        </w:tc>
        <w:tc>
          <w:tcPr>
            <w:tcW w:w="1187" w:type="pct"/>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r w:rsidRPr="006B7377">
              <w:rPr>
                <w:rFonts w:ascii="Times New Roman" w:hAnsi="Times New Roman" w:cs="Times New Roman"/>
                <w:b/>
                <w:bCs/>
                <w:sz w:val="20"/>
                <w:szCs w:val="20"/>
              </w:rPr>
              <w:t>Urea</w:t>
            </w:r>
            <w:r w:rsidRPr="006B7377">
              <w:rPr>
                <w:rFonts w:ascii="Times New Roman" w:hAnsi="Times New Roman" w:cs="Times New Roman"/>
                <w:b/>
                <w:bCs/>
                <w:sz w:val="20"/>
                <w:szCs w:val="20"/>
                <w:lang w:bidi="ar-EG"/>
              </w:rPr>
              <w:t xml:space="preserve"> nitrogen</w:t>
            </w:r>
          </w:p>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mg/dl</w:t>
            </w:r>
          </w:p>
        </w:tc>
        <w:tc>
          <w:tcPr>
            <w:tcW w:w="1741" w:type="pct"/>
            <w:vMerge/>
            <w:shd w:val="clear" w:color="auto" w:fill="C2D69B" w:themeFill="accent3" w:themeFillTint="99"/>
            <w:vAlign w:val="center"/>
          </w:tcPr>
          <w:p w:rsidR="00115004" w:rsidRPr="006B7377" w:rsidRDefault="00115004" w:rsidP="005D7954">
            <w:pPr>
              <w:bidi w:val="0"/>
              <w:snapToGrid w:val="0"/>
              <w:jc w:val="both"/>
              <w:rPr>
                <w:rFonts w:ascii="Times New Roman" w:hAnsi="Times New Roman" w:cs="Times New Roman"/>
                <w:b/>
                <w:bCs/>
                <w:sz w:val="20"/>
                <w:szCs w:val="20"/>
                <w:lang w:bidi="ar-EG"/>
              </w:rPr>
            </w:pPr>
          </w:p>
        </w:tc>
      </w:tr>
      <w:tr w:rsidR="00115004" w:rsidRPr="006B7377" w:rsidTr="006B7377">
        <w:trPr>
          <w:jc w:val="center"/>
        </w:trPr>
        <w:tc>
          <w:tcPr>
            <w:tcW w:w="1040"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0.86 ± 0.54 </w:t>
            </w:r>
            <w:r w:rsidRPr="006B7377">
              <w:rPr>
                <w:rFonts w:ascii="Times New Roman" w:hAnsi="Times New Roman" w:cs="Times New Roman"/>
                <w:sz w:val="20"/>
                <w:szCs w:val="20"/>
                <w:vertAlign w:val="superscript"/>
              </w:rPr>
              <w:t>d</w:t>
            </w:r>
          </w:p>
        </w:tc>
        <w:tc>
          <w:tcPr>
            <w:tcW w:w="1033"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2.54 ± 1.12</w:t>
            </w:r>
            <w:r w:rsidRPr="006B7377">
              <w:rPr>
                <w:rFonts w:ascii="Times New Roman" w:hAnsi="Times New Roman" w:cs="Times New Roman"/>
                <w:sz w:val="20"/>
                <w:szCs w:val="20"/>
                <w:vertAlign w:val="superscript"/>
              </w:rPr>
              <w:t>d</w:t>
            </w:r>
          </w:p>
        </w:tc>
        <w:tc>
          <w:tcPr>
            <w:tcW w:w="118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29.43 ±  1.67 </w:t>
            </w:r>
            <w:r w:rsidRPr="006B7377">
              <w:rPr>
                <w:rFonts w:ascii="Times New Roman" w:hAnsi="Times New Roman" w:cs="Times New Roman"/>
                <w:sz w:val="20"/>
                <w:szCs w:val="20"/>
                <w:vertAlign w:val="superscript"/>
              </w:rPr>
              <w:t>d</w:t>
            </w:r>
          </w:p>
        </w:tc>
        <w:tc>
          <w:tcPr>
            <w:tcW w:w="174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Group (1) Cont -ve</w:t>
            </w:r>
          </w:p>
        </w:tc>
      </w:tr>
      <w:tr w:rsidR="00115004" w:rsidRPr="006B7377" w:rsidTr="006B7377">
        <w:trPr>
          <w:jc w:val="center"/>
        </w:trPr>
        <w:tc>
          <w:tcPr>
            <w:tcW w:w="1040"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4.1 ±  2.54 </w:t>
            </w:r>
            <w:r w:rsidRPr="006B7377">
              <w:rPr>
                <w:rFonts w:ascii="Times New Roman" w:hAnsi="Times New Roman" w:cs="Times New Roman"/>
                <w:sz w:val="20"/>
                <w:szCs w:val="20"/>
                <w:vertAlign w:val="superscript"/>
              </w:rPr>
              <w:t>a</w:t>
            </w:r>
          </w:p>
        </w:tc>
        <w:tc>
          <w:tcPr>
            <w:tcW w:w="1033"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6.12 ± 0.06 </w:t>
            </w:r>
            <w:r w:rsidRPr="006B7377">
              <w:rPr>
                <w:rFonts w:ascii="Times New Roman" w:hAnsi="Times New Roman" w:cs="Times New Roman"/>
                <w:sz w:val="20"/>
                <w:szCs w:val="20"/>
                <w:vertAlign w:val="superscript"/>
              </w:rPr>
              <w:t>a</w:t>
            </w:r>
          </w:p>
        </w:tc>
        <w:tc>
          <w:tcPr>
            <w:tcW w:w="118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67.45 ±1.32 </w:t>
            </w:r>
            <w:r w:rsidRPr="006B7377">
              <w:rPr>
                <w:rFonts w:ascii="Times New Roman" w:hAnsi="Times New Roman" w:cs="Times New Roman"/>
                <w:sz w:val="20"/>
                <w:szCs w:val="20"/>
                <w:vertAlign w:val="superscript"/>
              </w:rPr>
              <w:t>a</w:t>
            </w:r>
          </w:p>
        </w:tc>
        <w:tc>
          <w:tcPr>
            <w:tcW w:w="1741"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Group (2)</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Cont+ve</w:t>
            </w:r>
          </w:p>
        </w:tc>
      </w:tr>
      <w:tr w:rsidR="00115004" w:rsidRPr="006B7377" w:rsidTr="006B7377">
        <w:trPr>
          <w:jc w:val="center"/>
        </w:trPr>
        <w:tc>
          <w:tcPr>
            <w:tcW w:w="1040"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3.4 ±  1.34 </w:t>
            </w:r>
            <w:r w:rsidRPr="006B7377">
              <w:rPr>
                <w:rFonts w:ascii="Times New Roman" w:hAnsi="Times New Roman" w:cs="Times New Roman"/>
                <w:sz w:val="20"/>
                <w:szCs w:val="20"/>
                <w:vertAlign w:val="superscript"/>
              </w:rPr>
              <w:t>b</w:t>
            </w:r>
          </w:p>
        </w:tc>
        <w:tc>
          <w:tcPr>
            <w:tcW w:w="1033"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4.96 ± 0.23 </w:t>
            </w:r>
            <w:r w:rsidRPr="006B7377">
              <w:rPr>
                <w:rFonts w:ascii="Times New Roman" w:hAnsi="Times New Roman" w:cs="Times New Roman"/>
                <w:sz w:val="20"/>
                <w:szCs w:val="20"/>
                <w:vertAlign w:val="superscript"/>
              </w:rPr>
              <w:t>b</w:t>
            </w:r>
          </w:p>
        </w:tc>
        <w:tc>
          <w:tcPr>
            <w:tcW w:w="118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59.56 ± 3.32 </w:t>
            </w:r>
            <w:r w:rsidRPr="006B7377">
              <w:rPr>
                <w:rFonts w:ascii="Times New Roman" w:hAnsi="Times New Roman" w:cs="Times New Roman"/>
                <w:sz w:val="20"/>
                <w:szCs w:val="20"/>
                <w:vertAlign w:val="superscript"/>
              </w:rPr>
              <w:t>b</w:t>
            </w:r>
          </w:p>
        </w:tc>
        <w:tc>
          <w:tcPr>
            <w:tcW w:w="1741" w:type="pct"/>
            <w:vAlign w:val="center"/>
          </w:tcPr>
          <w:p w:rsidR="006B7377"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Group (3) TI</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p>
          <w:p w:rsidR="00115004" w:rsidRPr="006B7377" w:rsidRDefault="006B7377"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w:t>
            </w:r>
            <w:r w:rsidR="00115004" w:rsidRPr="006B7377">
              <w:rPr>
                <w:rFonts w:ascii="Times New Roman" w:hAnsi="Times New Roman" w:cs="Times New Roman"/>
                <w:sz w:val="20"/>
                <w:szCs w:val="20"/>
              </w:rPr>
              <w:t>200 mg/kg b.wt)</w:t>
            </w:r>
            <w:r w:rsidRPr="006B7377">
              <w:rPr>
                <w:rFonts w:ascii="Times New Roman" w:hAnsi="Times New Roman" w:cs="Times New Roman"/>
                <w:sz w:val="20"/>
                <w:szCs w:val="20"/>
              </w:rPr>
              <w:t xml:space="preserve"> </w:t>
            </w:r>
          </w:p>
        </w:tc>
      </w:tr>
      <w:tr w:rsidR="00115004" w:rsidRPr="006B7377" w:rsidTr="006B7377">
        <w:trPr>
          <w:jc w:val="center"/>
        </w:trPr>
        <w:tc>
          <w:tcPr>
            <w:tcW w:w="1040"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1.5 ±  0.98 </w:t>
            </w:r>
            <w:r w:rsidRPr="006B7377">
              <w:rPr>
                <w:rFonts w:ascii="Times New Roman" w:hAnsi="Times New Roman" w:cs="Times New Roman"/>
                <w:sz w:val="20"/>
                <w:szCs w:val="20"/>
                <w:vertAlign w:val="superscript"/>
              </w:rPr>
              <w:t>cd</w:t>
            </w:r>
          </w:p>
        </w:tc>
        <w:tc>
          <w:tcPr>
            <w:tcW w:w="1033"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3.75 ± 0.73 </w:t>
            </w:r>
            <w:r w:rsidRPr="006B7377">
              <w:rPr>
                <w:rFonts w:ascii="Times New Roman" w:hAnsi="Times New Roman" w:cs="Times New Roman"/>
                <w:sz w:val="20"/>
                <w:szCs w:val="20"/>
                <w:vertAlign w:val="superscript"/>
              </w:rPr>
              <w:t>c</w:t>
            </w:r>
          </w:p>
        </w:tc>
        <w:tc>
          <w:tcPr>
            <w:tcW w:w="118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lang w:bidi="ar-EG"/>
              </w:rPr>
              <w:t>40</w:t>
            </w:r>
            <w:r w:rsidRPr="006B7377">
              <w:rPr>
                <w:rFonts w:ascii="Times New Roman" w:hAnsi="Times New Roman" w:cs="Times New Roman"/>
                <w:sz w:val="20"/>
                <w:szCs w:val="20"/>
              </w:rPr>
              <w:t>. 43</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 xml:space="preserve">± 2.49 </w:t>
            </w:r>
            <w:r w:rsidRPr="006B7377">
              <w:rPr>
                <w:rFonts w:ascii="Times New Roman" w:hAnsi="Times New Roman" w:cs="Times New Roman"/>
                <w:sz w:val="20"/>
                <w:szCs w:val="20"/>
                <w:vertAlign w:val="superscript"/>
              </w:rPr>
              <w:t>c</w:t>
            </w:r>
          </w:p>
        </w:tc>
        <w:tc>
          <w:tcPr>
            <w:tcW w:w="1741" w:type="pct"/>
            <w:vAlign w:val="center"/>
          </w:tcPr>
          <w:p w:rsidR="006B7377"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Group (4) TI</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p>
          <w:p w:rsidR="00115004" w:rsidRPr="006B7377" w:rsidRDefault="006B7377"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w:t>
            </w:r>
            <w:r w:rsidR="00115004" w:rsidRPr="006B7377">
              <w:rPr>
                <w:rFonts w:ascii="Times New Roman" w:hAnsi="Times New Roman" w:cs="Times New Roman"/>
                <w:sz w:val="20"/>
                <w:szCs w:val="20"/>
              </w:rPr>
              <w:t xml:space="preserve">400 mg/kg b.wt) </w:t>
            </w:r>
          </w:p>
        </w:tc>
      </w:tr>
      <w:tr w:rsidR="00115004" w:rsidRPr="006B7377" w:rsidTr="006B7377">
        <w:trPr>
          <w:jc w:val="center"/>
        </w:trPr>
        <w:tc>
          <w:tcPr>
            <w:tcW w:w="1040"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2.8 ±  2.21</w:t>
            </w:r>
            <w:r w:rsidRPr="006B7377">
              <w:rPr>
                <w:rFonts w:ascii="Times New Roman" w:hAnsi="Times New Roman" w:cs="Times New Roman"/>
                <w:sz w:val="20"/>
                <w:szCs w:val="20"/>
                <w:vertAlign w:val="superscript"/>
              </w:rPr>
              <w:t>c</w:t>
            </w:r>
          </w:p>
        </w:tc>
        <w:tc>
          <w:tcPr>
            <w:tcW w:w="1033"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4.25 ± 0.67 </w:t>
            </w:r>
            <w:r w:rsidRPr="006B7377">
              <w:rPr>
                <w:rFonts w:ascii="Times New Roman" w:hAnsi="Times New Roman" w:cs="Times New Roman"/>
                <w:sz w:val="20"/>
                <w:szCs w:val="20"/>
                <w:vertAlign w:val="superscript"/>
              </w:rPr>
              <w:t>b</w:t>
            </w:r>
          </w:p>
        </w:tc>
        <w:tc>
          <w:tcPr>
            <w:tcW w:w="118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56.85±2.11</w:t>
            </w:r>
            <w:r w:rsidRPr="006B7377">
              <w:rPr>
                <w:rFonts w:ascii="Times New Roman" w:hAnsi="Times New Roman" w:cs="Times New Roman"/>
                <w:sz w:val="20"/>
                <w:szCs w:val="20"/>
                <w:vertAlign w:val="superscript"/>
              </w:rPr>
              <w:t>b</w:t>
            </w:r>
          </w:p>
        </w:tc>
        <w:tc>
          <w:tcPr>
            <w:tcW w:w="1741"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Grou</w:t>
            </w:r>
            <w:r w:rsidR="006B7377" w:rsidRPr="006B7377">
              <w:rPr>
                <w:rFonts w:ascii="Times New Roman" w:hAnsi="Times New Roman" w:cs="Times New Roman"/>
                <w:sz w:val="20"/>
                <w:szCs w:val="20"/>
              </w:rPr>
              <w:t>p (</w:t>
            </w:r>
            <w:r w:rsidRPr="006B7377">
              <w:rPr>
                <w:rFonts w:ascii="Times New Roman" w:hAnsi="Times New Roman" w:cs="Times New Roman"/>
                <w:sz w:val="20"/>
                <w:szCs w:val="20"/>
              </w:rPr>
              <w:t xml:space="preserve"> 5) GB</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 xml:space="preserve">extract </w:t>
            </w:r>
          </w:p>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(200 mg/kg b.wt)</w:t>
            </w:r>
            <w:r w:rsidR="006B7377" w:rsidRPr="006B7377">
              <w:rPr>
                <w:rFonts w:ascii="Times New Roman" w:hAnsi="Times New Roman" w:cs="Times New Roman"/>
                <w:sz w:val="20"/>
                <w:szCs w:val="20"/>
              </w:rPr>
              <w:t xml:space="preserve"> </w:t>
            </w:r>
          </w:p>
        </w:tc>
      </w:tr>
      <w:tr w:rsidR="00115004" w:rsidRPr="006B7377" w:rsidTr="006B7377">
        <w:trPr>
          <w:jc w:val="center"/>
        </w:trPr>
        <w:tc>
          <w:tcPr>
            <w:tcW w:w="1040"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1.2 ± 0.75 </w:t>
            </w:r>
            <w:r w:rsidRPr="006B7377">
              <w:rPr>
                <w:rFonts w:ascii="Times New Roman" w:hAnsi="Times New Roman" w:cs="Times New Roman"/>
                <w:sz w:val="20"/>
                <w:szCs w:val="20"/>
                <w:vertAlign w:val="superscript"/>
              </w:rPr>
              <w:t>d</w:t>
            </w:r>
          </w:p>
        </w:tc>
        <w:tc>
          <w:tcPr>
            <w:tcW w:w="1033"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 xml:space="preserve">3.22 ± 0.72 </w:t>
            </w:r>
            <w:r w:rsidRPr="006B7377">
              <w:rPr>
                <w:rFonts w:ascii="Times New Roman" w:hAnsi="Times New Roman" w:cs="Times New Roman"/>
                <w:sz w:val="20"/>
                <w:szCs w:val="20"/>
                <w:vertAlign w:val="superscript"/>
              </w:rPr>
              <w:t>c</w:t>
            </w:r>
          </w:p>
        </w:tc>
        <w:tc>
          <w:tcPr>
            <w:tcW w:w="1187" w:type="pct"/>
            <w:vAlign w:val="center"/>
          </w:tcPr>
          <w:p w:rsidR="00115004" w:rsidRPr="006B7377" w:rsidRDefault="00115004" w:rsidP="005D7954">
            <w:pPr>
              <w:bidi w:val="0"/>
              <w:snapToGrid w:val="0"/>
              <w:jc w:val="both"/>
              <w:rPr>
                <w:rFonts w:ascii="Times New Roman" w:hAnsi="Times New Roman" w:cs="Times New Roman"/>
                <w:sz w:val="20"/>
                <w:szCs w:val="20"/>
                <w:lang w:bidi="ar-EG"/>
              </w:rPr>
            </w:pPr>
            <w:r w:rsidRPr="006B7377">
              <w:rPr>
                <w:rFonts w:ascii="Times New Roman" w:hAnsi="Times New Roman" w:cs="Times New Roman"/>
                <w:sz w:val="20"/>
                <w:szCs w:val="20"/>
              </w:rPr>
              <w:t>35.25 ± 1.85</w:t>
            </w:r>
            <w:r w:rsidRPr="006B7377">
              <w:rPr>
                <w:rFonts w:ascii="Times New Roman" w:hAnsi="Times New Roman" w:cs="Times New Roman"/>
                <w:sz w:val="20"/>
                <w:szCs w:val="20"/>
                <w:vertAlign w:val="superscript"/>
                <w:lang w:bidi="ar-EG"/>
              </w:rPr>
              <w:t>cd</w:t>
            </w:r>
          </w:p>
        </w:tc>
        <w:tc>
          <w:tcPr>
            <w:tcW w:w="1741" w:type="pct"/>
            <w:vAlign w:val="center"/>
          </w:tcPr>
          <w:p w:rsidR="006B7377"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(6) GB extract </w:t>
            </w:r>
          </w:p>
          <w:p w:rsidR="00115004" w:rsidRPr="006B7377" w:rsidRDefault="006B7377"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w:t>
            </w:r>
            <w:r w:rsidR="00115004" w:rsidRPr="006B7377">
              <w:rPr>
                <w:rFonts w:ascii="Times New Roman" w:hAnsi="Times New Roman" w:cs="Times New Roman"/>
                <w:sz w:val="20"/>
                <w:szCs w:val="20"/>
              </w:rPr>
              <w:t>400 mg/kg b.wt)</w:t>
            </w:r>
          </w:p>
        </w:tc>
      </w:tr>
      <w:tr w:rsidR="00115004" w:rsidRPr="006B7377" w:rsidTr="006B7377">
        <w:trPr>
          <w:jc w:val="center"/>
        </w:trPr>
        <w:tc>
          <w:tcPr>
            <w:tcW w:w="1040"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0.9</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 0.43</w:t>
            </w:r>
            <w:r w:rsidRPr="006B7377">
              <w:rPr>
                <w:rFonts w:ascii="Times New Roman" w:hAnsi="Times New Roman" w:cs="Times New Roman"/>
                <w:sz w:val="20"/>
                <w:szCs w:val="20"/>
                <w:vertAlign w:val="superscript"/>
              </w:rPr>
              <w:t>d</w:t>
            </w:r>
          </w:p>
        </w:tc>
        <w:tc>
          <w:tcPr>
            <w:tcW w:w="1033"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2.92±</w:t>
            </w:r>
            <w:r w:rsidR="006B7377" w:rsidRPr="006B7377">
              <w:rPr>
                <w:rFonts w:ascii="Times New Roman" w:hAnsi="Times New Roman" w:cs="Times New Roman"/>
                <w:sz w:val="20"/>
                <w:szCs w:val="20"/>
              </w:rPr>
              <w:t xml:space="preserve"> </w:t>
            </w:r>
            <w:r w:rsidRPr="006B7377">
              <w:rPr>
                <w:rFonts w:ascii="Times New Roman" w:hAnsi="Times New Roman" w:cs="Times New Roman"/>
                <w:sz w:val="20"/>
                <w:szCs w:val="20"/>
              </w:rPr>
              <w:t>0. 21</w:t>
            </w:r>
            <w:r w:rsidRPr="006B7377">
              <w:rPr>
                <w:rFonts w:ascii="Times New Roman" w:hAnsi="Times New Roman" w:cs="Times New Roman"/>
                <w:sz w:val="20"/>
                <w:szCs w:val="20"/>
                <w:vertAlign w:val="superscript"/>
              </w:rPr>
              <w:t>d</w:t>
            </w:r>
          </w:p>
        </w:tc>
        <w:tc>
          <w:tcPr>
            <w:tcW w:w="1187"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31.33 ± 2.43 </w:t>
            </w:r>
            <w:r w:rsidRPr="006B7377">
              <w:rPr>
                <w:rFonts w:ascii="Times New Roman" w:hAnsi="Times New Roman" w:cs="Times New Roman"/>
                <w:sz w:val="20"/>
                <w:szCs w:val="20"/>
                <w:vertAlign w:val="superscript"/>
              </w:rPr>
              <w:t>d</w:t>
            </w:r>
          </w:p>
        </w:tc>
        <w:tc>
          <w:tcPr>
            <w:tcW w:w="1741"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(7) Mixture </w:t>
            </w:r>
          </w:p>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(200 mg/kg b.wt)</w:t>
            </w:r>
          </w:p>
        </w:tc>
      </w:tr>
      <w:tr w:rsidR="00115004" w:rsidRPr="006B7377" w:rsidTr="006B7377">
        <w:trPr>
          <w:jc w:val="center"/>
        </w:trPr>
        <w:tc>
          <w:tcPr>
            <w:tcW w:w="1040"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0.83± 0.34</w:t>
            </w:r>
            <w:r w:rsidRPr="006B7377">
              <w:rPr>
                <w:rFonts w:ascii="Times New Roman" w:hAnsi="Times New Roman" w:cs="Times New Roman"/>
                <w:sz w:val="20"/>
                <w:szCs w:val="20"/>
                <w:vertAlign w:val="superscript"/>
              </w:rPr>
              <w:t>d</w:t>
            </w:r>
          </w:p>
        </w:tc>
        <w:tc>
          <w:tcPr>
            <w:tcW w:w="1033"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2.63 ±0.02</w:t>
            </w:r>
            <w:r w:rsidRPr="006B7377">
              <w:rPr>
                <w:rFonts w:ascii="Times New Roman" w:hAnsi="Times New Roman" w:cs="Times New Roman"/>
                <w:sz w:val="20"/>
                <w:szCs w:val="20"/>
                <w:vertAlign w:val="superscript"/>
              </w:rPr>
              <w:t>d</w:t>
            </w:r>
          </w:p>
        </w:tc>
        <w:tc>
          <w:tcPr>
            <w:tcW w:w="1187"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29.76±1.53 </w:t>
            </w:r>
            <w:r w:rsidRPr="006B7377">
              <w:rPr>
                <w:rFonts w:ascii="Times New Roman" w:hAnsi="Times New Roman" w:cs="Times New Roman"/>
                <w:sz w:val="20"/>
                <w:szCs w:val="20"/>
                <w:vertAlign w:val="superscript"/>
              </w:rPr>
              <w:t>d</w:t>
            </w:r>
          </w:p>
        </w:tc>
        <w:tc>
          <w:tcPr>
            <w:tcW w:w="1741" w:type="pct"/>
            <w:vAlign w:val="center"/>
          </w:tcPr>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 xml:space="preserve">Group (8) Mixture </w:t>
            </w:r>
          </w:p>
          <w:p w:rsidR="00115004" w:rsidRPr="006B7377" w:rsidRDefault="00115004" w:rsidP="005D7954">
            <w:pPr>
              <w:bidi w:val="0"/>
              <w:snapToGrid w:val="0"/>
              <w:jc w:val="both"/>
              <w:rPr>
                <w:rFonts w:ascii="Times New Roman" w:hAnsi="Times New Roman" w:cs="Times New Roman"/>
                <w:sz w:val="20"/>
                <w:szCs w:val="20"/>
              </w:rPr>
            </w:pPr>
            <w:r w:rsidRPr="006B7377">
              <w:rPr>
                <w:rFonts w:ascii="Times New Roman" w:hAnsi="Times New Roman" w:cs="Times New Roman"/>
                <w:sz w:val="20"/>
                <w:szCs w:val="20"/>
              </w:rPr>
              <w:t>(400 mg/kg b.wt)</w:t>
            </w:r>
          </w:p>
        </w:tc>
      </w:tr>
    </w:tbl>
    <w:p w:rsidR="007C2209" w:rsidRPr="006B7377" w:rsidRDefault="007C2209" w:rsidP="005D7954">
      <w:pPr>
        <w:bidi w:val="0"/>
        <w:snapToGrid w:val="0"/>
        <w:spacing w:after="0" w:line="240" w:lineRule="auto"/>
        <w:jc w:val="both"/>
        <w:rPr>
          <w:rFonts w:ascii="Times New Roman" w:hAnsi="Times New Roman" w:cs="Times New Roman"/>
          <w:sz w:val="20"/>
          <w:szCs w:val="18"/>
        </w:rPr>
      </w:pPr>
      <w:r w:rsidRPr="006B7377">
        <w:rPr>
          <w:rFonts w:ascii="Times New Roman" w:hAnsi="Times New Roman" w:cs="Times New Roman"/>
          <w:sz w:val="20"/>
          <w:szCs w:val="18"/>
        </w:rPr>
        <w:t>Means (n=10 rat) with different letters in the same column considered significant (P &lt; 0.05)</w:t>
      </w:r>
    </w:p>
    <w:p w:rsidR="006B7377" w:rsidRPr="006B7377" w:rsidRDefault="006B7377" w:rsidP="005D7954">
      <w:pPr>
        <w:pStyle w:val="Default"/>
        <w:snapToGrid w:val="0"/>
        <w:jc w:val="both"/>
        <w:rPr>
          <w:b/>
          <w:bCs/>
          <w:sz w:val="20"/>
          <w:szCs w:val="20"/>
        </w:rPr>
      </w:pPr>
    </w:p>
    <w:p w:rsidR="006B7377" w:rsidRDefault="006B7377" w:rsidP="005D7954">
      <w:pPr>
        <w:shd w:val="clear" w:color="auto" w:fill="FFFFFF"/>
        <w:bidi w:val="0"/>
        <w:snapToGrid w:val="0"/>
        <w:spacing w:after="0" w:line="240" w:lineRule="auto"/>
        <w:ind w:firstLine="425"/>
        <w:jc w:val="both"/>
        <w:rPr>
          <w:b/>
          <w:bCs/>
          <w:sz w:val="20"/>
          <w:szCs w:val="20"/>
        </w:rPr>
        <w:sectPr w:rsidR="006B7377" w:rsidSect="006B7377">
          <w:type w:val="continuous"/>
          <w:pgSz w:w="12240" w:h="15840"/>
          <w:pgMar w:top="1440" w:right="1440" w:bottom="1440" w:left="1440" w:header="720" w:footer="720" w:gutter="0"/>
          <w:cols w:space="708"/>
          <w:docGrid w:linePitch="360"/>
        </w:sectPr>
      </w:pPr>
    </w:p>
    <w:p w:rsidR="007D00E1" w:rsidRPr="006B7377" w:rsidRDefault="007D00E1" w:rsidP="005D7954">
      <w:pPr>
        <w:shd w:val="clear" w:color="auto" w:fill="FFFFFF"/>
        <w:bidi w:val="0"/>
        <w:snapToGrid w:val="0"/>
        <w:spacing w:after="0" w:line="240" w:lineRule="auto"/>
        <w:ind w:firstLine="425"/>
        <w:jc w:val="both"/>
        <w:rPr>
          <w:rFonts w:ascii="Times New Roman" w:hAnsi="Times New Roman" w:cs="Times New Roman"/>
          <w:sz w:val="20"/>
          <w:szCs w:val="20"/>
        </w:rPr>
      </w:pPr>
      <w:r w:rsidRPr="006B7377">
        <w:rPr>
          <w:rFonts w:ascii="Times New Roman" w:hAnsi="Times New Roman" w:cs="Times New Roman"/>
          <w:sz w:val="20"/>
          <w:szCs w:val="20"/>
        </w:rPr>
        <w:lastRenderedPageBreak/>
        <w:t>Several studies revealed that CCl4 has potentially toxicity to kidney [43-44]. Thus impairment in its functions and decreased its clearance rate induced elevated in urea, creatinine and uric acid [45-4</w:t>
      </w:r>
      <w:r w:rsidR="00E13BFB" w:rsidRPr="006B7377">
        <w:rPr>
          <w:rFonts w:ascii="Times New Roman" w:hAnsi="Times New Roman" w:cs="Times New Roman"/>
          <w:sz w:val="20"/>
          <w:szCs w:val="20"/>
        </w:rPr>
        <w:t>6</w:t>
      </w:r>
      <w:r w:rsidRPr="006B7377">
        <w:rPr>
          <w:rFonts w:ascii="Times New Roman" w:hAnsi="Times New Roman" w:cs="Times New Roman"/>
          <w:sz w:val="20"/>
          <w:szCs w:val="20"/>
        </w:rPr>
        <w:t xml:space="preserve">]. The reduced kidney function levels after treatment with TI and </w:t>
      </w:r>
      <w:r w:rsidR="002214B8" w:rsidRPr="006B7377">
        <w:rPr>
          <w:rFonts w:ascii="Times New Roman" w:hAnsi="Times New Roman" w:cs="Times New Roman"/>
          <w:sz w:val="20"/>
          <w:szCs w:val="20"/>
        </w:rPr>
        <w:t>GB proven</w:t>
      </w:r>
      <w:r w:rsidRPr="006B7377">
        <w:rPr>
          <w:rFonts w:ascii="Times New Roman" w:hAnsi="Times New Roman" w:cs="Times New Roman"/>
          <w:sz w:val="20"/>
          <w:szCs w:val="20"/>
        </w:rPr>
        <w:t xml:space="preserve"> that they have potent capacity to treated, prevent and ameliorate oxidative stress and its damage on liver and kidney [47-48].</w:t>
      </w:r>
    </w:p>
    <w:p w:rsidR="00E95F75" w:rsidRPr="006B7377" w:rsidRDefault="007D00E1" w:rsidP="005D7954">
      <w:pPr>
        <w:pStyle w:val="Default"/>
        <w:snapToGrid w:val="0"/>
        <w:ind w:firstLine="425"/>
        <w:jc w:val="both"/>
        <w:rPr>
          <w:sz w:val="20"/>
          <w:szCs w:val="20"/>
        </w:rPr>
      </w:pPr>
      <w:r w:rsidRPr="006B7377">
        <w:rPr>
          <w:b/>
          <w:bCs/>
          <w:sz w:val="20"/>
          <w:szCs w:val="20"/>
        </w:rPr>
        <w:t>In conclusion</w:t>
      </w:r>
      <w:r w:rsidR="00FF26C0" w:rsidRPr="006B7377">
        <w:rPr>
          <w:sz w:val="20"/>
          <w:szCs w:val="20"/>
        </w:rPr>
        <w:t xml:space="preserve">, the results suggested that either TI and GB leaves extracts </w:t>
      </w:r>
      <w:r w:rsidR="00D6053F" w:rsidRPr="006B7377">
        <w:rPr>
          <w:sz w:val="20"/>
          <w:szCs w:val="20"/>
        </w:rPr>
        <w:t>alleviated hepatorenal toxicity induced by</w:t>
      </w:r>
      <w:r w:rsidR="00335357" w:rsidRPr="006B7377">
        <w:rPr>
          <w:sz w:val="20"/>
          <w:szCs w:val="20"/>
        </w:rPr>
        <w:t xml:space="preserve"> CCl4. Thus could be attributed to their active biochemical compounds that have potent antioxidant activity. On the other hand, although the mixture of TI and GB was the most effective but its induced noticeable hypolipidemic effect thus could </w:t>
      </w:r>
      <w:r w:rsidR="00D6053F" w:rsidRPr="006B7377">
        <w:rPr>
          <w:sz w:val="20"/>
          <w:szCs w:val="20"/>
        </w:rPr>
        <w:t>attributed</w:t>
      </w:r>
      <w:r w:rsidR="00335357" w:rsidRPr="006B7377">
        <w:rPr>
          <w:sz w:val="20"/>
          <w:szCs w:val="20"/>
        </w:rPr>
        <w:t xml:space="preserve"> to their synergistic effects, therefore it should be </w:t>
      </w:r>
      <w:r w:rsidR="00D6053F" w:rsidRPr="006B7377">
        <w:rPr>
          <w:sz w:val="20"/>
          <w:szCs w:val="20"/>
        </w:rPr>
        <w:t xml:space="preserve">care when </w:t>
      </w:r>
      <w:r w:rsidR="00335357" w:rsidRPr="006B7377">
        <w:rPr>
          <w:sz w:val="20"/>
          <w:szCs w:val="20"/>
        </w:rPr>
        <w:t xml:space="preserve">used </w:t>
      </w:r>
      <w:r w:rsidR="00D6053F" w:rsidRPr="006B7377">
        <w:rPr>
          <w:sz w:val="20"/>
          <w:szCs w:val="20"/>
        </w:rPr>
        <w:t xml:space="preserve">mixture of </w:t>
      </w:r>
      <w:r w:rsidR="00335357" w:rsidRPr="006B7377">
        <w:rPr>
          <w:sz w:val="20"/>
          <w:szCs w:val="20"/>
        </w:rPr>
        <w:t>herbal medicine</w:t>
      </w:r>
      <w:r w:rsidR="00D6053F" w:rsidRPr="006B7377">
        <w:rPr>
          <w:sz w:val="20"/>
          <w:szCs w:val="20"/>
        </w:rPr>
        <w:t>.</w:t>
      </w:r>
    </w:p>
    <w:p w:rsidR="00E95F75" w:rsidRPr="006B7377" w:rsidRDefault="00E95F75" w:rsidP="005D7954">
      <w:pPr>
        <w:pStyle w:val="Default"/>
        <w:snapToGrid w:val="0"/>
        <w:jc w:val="both"/>
        <w:rPr>
          <w:b/>
          <w:bCs/>
          <w:sz w:val="20"/>
          <w:szCs w:val="20"/>
        </w:rPr>
      </w:pPr>
    </w:p>
    <w:p w:rsidR="0065087E" w:rsidRPr="006B7377" w:rsidRDefault="00A94796" w:rsidP="005D7954">
      <w:pPr>
        <w:pStyle w:val="Default"/>
        <w:snapToGrid w:val="0"/>
        <w:jc w:val="both"/>
        <w:rPr>
          <w:b/>
          <w:bCs/>
          <w:sz w:val="20"/>
          <w:szCs w:val="20"/>
        </w:rPr>
      </w:pPr>
      <w:r w:rsidRPr="006B7377">
        <w:rPr>
          <w:b/>
          <w:bCs/>
          <w:sz w:val="20"/>
          <w:szCs w:val="20"/>
        </w:rPr>
        <w:t>References</w:t>
      </w:r>
    </w:p>
    <w:p w:rsidR="007A430D" w:rsidRPr="006B7377" w:rsidRDefault="007A430D"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Casarett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Doull’s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2008</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Toxicology;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Basic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Science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Poisons,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7th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Edition,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Kansas: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Mc-Graw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Hill.</w:t>
      </w:r>
    </w:p>
    <w:p w:rsidR="00F50FA6" w:rsidRPr="006B7377" w:rsidRDefault="007A430D"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Balamurugan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Muthusamy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2008</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Observation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antioxidant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activities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Trianthema</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decandra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Linn.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(Vallaisharunnai)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roots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carbon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tetrachloride-treated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Bangladesh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3(2):83-89.</w:t>
      </w:r>
    </w:p>
    <w:p w:rsidR="00FA4308" w:rsidRPr="006B7377" w:rsidRDefault="00FA4308"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Guo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ZJ,</w:t>
      </w:r>
      <w:r w:rsidR="006B7377">
        <w:rPr>
          <w:rFonts w:ascii="Times New Roman" w:hAnsi="Times New Roman" w:cs="Times New Roman"/>
          <w:sz w:val="20"/>
          <w:szCs w:val="20"/>
        </w:rPr>
        <w:t xml:space="preserve"> </w:t>
      </w:r>
      <w:r w:rsidR="005A47B9" w:rsidRPr="006B7377">
        <w:rPr>
          <w:rFonts w:ascii="Times New Roman" w:hAnsi="Times New Roman" w:cs="Times New Roman"/>
          <w:sz w:val="20"/>
          <w:szCs w:val="20"/>
        </w:rPr>
        <w:t>Wang</w:t>
      </w:r>
      <w:r w:rsidR="006B7377">
        <w:rPr>
          <w:rFonts w:ascii="Times New Roman" w:hAnsi="Times New Roman" w:cs="Times New Roman"/>
          <w:sz w:val="20"/>
          <w:szCs w:val="20"/>
        </w:rPr>
        <w:t xml:space="preserve"> </w:t>
      </w:r>
      <w:r w:rsidR="005A47B9" w:rsidRPr="006B7377">
        <w:rPr>
          <w:rFonts w:ascii="Times New Roman" w:hAnsi="Times New Roman" w:cs="Times New Roman"/>
          <w:sz w:val="20"/>
          <w:szCs w:val="20"/>
        </w:rPr>
        <w:t>ZX,</w:t>
      </w:r>
      <w:r w:rsidR="006B7377">
        <w:rPr>
          <w:rFonts w:ascii="Times New Roman" w:hAnsi="Times New Roman" w:cs="Times New Roman"/>
          <w:sz w:val="20"/>
          <w:szCs w:val="20"/>
        </w:rPr>
        <w:t xml:space="preserve"> </w:t>
      </w:r>
      <w:r w:rsidR="005A47B9" w:rsidRPr="006B7377">
        <w:rPr>
          <w:rFonts w:ascii="Times New Roman" w:hAnsi="Times New Roman" w:cs="Times New Roman"/>
          <w:sz w:val="20"/>
          <w:szCs w:val="20"/>
        </w:rPr>
        <w:t>Fu</w:t>
      </w:r>
      <w:r w:rsidR="006B7377">
        <w:rPr>
          <w:rFonts w:ascii="Times New Roman" w:hAnsi="Times New Roman" w:cs="Times New Roman"/>
          <w:sz w:val="20"/>
          <w:szCs w:val="20"/>
        </w:rPr>
        <w:t xml:space="preserve"> </w:t>
      </w:r>
      <w:r w:rsidR="005A47B9" w:rsidRPr="006B7377">
        <w:rPr>
          <w:rFonts w:ascii="Times New Roman" w:hAnsi="Times New Roman" w:cs="Times New Roman"/>
          <w:sz w:val="20"/>
          <w:szCs w:val="20"/>
        </w:rPr>
        <w:t>ZR</w:t>
      </w:r>
      <w:r w:rsidR="006B7377">
        <w:rPr>
          <w:rFonts w:ascii="Times New Roman" w:hAnsi="Times New Roman" w:cs="Times New Roman"/>
          <w:sz w:val="20"/>
          <w:szCs w:val="20"/>
        </w:rPr>
        <w:t xml:space="preserve"> </w:t>
      </w:r>
      <w:r w:rsidR="005A47B9"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005A47B9" w:rsidRPr="006B7377">
        <w:rPr>
          <w:rFonts w:ascii="Times New Roman" w:hAnsi="Times New Roman" w:cs="Times New Roman"/>
          <w:sz w:val="20"/>
          <w:szCs w:val="20"/>
        </w:rPr>
        <w:t>Li</w:t>
      </w:r>
      <w:r w:rsidR="006B7377">
        <w:rPr>
          <w:rFonts w:ascii="Times New Roman" w:hAnsi="Times New Roman" w:cs="Times New Roman"/>
          <w:sz w:val="20"/>
          <w:szCs w:val="20"/>
        </w:rPr>
        <w:t xml:space="preserve"> </w:t>
      </w:r>
      <w:r w:rsidR="005A47B9" w:rsidRPr="006B7377">
        <w:rPr>
          <w:rFonts w:ascii="Times New Roman" w:hAnsi="Times New Roman" w:cs="Times New Roman"/>
          <w:sz w:val="20"/>
          <w:szCs w:val="20"/>
        </w:rPr>
        <w:t>RD</w:t>
      </w:r>
      <w:r w:rsidR="006B7377">
        <w:rPr>
          <w:rFonts w:ascii="Times New Roman" w:hAnsi="Times New Roman" w:cs="Times New Roman"/>
          <w:sz w:val="20"/>
          <w:szCs w:val="20"/>
        </w:rPr>
        <w:t xml:space="preserve"> </w:t>
      </w:r>
      <w:r w:rsidR="005A47B9" w:rsidRPr="006B7377">
        <w:rPr>
          <w:rFonts w:ascii="Times New Roman" w:hAnsi="Times New Roman" w:cs="Times New Roman"/>
          <w:sz w:val="20"/>
          <w:szCs w:val="20"/>
        </w:rPr>
        <w:t>2011</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Ginkgo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leaf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CCl4-induced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injury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mice.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Medicinal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Plants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5(11):</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2361-2364.</w:t>
      </w:r>
    </w:p>
    <w:p w:rsidR="00A5472B" w:rsidRPr="006B7377" w:rsidRDefault="0029250E"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lastRenderedPageBreak/>
        <w:t>Soliman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Abdul-Hamid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Othman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2007</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carnosine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gentamicin-induced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nephrotoxicity.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Sci.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Monit.,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13(3):</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73-83.</w:t>
      </w:r>
    </w:p>
    <w:p w:rsidR="00BB59FB" w:rsidRPr="006B7377" w:rsidRDefault="00BB59FB"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Khan,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Rizvi,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Khan,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Khan,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Shaheen,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2009</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Carbon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tetrachloride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nephrotoxicity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Digeramuricata.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Ethnopharmacol,</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122</w:t>
      </w:r>
      <w:r w:rsidR="0029250E" w:rsidRPr="006B7377">
        <w:rPr>
          <w:rFonts w:ascii="Times New Roman" w:hAnsi="Times New Roman" w:cs="Times New Roman"/>
          <w:sz w:val="20"/>
          <w:szCs w:val="20"/>
        </w:rPr>
        <w:t>(2)</w:t>
      </w:r>
      <w:r w:rsidR="006B7377"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91–99.</w:t>
      </w:r>
    </w:p>
    <w:p w:rsidR="00A5472B" w:rsidRPr="006B7377" w:rsidRDefault="00A5472B"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Prahalathan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Kumar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Raja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2012</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morin,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flavonoid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against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DOCA-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salt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hypertensive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dose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dependent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study.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Asian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Pacific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Tropical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Biomedicine,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(5):</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443-448.</w:t>
      </w:r>
    </w:p>
    <w:p w:rsidR="00BB59FB" w:rsidRPr="006B7377" w:rsidRDefault="00BB59FB"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Ramudu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SK,</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Korivi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Kesireddy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Chen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Kuo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Kesireddy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2011</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Ginger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feeding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against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renal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oxidative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damage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caused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alcohol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consumption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Ren.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Nutr.,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21(3):263</w:t>
      </w:r>
      <w:r w:rsidRPr="006B7377">
        <w:rPr>
          <w:rFonts w:ascii="Times New Roman" w:hAnsi="Times New Roman" w:cs="Times New Roman"/>
          <w:sz w:val="20"/>
          <w:szCs w:val="20"/>
        </w:rPr>
        <w:noBreakHyphen/>
        <w:t>70.</w:t>
      </w:r>
    </w:p>
    <w:p w:rsidR="00663D19" w:rsidRPr="006B7377" w:rsidRDefault="003030A4"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Ghosh,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Maiti,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Das,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U.K.2005</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Attenuation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hyperglycemia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hyper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lipidemia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streptozotocin-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diabetic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aqueous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seed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Tamarindusindica.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Bull.,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28(4):1172–6.</w:t>
      </w:r>
    </w:p>
    <w:p w:rsidR="00995989" w:rsidRPr="006B7377" w:rsidRDefault="00995989"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Escalona-Arranz,</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Peres-Ross,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Urdaneta-Laffits,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Camuch-Pozo,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Rodigue</w:t>
      </w:r>
      <w:r w:rsidR="005D7954" w:rsidRPr="006B7377">
        <w:rPr>
          <w:rFonts w:ascii="Times New Roman" w:hAnsi="Times New Roman" w:cs="Times New Roman"/>
          <w:sz w:val="20"/>
          <w:szCs w:val="20"/>
        </w:rPr>
        <w:t>z</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A</w:t>
      </w:r>
      <w:r w:rsidRPr="006B7377">
        <w:rPr>
          <w:rFonts w:ascii="Times New Roman" w:hAnsi="Times New Roman" w:cs="Times New Roman"/>
          <w:sz w:val="20"/>
          <w:szCs w:val="20"/>
        </w:rPr>
        <w:t>mado,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Licea</w:t>
      </w:r>
      <w:r w:rsidR="005D7954" w:rsidRPr="006B7377">
        <w:rPr>
          <w:rFonts w:ascii="Times New Roman" w:hAnsi="Times New Roman" w:cs="Times New Roman"/>
          <w:sz w:val="20"/>
          <w:szCs w:val="20"/>
        </w:rPr>
        <w:t>p</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J</w:t>
      </w:r>
      <w:r w:rsidRPr="006B7377">
        <w:rPr>
          <w:rFonts w:ascii="Times New Roman" w:hAnsi="Times New Roman" w:cs="Times New Roman"/>
          <w:sz w:val="20"/>
          <w:szCs w:val="20"/>
        </w:rPr>
        <w:t>imenez,</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2010</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Antimicrobial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Activity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from</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Tamarindus</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indica</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Leaves,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Publication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Phcog.Net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Pharmacognosy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Margazine,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6(23)</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342-247.</w:t>
      </w:r>
    </w:p>
    <w:p w:rsidR="003030A4" w:rsidRPr="006B7377" w:rsidRDefault="002214B8"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Havinga</w:t>
      </w:r>
      <w:r w:rsidR="003030A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R.</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M.,</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Hartl,</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Volg,</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C.R</w:t>
      </w:r>
      <w:r w:rsidR="005D7954">
        <w:rPr>
          <w:rFonts w:ascii="Times New Roman" w:hAnsi="Times New Roman" w:cs="Times New Roman" w:hint="eastAsia"/>
          <w:sz w:val="20"/>
          <w:szCs w:val="20"/>
          <w:lang w:eastAsia="zh-CN"/>
        </w:rPr>
        <w:t>.</w:t>
      </w:r>
      <w:r w:rsidR="003030A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2010</w:t>
      </w:r>
      <w:r w:rsidR="00115004" w:rsidRPr="006B7377">
        <w:rPr>
          <w:rFonts w:ascii="Times New Roman" w:hAnsi="Times New Roman" w:cs="Times New Roman"/>
          <w:sz w:val="20"/>
          <w:szCs w:val="20"/>
        </w:rPr>
        <w:t>.</w:t>
      </w:r>
      <w:r w:rsidR="003030A4" w:rsidRPr="006B7377">
        <w:rPr>
          <w:rFonts w:ascii="Times New Roman" w:hAnsi="Times New Roman" w:cs="Times New Roman"/>
          <w:sz w:val="20"/>
          <w:szCs w:val="20"/>
        </w:rPr>
        <w:t>Tamarinduslndica</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l</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(Fabaccae):</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Patterns</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use</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Traditional</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African</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Medicine.</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Journal</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Ethopharmacology,</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127(3):</w:t>
      </w:r>
      <w:r w:rsidR="006B7377">
        <w:rPr>
          <w:rFonts w:ascii="Times New Roman" w:hAnsi="Times New Roman" w:cs="Times New Roman"/>
          <w:sz w:val="20"/>
          <w:szCs w:val="20"/>
        </w:rPr>
        <w:t xml:space="preserve"> </w:t>
      </w:r>
      <w:r w:rsidR="003030A4" w:rsidRPr="006B7377">
        <w:rPr>
          <w:rFonts w:ascii="Times New Roman" w:hAnsi="Times New Roman" w:cs="Times New Roman"/>
          <w:sz w:val="20"/>
          <w:szCs w:val="20"/>
        </w:rPr>
        <w:t>573-588.</w:t>
      </w:r>
    </w:p>
    <w:p w:rsidR="00115004" w:rsidRPr="006B7377" w:rsidRDefault="001F2E90"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lastRenderedPageBreak/>
        <w:t>Martinello,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Soares,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Franco,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Santos,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Sugohar</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Garcia,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S.B.2006</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H</w:t>
      </w:r>
      <w:r w:rsidRPr="006B7377">
        <w:rPr>
          <w:rFonts w:ascii="Times New Roman" w:hAnsi="Times New Roman" w:cs="Times New Roman"/>
          <w:sz w:val="20"/>
          <w:szCs w:val="20"/>
        </w:rPr>
        <w:t>ypolipemic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antioxidant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activities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from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Tamarindusindica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pulp</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fruit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hypercholesterolemichamsters.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Food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Chem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Toxicol.</w:t>
      </w:r>
      <w:r w:rsidR="002214B8"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123</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44),810–8.</w:t>
      </w:r>
    </w:p>
    <w:p w:rsidR="00DE2BB7" w:rsidRPr="006B7377" w:rsidRDefault="00DE2BB7" w:rsidP="005D7954">
      <w:pPr>
        <w:pStyle w:val="ListParagraph"/>
        <w:numPr>
          <w:ilvl w:val="0"/>
          <w:numId w:val="9"/>
        </w:numPr>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Boonkaew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Camper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2004</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Biological</w:t>
      </w:r>
      <w:r w:rsidR="006B7377">
        <w:rPr>
          <w:rFonts w:ascii="Times New Roman" w:hAnsi="Times New Roman" w:cs="Times New Roman"/>
          <w:sz w:val="20"/>
          <w:szCs w:val="20"/>
        </w:rPr>
        <w:t xml:space="preserve"> </w:t>
      </w:r>
      <w:r w:rsidR="008871AD" w:rsidRPr="006B7377">
        <w:rPr>
          <w:rFonts w:ascii="Times New Roman" w:hAnsi="Times New Roman" w:cs="Times New Roman"/>
          <w:sz w:val="20"/>
          <w:szCs w:val="20"/>
        </w:rPr>
        <w:t>activities</w:t>
      </w:r>
      <w:r w:rsidR="006B7377">
        <w:rPr>
          <w:rFonts w:ascii="Times New Roman" w:hAnsi="Times New Roman" w:cs="Times New Roman"/>
          <w:sz w:val="20"/>
          <w:szCs w:val="20"/>
        </w:rPr>
        <w:t xml:space="preserve"> </w:t>
      </w:r>
      <w:r w:rsidR="008871AD"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008871AD" w:rsidRPr="006B7377">
        <w:rPr>
          <w:rFonts w:ascii="Times New Roman" w:hAnsi="Times New Roman" w:cs="Times New Roman"/>
          <w:sz w:val="20"/>
          <w:szCs w:val="20"/>
        </w:rPr>
        <w:t>Ginkgo</w:t>
      </w:r>
      <w:r w:rsidR="006B7377">
        <w:rPr>
          <w:rFonts w:ascii="Times New Roman" w:hAnsi="Times New Roman" w:cs="Times New Roman"/>
          <w:sz w:val="20"/>
          <w:szCs w:val="20"/>
        </w:rPr>
        <w:t xml:space="preserve"> </w:t>
      </w:r>
      <w:r w:rsidR="008871AD" w:rsidRPr="006B7377">
        <w:rPr>
          <w:rFonts w:ascii="Times New Roman" w:hAnsi="Times New Roman" w:cs="Times New Roman"/>
          <w:sz w:val="20"/>
          <w:szCs w:val="20"/>
        </w:rPr>
        <w:t>extracts,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Phytomedicine,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12(5):</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318–323.</w:t>
      </w:r>
    </w:p>
    <w:p w:rsidR="00DE2BB7" w:rsidRPr="006B7377" w:rsidRDefault="00DE2BB7" w:rsidP="005D7954">
      <w:pPr>
        <w:pStyle w:val="ListParagraph"/>
        <w:numPr>
          <w:ilvl w:val="0"/>
          <w:numId w:val="9"/>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Naik</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Panda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VS.2008</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H</w:t>
      </w:r>
      <w:r w:rsidRPr="006B7377">
        <w:rPr>
          <w:rFonts w:ascii="Times New Roman" w:hAnsi="Times New Roman" w:cs="Times New Roman"/>
          <w:sz w:val="20"/>
          <w:szCs w:val="20"/>
        </w:rPr>
        <w:t>epatoprotective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Ginkgoselect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Phytosome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rifampicin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injury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evidence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antioxidant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activity.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Fitoterapia</w:t>
      </w:r>
      <w:r w:rsidR="006B7377" w:rsidRPr="006B7377">
        <w:rPr>
          <w:rFonts w:ascii="Times New Roman" w:hAnsi="Times New Roman" w:cs="Times New Roman"/>
          <w:sz w:val="20"/>
          <w:szCs w:val="20"/>
        </w:rPr>
        <w:t>.</w:t>
      </w:r>
      <w:r w:rsidRPr="006B7377">
        <w:rPr>
          <w:rFonts w:ascii="Times New Roman" w:hAnsi="Times New Roman" w:cs="Times New Roman"/>
          <w:sz w:val="20"/>
          <w:szCs w:val="20"/>
        </w:rPr>
        <w:t>,79(4)439-45.</w:t>
      </w:r>
    </w:p>
    <w:p w:rsidR="001C799D" w:rsidRPr="006B7377" w:rsidRDefault="001C799D"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Reeves,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Nielsen,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G.C.1993</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Fahey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AIN-93</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purified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diets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for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laboratory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rodents: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final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report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American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Institute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Nutrition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hoc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writing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committee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reformulation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AIN-76A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rodent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diet.,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Oxford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University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Press.</w:t>
      </w:r>
    </w:p>
    <w:p w:rsidR="008D1091" w:rsidRPr="006B7377" w:rsidRDefault="008D1091"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Kumari,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Mathew,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B.C.</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Augusti</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K.T.1995</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A</w:t>
      </w:r>
      <w:r w:rsidRPr="006B7377">
        <w:rPr>
          <w:rFonts w:ascii="Times New Roman" w:hAnsi="Times New Roman" w:cs="Times New Roman"/>
          <w:sz w:val="20"/>
          <w:szCs w:val="20"/>
        </w:rPr>
        <w:t>ntidiabetic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hypolipidemic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2214B8"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methyl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cysteine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sulfoxide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isolated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fro</w:t>
      </w:r>
      <w:r w:rsidR="005D7954" w:rsidRPr="006B7377">
        <w:rPr>
          <w:rFonts w:ascii="Times New Roman" w:hAnsi="Times New Roman" w:cs="Times New Roman"/>
          <w:sz w:val="20"/>
          <w:szCs w:val="20"/>
        </w:rPr>
        <w:t>m</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A</w:t>
      </w:r>
      <w:r w:rsidRPr="006B7377">
        <w:rPr>
          <w:rFonts w:ascii="Times New Roman" w:hAnsi="Times New Roman" w:cs="Times New Roman"/>
          <w:sz w:val="20"/>
          <w:szCs w:val="20"/>
        </w:rPr>
        <w:t>lliumcepa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Linn.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Indian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Bioche</w:t>
      </w:r>
      <w:r w:rsidR="005D7954" w:rsidRPr="006B7377">
        <w:rPr>
          <w:rFonts w:ascii="Times New Roman" w:hAnsi="Times New Roman" w:cs="Times New Roman"/>
          <w:sz w:val="20"/>
          <w:szCs w:val="20"/>
        </w:rPr>
        <w:t>m</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B</w:t>
      </w:r>
      <w:r w:rsidR="002214B8" w:rsidRPr="006B7377">
        <w:rPr>
          <w:rFonts w:ascii="Times New Roman" w:hAnsi="Times New Roman" w:cs="Times New Roman"/>
          <w:sz w:val="20"/>
          <w:szCs w:val="20"/>
        </w:rPr>
        <w:t>iophys,</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32:49</w:t>
      </w:r>
      <w:r w:rsidRPr="006B7377">
        <w:rPr>
          <w:rFonts w:ascii="Times New Roman" w:hAnsi="Times New Roman" w:cs="Times New Roman"/>
          <w:sz w:val="20"/>
          <w:szCs w:val="20"/>
        </w:rPr>
        <w:t>-54.</w:t>
      </w:r>
    </w:p>
    <w:p w:rsidR="000164E5" w:rsidRPr="006B7377" w:rsidRDefault="000164E5"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Henry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1964</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Determination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total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colorimetric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method.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Clinical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Chem.,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Harper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Publishers,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New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York.</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p:181.</w:t>
      </w:r>
    </w:p>
    <w:p w:rsidR="000164E5" w:rsidRPr="006B7377" w:rsidRDefault="000164E5"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Paglia,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Valentine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1967</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Studies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quantitative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qualitative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characterization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erythrocyte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glutathione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peroxidase.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Journal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laboratory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clinical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medicine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70(1):</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158-169.</w:t>
      </w:r>
    </w:p>
    <w:p w:rsidR="00B70A1F" w:rsidRPr="006B7377" w:rsidRDefault="00B70A1F"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Patton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Crouch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SR.1977</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C</w:t>
      </w:r>
      <w:r w:rsidRPr="006B7377">
        <w:rPr>
          <w:rFonts w:ascii="Times New Roman" w:hAnsi="Times New Roman" w:cs="Times New Roman"/>
          <w:sz w:val="20"/>
          <w:szCs w:val="20"/>
        </w:rPr>
        <w:t>alorimetric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determination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blood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urea.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Analyt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Chem.</w:t>
      </w:r>
      <w:r w:rsidR="002214B8"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49</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464-9.</w:t>
      </w:r>
      <w:r w:rsidR="006B7377">
        <w:rPr>
          <w:rFonts w:ascii="Times New Roman" w:hAnsi="Times New Roman" w:cs="Times New Roman"/>
          <w:sz w:val="20"/>
          <w:szCs w:val="20"/>
        </w:rPr>
        <w:t xml:space="preserve"> </w:t>
      </w:r>
    </w:p>
    <w:p w:rsidR="00B70A1F" w:rsidRPr="006B7377" w:rsidRDefault="00B70A1F"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Fossati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Principe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Berti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1980</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Enzymatic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colorimetric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method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for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determination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uric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acid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serum.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Clin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Chem.,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26(2):227-37.</w:t>
      </w:r>
      <w:r w:rsidR="006B7377">
        <w:rPr>
          <w:rFonts w:ascii="Times New Roman" w:hAnsi="Times New Roman" w:cs="Times New Roman"/>
          <w:sz w:val="20"/>
          <w:szCs w:val="20"/>
        </w:rPr>
        <w:t xml:space="preserve"> </w:t>
      </w:r>
    </w:p>
    <w:p w:rsidR="003F34E7" w:rsidRPr="006B7377" w:rsidRDefault="00B70A1F"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Husdan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1969</w:t>
      </w:r>
      <w:r w:rsidR="00115004" w:rsidRPr="006B7377">
        <w:rPr>
          <w:rFonts w:ascii="Times New Roman" w:hAnsi="Times New Roman" w:cs="Times New Roman"/>
          <w:sz w:val="20"/>
          <w:szCs w:val="20"/>
        </w:rPr>
        <w:t>.</w:t>
      </w:r>
      <w:r w:rsidRPr="006B7377">
        <w:rPr>
          <w:rFonts w:ascii="Times New Roman" w:hAnsi="Times New Roman" w:cs="Times New Roman"/>
          <w:sz w:val="20"/>
          <w:szCs w:val="20"/>
        </w:rPr>
        <w:t>Rapoport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Estimation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serum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creatinine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Jaffe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reaction.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Clin.</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Chem.</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14:</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222-8.</w:t>
      </w:r>
    </w:p>
    <w:p w:rsidR="003F34E7" w:rsidRPr="006B7377" w:rsidRDefault="003F34E7"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Armitage,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Berry,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1987</w:t>
      </w:r>
      <w:r w:rsidR="00115004"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8871AD" w:rsidRPr="006B7377">
        <w:rPr>
          <w:rFonts w:ascii="Times New Roman" w:hAnsi="Times New Roman" w:cs="Times New Roman"/>
          <w:sz w:val="20"/>
          <w:szCs w:val="20"/>
        </w:rPr>
        <w:t>tatistical</w:t>
      </w:r>
      <w:r w:rsidR="006B7377">
        <w:rPr>
          <w:rFonts w:ascii="Times New Roman" w:hAnsi="Times New Roman" w:cs="Times New Roman"/>
          <w:sz w:val="20"/>
          <w:szCs w:val="20"/>
        </w:rPr>
        <w:t xml:space="preserve"> </w:t>
      </w:r>
      <w:r w:rsidR="008871AD" w:rsidRPr="006B7377">
        <w:rPr>
          <w:rFonts w:ascii="Times New Roman" w:hAnsi="Times New Roman" w:cs="Times New Roman"/>
          <w:sz w:val="20"/>
          <w:szCs w:val="20"/>
        </w:rPr>
        <w:t>Methods</w:t>
      </w:r>
      <w:r w:rsidR="006B7377">
        <w:rPr>
          <w:rFonts w:ascii="Times New Roman" w:hAnsi="Times New Roman" w:cs="Times New Roman"/>
          <w:sz w:val="20"/>
          <w:szCs w:val="20"/>
        </w:rPr>
        <w:t xml:space="preserve"> </w:t>
      </w:r>
      <w:r w:rsidR="008871AD" w:rsidRPr="006B7377">
        <w:rPr>
          <w:rFonts w:ascii="Times New Roman" w:hAnsi="Times New Roman" w:cs="Times New Roman"/>
          <w:sz w:val="20"/>
          <w:szCs w:val="20"/>
        </w:rPr>
        <w:t>7th</w:t>
      </w:r>
      <w:r w:rsidR="006B7377">
        <w:rPr>
          <w:rFonts w:ascii="Times New Roman" w:hAnsi="Times New Roman" w:cs="Times New Roman"/>
          <w:sz w:val="20"/>
          <w:szCs w:val="20"/>
        </w:rPr>
        <w:t xml:space="preserve"> </w:t>
      </w:r>
      <w:r w:rsidR="008871AD" w:rsidRPr="006B7377">
        <w:rPr>
          <w:rFonts w:ascii="Times New Roman" w:hAnsi="Times New Roman" w:cs="Times New Roman"/>
          <w:sz w:val="20"/>
          <w:szCs w:val="20"/>
        </w:rPr>
        <w:t>Ed.</w:t>
      </w:r>
      <w:r w:rsidR="006B7377">
        <w:rPr>
          <w:rFonts w:ascii="Times New Roman" w:hAnsi="Times New Roman" w:cs="Times New Roman"/>
          <w:sz w:val="20"/>
          <w:szCs w:val="20"/>
        </w:rPr>
        <w:t xml:space="preserve"> </w:t>
      </w:r>
      <w:r w:rsidR="008871AD" w:rsidRPr="006B7377">
        <w:rPr>
          <w:rFonts w:ascii="Times New Roman" w:hAnsi="Times New Roman" w:cs="Times New Roman"/>
          <w:sz w:val="20"/>
          <w:szCs w:val="20"/>
        </w:rPr>
        <w:t>Ames.</w:t>
      </w:r>
    </w:p>
    <w:p w:rsidR="00A94796" w:rsidRPr="006B7377" w:rsidRDefault="00115004"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Venukumar,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Latha,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2002.</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methanolic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Curculigo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Orchioides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CCl</w:t>
      </w:r>
      <w:r w:rsidRPr="006B7377">
        <w:rPr>
          <w:rFonts w:ascii="Times New Roman" w:hAnsi="Times New Roman" w:cs="Times New Roman"/>
          <w:sz w:val="20"/>
          <w:szCs w:val="20"/>
          <w:vertAlign w:val="subscript"/>
        </w:rPr>
        <w:t>4</w:t>
      </w:r>
      <w:r w:rsidRPr="006B7377">
        <w:rPr>
          <w:rFonts w:ascii="Times New Roman" w:hAnsi="Times New Roman" w:cs="Times New Roman"/>
          <w:sz w:val="20"/>
          <w:szCs w:val="20"/>
        </w:rPr>
        <w:t>-treated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male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Indian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34:269-275.</w:t>
      </w:r>
    </w:p>
    <w:p w:rsidR="005D7954" w:rsidRDefault="00115004"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Chang,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Y.H.,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C.C.,</w:t>
      </w:r>
      <w:r w:rsidR="006B7377">
        <w:rPr>
          <w:rFonts w:ascii="Times New Roman" w:hAnsi="Times New Roman" w:cs="Times New Roman"/>
          <w:sz w:val="20"/>
          <w:szCs w:val="20"/>
        </w:rPr>
        <w:t xml:space="preserve"> </w:t>
      </w:r>
      <w:r w:rsidR="002214B8" w:rsidRPr="006B7377">
        <w:rPr>
          <w:rFonts w:ascii="Times New Roman" w:hAnsi="Times New Roman" w:cs="Times New Roman"/>
          <w:sz w:val="20"/>
          <w:szCs w:val="20"/>
        </w:rPr>
        <w:t>Wu,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Tsai,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Y.H.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Chao,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2007.</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Ginkgo</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biloba</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Panax</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ginseng</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Schizandra</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chinensis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injury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Chinese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Medicine,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35</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(6):</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995-100</w:t>
      </w:r>
      <w:r w:rsidR="005D7954" w:rsidRPr="006B7377">
        <w:rPr>
          <w:rFonts w:ascii="Times New Roman" w:hAnsi="Times New Roman" w:cs="Times New Roman"/>
          <w:sz w:val="20"/>
          <w:szCs w:val="20"/>
        </w:rPr>
        <w:t>9</w:t>
      </w:r>
      <w:r w:rsidR="005D7954">
        <w:rPr>
          <w:rFonts w:ascii="Times New Roman" w:hAnsi="Times New Roman" w:cs="Times New Roman"/>
          <w:sz w:val="20"/>
          <w:szCs w:val="20"/>
        </w:rPr>
        <w:t>.</w:t>
      </w:r>
    </w:p>
    <w:p w:rsidR="00A94796" w:rsidRPr="006B7377" w:rsidRDefault="00115004"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Balamurugan,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Muthusamy,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2008.</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Observation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antioxidant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activities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Trianthema</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decandra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lastRenderedPageBreak/>
        <w:t>Linn.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(Vallaisharunnai)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roots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carbon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tetrachloride-treated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Bangladesh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3(2):83-89.</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Guo,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Z.J.,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Wang,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Z.X.,</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Z.R.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2011.</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Ginkgo</w:t>
      </w:r>
      <w:r w:rsidR="006B7377">
        <w:rPr>
          <w:rFonts w:ascii="Times New Roman" w:hAnsi="Times New Roman" w:cs="Times New Roman"/>
          <w:i/>
          <w:iCs/>
          <w:sz w:val="20"/>
          <w:szCs w:val="20"/>
        </w:rPr>
        <w:t xml:space="preserve"> </w:t>
      </w:r>
      <w:r w:rsidRPr="006B7377">
        <w:rPr>
          <w:rFonts w:ascii="Times New Roman" w:hAnsi="Times New Roman" w:cs="Times New Roman"/>
          <w:sz w:val="20"/>
          <w:szCs w:val="20"/>
        </w:rPr>
        <w:t>leaf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CCl4-induced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injury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mice.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Medicinal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Plants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5(11):</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2361-2364.</w:t>
      </w:r>
      <w:r w:rsidR="006B7377">
        <w:rPr>
          <w:rFonts w:ascii="Times New Roman" w:hAnsi="Times New Roman" w:cs="Times New Roman"/>
          <w:sz w:val="20"/>
          <w:szCs w:val="20"/>
        </w:rPr>
        <w:t xml:space="preserve"> </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Shammi,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Choudhry,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Z.K.,</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Khan,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Hossain,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2013.</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Comparative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Study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Tamarindus</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indica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Vitamin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Long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Evans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Bangladesh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Biochem,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63-67.</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Tirkey,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Pilkhwal,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Kuhad,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Chopra,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2005.</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Hesperidin,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citrus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bioflavonoid,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decreases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oxidative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stress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carbon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tetrachloride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kidney.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BMC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5(2):1-8.</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Anand,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K.V.,</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Anandhi,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Pakkiyaraj,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Geraldine,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2011.</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chrysin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carbon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tetrachloride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(CCl4)-induced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tissue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injury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male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wistar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Toxicol.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Health,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27(10):923-933.</w:t>
      </w:r>
    </w:p>
    <w:p w:rsidR="00A94796" w:rsidRPr="006B7377" w:rsidRDefault="00E13BFB"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Dabba</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M</w:t>
      </w:r>
      <w:r w:rsidR="00115004" w:rsidRPr="006B7377">
        <w:rPr>
          <w:rFonts w:ascii="Times New Roman" w:hAnsi="Times New Roman" w:cs="Times New Roman"/>
          <w:sz w:val="20"/>
          <w:szCs w:val="20"/>
        </w:rPr>
        <w:t>.H.</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Abdel</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Rahman,</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M.S.</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1998.</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Hepatoprotective</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activity</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thymoquinone</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isolated</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rat</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hepatocytes.</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Toxicol.</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Lett.,</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95:</w:t>
      </w:r>
      <w:r w:rsidR="006B7377">
        <w:rPr>
          <w:rFonts w:ascii="Times New Roman" w:hAnsi="Times New Roman" w:cs="Times New Roman"/>
          <w:sz w:val="20"/>
          <w:szCs w:val="20"/>
        </w:rPr>
        <w:t xml:space="preserve"> </w:t>
      </w:r>
      <w:r w:rsidR="00115004" w:rsidRPr="006B7377">
        <w:rPr>
          <w:rFonts w:ascii="Times New Roman" w:hAnsi="Times New Roman" w:cs="Times New Roman"/>
          <w:sz w:val="20"/>
          <w:szCs w:val="20"/>
        </w:rPr>
        <w:t>23-29.</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Achliya,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Kotgale,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Wadodkar,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A.K.</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Dorle,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A.K.</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2003.</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activity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Panchgavya</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Gritha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carbon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tetrachloride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hepatotoxicity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Indian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35:311.</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Pimple,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B.P.,</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Kadam,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P.V.,</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Badgujar,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Bafna,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Patil,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2007.</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Tamarindus</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indica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Linn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against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paracetamol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hepatotoxicity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Sci.,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69:</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827-83.</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Olatunde,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Oluwatosin,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Godwin,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2002.</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Influence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chloramphenicol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microsomal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components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biomarkers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oxidative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stress: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antioxidants.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Toxicol.,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91:</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129-134.</w:t>
      </w:r>
      <w:r w:rsidR="006B7377">
        <w:rPr>
          <w:rFonts w:ascii="Times New Roman" w:hAnsi="Times New Roman" w:cs="Times New Roman"/>
          <w:sz w:val="20"/>
          <w:szCs w:val="20"/>
        </w:rPr>
        <w:t xml:space="preserve"> </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Ross,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2004.</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Medicinal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plants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world.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Chemical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constituents,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traditional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modern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medicinal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uses.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New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Jersey: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Humana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Press.</w:t>
      </w:r>
    </w:p>
    <w:p w:rsidR="005D7954"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Itil</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T</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Martorano</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1995</w:t>
      </w:r>
      <w:r w:rsidR="007D00E1"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Natural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substances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psychiatry</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Ginkgo</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biloba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dementia.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Psychopharmacol.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Bull.,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31:</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147-15</w:t>
      </w:r>
      <w:r w:rsidR="005D7954" w:rsidRPr="006B7377">
        <w:rPr>
          <w:rFonts w:ascii="Times New Roman" w:hAnsi="Times New Roman" w:cs="Times New Roman"/>
          <w:sz w:val="20"/>
          <w:szCs w:val="20"/>
        </w:rPr>
        <w:t>8</w:t>
      </w:r>
      <w:r w:rsidR="005D7954">
        <w:rPr>
          <w:rFonts w:ascii="Times New Roman" w:hAnsi="Times New Roman" w:cs="Times New Roman"/>
          <w:sz w:val="20"/>
          <w:szCs w:val="20"/>
        </w:rPr>
        <w:t>.</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Ding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Yu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Wang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Luo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2005</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i/>
          <w:iCs/>
          <w:sz w:val="20"/>
          <w:szCs w:val="20"/>
        </w:rPr>
        <w:t>G</w:t>
      </w:r>
      <w:r w:rsidRPr="006B7377">
        <w:rPr>
          <w:rFonts w:ascii="Times New Roman" w:hAnsi="Times New Roman" w:cs="Times New Roman"/>
          <w:i/>
          <w:iCs/>
          <w:sz w:val="20"/>
          <w:szCs w:val="20"/>
        </w:rPr>
        <w:t>inkgo</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biloba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alleviates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fibrosis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CCl4</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25:1224-1232.</w:t>
      </w:r>
    </w:p>
    <w:p w:rsidR="00A94796" w:rsidRPr="006B7377" w:rsidRDefault="00115004" w:rsidP="005D7954">
      <w:pPr>
        <w:pStyle w:val="ListParagraph"/>
        <w:widowControl w:val="0"/>
        <w:numPr>
          <w:ilvl w:val="0"/>
          <w:numId w:val="9"/>
        </w:numPr>
        <w:tabs>
          <w:tab w:val="left" w:pos="360"/>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Cha´vez-Morales</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M</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Jaramillo-Jua´rez</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E13BFB" w:rsidRPr="006B7377">
        <w:rPr>
          <w:rFonts w:ascii="Times New Roman" w:hAnsi="Times New Roman" w:cs="Times New Roman"/>
          <w:sz w:val="20"/>
          <w:szCs w:val="20"/>
        </w:rPr>
        <w:t>Posadasdel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Rı´o</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F</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Reyes-Romero</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A</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Rodrı´guez-Va´zquez</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L</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Martı´nez-</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Saldan˜a</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C</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2010</w:t>
      </w:r>
      <w:r w:rsidR="007D00E1"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Ginkgo</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lastRenderedPageBreak/>
        <w:t>biloba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damage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single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dose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CCl4</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male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Human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Experimental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Toxicology,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30</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209-216.</w:t>
      </w:r>
    </w:p>
    <w:p w:rsidR="00A94796" w:rsidRPr="006B7377" w:rsidRDefault="00115004"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El-Habibi</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M</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Sirag</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M</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Edrees</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M</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2009</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Comparative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between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Chitosan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Chitosan-cu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complex</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CCl4</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damage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Egypt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Hosp.</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36:397-</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405.</w:t>
      </w:r>
      <w:r w:rsidR="006B7377">
        <w:rPr>
          <w:rFonts w:ascii="Times New Roman" w:hAnsi="Times New Roman" w:cs="Times New Roman"/>
          <w:sz w:val="20"/>
          <w:szCs w:val="20"/>
        </w:rPr>
        <w:t xml:space="preserve"> </w:t>
      </w:r>
    </w:p>
    <w:p w:rsidR="00A94796" w:rsidRPr="006B7377" w:rsidRDefault="00115004"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Al-Dosari</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S</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2010</w:t>
      </w:r>
      <w:r w:rsidR="007D00E1"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effectiveness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ethanolic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Amaranthus</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tricolor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natural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agent.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38(6):1051-1064.</w:t>
      </w:r>
    </w:p>
    <w:p w:rsidR="00A94796" w:rsidRPr="006B7377" w:rsidRDefault="00115004"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Boll</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Weber</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Becker</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Stampfl</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2001</w:t>
      </w:r>
      <w:r w:rsidR="007D00E1"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Pathogenesis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carbon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tetrachloride-induced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hepatocyte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injury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bioactivation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CCl4</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cytochrome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P450</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lipid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homeostasis.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Z</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Naturforsch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56(1-2):111-121.</w:t>
      </w:r>
    </w:p>
    <w:p w:rsidR="00A94796" w:rsidRPr="006B7377" w:rsidRDefault="00115004"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Lieber</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S</w:t>
      </w:r>
      <w:r w:rsidR="00E13BFB" w:rsidRPr="006B7377">
        <w:rPr>
          <w:rFonts w:ascii="Times New Roman" w:hAnsi="Times New Roman" w:cs="Times New Roman"/>
          <w:sz w:val="20"/>
          <w:szCs w:val="20"/>
        </w:rPr>
        <w:t>.</w:t>
      </w:r>
      <w:r w:rsidR="007D00E1" w:rsidRPr="006B7377">
        <w:rPr>
          <w:rFonts w:ascii="Times New Roman" w:hAnsi="Times New Roman" w:cs="Times New Roman"/>
          <w:sz w:val="20"/>
          <w:szCs w:val="20"/>
        </w:rPr>
        <w:t>2000.</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Alcoholic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disease: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new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insights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pathogenesis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lead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new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treatments.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32(1):113-128.</w:t>
      </w:r>
      <w:r w:rsidR="006B7377">
        <w:rPr>
          <w:rFonts w:ascii="Times New Roman" w:hAnsi="Times New Roman" w:cs="Times New Roman"/>
          <w:sz w:val="20"/>
          <w:szCs w:val="20"/>
        </w:rPr>
        <w:t xml:space="preserve"> </w:t>
      </w:r>
    </w:p>
    <w:p w:rsidR="00A94796" w:rsidRPr="006B7377" w:rsidRDefault="00115004"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Oteiza</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Erlejman</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Verstraeten</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Keen</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Fraga</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2005</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Flavonoid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membrane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interactions: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role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flavonoids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the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membrane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surface.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Clin.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Dev.</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Immunol.,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12:</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19-25.</w:t>
      </w:r>
    </w:p>
    <w:p w:rsidR="00B70A1F" w:rsidRPr="006B7377" w:rsidRDefault="00115004"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Bhendrich</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A</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2006</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Flavonoid-membrane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interactions: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possible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consequences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for</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biological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some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polyphenolic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compounds.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Acta.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Pharmacol.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Sinica.,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27:</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27-</w:t>
      </w:r>
      <w:r w:rsidR="007D00E1" w:rsidRPr="006B7377">
        <w:rPr>
          <w:rFonts w:ascii="Times New Roman" w:hAnsi="Times New Roman" w:cs="Times New Roman"/>
          <w:sz w:val="20"/>
          <w:szCs w:val="20"/>
        </w:rPr>
        <w:t>40.</w:t>
      </w:r>
    </w:p>
    <w:p w:rsidR="007D00E1" w:rsidRPr="006B7377" w:rsidRDefault="007D00E1"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Luengthanaphol</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Mongkholkhajornsilp</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Douglas</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Douglas</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L</w:t>
      </w:r>
      <w:r w:rsidR="00E13BFB"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Pengsopa</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w:t>
      </w:r>
      <w:r w:rsidR="00E13BFB"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lastRenderedPageBreak/>
        <w:t>Pongamphai</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2004.</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antioxidants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from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sweet</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Thai</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tamarind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seed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coat: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Preliminary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experiments.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Food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Eng.</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63(3):247-252.</w:t>
      </w:r>
    </w:p>
    <w:p w:rsidR="007D00E1" w:rsidRPr="006B7377" w:rsidRDefault="007D00E1"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Ayoola</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A</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Folawewo</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D</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Adesegun</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A</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Abioro</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O</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Adepoju-Bello</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A</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Coker</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B.</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2008.</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Phytochemical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antioxidant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screening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some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plants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apocynaceae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from</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South</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West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Nigeria.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Afri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Plant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Sci.</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2(9):124-128.</w:t>
      </w:r>
    </w:p>
    <w:p w:rsidR="007D00E1" w:rsidRPr="006B7377" w:rsidRDefault="007D00E1"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Asuku</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Atawodi</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E</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Onyike</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2012.</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Antioxidant,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ameliorative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methanolic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leaves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Grewiamollis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Juss.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carbon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tetrachloride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treated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albino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Food.</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15(1):83-88.</w:t>
      </w:r>
      <w:r w:rsidR="006B7377">
        <w:rPr>
          <w:rFonts w:ascii="Times New Roman" w:hAnsi="Times New Roman" w:cs="Times New Roman"/>
          <w:sz w:val="20"/>
          <w:szCs w:val="20"/>
        </w:rPr>
        <w:t xml:space="preserve"> </w:t>
      </w:r>
    </w:p>
    <w:p w:rsidR="00C811FB" w:rsidRPr="006B7377" w:rsidRDefault="007D00E1"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Atawodi</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S</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E</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Liman</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L</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Onyike</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w:t>
      </w:r>
      <w:r w:rsidR="00FF26C0" w:rsidRPr="006B7377">
        <w:rPr>
          <w:rFonts w:ascii="Times New Roman" w:hAnsi="Times New Roman" w:cs="Times New Roman"/>
          <w:sz w:val="20"/>
          <w:szCs w:val="20"/>
        </w:rPr>
        <w:t>.</w:t>
      </w:r>
      <w:r w:rsidRPr="006B7377">
        <w:rPr>
          <w:rFonts w:ascii="Times New Roman" w:hAnsi="Times New Roman" w:cs="Times New Roman"/>
          <w:sz w:val="20"/>
          <w:szCs w:val="20"/>
        </w:rPr>
        <w:t>O.</w:t>
      </w:r>
      <w:r w:rsidR="00FF26C0" w:rsidRPr="006B7377">
        <w:rPr>
          <w:rFonts w:ascii="Times New Roman" w:hAnsi="Times New Roman" w:cs="Times New Roman"/>
          <w:sz w:val="20"/>
          <w:szCs w:val="20"/>
        </w:rPr>
        <w:t>2013.</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Antioxidant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methanolic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Tamarindus</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indica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Linn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following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acute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chronic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carbon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tetrachloride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induced</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liver</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injury.</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Int’l</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Agric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Biol</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15:410-418.</w:t>
      </w:r>
    </w:p>
    <w:p w:rsidR="007D00E1" w:rsidRPr="006B7377" w:rsidRDefault="00C811FB"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Liman,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Atawodi</w:t>
      </w:r>
      <w:r w:rsidR="005D7954" w:rsidRPr="006B7377">
        <w:rPr>
          <w:rFonts w:ascii="Times New Roman" w:hAnsi="Times New Roman" w:cs="Times New Roman"/>
          <w:sz w:val="20"/>
          <w:szCs w:val="20"/>
        </w:rPr>
        <w:t>,</w:t>
      </w:r>
      <w:r w:rsidR="005D7954">
        <w:rPr>
          <w:rFonts w:ascii="Times New Roman" w:hAnsi="Times New Roman" w:cs="Times New Roman"/>
          <w:sz w:val="20"/>
          <w:szCs w:val="20"/>
        </w:rPr>
        <w:t xml:space="preserve"> </w:t>
      </w:r>
      <w:r w:rsidR="005D7954" w:rsidRPr="006B7377">
        <w:rPr>
          <w:rFonts w:ascii="Times New Roman" w:hAnsi="Times New Roman" w:cs="Times New Roman"/>
          <w:sz w:val="20"/>
          <w:szCs w:val="20"/>
        </w:rPr>
        <w:t>S</w:t>
      </w:r>
      <w:r w:rsidRPr="006B7377">
        <w:rPr>
          <w:rFonts w:ascii="Times New Roman" w:hAnsi="Times New Roman" w:cs="Times New Roman"/>
          <w:sz w:val="20"/>
          <w:szCs w:val="20"/>
        </w:rPr>
        <w:t>.E.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2015.</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Hepatoprotective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n</w:t>
      </w:r>
      <w:r w:rsidRPr="006B7377">
        <w:rPr>
          <w:rFonts w:ascii="Times New Roman" w:hAnsi="Times New Roman" w:cs="Times New Roman"/>
          <w:sz w:val="20"/>
          <w:szCs w:val="20"/>
        </w:rPr>
        <w:t>ephro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protective</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e</w:t>
      </w:r>
      <w:r w:rsidRPr="006B7377">
        <w:rPr>
          <w:rFonts w:ascii="Times New Roman" w:hAnsi="Times New Roman" w:cs="Times New Roman"/>
          <w:sz w:val="20"/>
          <w:szCs w:val="20"/>
        </w:rPr>
        <w:t>ffects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m</w:t>
      </w:r>
      <w:r w:rsidRPr="006B7377">
        <w:rPr>
          <w:rFonts w:ascii="Times New Roman" w:hAnsi="Times New Roman" w:cs="Times New Roman"/>
          <w:sz w:val="20"/>
          <w:szCs w:val="20"/>
        </w:rPr>
        <w:t>ethanolic</w:t>
      </w:r>
      <w:r w:rsidR="00FF26C0" w:rsidRPr="006B7377">
        <w:rPr>
          <w:rFonts w:ascii="Times New Roman" w:hAnsi="Times New Roman" w:cs="Times New Roman"/>
          <w:sz w:val="20"/>
          <w:szCs w:val="20"/>
        </w:rPr>
        <w:t>e</w:t>
      </w:r>
      <w:r w:rsidRPr="006B7377">
        <w:rPr>
          <w:rFonts w:ascii="Times New Roman" w:hAnsi="Times New Roman" w:cs="Times New Roman"/>
          <w:sz w:val="20"/>
          <w:szCs w:val="20"/>
        </w:rPr>
        <w:t>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d</w:t>
      </w:r>
      <w:r w:rsidRPr="006B7377">
        <w:rPr>
          <w:rFonts w:ascii="Times New Roman" w:hAnsi="Times New Roman" w:cs="Times New Roman"/>
          <w:sz w:val="20"/>
          <w:szCs w:val="20"/>
        </w:rPr>
        <w:t>ifferent</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p</w:t>
      </w:r>
      <w:r w:rsidRPr="006B7377">
        <w:rPr>
          <w:rFonts w:ascii="Times New Roman" w:hAnsi="Times New Roman" w:cs="Times New Roman"/>
          <w:sz w:val="20"/>
          <w:szCs w:val="20"/>
        </w:rPr>
        <w:t>arts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Tamarindus</w:t>
      </w:r>
      <w:r w:rsidR="006B7377">
        <w:rPr>
          <w:rFonts w:ascii="Times New Roman" w:hAnsi="Times New Roman" w:cs="Times New Roman"/>
          <w:i/>
          <w:iCs/>
          <w:sz w:val="20"/>
          <w:szCs w:val="20"/>
        </w:rPr>
        <w:t xml:space="preserve"> </w:t>
      </w:r>
      <w:r w:rsidR="00FF26C0" w:rsidRPr="006B7377">
        <w:rPr>
          <w:rFonts w:ascii="Times New Roman" w:hAnsi="Times New Roman" w:cs="Times New Roman"/>
          <w:i/>
          <w:iCs/>
          <w:sz w:val="20"/>
          <w:szCs w:val="20"/>
        </w:rPr>
        <w:t>i</w:t>
      </w:r>
      <w:r w:rsidRPr="006B7377">
        <w:rPr>
          <w:rFonts w:ascii="Times New Roman" w:hAnsi="Times New Roman" w:cs="Times New Roman"/>
          <w:i/>
          <w:iCs/>
          <w:sz w:val="20"/>
          <w:szCs w:val="20"/>
        </w:rPr>
        <w:t>ndica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Linn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r</w:t>
      </w:r>
      <w:r w:rsidRPr="006B7377">
        <w:rPr>
          <w:rFonts w:ascii="Times New Roman" w:hAnsi="Times New Roman" w:cs="Times New Roman"/>
          <w:sz w:val="20"/>
          <w:szCs w:val="20"/>
        </w:rPr>
        <w:t>ats</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f</w:t>
      </w:r>
      <w:r w:rsidRPr="006B7377">
        <w:rPr>
          <w:rFonts w:ascii="Times New Roman" w:hAnsi="Times New Roman" w:cs="Times New Roman"/>
          <w:sz w:val="20"/>
          <w:szCs w:val="20"/>
        </w:rPr>
        <w:t>ollowing</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a</w:t>
      </w:r>
      <w:r w:rsidRPr="006B7377">
        <w:rPr>
          <w:rFonts w:ascii="Times New Roman" w:hAnsi="Times New Roman" w:cs="Times New Roman"/>
          <w:sz w:val="20"/>
          <w:szCs w:val="20"/>
        </w:rPr>
        <w:t>cute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c</w:t>
      </w:r>
      <w:r w:rsidRPr="006B7377">
        <w:rPr>
          <w:rFonts w:ascii="Times New Roman" w:hAnsi="Times New Roman" w:cs="Times New Roman"/>
          <w:sz w:val="20"/>
          <w:szCs w:val="20"/>
        </w:rPr>
        <w:t>hronic</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c</w:t>
      </w:r>
      <w:r w:rsidRPr="006B7377">
        <w:rPr>
          <w:rFonts w:ascii="Times New Roman" w:hAnsi="Times New Roman" w:cs="Times New Roman"/>
          <w:sz w:val="20"/>
          <w:szCs w:val="20"/>
        </w:rPr>
        <w:t>arbon</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t</w:t>
      </w:r>
      <w:r w:rsidRPr="006B7377">
        <w:rPr>
          <w:rFonts w:ascii="Times New Roman" w:hAnsi="Times New Roman" w:cs="Times New Roman"/>
          <w:sz w:val="20"/>
          <w:szCs w:val="20"/>
        </w:rPr>
        <w:t>etrachloride</w:t>
      </w:r>
      <w:r w:rsidR="006B7377">
        <w:rPr>
          <w:rFonts w:ascii="Times New Roman" w:hAnsi="Times New Roman" w:cs="Times New Roman"/>
          <w:sz w:val="20"/>
          <w:szCs w:val="20"/>
        </w:rPr>
        <w:t xml:space="preserve"> </w:t>
      </w:r>
      <w:r w:rsidR="00FF26C0" w:rsidRPr="006B7377">
        <w:rPr>
          <w:rFonts w:ascii="Times New Roman" w:hAnsi="Times New Roman" w:cs="Times New Roman"/>
          <w:sz w:val="20"/>
          <w:szCs w:val="20"/>
        </w:rPr>
        <w:t>i</w:t>
      </w:r>
      <w:r w:rsidRPr="006B7377">
        <w:rPr>
          <w:rFonts w:ascii="Times New Roman" w:hAnsi="Times New Roman" w:cs="Times New Roman"/>
          <w:sz w:val="20"/>
          <w:szCs w:val="20"/>
        </w:rPr>
        <w:t>ntoxication.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Annual</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Research</w:t>
      </w:r>
      <w:r w:rsidR="006B7377">
        <w:rPr>
          <w:rFonts w:ascii="Times New Roman" w:hAnsi="Times New Roman" w:cs="Times New Roman"/>
          <w:sz w:val="20"/>
          <w:szCs w:val="20"/>
        </w:rPr>
        <w:t xml:space="preserve"> </w:t>
      </w:r>
      <w:r w:rsidR="006B7377" w:rsidRPr="006B7377">
        <w:rPr>
          <w:rFonts w:ascii="Times New Roman" w:hAnsi="Times New Roman" w:cs="Times New Roman"/>
          <w:sz w:val="20"/>
          <w:szCs w:val="20"/>
        </w:rPr>
        <w:t>&amp;</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Review</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Biology,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5(2):</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109-123.</w:t>
      </w:r>
    </w:p>
    <w:p w:rsidR="006B7377" w:rsidRPr="006B7377" w:rsidRDefault="00E13BFB" w:rsidP="005D7954">
      <w:pPr>
        <w:pStyle w:val="ListParagraph"/>
        <w:widowControl w:val="0"/>
        <w:numPr>
          <w:ilvl w:val="0"/>
          <w:numId w:val="9"/>
        </w:numPr>
        <w:tabs>
          <w:tab w:val="left" w:pos="603"/>
        </w:tabs>
        <w:autoSpaceDE w:val="0"/>
        <w:autoSpaceDN w:val="0"/>
        <w:bidi w:val="0"/>
        <w:snapToGrid w:val="0"/>
        <w:spacing w:after="0" w:line="240" w:lineRule="auto"/>
        <w:ind w:left="425" w:hanging="425"/>
        <w:jc w:val="both"/>
        <w:rPr>
          <w:rFonts w:ascii="Times New Roman" w:hAnsi="Times New Roman" w:cs="Times New Roman"/>
          <w:sz w:val="20"/>
          <w:szCs w:val="20"/>
        </w:rPr>
      </w:pPr>
      <w:r w:rsidRPr="006B7377">
        <w:rPr>
          <w:rFonts w:ascii="Times New Roman" w:hAnsi="Times New Roman" w:cs="Times New Roman"/>
          <w:sz w:val="20"/>
          <w:szCs w:val="20"/>
        </w:rPr>
        <w:t>Atangwho,</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Ebong,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P.E.,</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Eteng,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M.U.,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Eyong,</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and</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Obi,</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A.U.</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2007.</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Effects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i/>
          <w:iCs/>
          <w:sz w:val="20"/>
          <w:szCs w:val="20"/>
        </w:rPr>
        <w:t>Vernoni</w:t>
      </w:r>
      <w:r w:rsidR="006B7377">
        <w:rPr>
          <w:rFonts w:ascii="Times New Roman" w:hAnsi="Times New Roman" w:cs="Times New Roman"/>
          <w:i/>
          <w:iCs/>
          <w:sz w:val="20"/>
          <w:szCs w:val="20"/>
        </w:rPr>
        <w:t xml:space="preserve"> </w:t>
      </w:r>
      <w:r w:rsidRPr="006B7377">
        <w:rPr>
          <w:rFonts w:ascii="Times New Roman" w:hAnsi="Times New Roman" w:cs="Times New Roman"/>
          <w:i/>
          <w:iCs/>
          <w:sz w:val="20"/>
          <w:szCs w:val="20"/>
        </w:rPr>
        <w:t>amygdalina</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leaf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extract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kidney</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function</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of</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diabetic</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Rats.</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Int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J</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Pharmacol.</w:t>
      </w:r>
      <w:r w:rsidR="00FF26C0" w:rsidRPr="006B7377">
        <w:rPr>
          <w:rFonts w:ascii="Times New Roman" w:hAnsi="Times New Roman" w:cs="Times New Roman"/>
          <w:sz w:val="20"/>
          <w:szCs w:val="20"/>
        </w:rPr>
        <w:t>,</w:t>
      </w:r>
      <w:r w:rsidR="006B7377">
        <w:rPr>
          <w:rFonts w:ascii="Times New Roman" w:hAnsi="Times New Roman" w:cs="Times New Roman"/>
          <w:sz w:val="20"/>
          <w:szCs w:val="20"/>
        </w:rPr>
        <w:t xml:space="preserve"> </w:t>
      </w:r>
      <w:r w:rsidRPr="006B7377">
        <w:rPr>
          <w:rFonts w:ascii="Times New Roman" w:hAnsi="Times New Roman" w:cs="Times New Roman"/>
          <w:sz w:val="20"/>
          <w:szCs w:val="20"/>
        </w:rPr>
        <w:t>3(2):143-148.</w:t>
      </w:r>
    </w:p>
    <w:p w:rsidR="006B7377" w:rsidRDefault="006B7377" w:rsidP="005D7954">
      <w:pPr>
        <w:pStyle w:val="Default"/>
        <w:snapToGrid w:val="0"/>
        <w:ind w:left="425" w:hanging="425"/>
        <w:jc w:val="both"/>
        <w:rPr>
          <w:sz w:val="20"/>
          <w:szCs w:val="20"/>
        </w:rPr>
        <w:sectPr w:rsidR="006B7377" w:rsidSect="005D7954">
          <w:type w:val="continuous"/>
          <w:pgSz w:w="12240" w:h="15840"/>
          <w:pgMar w:top="1440" w:right="1440" w:bottom="1440" w:left="1440" w:header="720" w:footer="720" w:gutter="0"/>
          <w:cols w:num="2" w:space="550"/>
          <w:docGrid w:linePitch="360"/>
        </w:sectPr>
      </w:pPr>
    </w:p>
    <w:p w:rsidR="0065087E" w:rsidRPr="006B7377" w:rsidRDefault="006B7377" w:rsidP="005D7954">
      <w:pPr>
        <w:pStyle w:val="Default"/>
        <w:snapToGrid w:val="0"/>
        <w:ind w:left="425" w:hanging="425"/>
        <w:jc w:val="both"/>
        <w:rPr>
          <w:sz w:val="20"/>
          <w:szCs w:val="20"/>
          <w:lang w:eastAsia="zh-CN" w:bidi="ar-EG"/>
        </w:rPr>
      </w:pPr>
      <w:r>
        <w:rPr>
          <w:sz w:val="20"/>
          <w:szCs w:val="20"/>
        </w:rPr>
        <w:lastRenderedPageBreak/>
        <w:cr/>
      </w:r>
      <w:r w:rsidR="005D7954">
        <w:rPr>
          <w:rFonts w:hint="eastAsia"/>
          <w:sz w:val="20"/>
          <w:szCs w:val="20"/>
          <w:lang w:eastAsia="zh-CN"/>
        </w:rPr>
        <w:t xml:space="preserve"> </w:t>
      </w:r>
    </w:p>
    <w:p w:rsidR="006B7377" w:rsidRPr="005D7954" w:rsidRDefault="006B7377" w:rsidP="005D7954">
      <w:pPr>
        <w:bidi w:val="0"/>
        <w:snapToGrid w:val="0"/>
        <w:spacing w:after="0" w:line="240" w:lineRule="auto"/>
        <w:ind w:left="425" w:hanging="425"/>
        <w:jc w:val="both"/>
        <w:rPr>
          <w:rFonts w:ascii="Times New Roman" w:hAnsi="Times New Roman" w:cs="Times New Roman"/>
          <w:sz w:val="20"/>
          <w:szCs w:val="20"/>
        </w:rPr>
      </w:pPr>
    </w:p>
    <w:p w:rsidR="00E344F8" w:rsidRPr="005D7954" w:rsidRDefault="006B7377" w:rsidP="005D7954">
      <w:pPr>
        <w:bidi w:val="0"/>
        <w:snapToGrid w:val="0"/>
        <w:spacing w:after="0" w:line="240" w:lineRule="auto"/>
        <w:ind w:left="425" w:hanging="425"/>
        <w:jc w:val="both"/>
        <w:rPr>
          <w:rFonts w:ascii="Times New Roman" w:hAnsi="Times New Roman" w:cs="Times New Roman"/>
          <w:sz w:val="20"/>
          <w:szCs w:val="20"/>
        </w:rPr>
      </w:pPr>
      <w:r w:rsidRPr="005D7954">
        <w:rPr>
          <w:rFonts w:ascii="Times New Roman" w:hAnsi="Times New Roman" w:cs="Times New Roman"/>
          <w:sz w:val="20"/>
          <w:szCs w:val="20"/>
        </w:rPr>
        <w:t>4/24/2018</w:t>
      </w:r>
    </w:p>
    <w:sectPr w:rsidR="00E344F8" w:rsidRPr="005D7954" w:rsidSect="006B7377">
      <w:type w:val="continuous"/>
      <w:pgSz w:w="12240" w:h="15840"/>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770" w:rsidRDefault="00F40770" w:rsidP="00947CD2">
      <w:pPr>
        <w:spacing w:after="0" w:line="240" w:lineRule="auto"/>
      </w:pPr>
      <w:r>
        <w:separator/>
      </w:r>
    </w:p>
  </w:endnote>
  <w:endnote w:type="continuationSeparator" w:id="0">
    <w:p w:rsidR="00F40770" w:rsidRDefault="00F40770" w:rsidP="00947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54" w:rsidRPr="00031727" w:rsidRDefault="005C22CB" w:rsidP="00031727">
    <w:pPr>
      <w:bidi w:val="0"/>
      <w:spacing w:after="0" w:line="240" w:lineRule="auto"/>
      <w:jc w:val="center"/>
      <w:rPr>
        <w:rFonts w:ascii="Times New Roman" w:hAnsi="Times New Roman" w:cs="Times New Roman"/>
        <w:sz w:val="20"/>
      </w:rPr>
    </w:pPr>
    <w:r w:rsidRPr="00031727">
      <w:rPr>
        <w:rFonts w:ascii="Times New Roman" w:hAnsi="Times New Roman" w:cs="Times New Roman"/>
        <w:sz w:val="20"/>
      </w:rPr>
      <w:fldChar w:fldCharType="begin"/>
    </w:r>
    <w:r w:rsidR="00031727" w:rsidRPr="00031727">
      <w:rPr>
        <w:rFonts w:ascii="Times New Roman" w:hAnsi="Times New Roman" w:cs="Times New Roman"/>
        <w:sz w:val="20"/>
      </w:rPr>
      <w:instrText xml:space="preserve"> page </w:instrText>
    </w:r>
    <w:r w:rsidRPr="00031727">
      <w:rPr>
        <w:rFonts w:ascii="Times New Roman" w:hAnsi="Times New Roman" w:cs="Times New Roman"/>
        <w:sz w:val="20"/>
      </w:rPr>
      <w:fldChar w:fldCharType="separate"/>
    </w:r>
    <w:r w:rsidR="00281176">
      <w:rPr>
        <w:rFonts w:ascii="Times New Roman" w:hAnsi="Times New Roman" w:cs="Times New Roman"/>
        <w:noProof/>
        <w:sz w:val="20"/>
      </w:rPr>
      <w:t>63</w:t>
    </w:r>
    <w:r w:rsidRPr="0003172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770" w:rsidRDefault="00F40770" w:rsidP="00947CD2">
      <w:pPr>
        <w:spacing w:after="0" w:line="240" w:lineRule="auto"/>
      </w:pPr>
      <w:r>
        <w:separator/>
      </w:r>
    </w:p>
  </w:footnote>
  <w:footnote w:type="continuationSeparator" w:id="0">
    <w:p w:rsidR="00F40770" w:rsidRDefault="00F40770" w:rsidP="00947C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27" w:rsidRPr="00031727" w:rsidRDefault="00031727" w:rsidP="0003172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31727">
      <w:rPr>
        <w:rFonts w:ascii="Times New Roman" w:hAnsi="Times New Roman" w:cs="Times New Roman" w:hint="eastAsia"/>
        <w:sz w:val="20"/>
        <w:szCs w:val="20"/>
      </w:rPr>
      <w:tab/>
    </w:r>
    <w:r w:rsidRPr="00031727">
      <w:rPr>
        <w:rFonts w:ascii="Times New Roman" w:hAnsi="Times New Roman" w:cs="Times New Roman"/>
        <w:sz w:val="20"/>
        <w:szCs w:val="20"/>
      </w:rPr>
      <w:t>New York Science Journal 201</w:t>
    </w:r>
    <w:r w:rsidRPr="00031727">
      <w:rPr>
        <w:rFonts w:ascii="Times New Roman" w:hAnsi="Times New Roman" w:cs="Times New Roman" w:hint="eastAsia"/>
        <w:sz w:val="20"/>
        <w:szCs w:val="20"/>
      </w:rPr>
      <w:t>8</w:t>
    </w:r>
    <w:r w:rsidRPr="00031727">
      <w:rPr>
        <w:rFonts w:ascii="Times New Roman" w:hAnsi="Times New Roman" w:cs="Times New Roman"/>
        <w:sz w:val="20"/>
        <w:szCs w:val="20"/>
      </w:rPr>
      <w:t>;</w:t>
    </w:r>
    <w:r w:rsidRPr="00031727">
      <w:rPr>
        <w:rFonts w:ascii="Times New Roman" w:hAnsi="Times New Roman" w:cs="Times New Roman" w:hint="eastAsia"/>
        <w:sz w:val="20"/>
        <w:szCs w:val="20"/>
      </w:rPr>
      <w:t>11</w:t>
    </w:r>
    <w:r w:rsidRPr="00031727">
      <w:rPr>
        <w:rFonts w:ascii="Times New Roman" w:hAnsi="Times New Roman" w:cs="Times New Roman"/>
        <w:sz w:val="20"/>
        <w:szCs w:val="20"/>
      </w:rPr>
      <w:t>(</w:t>
    </w:r>
    <w:r w:rsidRPr="00031727">
      <w:rPr>
        <w:rFonts w:ascii="Times New Roman" w:hAnsi="Times New Roman" w:cs="Times New Roman" w:hint="eastAsia"/>
        <w:sz w:val="20"/>
        <w:szCs w:val="20"/>
      </w:rPr>
      <w:t>4</w:t>
    </w:r>
    <w:r w:rsidRPr="00031727">
      <w:rPr>
        <w:rFonts w:ascii="Times New Roman" w:hAnsi="Times New Roman" w:cs="Times New Roman"/>
        <w:sz w:val="20"/>
        <w:szCs w:val="20"/>
      </w:rPr>
      <w:t>)</w:t>
    </w:r>
    <w:r w:rsidRPr="00031727">
      <w:rPr>
        <w:rFonts w:ascii="Times New Roman" w:hAnsi="Times New Roman" w:cs="Times New Roman"/>
        <w:iCs/>
        <w:sz w:val="20"/>
        <w:szCs w:val="20"/>
      </w:rPr>
      <w:t xml:space="preserve">     </w:t>
    </w:r>
    <w:r w:rsidRPr="00031727">
      <w:rPr>
        <w:rFonts w:ascii="Times New Roman" w:hAnsi="Times New Roman" w:cs="Times New Roman" w:hint="eastAsia"/>
        <w:iCs/>
        <w:sz w:val="20"/>
        <w:szCs w:val="20"/>
      </w:rPr>
      <w:tab/>
    </w:r>
    <w:r w:rsidRPr="00031727">
      <w:rPr>
        <w:rFonts w:ascii="Times New Roman" w:hAnsi="Times New Roman" w:cs="Times New Roman"/>
        <w:iCs/>
        <w:sz w:val="20"/>
        <w:szCs w:val="20"/>
      </w:rPr>
      <w:t xml:space="preserve"> </w:t>
    </w:r>
    <w:r w:rsidRPr="00031727">
      <w:rPr>
        <w:rFonts w:ascii="Times New Roman" w:hAnsi="Times New Roman" w:cs="Times New Roman" w:hint="eastAsia"/>
        <w:iCs/>
        <w:sz w:val="20"/>
        <w:szCs w:val="20"/>
      </w:rPr>
      <w:t xml:space="preserve"> </w:t>
    </w:r>
    <w:r w:rsidRPr="00031727">
      <w:rPr>
        <w:rFonts w:ascii="Times New Roman" w:hAnsi="Times New Roman" w:cs="Times New Roman"/>
        <w:iCs/>
        <w:sz w:val="20"/>
        <w:szCs w:val="20"/>
      </w:rPr>
      <w:t xml:space="preserve">   </w:t>
    </w:r>
    <w:hyperlink r:id="rId1" w:history="1">
      <w:r w:rsidRPr="00031727">
        <w:rPr>
          <w:rStyle w:val="Hyperlink"/>
          <w:rFonts w:ascii="Times New Roman" w:hAnsi="Times New Roman" w:cs="Times New Roman"/>
          <w:sz w:val="20"/>
          <w:szCs w:val="20"/>
        </w:rPr>
        <w:t>http://www.sciencepub.net/newyork</w:t>
      </w:r>
    </w:hyperlink>
  </w:p>
  <w:p w:rsidR="00031727" w:rsidRPr="00031727" w:rsidRDefault="00031727" w:rsidP="0003172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852"/>
    <w:multiLevelType w:val="hybridMultilevel"/>
    <w:tmpl w:val="1D4668C0"/>
    <w:lvl w:ilvl="0" w:tplc="4ED819E8">
      <w:start w:val="1"/>
      <w:numFmt w:val="decimal"/>
      <w:lvlText w:val="%1."/>
      <w:lvlJc w:val="left"/>
      <w:pPr>
        <w:tabs>
          <w:tab w:val="num" w:pos="0"/>
        </w:tabs>
        <w:ind w:left="340" w:hanging="340"/>
      </w:pPr>
      <w:rPr>
        <w:rFonts w:ascii="Times New Roman" w:hAnsi="Times New Roman" w:cs="Times New Roman"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5D2F34"/>
    <w:multiLevelType w:val="hybridMultilevel"/>
    <w:tmpl w:val="1F3473EE"/>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
    <w:nsid w:val="23D278E6"/>
    <w:multiLevelType w:val="hybridMultilevel"/>
    <w:tmpl w:val="BB0C4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404BC"/>
    <w:multiLevelType w:val="hybridMultilevel"/>
    <w:tmpl w:val="B4BE738E"/>
    <w:lvl w:ilvl="0" w:tplc="B5CCC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924790"/>
    <w:multiLevelType w:val="hybridMultilevel"/>
    <w:tmpl w:val="9960A1B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433C5"/>
    <w:multiLevelType w:val="multilevel"/>
    <w:tmpl w:val="B210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E14C5B"/>
    <w:multiLevelType w:val="multilevel"/>
    <w:tmpl w:val="1E70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8B1826"/>
    <w:multiLevelType w:val="hybridMultilevel"/>
    <w:tmpl w:val="4F46AF76"/>
    <w:lvl w:ilvl="0" w:tplc="82846580">
      <w:start w:val="1"/>
      <w:numFmt w:val="decimal"/>
      <w:lvlText w:val="%1-"/>
      <w:lvlJc w:val="left"/>
      <w:pPr>
        <w:ind w:left="720" w:hanging="360"/>
      </w:pPr>
      <w:rPr>
        <w:rFonts w:asciiTheme="minorHAnsi" w:hAnsiTheme="minorHAnsi" w:cstheme="minorBidi" w:hint="default"/>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534558"/>
    <w:multiLevelType w:val="singleLevel"/>
    <w:tmpl w:val="6E1C8B2A"/>
    <w:lvl w:ilvl="0">
      <w:start w:val="1"/>
      <w:numFmt w:val="decimal"/>
      <w:pStyle w:val="References"/>
      <w:lvlText w:val="[%1]"/>
      <w:lvlJc w:val="left"/>
      <w:pPr>
        <w:tabs>
          <w:tab w:val="num" w:pos="360"/>
        </w:tabs>
        <w:ind w:left="360" w:hanging="360"/>
      </w:pPr>
      <w:rPr>
        <w:sz w:val="20"/>
        <w:szCs w:val="20"/>
      </w:rPr>
    </w:lvl>
  </w:abstractNum>
  <w:num w:numId="1">
    <w:abstractNumId w:val="8"/>
  </w:num>
  <w:num w:numId="2">
    <w:abstractNumId w:val="0"/>
  </w:num>
  <w:num w:numId="3">
    <w:abstractNumId w:val="3"/>
  </w:num>
  <w:num w:numId="4">
    <w:abstractNumId w:val="7"/>
  </w:num>
  <w:num w:numId="5">
    <w:abstractNumId w:val="6"/>
  </w:num>
  <w:num w:numId="6">
    <w:abstractNumId w:val="5"/>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132E4B"/>
    <w:rsid w:val="0000577A"/>
    <w:rsid w:val="00006B6E"/>
    <w:rsid w:val="000121E9"/>
    <w:rsid w:val="0001231C"/>
    <w:rsid w:val="00012390"/>
    <w:rsid w:val="00012769"/>
    <w:rsid w:val="00015AE2"/>
    <w:rsid w:val="000164E5"/>
    <w:rsid w:val="00020B33"/>
    <w:rsid w:val="00022557"/>
    <w:rsid w:val="00023B9E"/>
    <w:rsid w:val="000258B1"/>
    <w:rsid w:val="00025F8F"/>
    <w:rsid w:val="000306C8"/>
    <w:rsid w:val="00031727"/>
    <w:rsid w:val="00032688"/>
    <w:rsid w:val="000355E5"/>
    <w:rsid w:val="00037D94"/>
    <w:rsid w:val="00041CF5"/>
    <w:rsid w:val="00041E26"/>
    <w:rsid w:val="000422C9"/>
    <w:rsid w:val="00045BFB"/>
    <w:rsid w:val="0005047D"/>
    <w:rsid w:val="00050D43"/>
    <w:rsid w:val="000518C6"/>
    <w:rsid w:val="000525A2"/>
    <w:rsid w:val="0005270F"/>
    <w:rsid w:val="00056F8A"/>
    <w:rsid w:val="00061232"/>
    <w:rsid w:val="00061E7F"/>
    <w:rsid w:val="00063F59"/>
    <w:rsid w:val="00065D85"/>
    <w:rsid w:val="00066339"/>
    <w:rsid w:val="0007075D"/>
    <w:rsid w:val="00071851"/>
    <w:rsid w:val="000773B0"/>
    <w:rsid w:val="0008498D"/>
    <w:rsid w:val="00084C45"/>
    <w:rsid w:val="0009143A"/>
    <w:rsid w:val="0009532B"/>
    <w:rsid w:val="0009651F"/>
    <w:rsid w:val="000978CB"/>
    <w:rsid w:val="00097FF1"/>
    <w:rsid w:val="000A2A38"/>
    <w:rsid w:val="000A30AF"/>
    <w:rsid w:val="000A595C"/>
    <w:rsid w:val="000A78D9"/>
    <w:rsid w:val="000B0AB5"/>
    <w:rsid w:val="000B22C3"/>
    <w:rsid w:val="000B245F"/>
    <w:rsid w:val="000B3528"/>
    <w:rsid w:val="000C1B9A"/>
    <w:rsid w:val="000C3C37"/>
    <w:rsid w:val="000C6AD9"/>
    <w:rsid w:val="000C6B11"/>
    <w:rsid w:val="000D11B1"/>
    <w:rsid w:val="000D3069"/>
    <w:rsid w:val="000D6862"/>
    <w:rsid w:val="000E1353"/>
    <w:rsid w:val="000E2FC3"/>
    <w:rsid w:val="000E375E"/>
    <w:rsid w:val="000E3B97"/>
    <w:rsid w:val="000E42BE"/>
    <w:rsid w:val="000E520A"/>
    <w:rsid w:val="000E586C"/>
    <w:rsid w:val="000E7FD7"/>
    <w:rsid w:val="000F2318"/>
    <w:rsid w:val="000F2E26"/>
    <w:rsid w:val="000F41BC"/>
    <w:rsid w:val="00110413"/>
    <w:rsid w:val="00110B6A"/>
    <w:rsid w:val="00115004"/>
    <w:rsid w:val="00115177"/>
    <w:rsid w:val="00115648"/>
    <w:rsid w:val="0011695A"/>
    <w:rsid w:val="00117123"/>
    <w:rsid w:val="001173EF"/>
    <w:rsid w:val="00117894"/>
    <w:rsid w:val="001178F9"/>
    <w:rsid w:val="001305F2"/>
    <w:rsid w:val="00131A26"/>
    <w:rsid w:val="0013253A"/>
    <w:rsid w:val="00132E4B"/>
    <w:rsid w:val="00135837"/>
    <w:rsid w:val="00140280"/>
    <w:rsid w:val="0014211E"/>
    <w:rsid w:val="00142787"/>
    <w:rsid w:val="00144453"/>
    <w:rsid w:val="00144A70"/>
    <w:rsid w:val="00146BFF"/>
    <w:rsid w:val="00154D1B"/>
    <w:rsid w:val="00155434"/>
    <w:rsid w:val="00155B80"/>
    <w:rsid w:val="00165DDA"/>
    <w:rsid w:val="00166F2C"/>
    <w:rsid w:val="0017189E"/>
    <w:rsid w:val="00174509"/>
    <w:rsid w:val="00174B3A"/>
    <w:rsid w:val="00177E96"/>
    <w:rsid w:val="00182398"/>
    <w:rsid w:val="0018420A"/>
    <w:rsid w:val="001854BC"/>
    <w:rsid w:val="0019052A"/>
    <w:rsid w:val="00192F76"/>
    <w:rsid w:val="0019669D"/>
    <w:rsid w:val="00196E72"/>
    <w:rsid w:val="001A0C58"/>
    <w:rsid w:val="001A3A5B"/>
    <w:rsid w:val="001A5115"/>
    <w:rsid w:val="001A78CB"/>
    <w:rsid w:val="001B02B6"/>
    <w:rsid w:val="001B1733"/>
    <w:rsid w:val="001C0A38"/>
    <w:rsid w:val="001C51BD"/>
    <w:rsid w:val="001C74D1"/>
    <w:rsid w:val="001C799D"/>
    <w:rsid w:val="001D0226"/>
    <w:rsid w:val="001D67E1"/>
    <w:rsid w:val="001E0C82"/>
    <w:rsid w:val="001E33EA"/>
    <w:rsid w:val="001E3497"/>
    <w:rsid w:val="001E588B"/>
    <w:rsid w:val="001F2E90"/>
    <w:rsid w:val="001F4439"/>
    <w:rsid w:val="001F4A6B"/>
    <w:rsid w:val="001F523D"/>
    <w:rsid w:val="001F529E"/>
    <w:rsid w:val="001F52EE"/>
    <w:rsid w:val="0021245C"/>
    <w:rsid w:val="00212B48"/>
    <w:rsid w:val="00213A89"/>
    <w:rsid w:val="002212F7"/>
    <w:rsid w:val="0022141E"/>
    <w:rsid w:val="002214B8"/>
    <w:rsid w:val="00222FAA"/>
    <w:rsid w:val="002244E0"/>
    <w:rsid w:val="0023029D"/>
    <w:rsid w:val="0023094B"/>
    <w:rsid w:val="00230FAD"/>
    <w:rsid w:val="002312F3"/>
    <w:rsid w:val="0024209C"/>
    <w:rsid w:val="002444AF"/>
    <w:rsid w:val="002451BF"/>
    <w:rsid w:val="00250EB9"/>
    <w:rsid w:val="0025431A"/>
    <w:rsid w:val="00255713"/>
    <w:rsid w:val="002609E3"/>
    <w:rsid w:val="00260D96"/>
    <w:rsid w:val="002631F3"/>
    <w:rsid w:val="00263D94"/>
    <w:rsid w:val="00264CC3"/>
    <w:rsid w:val="002667FC"/>
    <w:rsid w:val="002752EA"/>
    <w:rsid w:val="00280672"/>
    <w:rsid w:val="00281176"/>
    <w:rsid w:val="00282668"/>
    <w:rsid w:val="00283D07"/>
    <w:rsid w:val="00284301"/>
    <w:rsid w:val="00286FA9"/>
    <w:rsid w:val="00287F0C"/>
    <w:rsid w:val="0029250E"/>
    <w:rsid w:val="002A041E"/>
    <w:rsid w:val="002A3242"/>
    <w:rsid w:val="002A6348"/>
    <w:rsid w:val="002B62E0"/>
    <w:rsid w:val="002B6EB5"/>
    <w:rsid w:val="002C44FC"/>
    <w:rsid w:val="002C5342"/>
    <w:rsid w:val="002C5826"/>
    <w:rsid w:val="002C6B32"/>
    <w:rsid w:val="002C7792"/>
    <w:rsid w:val="002C7D70"/>
    <w:rsid w:val="002E1F62"/>
    <w:rsid w:val="002E68B5"/>
    <w:rsid w:val="002F5591"/>
    <w:rsid w:val="002F593A"/>
    <w:rsid w:val="003004FB"/>
    <w:rsid w:val="00301564"/>
    <w:rsid w:val="003030A4"/>
    <w:rsid w:val="003069BC"/>
    <w:rsid w:val="003074D0"/>
    <w:rsid w:val="0031199F"/>
    <w:rsid w:val="00313C88"/>
    <w:rsid w:val="00315BD1"/>
    <w:rsid w:val="00316D8B"/>
    <w:rsid w:val="00316FD5"/>
    <w:rsid w:val="00320B3C"/>
    <w:rsid w:val="00321CF7"/>
    <w:rsid w:val="003243D8"/>
    <w:rsid w:val="003252EB"/>
    <w:rsid w:val="003277B9"/>
    <w:rsid w:val="00327FD7"/>
    <w:rsid w:val="00330CFD"/>
    <w:rsid w:val="00331483"/>
    <w:rsid w:val="00334D20"/>
    <w:rsid w:val="00335357"/>
    <w:rsid w:val="00341922"/>
    <w:rsid w:val="00342030"/>
    <w:rsid w:val="00345CD0"/>
    <w:rsid w:val="00346992"/>
    <w:rsid w:val="00351EAD"/>
    <w:rsid w:val="003633B9"/>
    <w:rsid w:val="003700C6"/>
    <w:rsid w:val="00373014"/>
    <w:rsid w:val="00387443"/>
    <w:rsid w:val="00390D1E"/>
    <w:rsid w:val="00390E1A"/>
    <w:rsid w:val="003910E3"/>
    <w:rsid w:val="00391313"/>
    <w:rsid w:val="0039242B"/>
    <w:rsid w:val="00395305"/>
    <w:rsid w:val="003969F3"/>
    <w:rsid w:val="00397E4D"/>
    <w:rsid w:val="003A6952"/>
    <w:rsid w:val="003B5C4A"/>
    <w:rsid w:val="003B5EAD"/>
    <w:rsid w:val="003C3E08"/>
    <w:rsid w:val="003C54A5"/>
    <w:rsid w:val="003C555D"/>
    <w:rsid w:val="003C6DE8"/>
    <w:rsid w:val="003C6E9F"/>
    <w:rsid w:val="003C6F97"/>
    <w:rsid w:val="003D6ED5"/>
    <w:rsid w:val="003E10DF"/>
    <w:rsid w:val="003E4C97"/>
    <w:rsid w:val="003F025A"/>
    <w:rsid w:val="003F34E7"/>
    <w:rsid w:val="003F37CB"/>
    <w:rsid w:val="003F3C30"/>
    <w:rsid w:val="003F6F96"/>
    <w:rsid w:val="003F72BE"/>
    <w:rsid w:val="003F7EB4"/>
    <w:rsid w:val="004030B1"/>
    <w:rsid w:val="00412DE2"/>
    <w:rsid w:val="00413514"/>
    <w:rsid w:val="004258CC"/>
    <w:rsid w:val="004261DB"/>
    <w:rsid w:val="00433143"/>
    <w:rsid w:val="0043400C"/>
    <w:rsid w:val="00441725"/>
    <w:rsid w:val="004472F8"/>
    <w:rsid w:val="00450088"/>
    <w:rsid w:val="004509B7"/>
    <w:rsid w:val="00451686"/>
    <w:rsid w:val="004518D5"/>
    <w:rsid w:val="00453896"/>
    <w:rsid w:val="0045441A"/>
    <w:rsid w:val="00456D66"/>
    <w:rsid w:val="004573CF"/>
    <w:rsid w:val="00467268"/>
    <w:rsid w:val="00472E4D"/>
    <w:rsid w:val="004742D0"/>
    <w:rsid w:val="00480157"/>
    <w:rsid w:val="00480BB4"/>
    <w:rsid w:val="00482C5B"/>
    <w:rsid w:val="004836C6"/>
    <w:rsid w:val="004864A5"/>
    <w:rsid w:val="004873C2"/>
    <w:rsid w:val="0049237D"/>
    <w:rsid w:val="004A13E2"/>
    <w:rsid w:val="004A3EE1"/>
    <w:rsid w:val="004B11AE"/>
    <w:rsid w:val="004B3AF9"/>
    <w:rsid w:val="004C3A62"/>
    <w:rsid w:val="004C71C9"/>
    <w:rsid w:val="004C7272"/>
    <w:rsid w:val="004C76E8"/>
    <w:rsid w:val="004D208B"/>
    <w:rsid w:val="004D3AFB"/>
    <w:rsid w:val="004D40BF"/>
    <w:rsid w:val="004D6134"/>
    <w:rsid w:val="004D72A5"/>
    <w:rsid w:val="004E094D"/>
    <w:rsid w:val="004E1122"/>
    <w:rsid w:val="004E376D"/>
    <w:rsid w:val="004F097A"/>
    <w:rsid w:val="004F4CF2"/>
    <w:rsid w:val="004F7598"/>
    <w:rsid w:val="00504751"/>
    <w:rsid w:val="005070CD"/>
    <w:rsid w:val="00511148"/>
    <w:rsid w:val="00512A02"/>
    <w:rsid w:val="00513D82"/>
    <w:rsid w:val="00516970"/>
    <w:rsid w:val="00516F58"/>
    <w:rsid w:val="00523615"/>
    <w:rsid w:val="00526096"/>
    <w:rsid w:val="00527043"/>
    <w:rsid w:val="005277C4"/>
    <w:rsid w:val="00531336"/>
    <w:rsid w:val="005329BA"/>
    <w:rsid w:val="005343D4"/>
    <w:rsid w:val="005358E6"/>
    <w:rsid w:val="005434B4"/>
    <w:rsid w:val="005449A6"/>
    <w:rsid w:val="00544CA1"/>
    <w:rsid w:val="005500E5"/>
    <w:rsid w:val="0056218D"/>
    <w:rsid w:val="00562322"/>
    <w:rsid w:val="00562838"/>
    <w:rsid w:val="005628BA"/>
    <w:rsid w:val="00572CFE"/>
    <w:rsid w:val="005730B5"/>
    <w:rsid w:val="005747A0"/>
    <w:rsid w:val="005763F4"/>
    <w:rsid w:val="00582DFE"/>
    <w:rsid w:val="00584B12"/>
    <w:rsid w:val="00586AD1"/>
    <w:rsid w:val="00595D39"/>
    <w:rsid w:val="005A33BD"/>
    <w:rsid w:val="005A47B9"/>
    <w:rsid w:val="005A5727"/>
    <w:rsid w:val="005A5DCE"/>
    <w:rsid w:val="005B4395"/>
    <w:rsid w:val="005B59A7"/>
    <w:rsid w:val="005B7C4B"/>
    <w:rsid w:val="005B7E13"/>
    <w:rsid w:val="005C0C05"/>
    <w:rsid w:val="005C1747"/>
    <w:rsid w:val="005C22CB"/>
    <w:rsid w:val="005C423C"/>
    <w:rsid w:val="005C496A"/>
    <w:rsid w:val="005C7AFE"/>
    <w:rsid w:val="005C7FE9"/>
    <w:rsid w:val="005D01B3"/>
    <w:rsid w:val="005D39CC"/>
    <w:rsid w:val="005D3B55"/>
    <w:rsid w:val="005D7954"/>
    <w:rsid w:val="005E253E"/>
    <w:rsid w:val="005E7839"/>
    <w:rsid w:val="005F09E4"/>
    <w:rsid w:val="005F1FB7"/>
    <w:rsid w:val="005F3989"/>
    <w:rsid w:val="005F5D68"/>
    <w:rsid w:val="00602266"/>
    <w:rsid w:val="00603D74"/>
    <w:rsid w:val="0060436F"/>
    <w:rsid w:val="006054FC"/>
    <w:rsid w:val="00610CAF"/>
    <w:rsid w:val="0061349A"/>
    <w:rsid w:val="00613B84"/>
    <w:rsid w:val="00613E76"/>
    <w:rsid w:val="00617CD4"/>
    <w:rsid w:val="00630BB0"/>
    <w:rsid w:val="00631B94"/>
    <w:rsid w:val="00632ACE"/>
    <w:rsid w:val="00633D46"/>
    <w:rsid w:val="006400F4"/>
    <w:rsid w:val="0064161F"/>
    <w:rsid w:val="00641A19"/>
    <w:rsid w:val="006431F3"/>
    <w:rsid w:val="00644935"/>
    <w:rsid w:val="0065087E"/>
    <w:rsid w:val="006516E6"/>
    <w:rsid w:val="006523AC"/>
    <w:rsid w:val="00652DCD"/>
    <w:rsid w:val="00662B65"/>
    <w:rsid w:val="00663B7F"/>
    <w:rsid w:val="00663D19"/>
    <w:rsid w:val="006702E9"/>
    <w:rsid w:val="00674D62"/>
    <w:rsid w:val="006843FB"/>
    <w:rsid w:val="0068570C"/>
    <w:rsid w:val="00686C3C"/>
    <w:rsid w:val="006917A3"/>
    <w:rsid w:val="00694299"/>
    <w:rsid w:val="006960A9"/>
    <w:rsid w:val="0069718D"/>
    <w:rsid w:val="006A00BB"/>
    <w:rsid w:val="006A406B"/>
    <w:rsid w:val="006A5D33"/>
    <w:rsid w:val="006B7377"/>
    <w:rsid w:val="006B74BC"/>
    <w:rsid w:val="006B79DC"/>
    <w:rsid w:val="006D1357"/>
    <w:rsid w:val="006D2A4B"/>
    <w:rsid w:val="006D2AD1"/>
    <w:rsid w:val="006D35DA"/>
    <w:rsid w:val="006D5693"/>
    <w:rsid w:val="006D74F1"/>
    <w:rsid w:val="006E24C2"/>
    <w:rsid w:val="006E39FB"/>
    <w:rsid w:val="006E46DC"/>
    <w:rsid w:val="006E77A1"/>
    <w:rsid w:val="006F1C6A"/>
    <w:rsid w:val="006F21A8"/>
    <w:rsid w:val="006F7669"/>
    <w:rsid w:val="00700E62"/>
    <w:rsid w:val="0070462F"/>
    <w:rsid w:val="00704B5C"/>
    <w:rsid w:val="00705BE0"/>
    <w:rsid w:val="00711FF1"/>
    <w:rsid w:val="00712C94"/>
    <w:rsid w:val="007132BD"/>
    <w:rsid w:val="00713945"/>
    <w:rsid w:val="00713EBE"/>
    <w:rsid w:val="00716EFF"/>
    <w:rsid w:val="00720C75"/>
    <w:rsid w:val="00721C59"/>
    <w:rsid w:val="00724298"/>
    <w:rsid w:val="00724BCA"/>
    <w:rsid w:val="00724E62"/>
    <w:rsid w:val="00725804"/>
    <w:rsid w:val="007339B1"/>
    <w:rsid w:val="00733DE1"/>
    <w:rsid w:val="00734588"/>
    <w:rsid w:val="00736669"/>
    <w:rsid w:val="00744D22"/>
    <w:rsid w:val="007543EE"/>
    <w:rsid w:val="00755FB1"/>
    <w:rsid w:val="00757AC5"/>
    <w:rsid w:val="00761FDD"/>
    <w:rsid w:val="00762CF6"/>
    <w:rsid w:val="0076576F"/>
    <w:rsid w:val="00765E80"/>
    <w:rsid w:val="00766615"/>
    <w:rsid w:val="0077168F"/>
    <w:rsid w:val="00774C35"/>
    <w:rsid w:val="00782BFD"/>
    <w:rsid w:val="007860E4"/>
    <w:rsid w:val="007942CA"/>
    <w:rsid w:val="007954AD"/>
    <w:rsid w:val="00796166"/>
    <w:rsid w:val="00797285"/>
    <w:rsid w:val="00797A49"/>
    <w:rsid w:val="007A430D"/>
    <w:rsid w:val="007A5863"/>
    <w:rsid w:val="007A6925"/>
    <w:rsid w:val="007A72B0"/>
    <w:rsid w:val="007A76F9"/>
    <w:rsid w:val="007B12F9"/>
    <w:rsid w:val="007B2DA2"/>
    <w:rsid w:val="007B7E05"/>
    <w:rsid w:val="007C083C"/>
    <w:rsid w:val="007C2209"/>
    <w:rsid w:val="007C2F09"/>
    <w:rsid w:val="007C4214"/>
    <w:rsid w:val="007C77BE"/>
    <w:rsid w:val="007D00E1"/>
    <w:rsid w:val="007D180B"/>
    <w:rsid w:val="007D1DF9"/>
    <w:rsid w:val="007D1FCD"/>
    <w:rsid w:val="007D234F"/>
    <w:rsid w:val="007D23C4"/>
    <w:rsid w:val="007D6845"/>
    <w:rsid w:val="007E190D"/>
    <w:rsid w:val="007E19E0"/>
    <w:rsid w:val="007E2D70"/>
    <w:rsid w:val="007E4940"/>
    <w:rsid w:val="007E52E0"/>
    <w:rsid w:val="007F30D6"/>
    <w:rsid w:val="007F4F7A"/>
    <w:rsid w:val="007F4FBA"/>
    <w:rsid w:val="007F5908"/>
    <w:rsid w:val="00800254"/>
    <w:rsid w:val="00804FE8"/>
    <w:rsid w:val="008055CC"/>
    <w:rsid w:val="00805649"/>
    <w:rsid w:val="0080662D"/>
    <w:rsid w:val="00810AB0"/>
    <w:rsid w:val="008134CA"/>
    <w:rsid w:val="0081400D"/>
    <w:rsid w:val="00814722"/>
    <w:rsid w:val="008168ED"/>
    <w:rsid w:val="008214E6"/>
    <w:rsid w:val="00821AEC"/>
    <w:rsid w:val="008262D4"/>
    <w:rsid w:val="00826EB3"/>
    <w:rsid w:val="00835EC4"/>
    <w:rsid w:val="00837A83"/>
    <w:rsid w:val="008403F0"/>
    <w:rsid w:val="00842098"/>
    <w:rsid w:val="00843903"/>
    <w:rsid w:val="0084587E"/>
    <w:rsid w:val="00847408"/>
    <w:rsid w:val="00851CD2"/>
    <w:rsid w:val="00851CF2"/>
    <w:rsid w:val="00852B65"/>
    <w:rsid w:val="00857C53"/>
    <w:rsid w:val="00861FEC"/>
    <w:rsid w:val="00867C3D"/>
    <w:rsid w:val="00870541"/>
    <w:rsid w:val="00871950"/>
    <w:rsid w:val="008726F5"/>
    <w:rsid w:val="0087662B"/>
    <w:rsid w:val="00876FBC"/>
    <w:rsid w:val="00880394"/>
    <w:rsid w:val="008814D5"/>
    <w:rsid w:val="00881BCC"/>
    <w:rsid w:val="0088264A"/>
    <w:rsid w:val="008839F4"/>
    <w:rsid w:val="008871AD"/>
    <w:rsid w:val="00890B44"/>
    <w:rsid w:val="00896DD4"/>
    <w:rsid w:val="00896F94"/>
    <w:rsid w:val="008A0D43"/>
    <w:rsid w:val="008A259C"/>
    <w:rsid w:val="008A3BF9"/>
    <w:rsid w:val="008A590C"/>
    <w:rsid w:val="008A79CD"/>
    <w:rsid w:val="008B3F48"/>
    <w:rsid w:val="008B4A67"/>
    <w:rsid w:val="008B4E36"/>
    <w:rsid w:val="008C0CB0"/>
    <w:rsid w:val="008C0CCE"/>
    <w:rsid w:val="008C1B3F"/>
    <w:rsid w:val="008C1D39"/>
    <w:rsid w:val="008D1024"/>
    <w:rsid w:val="008D1091"/>
    <w:rsid w:val="008D13F1"/>
    <w:rsid w:val="008D3BB9"/>
    <w:rsid w:val="008E2554"/>
    <w:rsid w:val="008E29DD"/>
    <w:rsid w:val="008E330C"/>
    <w:rsid w:val="008E478D"/>
    <w:rsid w:val="008E6DA6"/>
    <w:rsid w:val="008F1722"/>
    <w:rsid w:val="008F1F7F"/>
    <w:rsid w:val="008F5FA7"/>
    <w:rsid w:val="008F677E"/>
    <w:rsid w:val="00900946"/>
    <w:rsid w:val="00900B61"/>
    <w:rsid w:val="00912999"/>
    <w:rsid w:val="009203AB"/>
    <w:rsid w:val="009206A1"/>
    <w:rsid w:val="00922687"/>
    <w:rsid w:val="009227B0"/>
    <w:rsid w:val="0092330E"/>
    <w:rsid w:val="00924303"/>
    <w:rsid w:val="00925811"/>
    <w:rsid w:val="00927BE8"/>
    <w:rsid w:val="00930636"/>
    <w:rsid w:val="009313EB"/>
    <w:rsid w:val="0093144F"/>
    <w:rsid w:val="00934608"/>
    <w:rsid w:val="009346BD"/>
    <w:rsid w:val="00936801"/>
    <w:rsid w:val="00941564"/>
    <w:rsid w:val="00942618"/>
    <w:rsid w:val="00942FFF"/>
    <w:rsid w:val="00943998"/>
    <w:rsid w:val="00947CD2"/>
    <w:rsid w:val="009504E9"/>
    <w:rsid w:val="009519F8"/>
    <w:rsid w:val="00952E4D"/>
    <w:rsid w:val="00964F93"/>
    <w:rsid w:val="00972179"/>
    <w:rsid w:val="00972AAC"/>
    <w:rsid w:val="00976F8A"/>
    <w:rsid w:val="0097713A"/>
    <w:rsid w:val="009807A5"/>
    <w:rsid w:val="00982CDF"/>
    <w:rsid w:val="0099101C"/>
    <w:rsid w:val="0099183C"/>
    <w:rsid w:val="00995989"/>
    <w:rsid w:val="00996F93"/>
    <w:rsid w:val="00997C05"/>
    <w:rsid w:val="009A3658"/>
    <w:rsid w:val="009A37B7"/>
    <w:rsid w:val="009A5882"/>
    <w:rsid w:val="009A7CA8"/>
    <w:rsid w:val="009B3DFD"/>
    <w:rsid w:val="009B5582"/>
    <w:rsid w:val="009B60E3"/>
    <w:rsid w:val="009B6F6F"/>
    <w:rsid w:val="009C01C9"/>
    <w:rsid w:val="009C0A73"/>
    <w:rsid w:val="009C4AC7"/>
    <w:rsid w:val="009D3F64"/>
    <w:rsid w:val="009D4A05"/>
    <w:rsid w:val="009D549F"/>
    <w:rsid w:val="009D6B78"/>
    <w:rsid w:val="009E1738"/>
    <w:rsid w:val="009E35AF"/>
    <w:rsid w:val="009E619B"/>
    <w:rsid w:val="009E6D8A"/>
    <w:rsid w:val="009E73CF"/>
    <w:rsid w:val="009E76FB"/>
    <w:rsid w:val="009E7BCD"/>
    <w:rsid w:val="009F23F8"/>
    <w:rsid w:val="00A00DB7"/>
    <w:rsid w:val="00A0249C"/>
    <w:rsid w:val="00A025B2"/>
    <w:rsid w:val="00A03A81"/>
    <w:rsid w:val="00A100F7"/>
    <w:rsid w:val="00A15FE4"/>
    <w:rsid w:val="00A2092B"/>
    <w:rsid w:val="00A2618C"/>
    <w:rsid w:val="00A26544"/>
    <w:rsid w:val="00A3205E"/>
    <w:rsid w:val="00A36844"/>
    <w:rsid w:val="00A37260"/>
    <w:rsid w:val="00A41458"/>
    <w:rsid w:val="00A43D50"/>
    <w:rsid w:val="00A44A9F"/>
    <w:rsid w:val="00A44B74"/>
    <w:rsid w:val="00A45E51"/>
    <w:rsid w:val="00A46D8A"/>
    <w:rsid w:val="00A52278"/>
    <w:rsid w:val="00A524C5"/>
    <w:rsid w:val="00A5472B"/>
    <w:rsid w:val="00A553BD"/>
    <w:rsid w:val="00A5564D"/>
    <w:rsid w:val="00A57979"/>
    <w:rsid w:val="00A57DC1"/>
    <w:rsid w:val="00A6104F"/>
    <w:rsid w:val="00A61C0F"/>
    <w:rsid w:val="00A663F7"/>
    <w:rsid w:val="00A70BED"/>
    <w:rsid w:val="00A73ECA"/>
    <w:rsid w:val="00A85B36"/>
    <w:rsid w:val="00A91948"/>
    <w:rsid w:val="00A93C91"/>
    <w:rsid w:val="00A94796"/>
    <w:rsid w:val="00A95538"/>
    <w:rsid w:val="00A95B46"/>
    <w:rsid w:val="00A973A8"/>
    <w:rsid w:val="00AA0CD9"/>
    <w:rsid w:val="00AA310A"/>
    <w:rsid w:val="00AA48AC"/>
    <w:rsid w:val="00AA4E4F"/>
    <w:rsid w:val="00AB0CA9"/>
    <w:rsid w:val="00AB2C4E"/>
    <w:rsid w:val="00AB42DF"/>
    <w:rsid w:val="00AC2268"/>
    <w:rsid w:val="00AC68B8"/>
    <w:rsid w:val="00AD020A"/>
    <w:rsid w:val="00AE10B7"/>
    <w:rsid w:val="00AE3F9C"/>
    <w:rsid w:val="00AE4E63"/>
    <w:rsid w:val="00AE5D54"/>
    <w:rsid w:val="00AE6B80"/>
    <w:rsid w:val="00AF07CC"/>
    <w:rsid w:val="00AF22BA"/>
    <w:rsid w:val="00AF5063"/>
    <w:rsid w:val="00AF61E3"/>
    <w:rsid w:val="00AF6BC5"/>
    <w:rsid w:val="00AF6D26"/>
    <w:rsid w:val="00B00611"/>
    <w:rsid w:val="00B051CF"/>
    <w:rsid w:val="00B12A6C"/>
    <w:rsid w:val="00B20345"/>
    <w:rsid w:val="00B24F58"/>
    <w:rsid w:val="00B2725A"/>
    <w:rsid w:val="00B27F63"/>
    <w:rsid w:val="00B327C2"/>
    <w:rsid w:val="00B33753"/>
    <w:rsid w:val="00B41EDC"/>
    <w:rsid w:val="00B52DDD"/>
    <w:rsid w:val="00B53C13"/>
    <w:rsid w:val="00B54E6E"/>
    <w:rsid w:val="00B56840"/>
    <w:rsid w:val="00B56AF0"/>
    <w:rsid w:val="00B605B7"/>
    <w:rsid w:val="00B6334F"/>
    <w:rsid w:val="00B64013"/>
    <w:rsid w:val="00B64856"/>
    <w:rsid w:val="00B6642F"/>
    <w:rsid w:val="00B66D22"/>
    <w:rsid w:val="00B70A1F"/>
    <w:rsid w:val="00B7108E"/>
    <w:rsid w:val="00B71E9C"/>
    <w:rsid w:val="00B72175"/>
    <w:rsid w:val="00B73C04"/>
    <w:rsid w:val="00B836DB"/>
    <w:rsid w:val="00B84330"/>
    <w:rsid w:val="00B84F83"/>
    <w:rsid w:val="00B96B4C"/>
    <w:rsid w:val="00BA057B"/>
    <w:rsid w:val="00BA1515"/>
    <w:rsid w:val="00BA34AC"/>
    <w:rsid w:val="00BA417E"/>
    <w:rsid w:val="00BB28E8"/>
    <w:rsid w:val="00BB3464"/>
    <w:rsid w:val="00BB59FB"/>
    <w:rsid w:val="00BC1B5F"/>
    <w:rsid w:val="00BC1D04"/>
    <w:rsid w:val="00BC2682"/>
    <w:rsid w:val="00BC345C"/>
    <w:rsid w:val="00BC4E58"/>
    <w:rsid w:val="00BC5C73"/>
    <w:rsid w:val="00BC7071"/>
    <w:rsid w:val="00BD0F09"/>
    <w:rsid w:val="00BD1C2F"/>
    <w:rsid w:val="00BD4558"/>
    <w:rsid w:val="00BD60A7"/>
    <w:rsid w:val="00BD6269"/>
    <w:rsid w:val="00BD657A"/>
    <w:rsid w:val="00BE1CDA"/>
    <w:rsid w:val="00BE2C4E"/>
    <w:rsid w:val="00BE3FCA"/>
    <w:rsid w:val="00BE5071"/>
    <w:rsid w:val="00BE74FE"/>
    <w:rsid w:val="00BF1872"/>
    <w:rsid w:val="00BF1C0A"/>
    <w:rsid w:val="00BF1E3C"/>
    <w:rsid w:val="00BF379D"/>
    <w:rsid w:val="00BF3937"/>
    <w:rsid w:val="00BF7875"/>
    <w:rsid w:val="00C02077"/>
    <w:rsid w:val="00C0627F"/>
    <w:rsid w:val="00C108BA"/>
    <w:rsid w:val="00C10C4A"/>
    <w:rsid w:val="00C11C15"/>
    <w:rsid w:val="00C12FB8"/>
    <w:rsid w:val="00C13C47"/>
    <w:rsid w:val="00C16263"/>
    <w:rsid w:val="00C178FB"/>
    <w:rsid w:val="00C22E14"/>
    <w:rsid w:val="00C2635E"/>
    <w:rsid w:val="00C279A6"/>
    <w:rsid w:val="00C312F6"/>
    <w:rsid w:val="00C3375B"/>
    <w:rsid w:val="00C358AE"/>
    <w:rsid w:val="00C35F9E"/>
    <w:rsid w:val="00C37207"/>
    <w:rsid w:val="00C53771"/>
    <w:rsid w:val="00C55201"/>
    <w:rsid w:val="00C56FFE"/>
    <w:rsid w:val="00C61899"/>
    <w:rsid w:val="00C62A15"/>
    <w:rsid w:val="00C62BF1"/>
    <w:rsid w:val="00C6506B"/>
    <w:rsid w:val="00C811FB"/>
    <w:rsid w:val="00C87FE8"/>
    <w:rsid w:val="00C909AD"/>
    <w:rsid w:val="00C91910"/>
    <w:rsid w:val="00C9347D"/>
    <w:rsid w:val="00C94A13"/>
    <w:rsid w:val="00CA078E"/>
    <w:rsid w:val="00CA0D58"/>
    <w:rsid w:val="00CA1DE0"/>
    <w:rsid w:val="00CA5A05"/>
    <w:rsid w:val="00CB0314"/>
    <w:rsid w:val="00CB39BD"/>
    <w:rsid w:val="00CC111B"/>
    <w:rsid w:val="00CC2AFF"/>
    <w:rsid w:val="00CC6892"/>
    <w:rsid w:val="00CC7BFF"/>
    <w:rsid w:val="00CD0A2F"/>
    <w:rsid w:val="00CD1735"/>
    <w:rsid w:val="00CD1891"/>
    <w:rsid w:val="00CD1CD9"/>
    <w:rsid w:val="00CD29F8"/>
    <w:rsid w:val="00CD3516"/>
    <w:rsid w:val="00CD6B57"/>
    <w:rsid w:val="00CD7A3C"/>
    <w:rsid w:val="00CD7B92"/>
    <w:rsid w:val="00CE37AD"/>
    <w:rsid w:val="00CE4F38"/>
    <w:rsid w:val="00CE4FEC"/>
    <w:rsid w:val="00CE7B36"/>
    <w:rsid w:val="00CF19DD"/>
    <w:rsid w:val="00CF3B6D"/>
    <w:rsid w:val="00CF3C82"/>
    <w:rsid w:val="00CF6CD3"/>
    <w:rsid w:val="00D00A94"/>
    <w:rsid w:val="00D015AE"/>
    <w:rsid w:val="00D0381C"/>
    <w:rsid w:val="00D059B0"/>
    <w:rsid w:val="00D13903"/>
    <w:rsid w:val="00D2139E"/>
    <w:rsid w:val="00D21507"/>
    <w:rsid w:val="00D21FCC"/>
    <w:rsid w:val="00D23124"/>
    <w:rsid w:val="00D24BE5"/>
    <w:rsid w:val="00D25374"/>
    <w:rsid w:val="00D31FD3"/>
    <w:rsid w:val="00D32007"/>
    <w:rsid w:val="00D32FDC"/>
    <w:rsid w:val="00D33829"/>
    <w:rsid w:val="00D40A31"/>
    <w:rsid w:val="00D4131E"/>
    <w:rsid w:val="00D42023"/>
    <w:rsid w:val="00D420C0"/>
    <w:rsid w:val="00D47491"/>
    <w:rsid w:val="00D47B08"/>
    <w:rsid w:val="00D51DD9"/>
    <w:rsid w:val="00D5260E"/>
    <w:rsid w:val="00D52C07"/>
    <w:rsid w:val="00D5407F"/>
    <w:rsid w:val="00D556C8"/>
    <w:rsid w:val="00D56A74"/>
    <w:rsid w:val="00D56DD1"/>
    <w:rsid w:val="00D6033D"/>
    <w:rsid w:val="00D6053F"/>
    <w:rsid w:val="00D67A1D"/>
    <w:rsid w:val="00D727AE"/>
    <w:rsid w:val="00D72A1C"/>
    <w:rsid w:val="00D73B99"/>
    <w:rsid w:val="00D74425"/>
    <w:rsid w:val="00D85075"/>
    <w:rsid w:val="00D90D89"/>
    <w:rsid w:val="00D9357A"/>
    <w:rsid w:val="00D94F00"/>
    <w:rsid w:val="00D95515"/>
    <w:rsid w:val="00DA40F6"/>
    <w:rsid w:val="00DA5669"/>
    <w:rsid w:val="00DA587C"/>
    <w:rsid w:val="00DA5B0A"/>
    <w:rsid w:val="00DA5F52"/>
    <w:rsid w:val="00DA7EC7"/>
    <w:rsid w:val="00DB039C"/>
    <w:rsid w:val="00DB46CF"/>
    <w:rsid w:val="00DB67D9"/>
    <w:rsid w:val="00DB729C"/>
    <w:rsid w:val="00DC0B04"/>
    <w:rsid w:val="00DC1FA6"/>
    <w:rsid w:val="00DC2113"/>
    <w:rsid w:val="00DC2485"/>
    <w:rsid w:val="00DC7D5E"/>
    <w:rsid w:val="00DD5C1B"/>
    <w:rsid w:val="00DD5D0D"/>
    <w:rsid w:val="00DD5FB3"/>
    <w:rsid w:val="00DD638A"/>
    <w:rsid w:val="00DD71A6"/>
    <w:rsid w:val="00DD7C3C"/>
    <w:rsid w:val="00DE0054"/>
    <w:rsid w:val="00DE2BB7"/>
    <w:rsid w:val="00DE466E"/>
    <w:rsid w:val="00DE4A2D"/>
    <w:rsid w:val="00DE4BA6"/>
    <w:rsid w:val="00DE52CC"/>
    <w:rsid w:val="00DF0F6A"/>
    <w:rsid w:val="00E021C5"/>
    <w:rsid w:val="00E043F4"/>
    <w:rsid w:val="00E05E55"/>
    <w:rsid w:val="00E13BFB"/>
    <w:rsid w:val="00E17538"/>
    <w:rsid w:val="00E20E50"/>
    <w:rsid w:val="00E238BB"/>
    <w:rsid w:val="00E23A02"/>
    <w:rsid w:val="00E258FD"/>
    <w:rsid w:val="00E27E75"/>
    <w:rsid w:val="00E27EF8"/>
    <w:rsid w:val="00E344F8"/>
    <w:rsid w:val="00E40B7A"/>
    <w:rsid w:val="00E41E49"/>
    <w:rsid w:val="00E45EC3"/>
    <w:rsid w:val="00E47598"/>
    <w:rsid w:val="00E51507"/>
    <w:rsid w:val="00E529E7"/>
    <w:rsid w:val="00E531E7"/>
    <w:rsid w:val="00E602B4"/>
    <w:rsid w:val="00E61B72"/>
    <w:rsid w:val="00E662B5"/>
    <w:rsid w:val="00E6643C"/>
    <w:rsid w:val="00E70466"/>
    <w:rsid w:val="00E737E8"/>
    <w:rsid w:val="00E82876"/>
    <w:rsid w:val="00E86D79"/>
    <w:rsid w:val="00E90F61"/>
    <w:rsid w:val="00E92BDB"/>
    <w:rsid w:val="00E9303A"/>
    <w:rsid w:val="00E932A1"/>
    <w:rsid w:val="00E95F75"/>
    <w:rsid w:val="00E96118"/>
    <w:rsid w:val="00E967CD"/>
    <w:rsid w:val="00EA1A3B"/>
    <w:rsid w:val="00EA4D6E"/>
    <w:rsid w:val="00EA680F"/>
    <w:rsid w:val="00EA6F57"/>
    <w:rsid w:val="00EB3F3E"/>
    <w:rsid w:val="00EB61F1"/>
    <w:rsid w:val="00EC14EE"/>
    <w:rsid w:val="00ED1016"/>
    <w:rsid w:val="00EE4D26"/>
    <w:rsid w:val="00EE6236"/>
    <w:rsid w:val="00EE75D2"/>
    <w:rsid w:val="00EF1E61"/>
    <w:rsid w:val="00EF53D3"/>
    <w:rsid w:val="00F01CBA"/>
    <w:rsid w:val="00F07ED2"/>
    <w:rsid w:val="00F148FD"/>
    <w:rsid w:val="00F15F40"/>
    <w:rsid w:val="00F17B66"/>
    <w:rsid w:val="00F216DF"/>
    <w:rsid w:val="00F260B9"/>
    <w:rsid w:val="00F27389"/>
    <w:rsid w:val="00F31BC2"/>
    <w:rsid w:val="00F34F2E"/>
    <w:rsid w:val="00F40770"/>
    <w:rsid w:val="00F40A77"/>
    <w:rsid w:val="00F410FD"/>
    <w:rsid w:val="00F41749"/>
    <w:rsid w:val="00F419D7"/>
    <w:rsid w:val="00F4254A"/>
    <w:rsid w:val="00F46F4C"/>
    <w:rsid w:val="00F502AF"/>
    <w:rsid w:val="00F50FA6"/>
    <w:rsid w:val="00F54DDE"/>
    <w:rsid w:val="00F559C3"/>
    <w:rsid w:val="00F562F4"/>
    <w:rsid w:val="00F566DB"/>
    <w:rsid w:val="00F57738"/>
    <w:rsid w:val="00F61D94"/>
    <w:rsid w:val="00F63E65"/>
    <w:rsid w:val="00F657B0"/>
    <w:rsid w:val="00F67C46"/>
    <w:rsid w:val="00F715CB"/>
    <w:rsid w:val="00F73479"/>
    <w:rsid w:val="00F7414F"/>
    <w:rsid w:val="00F77AB4"/>
    <w:rsid w:val="00F81333"/>
    <w:rsid w:val="00F82D35"/>
    <w:rsid w:val="00F82D8E"/>
    <w:rsid w:val="00F83B00"/>
    <w:rsid w:val="00F84830"/>
    <w:rsid w:val="00F86E6F"/>
    <w:rsid w:val="00F93E5A"/>
    <w:rsid w:val="00F9474F"/>
    <w:rsid w:val="00FA1572"/>
    <w:rsid w:val="00FA26EE"/>
    <w:rsid w:val="00FA4308"/>
    <w:rsid w:val="00FA4AEA"/>
    <w:rsid w:val="00FA557C"/>
    <w:rsid w:val="00FA6AC7"/>
    <w:rsid w:val="00FB1DAC"/>
    <w:rsid w:val="00FB4B81"/>
    <w:rsid w:val="00FB58B5"/>
    <w:rsid w:val="00FC6672"/>
    <w:rsid w:val="00FD0CB7"/>
    <w:rsid w:val="00FD1295"/>
    <w:rsid w:val="00FD7300"/>
    <w:rsid w:val="00FE091D"/>
    <w:rsid w:val="00FE0993"/>
    <w:rsid w:val="00FE151C"/>
    <w:rsid w:val="00FE320E"/>
    <w:rsid w:val="00FE3980"/>
    <w:rsid w:val="00FE6FC0"/>
    <w:rsid w:val="00FE7ECC"/>
    <w:rsid w:val="00FF26C0"/>
    <w:rsid w:val="00FF3929"/>
    <w:rsid w:val="00FF5518"/>
    <w:rsid w:val="00FF5550"/>
    <w:rsid w:val="00FF5E2A"/>
    <w:rsid w:val="00FF744D"/>
    <w:rsid w:val="00FF7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AA"/>
    <w:pPr>
      <w:bidi/>
    </w:pPr>
  </w:style>
  <w:style w:type="paragraph" w:styleId="Heading1">
    <w:name w:val="heading 1"/>
    <w:basedOn w:val="Normal"/>
    <w:link w:val="Heading1Char"/>
    <w:uiPriority w:val="9"/>
    <w:qFormat/>
    <w:rsid w:val="0077168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716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6A"/>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1C6A"/>
    <w:pPr>
      <w:keepNext/>
      <w:keepLines/>
      <w:bidi w:val="0"/>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32E4B"/>
    <w:pPr>
      <w:widowControl w:val="0"/>
      <w:overflowPunct w:val="0"/>
      <w:autoSpaceDE w:val="0"/>
      <w:autoSpaceDN w:val="0"/>
      <w:bidi w:val="0"/>
      <w:adjustRightInd w:val="0"/>
      <w:spacing w:before="120" w:after="0" w:line="360" w:lineRule="auto"/>
      <w:ind w:left="567"/>
      <w:jc w:val="lowKashida"/>
      <w:textAlignment w:val="baseline"/>
    </w:pPr>
    <w:rPr>
      <w:rFonts w:ascii="Times New Roman" w:eastAsia="Times New Roman" w:hAnsi="Times New Roman" w:cs="Times New Roman"/>
      <w:sz w:val="28"/>
      <w:szCs w:val="28"/>
      <w:lang w:eastAsia="ar-SA"/>
    </w:rPr>
  </w:style>
  <w:style w:type="character" w:customStyle="1" w:styleId="BodyTextIndent3Char">
    <w:name w:val="Body Text Indent 3 Char"/>
    <w:basedOn w:val="DefaultParagraphFont"/>
    <w:link w:val="BodyTextIndent3"/>
    <w:rsid w:val="00132E4B"/>
    <w:rPr>
      <w:rFonts w:ascii="Times New Roman" w:eastAsia="Times New Roman" w:hAnsi="Times New Roman" w:cs="Times New Roman"/>
      <w:sz w:val="28"/>
      <w:szCs w:val="28"/>
      <w:lang w:eastAsia="ar-SA"/>
    </w:rPr>
  </w:style>
  <w:style w:type="paragraph" w:styleId="PlainText">
    <w:name w:val="Plain Text"/>
    <w:basedOn w:val="Normal"/>
    <w:link w:val="PlainTextChar"/>
    <w:rsid w:val="00132E4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2E4B"/>
    <w:rPr>
      <w:rFonts w:ascii="Courier New" w:eastAsia="Times New Roman" w:hAnsi="Courier New" w:cs="Courier New"/>
      <w:sz w:val="20"/>
      <w:szCs w:val="20"/>
    </w:rPr>
  </w:style>
  <w:style w:type="table" w:styleId="TableGrid">
    <w:name w:val="Table Grid"/>
    <w:basedOn w:val="TableNormal"/>
    <w:uiPriority w:val="59"/>
    <w:rsid w:val="00132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132E4B"/>
    <w:pPr>
      <w:bidi w:val="0"/>
      <w:spacing w:after="0" w:line="240" w:lineRule="auto"/>
      <w:jc w:val="center"/>
    </w:pPr>
    <w:rPr>
      <w:rFonts w:ascii="Times New Roman" w:eastAsia="Times New Roman" w:hAnsi="Times New Roman" w:cs="Traditional Arabic"/>
      <w:b/>
      <w:bCs/>
      <w:sz w:val="28"/>
      <w:szCs w:val="20"/>
    </w:rPr>
  </w:style>
  <w:style w:type="character" w:customStyle="1" w:styleId="TitleChar">
    <w:name w:val="Title Char"/>
    <w:basedOn w:val="DefaultParagraphFont"/>
    <w:link w:val="Title"/>
    <w:rsid w:val="00132E4B"/>
    <w:rPr>
      <w:rFonts w:ascii="Times New Roman" w:eastAsia="Times New Roman" w:hAnsi="Times New Roman" w:cs="Traditional Arabic"/>
      <w:b/>
      <w:bCs/>
      <w:sz w:val="28"/>
      <w:szCs w:val="20"/>
    </w:rPr>
  </w:style>
  <w:style w:type="paragraph" w:customStyle="1" w:styleId="References">
    <w:name w:val="References"/>
    <w:basedOn w:val="Normal"/>
    <w:rsid w:val="00132E4B"/>
    <w:pPr>
      <w:numPr>
        <w:numId w:val="1"/>
      </w:numPr>
      <w:bidi w:val="0"/>
      <w:spacing w:afterLines="25" w:line="280" w:lineRule="exact"/>
    </w:pPr>
    <w:rPr>
      <w:rFonts w:ascii="Times New Roman" w:eastAsia="SimSun" w:hAnsi="Times New Roman" w:cs="Times New Roman"/>
      <w:sz w:val="20"/>
      <w:szCs w:val="20"/>
      <w:lang w:eastAsia="zh-CN"/>
    </w:rPr>
  </w:style>
  <w:style w:type="paragraph" w:customStyle="1" w:styleId="Default">
    <w:name w:val="Default"/>
    <w:rsid w:val="00132E4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32E4B"/>
    <w:rPr>
      <w:color w:val="0000FF"/>
      <w:u w:val="single"/>
    </w:rPr>
  </w:style>
  <w:style w:type="paragraph" w:styleId="Header">
    <w:name w:val="header"/>
    <w:basedOn w:val="Normal"/>
    <w:link w:val="HeaderChar"/>
    <w:uiPriority w:val="99"/>
    <w:unhideWhenUsed/>
    <w:rsid w:val="00132E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2E4B"/>
  </w:style>
  <w:style w:type="paragraph" w:styleId="Footer">
    <w:name w:val="footer"/>
    <w:basedOn w:val="Normal"/>
    <w:link w:val="FooterChar"/>
    <w:uiPriority w:val="99"/>
    <w:unhideWhenUsed/>
    <w:rsid w:val="00132E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2E4B"/>
  </w:style>
  <w:style w:type="paragraph" w:styleId="BodyTextIndent">
    <w:name w:val="Body Text Indent"/>
    <w:basedOn w:val="Normal"/>
    <w:link w:val="BodyTextIndentChar"/>
    <w:uiPriority w:val="99"/>
    <w:unhideWhenUsed/>
    <w:rsid w:val="00132E4B"/>
    <w:pPr>
      <w:spacing w:after="120"/>
      <w:ind w:left="283"/>
    </w:pPr>
  </w:style>
  <w:style w:type="character" w:customStyle="1" w:styleId="BodyTextIndentChar">
    <w:name w:val="Body Text Indent Char"/>
    <w:basedOn w:val="DefaultParagraphFont"/>
    <w:link w:val="BodyTextIndent"/>
    <w:uiPriority w:val="99"/>
    <w:rsid w:val="00132E4B"/>
  </w:style>
  <w:style w:type="character" w:styleId="Emphasis">
    <w:name w:val="Emphasis"/>
    <w:basedOn w:val="DefaultParagraphFont"/>
    <w:uiPriority w:val="20"/>
    <w:qFormat/>
    <w:rsid w:val="00132E4B"/>
    <w:rPr>
      <w:i/>
      <w:iCs/>
    </w:rPr>
  </w:style>
  <w:style w:type="paragraph" w:customStyle="1" w:styleId="NoSpacing1">
    <w:name w:val="No Spacing1"/>
    <w:qFormat/>
    <w:rsid w:val="00132E4B"/>
    <w:pPr>
      <w:bidi/>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4B"/>
    <w:rPr>
      <w:rFonts w:ascii="Tahoma" w:hAnsi="Tahoma" w:cs="Tahoma"/>
      <w:sz w:val="16"/>
      <w:szCs w:val="16"/>
    </w:rPr>
  </w:style>
  <w:style w:type="character" w:customStyle="1" w:styleId="element-citation">
    <w:name w:val="element-citation"/>
    <w:basedOn w:val="DefaultParagraphFont"/>
    <w:rsid w:val="00132E4B"/>
  </w:style>
  <w:style w:type="character" w:styleId="FollowedHyperlink">
    <w:name w:val="FollowedHyperlink"/>
    <w:basedOn w:val="DefaultParagraphFont"/>
    <w:uiPriority w:val="99"/>
    <w:semiHidden/>
    <w:unhideWhenUsed/>
    <w:rsid w:val="00132E4B"/>
    <w:rPr>
      <w:color w:val="800080" w:themeColor="followedHyperlink"/>
      <w:u w:val="single"/>
    </w:rPr>
  </w:style>
  <w:style w:type="table" w:customStyle="1" w:styleId="TableGrid1">
    <w:name w:val="Table Grid1"/>
    <w:basedOn w:val="TableNormal"/>
    <w:next w:val="TableGrid"/>
    <w:uiPriority w:val="59"/>
    <w:rsid w:val="00132E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2E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32E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32E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p">
    <w:name w:val="scp"/>
    <w:basedOn w:val="DefaultParagraphFont"/>
    <w:rsid w:val="00E6643C"/>
  </w:style>
  <w:style w:type="character" w:customStyle="1" w:styleId="protein">
    <w:name w:val="protein"/>
    <w:basedOn w:val="DefaultParagraphFont"/>
    <w:rsid w:val="0076576F"/>
  </w:style>
  <w:style w:type="character" w:customStyle="1" w:styleId="chemical">
    <w:name w:val="chemical"/>
    <w:basedOn w:val="DefaultParagraphFont"/>
    <w:rsid w:val="0076576F"/>
  </w:style>
  <w:style w:type="character" w:customStyle="1" w:styleId="geneontology">
    <w:name w:val="geneontology"/>
    <w:basedOn w:val="DefaultParagraphFont"/>
    <w:rsid w:val="0076576F"/>
  </w:style>
  <w:style w:type="character" w:customStyle="1" w:styleId="Heading1Char">
    <w:name w:val="Heading 1 Char"/>
    <w:basedOn w:val="DefaultParagraphFont"/>
    <w:link w:val="Heading1"/>
    <w:uiPriority w:val="9"/>
    <w:rsid w:val="007716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168F"/>
    <w:rPr>
      <w:rFonts w:asciiTheme="majorHAnsi" w:eastAsiaTheme="majorEastAsia" w:hAnsiTheme="majorHAnsi" w:cstheme="majorBidi"/>
      <w:b/>
      <w:bCs/>
      <w:color w:val="4F81BD" w:themeColor="accent1"/>
      <w:sz w:val="26"/>
      <w:szCs w:val="26"/>
    </w:rPr>
  </w:style>
  <w:style w:type="character" w:customStyle="1" w:styleId="ref-journal">
    <w:name w:val="ref-journal"/>
    <w:basedOn w:val="DefaultParagraphFont"/>
    <w:rsid w:val="0077168F"/>
  </w:style>
  <w:style w:type="character" w:customStyle="1" w:styleId="ref-vol">
    <w:name w:val="ref-vol"/>
    <w:basedOn w:val="DefaultParagraphFont"/>
    <w:rsid w:val="0077168F"/>
  </w:style>
  <w:style w:type="character" w:customStyle="1" w:styleId="nowrap">
    <w:name w:val="nowrap"/>
    <w:basedOn w:val="DefaultParagraphFont"/>
    <w:rsid w:val="0077168F"/>
  </w:style>
  <w:style w:type="character" w:customStyle="1" w:styleId="cit">
    <w:name w:val="cit"/>
    <w:basedOn w:val="DefaultParagraphFont"/>
    <w:rsid w:val="0077168F"/>
  </w:style>
  <w:style w:type="character" w:customStyle="1" w:styleId="journalname">
    <w:name w:val="journalname"/>
    <w:basedOn w:val="DefaultParagraphFont"/>
    <w:rsid w:val="0077168F"/>
  </w:style>
  <w:style w:type="character" w:customStyle="1" w:styleId="journalnumber">
    <w:name w:val="journalnumber"/>
    <w:basedOn w:val="DefaultParagraphFont"/>
    <w:rsid w:val="0077168F"/>
  </w:style>
  <w:style w:type="character" w:customStyle="1" w:styleId="cite-pages">
    <w:name w:val="cite-pages"/>
    <w:basedOn w:val="DefaultParagraphFont"/>
    <w:rsid w:val="0077168F"/>
  </w:style>
  <w:style w:type="character" w:customStyle="1" w:styleId="citationjournal">
    <w:name w:val="citation journal"/>
    <w:basedOn w:val="DefaultParagraphFont"/>
    <w:rsid w:val="0077168F"/>
  </w:style>
  <w:style w:type="character" w:customStyle="1" w:styleId="abscitationtitle">
    <w:name w:val="abs_citation_title"/>
    <w:basedOn w:val="DefaultParagraphFont"/>
    <w:rsid w:val="0077168F"/>
  </w:style>
  <w:style w:type="character" w:customStyle="1" w:styleId="absnonlinkmetadata">
    <w:name w:val="abs_nonlink_metadata"/>
    <w:basedOn w:val="DefaultParagraphFont"/>
    <w:rsid w:val="0077168F"/>
  </w:style>
  <w:style w:type="paragraph" w:customStyle="1" w:styleId="p">
    <w:name w:val="p"/>
    <w:basedOn w:val="Normal"/>
    <w:uiPriority w:val="99"/>
    <w:rsid w:val="009314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144F"/>
  </w:style>
  <w:style w:type="character" w:styleId="Strong">
    <w:name w:val="Strong"/>
    <w:basedOn w:val="DefaultParagraphFont"/>
    <w:uiPriority w:val="22"/>
    <w:qFormat/>
    <w:rsid w:val="0093144F"/>
    <w:rPr>
      <w:b/>
      <w:bCs/>
    </w:rPr>
  </w:style>
  <w:style w:type="character" w:customStyle="1" w:styleId="kwd-text">
    <w:name w:val="kwd-text"/>
    <w:basedOn w:val="DefaultParagraphFont"/>
    <w:rsid w:val="0093144F"/>
  </w:style>
  <w:style w:type="paragraph" w:styleId="ListParagraph">
    <w:name w:val="List Paragraph"/>
    <w:basedOn w:val="Normal"/>
    <w:uiPriority w:val="34"/>
    <w:qFormat/>
    <w:rsid w:val="00DD71A6"/>
    <w:pPr>
      <w:ind w:left="720"/>
      <w:contextualSpacing/>
    </w:pPr>
  </w:style>
  <w:style w:type="paragraph" w:styleId="BodyText">
    <w:name w:val="Body Text"/>
    <w:basedOn w:val="Normal"/>
    <w:link w:val="BodyTextChar"/>
    <w:uiPriority w:val="99"/>
    <w:semiHidden/>
    <w:unhideWhenUsed/>
    <w:rsid w:val="003A6952"/>
    <w:pPr>
      <w:spacing w:after="120"/>
    </w:pPr>
  </w:style>
  <w:style w:type="character" w:customStyle="1" w:styleId="BodyTextChar">
    <w:name w:val="Body Text Char"/>
    <w:basedOn w:val="DefaultParagraphFont"/>
    <w:link w:val="BodyText"/>
    <w:uiPriority w:val="99"/>
    <w:semiHidden/>
    <w:rsid w:val="003A6952"/>
  </w:style>
  <w:style w:type="paragraph" w:styleId="NormalWeb">
    <w:name w:val="Normal (Web)"/>
    <w:basedOn w:val="Normal"/>
    <w:uiPriority w:val="99"/>
    <w:semiHidden/>
    <w:unhideWhenUsed/>
    <w:rsid w:val="00EA68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6431F3"/>
  </w:style>
  <w:style w:type="paragraph" w:customStyle="1" w:styleId="Pa18">
    <w:name w:val="Pa18"/>
    <w:basedOn w:val="Default"/>
    <w:next w:val="Default"/>
    <w:uiPriority w:val="99"/>
    <w:rsid w:val="00E344F8"/>
    <w:pPr>
      <w:spacing w:line="201" w:lineRule="atLeast"/>
    </w:pPr>
    <w:rPr>
      <w:color w:val="auto"/>
    </w:rPr>
  </w:style>
  <w:style w:type="character" w:customStyle="1" w:styleId="Heading3Char">
    <w:name w:val="Heading 3 Char"/>
    <w:basedOn w:val="DefaultParagraphFont"/>
    <w:link w:val="Heading3"/>
    <w:uiPriority w:val="9"/>
    <w:rsid w:val="006F1C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1C6A"/>
    <w:rPr>
      <w:rFonts w:asciiTheme="majorHAnsi" w:eastAsiaTheme="majorEastAsia" w:hAnsiTheme="majorHAnsi" w:cstheme="majorBidi"/>
      <w:b/>
      <w:bCs/>
      <w:i/>
      <w:iCs/>
      <w:color w:val="4F81BD" w:themeColor="accent1"/>
    </w:rPr>
  </w:style>
  <w:style w:type="character" w:customStyle="1" w:styleId="mixed-citation">
    <w:name w:val="mixed-citation"/>
    <w:basedOn w:val="DefaultParagraphFont"/>
    <w:rsid w:val="0065087E"/>
  </w:style>
  <w:style w:type="character" w:customStyle="1" w:styleId="nlmarticle-title">
    <w:name w:val="nlm_article-title"/>
    <w:basedOn w:val="DefaultParagraphFont"/>
    <w:rsid w:val="00BB59FB"/>
  </w:style>
  <w:style w:type="character" w:customStyle="1" w:styleId="nlmyear">
    <w:name w:val="nlm_year"/>
    <w:basedOn w:val="DefaultParagraphFont"/>
    <w:rsid w:val="00BB59FB"/>
  </w:style>
  <w:style w:type="character" w:customStyle="1" w:styleId="nlmfpage">
    <w:name w:val="nlm_fpage"/>
    <w:basedOn w:val="DefaultParagraphFont"/>
    <w:rsid w:val="00BB59FB"/>
  </w:style>
  <w:style w:type="character" w:customStyle="1" w:styleId="nlmlpage">
    <w:name w:val="nlm_lpage"/>
    <w:basedOn w:val="DefaultParagraphFont"/>
    <w:rsid w:val="00BB59FB"/>
  </w:style>
  <w:style w:type="character" w:customStyle="1" w:styleId="ref-google">
    <w:name w:val="ref-google"/>
    <w:basedOn w:val="DefaultParagraphFont"/>
    <w:rsid w:val="00BB59FB"/>
  </w:style>
  <w:style w:type="character" w:customStyle="1" w:styleId="ref-xlink">
    <w:name w:val="ref-xlink"/>
    <w:basedOn w:val="DefaultParagraphFont"/>
    <w:rsid w:val="00BB5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AA"/>
    <w:pPr>
      <w:bidi/>
    </w:pPr>
  </w:style>
  <w:style w:type="paragraph" w:styleId="Heading1">
    <w:name w:val="heading 1"/>
    <w:basedOn w:val="Normal"/>
    <w:link w:val="Heading1Char"/>
    <w:uiPriority w:val="9"/>
    <w:qFormat/>
    <w:rsid w:val="0077168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716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6A"/>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1C6A"/>
    <w:pPr>
      <w:keepNext/>
      <w:keepLines/>
      <w:bidi w:val="0"/>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32E4B"/>
    <w:pPr>
      <w:widowControl w:val="0"/>
      <w:overflowPunct w:val="0"/>
      <w:autoSpaceDE w:val="0"/>
      <w:autoSpaceDN w:val="0"/>
      <w:bidi w:val="0"/>
      <w:adjustRightInd w:val="0"/>
      <w:spacing w:before="120" w:after="0" w:line="360" w:lineRule="auto"/>
      <w:ind w:left="567"/>
      <w:jc w:val="lowKashida"/>
      <w:textAlignment w:val="baseline"/>
    </w:pPr>
    <w:rPr>
      <w:rFonts w:ascii="Times New Roman" w:eastAsia="Times New Roman" w:hAnsi="Times New Roman" w:cs="Times New Roman"/>
      <w:sz w:val="28"/>
      <w:szCs w:val="28"/>
      <w:lang w:eastAsia="ar-SA"/>
    </w:rPr>
  </w:style>
  <w:style w:type="character" w:customStyle="1" w:styleId="BodyTextIndent3Char">
    <w:name w:val="Body Text Indent 3 Char"/>
    <w:basedOn w:val="DefaultParagraphFont"/>
    <w:link w:val="BodyTextIndent3"/>
    <w:rsid w:val="00132E4B"/>
    <w:rPr>
      <w:rFonts w:ascii="Times New Roman" w:eastAsia="Times New Roman" w:hAnsi="Times New Roman" w:cs="Times New Roman"/>
      <w:sz w:val="28"/>
      <w:szCs w:val="28"/>
      <w:lang w:eastAsia="ar-SA"/>
    </w:rPr>
  </w:style>
  <w:style w:type="paragraph" w:styleId="PlainText">
    <w:name w:val="Plain Text"/>
    <w:basedOn w:val="Normal"/>
    <w:link w:val="PlainTextChar"/>
    <w:rsid w:val="00132E4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2E4B"/>
    <w:rPr>
      <w:rFonts w:ascii="Courier New" w:eastAsia="Times New Roman" w:hAnsi="Courier New" w:cs="Courier New"/>
      <w:sz w:val="20"/>
      <w:szCs w:val="20"/>
    </w:rPr>
  </w:style>
  <w:style w:type="table" w:styleId="TableGrid">
    <w:name w:val="Table Grid"/>
    <w:basedOn w:val="TableNormal"/>
    <w:uiPriority w:val="59"/>
    <w:rsid w:val="00132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132E4B"/>
    <w:pPr>
      <w:bidi w:val="0"/>
      <w:spacing w:after="0" w:line="240" w:lineRule="auto"/>
      <w:jc w:val="center"/>
    </w:pPr>
    <w:rPr>
      <w:rFonts w:ascii="Times New Roman" w:eastAsia="Times New Roman" w:hAnsi="Times New Roman" w:cs="Traditional Arabic"/>
      <w:b/>
      <w:bCs/>
      <w:sz w:val="28"/>
      <w:szCs w:val="20"/>
    </w:rPr>
  </w:style>
  <w:style w:type="character" w:customStyle="1" w:styleId="TitleChar">
    <w:name w:val="Title Char"/>
    <w:basedOn w:val="DefaultParagraphFont"/>
    <w:link w:val="Title"/>
    <w:rsid w:val="00132E4B"/>
    <w:rPr>
      <w:rFonts w:ascii="Times New Roman" w:eastAsia="Times New Roman" w:hAnsi="Times New Roman" w:cs="Traditional Arabic"/>
      <w:b/>
      <w:bCs/>
      <w:sz w:val="28"/>
      <w:szCs w:val="20"/>
    </w:rPr>
  </w:style>
  <w:style w:type="paragraph" w:customStyle="1" w:styleId="References">
    <w:name w:val="References"/>
    <w:basedOn w:val="Normal"/>
    <w:rsid w:val="00132E4B"/>
    <w:pPr>
      <w:numPr>
        <w:numId w:val="1"/>
      </w:numPr>
      <w:bidi w:val="0"/>
      <w:spacing w:afterLines="25" w:line="280" w:lineRule="exact"/>
    </w:pPr>
    <w:rPr>
      <w:rFonts w:ascii="Times New Roman" w:eastAsia="SimSun" w:hAnsi="Times New Roman" w:cs="Times New Roman"/>
      <w:sz w:val="20"/>
      <w:szCs w:val="20"/>
      <w:lang w:eastAsia="zh-CN"/>
    </w:rPr>
  </w:style>
  <w:style w:type="paragraph" w:customStyle="1" w:styleId="Default">
    <w:name w:val="Default"/>
    <w:rsid w:val="00132E4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32E4B"/>
    <w:rPr>
      <w:color w:val="0000FF"/>
      <w:u w:val="single"/>
    </w:rPr>
  </w:style>
  <w:style w:type="paragraph" w:styleId="Header">
    <w:name w:val="header"/>
    <w:basedOn w:val="Normal"/>
    <w:link w:val="HeaderChar"/>
    <w:uiPriority w:val="99"/>
    <w:unhideWhenUsed/>
    <w:rsid w:val="00132E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2E4B"/>
  </w:style>
  <w:style w:type="paragraph" w:styleId="Footer">
    <w:name w:val="footer"/>
    <w:basedOn w:val="Normal"/>
    <w:link w:val="FooterChar"/>
    <w:uiPriority w:val="99"/>
    <w:unhideWhenUsed/>
    <w:rsid w:val="00132E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2E4B"/>
  </w:style>
  <w:style w:type="paragraph" w:styleId="BodyTextIndent">
    <w:name w:val="Body Text Indent"/>
    <w:basedOn w:val="Normal"/>
    <w:link w:val="BodyTextIndentChar"/>
    <w:uiPriority w:val="99"/>
    <w:unhideWhenUsed/>
    <w:rsid w:val="00132E4B"/>
    <w:pPr>
      <w:spacing w:after="120"/>
      <w:ind w:left="283"/>
    </w:pPr>
  </w:style>
  <w:style w:type="character" w:customStyle="1" w:styleId="BodyTextIndentChar">
    <w:name w:val="Body Text Indent Char"/>
    <w:basedOn w:val="DefaultParagraphFont"/>
    <w:link w:val="BodyTextIndent"/>
    <w:uiPriority w:val="99"/>
    <w:rsid w:val="00132E4B"/>
  </w:style>
  <w:style w:type="character" w:styleId="Emphasis">
    <w:name w:val="Emphasis"/>
    <w:basedOn w:val="DefaultParagraphFont"/>
    <w:uiPriority w:val="20"/>
    <w:qFormat/>
    <w:rsid w:val="00132E4B"/>
    <w:rPr>
      <w:i/>
      <w:iCs/>
    </w:rPr>
  </w:style>
  <w:style w:type="paragraph" w:customStyle="1" w:styleId="NoSpacing1">
    <w:name w:val="No Spacing1"/>
    <w:qFormat/>
    <w:rsid w:val="00132E4B"/>
    <w:pPr>
      <w:bidi/>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4B"/>
    <w:rPr>
      <w:rFonts w:ascii="Tahoma" w:hAnsi="Tahoma" w:cs="Tahoma"/>
      <w:sz w:val="16"/>
      <w:szCs w:val="16"/>
    </w:rPr>
  </w:style>
  <w:style w:type="character" w:customStyle="1" w:styleId="element-citation">
    <w:name w:val="element-citation"/>
    <w:basedOn w:val="DefaultParagraphFont"/>
    <w:rsid w:val="00132E4B"/>
  </w:style>
  <w:style w:type="character" w:styleId="FollowedHyperlink">
    <w:name w:val="FollowedHyperlink"/>
    <w:basedOn w:val="DefaultParagraphFont"/>
    <w:uiPriority w:val="99"/>
    <w:semiHidden/>
    <w:unhideWhenUsed/>
    <w:rsid w:val="00132E4B"/>
    <w:rPr>
      <w:color w:val="800080" w:themeColor="followedHyperlink"/>
      <w:u w:val="single"/>
    </w:rPr>
  </w:style>
  <w:style w:type="table" w:customStyle="1" w:styleId="TableGrid1">
    <w:name w:val="Table Grid1"/>
    <w:basedOn w:val="TableNormal"/>
    <w:next w:val="TableGrid"/>
    <w:uiPriority w:val="59"/>
    <w:rsid w:val="00132E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2E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32E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32E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p">
    <w:name w:val="scp"/>
    <w:basedOn w:val="DefaultParagraphFont"/>
    <w:rsid w:val="00E6643C"/>
  </w:style>
  <w:style w:type="character" w:customStyle="1" w:styleId="protein">
    <w:name w:val="protein"/>
    <w:basedOn w:val="DefaultParagraphFont"/>
    <w:rsid w:val="0076576F"/>
  </w:style>
  <w:style w:type="character" w:customStyle="1" w:styleId="chemical">
    <w:name w:val="chemical"/>
    <w:basedOn w:val="DefaultParagraphFont"/>
    <w:rsid w:val="0076576F"/>
  </w:style>
  <w:style w:type="character" w:customStyle="1" w:styleId="geneontology">
    <w:name w:val="geneontology"/>
    <w:basedOn w:val="DefaultParagraphFont"/>
    <w:rsid w:val="0076576F"/>
  </w:style>
  <w:style w:type="character" w:customStyle="1" w:styleId="Heading1Char">
    <w:name w:val="Heading 1 Char"/>
    <w:basedOn w:val="DefaultParagraphFont"/>
    <w:link w:val="Heading1"/>
    <w:uiPriority w:val="9"/>
    <w:rsid w:val="007716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168F"/>
    <w:rPr>
      <w:rFonts w:asciiTheme="majorHAnsi" w:eastAsiaTheme="majorEastAsia" w:hAnsiTheme="majorHAnsi" w:cstheme="majorBidi"/>
      <w:b/>
      <w:bCs/>
      <w:color w:val="4F81BD" w:themeColor="accent1"/>
      <w:sz w:val="26"/>
      <w:szCs w:val="26"/>
    </w:rPr>
  </w:style>
  <w:style w:type="character" w:customStyle="1" w:styleId="ref-journal">
    <w:name w:val="ref-journal"/>
    <w:basedOn w:val="DefaultParagraphFont"/>
    <w:rsid w:val="0077168F"/>
  </w:style>
  <w:style w:type="character" w:customStyle="1" w:styleId="ref-vol">
    <w:name w:val="ref-vol"/>
    <w:basedOn w:val="DefaultParagraphFont"/>
    <w:rsid w:val="0077168F"/>
  </w:style>
  <w:style w:type="character" w:customStyle="1" w:styleId="nowrap">
    <w:name w:val="nowrap"/>
    <w:basedOn w:val="DefaultParagraphFont"/>
    <w:rsid w:val="0077168F"/>
  </w:style>
  <w:style w:type="character" w:customStyle="1" w:styleId="cit">
    <w:name w:val="cit"/>
    <w:basedOn w:val="DefaultParagraphFont"/>
    <w:rsid w:val="0077168F"/>
  </w:style>
  <w:style w:type="character" w:customStyle="1" w:styleId="journalname">
    <w:name w:val="journalname"/>
    <w:basedOn w:val="DefaultParagraphFont"/>
    <w:rsid w:val="0077168F"/>
  </w:style>
  <w:style w:type="character" w:customStyle="1" w:styleId="journalnumber">
    <w:name w:val="journalnumber"/>
    <w:basedOn w:val="DefaultParagraphFont"/>
    <w:rsid w:val="0077168F"/>
  </w:style>
  <w:style w:type="character" w:customStyle="1" w:styleId="cite-pages">
    <w:name w:val="cite-pages"/>
    <w:basedOn w:val="DefaultParagraphFont"/>
    <w:rsid w:val="0077168F"/>
  </w:style>
  <w:style w:type="character" w:customStyle="1" w:styleId="citationjournal">
    <w:name w:val="citation journal"/>
    <w:basedOn w:val="DefaultParagraphFont"/>
    <w:rsid w:val="0077168F"/>
  </w:style>
  <w:style w:type="character" w:customStyle="1" w:styleId="abscitationtitle">
    <w:name w:val="abs_citation_title"/>
    <w:basedOn w:val="DefaultParagraphFont"/>
    <w:rsid w:val="0077168F"/>
  </w:style>
  <w:style w:type="character" w:customStyle="1" w:styleId="absnonlinkmetadata">
    <w:name w:val="abs_nonlink_metadata"/>
    <w:basedOn w:val="DefaultParagraphFont"/>
    <w:rsid w:val="0077168F"/>
  </w:style>
  <w:style w:type="paragraph" w:customStyle="1" w:styleId="p">
    <w:name w:val="p"/>
    <w:basedOn w:val="Normal"/>
    <w:uiPriority w:val="99"/>
    <w:rsid w:val="009314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144F"/>
  </w:style>
  <w:style w:type="character" w:styleId="Strong">
    <w:name w:val="Strong"/>
    <w:basedOn w:val="DefaultParagraphFont"/>
    <w:uiPriority w:val="22"/>
    <w:qFormat/>
    <w:rsid w:val="0093144F"/>
    <w:rPr>
      <w:b/>
      <w:bCs/>
    </w:rPr>
  </w:style>
  <w:style w:type="character" w:customStyle="1" w:styleId="kwd-text">
    <w:name w:val="kwd-text"/>
    <w:basedOn w:val="DefaultParagraphFont"/>
    <w:rsid w:val="0093144F"/>
  </w:style>
  <w:style w:type="paragraph" w:styleId="ListParagraph">
    <w:name w:val="List Paragraph"/>
    <w:basedOn w:val="Normal"/>
    <w:uiPriority w:val="34"/>
    <w:qFormat/>
    <w:rsid w:val="00DD71A6"/>
    <w:pPr>
      <w:ind w:left="720"/>
      <w:contextualSpacing/>
    </w:pPr>
  </w:style>
  <w:style w:type="paragraph" w:styleId="BodyText">
    <w:name w:val="Body Text"/>
    <w:basedOn w:val="Normal"/>
    <w:link w:val="BodyTextChar"/>
    <w:uiPriority w:val="99"/>
    <w:semiHidden/>
    <w:unhideWhenUsed/>
    <w:rsid w:val="003A6952"/>
    <w:pPr>
      <w:spacing w:after="120"/>
    </w:pPr>
  </w:style>
  <w:style w:type="character" w:customStyle="1" w:styleId="BodyTextChar">
    <w:name w:val="Body Text Char"/>
    <w:basedOn w:val="DefaultParagraphFont"/>
    <w:link w:val="BodyText"/>
    <w:uiPriority w:val="99"/>
    <w:semiHidden/>
    <w:rsid w:val="003A6952"/>
  </w:style>
  <w:style w:type="paragraph" w:styleId="NormalWeb">
    <w:name w:val="Normal (Web)"/>
    <w:basedOn w:val="Normal"/>
    <w:uiPriority w:val="99"/>
    <w:semiHidden/>
    <w:unhideWhenUsed/>
    <w:rsid w:val="00EA68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6431F3"/>
  </w:style>
  <w:style w:type="paragraph" w:customStyle="1" w:styleId="Pa18">
    <w:name w:val="Pa18"/>
    <w:basedOn w:val="Default"/>
    <w:next w:val="Default"/>
    <w:uiPriority w:val="99"/>
    <w:rsid w:val="00E344F8"/>
    <w:pPr>
      <w:spacing w:line="201" w:lineRule="atLeast"/>
    </w:pPr>
    <w:rPr>
      <w:color w:val="auto"/>
    </w:rPr>
  </w:style>
  <w:style w:type="character" w:customStyle="1" w:styleId="Heading3Char">
    <w:name w:val="Heading 3 Char"/>
    <w:basedOn w:val="DefaultParagraphFont"/>
    <w:link w:val="Heading3"/>
    <w:uiPriority w:val="9"/>
    <w:rsid w:val="006F1C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1C6A"/>
    <w:rPr>
      <w:rFonts w:asciiTheme="majorHAnsi" w:eastAsiaTheme="majorEastAsia" w:hAnsiTheme="majorHAnsi" w:cstheme="majorBidi"/>
      <w:b/>
      <w:bCs/>
      <w:i/>
      <w:iCs/>
      <w:color w:val="4F81BD" w:themeColor="accent1"/>
    </w:rPr>
  </w:style>
  <w:style w:type="character" w:customStyle="1" w:styleId="mixed-citation">
    <w:name w:val="mixed-citation"/>
    <w:basedOn w:val="DefaultParagraphFont"/>
    <w:rsid w:val="0065087E"/>
  </w:style>
  <w:style w:type="character" w:customStyle="1" w:styleId="nlmarticle-title">
    <w:name w:val="nlm_article-title"/>
    <w:basedOn w:val="DefaultParagraphFont"/>
    <w:rsid w:val="00BB59FB"/>
  </w:style>
  <w:style w:type="character" w:customStyle="1" w:styleId="nlmyear">
    <w:name w:val="nlm_year"/>
    <w:basedOn w:val="DefaultParagraphFont"/>
    <w:rsid w:val="00BB59FB"/>
  </w:style>
  <w:style w:type="character" w:customStyle="1" w:styleId="nlmfpage">
    <w:name w:val="nlm_fpage"/>
    <w:basedOn w:val="DefaultParagraphFont"/>
    <w:rsid w:val="00BB59FB"/>
  </w:style>
  <w:style w:type="character" w:customStyle="1" w:styleId="nlmlpage">
    <w:name w:val="nlm_lpage"/>
    <w:basedOn w:val="DefaultParagraphFont"/>
    <w:rsid w:val="00BB59FB"/>
  </w:style>
  <w:style w:type="character" w:customStyle="1" w:styleId="ref-google">
    <w:name w:val="ref-google"/>
    <w:basedOn w:val="DefaultParagraphFont"/>
    <w:rsid w:val="00BB59FB"/>
  </w:style>
  <w:style w:type="character" w:customStyle="1" w:styleId="ref-xlink">
    <w:name w:val="ref-xlink"/>
    <w:basedOn w:val="DefaultParagraphFont"/>
    <w:rsid w:val="00BB59FB"/>
  </w:style>
</w:styles>
</file>

<file path=word/webSettings.xml><?xml version="1.0" encoding="utf-8"?>
<w:webSettings xmlns:r="http://schemas.openxmlformats.org/officeDocument/2006/relationships" xmlns:w="http://schemas.openxmlformats.org/wordprocessingml/2006/main">
  <w:divs>
    <w:div w:id="132674004">
      <w:bodyDiv w:val="1"/>
      <w:marLeft w:val="0"/>
      <w:marRight w:val="0"/>
      <w:marTop w:val="0"/>
      <w:marBottom w:val="0"/>
      <w:divBdr>
        <w:top w:val="none" w:sz="0" w:space="0" w:color="auto"/>
        <w:left w:val="none" w:sz="0" w:space="0" w:color="auto"/>
        <w:bottom w:val="none" w:sz="0" w:space="0" w:color="auto"/>
        <w:right w:val="none" w:sz="0" w:space="0" w:color="auto"/>
      </w:divBdr>
    </w:div>
    <w:div w:id="441613088">
      <w:bodyDiv w:val="1"/>
      <w:marLeft w:val="0"/>
      <w:marRight w:val="0"/>
      <w:marTop w:val="0"/>
      <w:marBottom w:val="0"/>
      <w:divBdr>
        <w:top w:val="none" w:sz="0" w:space="0" w:color="auto"/>
        <w:left w:val="none" w:sz="0" w:space="0" w:color="auto"/>
        <w:bottom w:val="none" w:sz="0" w:space="0" w:color="auto"/>
        <w:right w:val="none" w:sz="0" w:space="0" w:color="auto"/>
      </w:divBdr>
    </w:div>
    <w:div w:id="1042444256">
      <w:bodyDiv w:val="1"/>
      <w:marLeft w:val="0"/>
      <w:marRight w:val="0"/>
      <w:marTop w:val="0"/>
      <w:marBottom w:val="0"/>
      <w:divBdr>
        <w:top w:val="none" w:sz="0" w:space="0" w:color="auto"/>
        <w:left w:val="none" w:sz="0" w:space="0" w:color="auto"/>
        <w:bottom w:val="none" w:sz="0" w:space="0" w:color="auto"/>
        <w:right w:val="none" w:sz="0" w:space="0" w:color="auto"/>
      </w:divBdr>
    </w:div>
    <w:div w:id="1090466915">
      <w:bodyDiv w:val="1"/>
      <w:marLeft w:val="0"/>
      <w:marRight w:val="0"/>
      <w:marTop w:val="0"/>
      <w:marBottom w:val="0"/>
      <w:divBdr>
        <w:top w:val="none" w:sz="0" w:space="0" w:color="auto"/>
        <w:left w:val="none" w:sz="0" w:space="0" w:color="auto"/>
        <w:bottom w:val="none" w:sz="0" w:space="0" w:color="auto"/>
        <w:right w:val="none" w:sz="0" w:space="0" w:color="auto"/>
      </w:divBdr>
    </w:div>
    <w:div w:id="1103499373">
      <w:bodyDiv w:val="1"/>
      <w:marLeft w:val="0"/>
      <w:marRight w:val="0"/>
      <w:marTop w:val="0"/>
      <w:marBottom w:val="0"/>
      <w:divBdr>
        <w:top w:val="none" w:sz="0" w:space="0" w:color="auto"/>
        <w:left w:val="none" w:sz="0" w:space="0" w:color="auto"/>
        <w:bottom w:val="none" w:sz="0" w:space="0" w:color="auto"/>
        <w:right w:val="none" w:sz="0" w:space="0" w:color="auto"/>
      </w:divBdr>
    </w:div>
    <w:div w:id="1155493689">
      <w:bodyDiv w:val="1"/>
      <w:marLeft w:val="0"/>
      <w:marRight w:val="0"/>
      <w:marTop w:val="0"/>
      <w:marBottom w:val="0"/>
      <w:divBdr>
        <w:top w:val="none" w:sz="0" w:space="0" w:color="auto"/>
        <w:left w:val="none" w:sz="0" w:space="0" w:color="auto"/>
        <w:bottom w:val="none" w:sz="0" w:space="0" w:color="auto"/>
        <w:right w:val="none" w:sz="0" w:space="0" w:color="auto"/>
      </w:divBdr>
      <w:divsChild>
        <w:div w:id="1288581658">
          <w:marLeft w:val="0"/>
          <w:marRight w:val="0"/>
          <w:marTop w:val="166"/>
          <w:marBottom w:val="166"/>
          <w:divBdr>
            <w:top w:val="none" w:sz="0" w:space="0" w:color="auto"/>
            <w:left w:val="none" w:sz="0" w:space="0" w:color="auto"/>
            <w:bottom w:val="none" w:sz="0" w:space="0" w:color="auto"/>
            <w:right w:val="none" w:sz="0" w:space="0" w:color="auto"/>
          </w:divBdr>
        </w:div>
        <w:div w:id="628784779">
          <w:marLeft w:val="0"/>
          <w:marRight w:val="0"/>
          <w:marTop w:val="166"/>
          <w:marBottom w:val="166"/>
          <w:divBdr>
            <w:top w:val="none" w:sz="0" w:space="0" w:color="auto"/>
            <w:left w:val="none" w:sz="0" w:space="0" w:color="auto"/>
            <w:bottom w:val="none" w:sz="0" w:space="0" w:color="auto"/>
            <w:right w:val="none" w:sz="0" w:space="0" w:color="auto"/>
          </w:divBdr>
        </w:div>
        <w:div w:id="1457870349">
          <w:marLeft w:val="0"/>
          <w:marRight w:val="0"/>
          <w:marTop w:val="166"/>
          <w:marBottom w:val="166"/>
          <w:divBdr>
            <w:top w:val="none" w:sz="0" w:space="0" w:color="auto"/>
            <w:left w:val="none" w:sz="0" w:space="0" w:color="auto"/>
            <w:bottom w:val="none" w:sz="0" w:space="0" w:color="auto"/>
            <w:right w:val="none" w:sz="0" w:space="0" w:color="auto"/>
          </w:divBdr>
        </w:div>
      </w:divsChild>
    </w:div>
    <w:div w:id="1853688062">
      <w:bodyDiv w:val="1"/>
      <w:marLeft w:val="0"/>
      <w:marRight w:val="0"/>
      <w:marTop w:val="0"/>
      <w:marBottom w:val="0"/>
      <w:divBdr>
        <w:top w:val="none" w:sz="0" w:space="0" w:color="auto"/>
        <w:left w:val="none" w:sz="0" w:space="0" w:color="auto"/>
        <w:bottom w:val="none" w:sz="0" w:space="0" w:color="auto"/>
        <w:right w:val="none" w:sz="0" w:space="0" w:color="auto"/>
      </w:divBdr>
    </w:div>
    <w:div w:id="19609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10418.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A637-3A6E-4C14-90C0-C2B36C48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5922</Words>
  <Characters>33760</Characters>
  <Application>Microsoft Office Word</Application>
  <DocSecurity>0</DocSecurity>
  <Lines>281</Lines>
  <Paragraphs>79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39603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kjoi</dc:creator>
  <cp:lastModifiedBy>Administrator</cp:lastModifiedBy>
  <cp:revision>2</cp:revision>
  <dcterms:created xsi:type="dcterms:W3CDTF">2018-04-27T13:59:00Z</dcterms:created>
  <dcterms:modified xsi:type="dcterms:W3CDTF">2018-04-27T13:59:00Z</dcterms:modified>
</cp:coreProperties>
</file>