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36" w:rsidRPr="00C6336E" w:rsidRDefault="006965BA" w:rsidP="00194FCD">
      <w:pPr>
        <w:suppressAutoHyphens w:val="0"/>
        <w:snapToGrid w:val="0"/>
        <w:jc w:val="center"/>
        <w:rPr>
          <w:b/>
          <w:sz w:val="20"/>
          <w:szCs w:val="20"/>
        </w:rPr>
      </w:pPr>
      <w:r w:rsidRPr="00C6336E">
        <w:rPr>
          <w:b/>
          <w:sz w:val="20"/>
          <w:szCs w:val="20"/>
        </w:rPr>
        <w:t>Spatial Characterization of Flora Diversity and Soil Relations using GIS-Based Models in a Riverine Wetland of Imo River Basin.</w:t>
      </w:r>
    </w:p>
    <w:p w:rsidR="00A13736" w:rsidRPr="00C6336E" w:rsidRDefault="00A13736" w:rsidP="00194FCD">
      <w:pPr>
        <w:suppressAutoHyphens w:val="0"/>
        <w:snapToGrid w:val="0"/>
        <w:jc w:val="center"/>
        <w:rPr>
          <w:b/>
          <w:sz w:val="20"/>
          <w:szCs w:val="20"/>
        </w:rPr>
      </w:pPr>
    </w:p>
    <w:p w:rsidR="00A13736" w:rsidRPr="00C6336E" w:rsidRDefault="006965BA" w:rsidP="00194FCD">
      <w:pPr>
        <w:suppressAutoHyphens w:val="0"/>
        <w:snapToGrid w:val="0"/>
        <w:jc w:val="center"/>
        <w:rPr>
          <w:sz w:val="20"/>
          <w:szCs w:val="20"/>
        </w:rPr>
      </w:pPr>
      <w:r w:rsidRPr="00C6336E">
        <w:rPr>
          <w:sz w:val="20"/>
          <w:szCs w:val="20"/>
        </w:rPr>
        <w:t>Ogbemudia, F. O., *Ita, R. E., Mbong E. O. and Okoroafor, O. V.</w:t>
      </w:r>
    </w:p>
    <w:p w:rsidR="00A13736" w:rsidRPr="00C6336E" w:rsidRDefault="00A13736" w:rsidP="00194FCD">
      <w:pPr>
        <w:suppressAutoHyphens w:val="0"/>
        <w:snapToGrid w:val="0"/>
        <w:jc w:val="center"/>
        <w:rPr>
          <w:sz w:val="20"/>
          <w:szCs w:val="20"/>
        </w:rPr>
      </w:pPr>
    </w:p>
    <w:p w:rsidR="006965BA" w:rsidRPr="00C6336E" w:rsidRDefault="006965BA" w:rsidP="00194FCD">
      <w:pPr>
        <w:suppressAutoHyphens w:val="0"/>
        <w:snapToGrid w:val="0"/>
        <w:jc w:val="center"/>
        <w:rPr>
          <w:sz w:val="20"/>
          <w:szCs w:val="20"/>
        </w:rPr>
      </w:pPr>
      <w:r w:rsidRPr="00C6336E">
        <w:rPr>
          <w:sz w:val="20"/>
          <w:szCs w:val="20"/>
        </w:rPr>
        <w:t>Department of Botany and Ecological Studies, University of Uyo, P.M.B 1017 Uyo, Akwa Ibom State, Nigeria</w:t>
      </w:r>
    </w:p>
    <w:p w:rsidR="00A13736" w:rsidRPr="00C6336E" w:rsidRDefault="006965BA" w:rsidP="00194FCD">
      <w:pPr>
        <w:suppressAutoHyphens w:val="0"/>
        <w:snapToGrid w:val="0"/>
        <w:jc w:val="center"/>
        <w:rPr>
          <w:sz w:val="20"/>
          <w:szCs w:val="20"/>
        </w:rPr>
      </w:pPr>
      <w:r w:rsidRPr="00C6336E">
        <w:rPr>
          <w:sz w:val="20"/>
          <w:szCs w:val="20"/>
        </w:rPr>
        <w:t xml:space="preserve">Corresponding author: </w:t>
      </w:r>
      <w:hyperlink r:id="rId7" w:history="1">
        <w:r w:rsidRPr="00C6336E">
          <w:rPr>
            <w:rStyle w:val="Hyperlink"/>
            <w:sz w:val="20"/>
            <w:szCs w:val="20"/>
          </w:rPr>
          <w:t>alwaizfwesh247@yahoo.com</w:t>
        </w:r>
      </w:hyperlink>
    </w:p>
    <w:p w:rsidR="00A13736" w:rsidRPr="00C6336E" w:rsidRDefault="00A13736" w:rsidP="00194FCD">
      <w:pPr>
        <w:suppressAutoHyphens w:val="0"/>
        <w:snapToGrid w:val="0"/>
        <w:jc w:val="center"/>
        <w:rPr>
          <w:sz w:val="20"/>
          <w:szCs w:val="20"/>
        </w:rPr>
      </w:pPr>
    </w:p>
    <w:p w:rsidR="005D1DA6" w:rsidRPr="00C6336E" w:rsidRDefault="00471E57" w:rsidP="00194FCD">
      <w:pPr>
        <w:suppressAutoHyphens w:val="0"/>
        <w:snapToGrid w:val="0"/>
        <w:jc w:val="both"/>
        <w:rPr>
          <w:sz w:val="20"/>
          <w:szCs w:val="20"/>
        </w:rPr>
      </w:pPr>
      <w:r w:rsidRPr="00C6336E">
        <w:rPr>
          <w:b/>
          <w:sz w:val="20"/>
          <w:szCs w:val="20"/>
        </w:rPr>
        <w:t xml:space="preserve">Abstract: </w:t>
      </w:r>
      <w:r w:rsidR="006965BA" w:rsidRPr="00C6336E">
        <w:rPr>
          <w:sz w:val="20"/>
          <w:szCs w:val="20"/>
        </w:rPr>
        <w:t>The use of Geographic Information Systems (GIS) in sciences for generating maps capable of reflecting variability trends is gaining fast global acceptance. Against this backdrop, GIS-based models were spatially used to characterize flora diversity and soil relations in a riverine wetland of Imo River Basin. Soil and vegetation were sampled systematically using a 10m × 10m quadrat. The vegetation assembla</w:t>
      </w:r>
      <w:r w:rsidR="00791435">
        <w:rPr>
          <w:sz w:val="20"/>
          <w:szCs w:val="20"/>
        </w:rPr>
        <w:t>ge comprised of 9 species from seven (7)</w:t>
      </w:r>
      <w:r w:rsidR="006965BA" w:rsidRPr="00C6336E">
        <w:rPr>
          <w:sz w:val="20"/>
          <w:szCs w:val="20"/>
        </w:rPr>
        <w:t xml:space="preserve"> families. High frequency of occurrence was recorded by </w:t>
      </w:r>
      <w:r w:rsidR="006965BA" w:rsidRPr="00C6336E">
        <w:rPr>
          <w:i/>
          <w:sz w:val="20"/>
          <w:szCs w:val="20"/>
        </w:rPr>
        <w:t xml:space="preserve">Nypa fruticans </w:t>
      </w:r>
      <w:r w:rsidR="006965BA" w:rsidRPr="00C6336E">
        <w:rPr>
          <w:sz w:val="20"/>
          <w:szCs w:val="20"/>
        </w:rPr>
        <w:t xml:space="preserve">(75%) and </w:t>
      </w:r>
      <w:r w:rsidR="006965BA" w:rsidRPr="00C6336E">
        <w:rPr>
          <w:i/>
          <w:sz w:val="20"/>
          <w:szCs w:val="20"/>
        </w:rPr>
        <w:t>Acrostichum aureum (</w:t>
      </w:r>
      <w:r w:rsidR="006965BA" w:rsidRPr="00C6336E">
        <w:rPr>
          <w:sz w:val="20"/>
          <w:szCs w:val="20"/>
        </w:rPr>
        <w:t xml:space="preserve">75%). </w:t>
      </w:r>
      <w:r w:rsidR="006965BA" w:rsidRPr="00C6336E">
        <w:rPr>
          <w:i/>
          <w:sz w:val="20"/>
          <w:szCs w:val="20"/>
        </w:rPr>
        <w:t>Nypa fruticans</w:t>
      </w:r>
      <w:r w:rsidR="006965BA" w:rsidRPr="00C6336E">
        <w:rPr>
          <w:sz w:val="20"/>
          <w:szCs w:val="20"/>
        </w:rPr>
        <w:t xml:space="preserve"> dominated in density (541.78±155.90 st/ha), </w:t>
      </w:r>
      <w:r w:rsidR="006965BA" w:rsidRPr="00C6336E">
        <w:rPr>
          <w:i/>
          <w:sz w:val="20"/>
          <w:szCs w:val="20"/>
        </w:rPr>
        <w:t xml:space="preserve">Rhizophora mangle </w:t>
      </w:r>
      <w:r w:rsidR="006965BA" w:rsidRPr="00C6336E">
        <w:rPr>
          <w:sz w:val="20"/>
          <w:szCs w:val="20"/>
        </w:rPr>
        <w:t xml:space="preserve">was the tallest species (8.33±1.25m) while </w:t>
      </w:r>
      <w:r w:rsidR="006965BA" w:rsidRPr="00C6336E">
        <w:rPr>
          <w:i/>
          <w:sz w:val="20"/>
          <w:szCs w:val="20"/>
        </w:rPr>
        <w:t>Avicennia africana</w:t>
      </w:r>
      <w:r w:rsidR="006965BA" w:rsidRPr="00C6336E">
        <w:rPr>
          <w:sz w:val="20"/>
          <w:szCs w:val="20"/>
        </w:rPr>
        <w:t xml:space="preserve"> (2.56±1.57 m</w:t>
      </w:r>
      <w:r w:rsidR="006965BA" w:rsidRPr="00C6336E">
        <w:rPr>
          <w:sz w:val="20"/>
          <w:szCs w:val="20"/>
          <w:vertAlign w:val="superscript"/>
        </w:rPr>
        <w:t>2</w:t>
      </w:r>
      <w:r w:rsidR="006965BA" w:rsidRPr="00C6336E">
        <w:rPr>
          <w:sz w:val="20"/>
          <w:szCs w:val="20"/>
        </w:rPr>
        <w:t xml:space="preserve">/ha) and </w:t>
      </w:r>
      <w:r w:rsidR="006965BA" w:rsidRPr="00C6336E">
        <w:rPr>
          <w:i/>
          <w:sz w:val="20"/>
          <w:szCs w:val="20"/>
        </w:rPr>
        <w:t>Phoenix reclinata</w:t>
      </w:r>
      <w:r w:rsidR="006965BA" w:rsidRPr="00C6336E">
        <w:rPr>
          <w:sz w:val="20"/>
          <w:szCs w:val="20"/>
        </w:rPr>
        <w:t xml:space="preserve"> (0.836±0.10 m</w:t>
      </w:r>
      <w:r w:rsidR="006965BA" w:rsidRPr="00C6336E">
        <w:rPr>
          <w:sz w:val="20"/>
          <w:szCs w:val="20"/>
          <w:vertAlign w:val="superscript"/>
        </w:rPr>
        <w:t>2</w:t>
      </w:r>
      <w:r w:rsidR="006965BA" w:rsidRPr="00C6336E">
        <w:rPr>
          <w:sz w:val="20"/>
          <w:szCs w:val="20"/>
        </w:rPr>
        <w:t>/ha) dominated in crown coverage and basal area, respectively. GIS techniques showed variability in Shannon-Weinner, evenness and dominance diversity indices spatially by delineating five classes. Of these classes, station 4 dominated both in species richness (Class 5: 1.09 – 1.17) and evenness (Class 5: 0.76 – 0.8) while station 2 had highest dominance value (Class 5: 0.59 – 0.64).</w:t>
      </w:r>
      <w:r w:rsidR="00A13736" w:rsidRPr="00C6336E">
        <w:rPr>
          <w:sz w:val="20"/>
          <w:szCs w:val="20"/>
        </w:rPr>
        <w:t xml:space="preserve"> </w:t>
      </w:r>
      <w:r w:rsidR="006965BA" w:rsidRPr="00C6336E">
        <w:rPr>
          <w:sz w:val="20"/>
          <w:szCs w:val="20"/>
        </w:rPr>
        <w:t>For the nutrient composition, GIS mapping also showed variations spatially outlining various classes. Station 2 being close to the sea recorded the highest phosphorus contents (Class 5: 2.07 – 2.17) while station 3 had the least range of values (Class 1: 1.66 – 1.76). Station 3 had the highest values for total nitrogen (Class 5: 0.35 – 0.37) and organic carbon (Class 5: 13.55 – 14.8). Conclusively, this study confirms that geo-statistical modelling are effective tools in site evaluation and environmental monitoring and can be applied in many areas of research particularly where spatial variability and distribution are weighty.</w:t>
      </w:r>
    </w:p>
    <w:p w:rsidR="00194FCD" w:rsidRPr="00C6336E" w:rsidRDefault="00194FCD" w:rsidP="00757E48">
      <w:pPr>
        <w:suppressAutoHyphens w:val="0"/>
        <w:snapToGrid w:val="0"/>
        <w:jc w:val="both"/>
        <w:rPr>
          <w:sz w:val="20"/>
          <w:szCs w:val="20"/>
        </w:rPr>
      </w:pPr>
      <w:r w:rsidRPr="00C6336E">
        <w:rPr>
          <w:bCs/>
          <w:sz w:val="20"/>
          <w:szCs w:val="20"/>
        </w:rPr>
        <w:t>[</w:t>
      </w:r>
      <w:r w:rsidRPr="00C6336E">
        <w:rPr>
          <w:sz w:val="20"/>
          <w:szCs w:val="20"/>
        </w:rPr>
        <w:t>Ogbemudia, F. O., Ita, R. E., Mbong E. O. and Okoroafor, O. V</w:t>
      </w:r>
      <w:r w:rsidR="00E356B8" w:rsidRPr="00C6336E">
        <w:rPr>
          <w:rFonts w:hint="eastAsia"/>
          <w:sz w:val="20"/>
          <w:szCs w:val="20"/>
          <w:lang w:eastAsia="zh-CN"/>
        </w:rPr>
        <w:t>.</w:t>
      </w:r>
      <w:r w:rsidRPr="00C6336E">
        <w:rPr>
          <w:rFonts w:hint="eastAsia"/>
          <w:b/>
          <w:bCs/>
          <w:sz w:val="20"/>
          <w:szCs w:val="20"/>
          <w:lang w:bidi="fa-IR"/>
        </w:rPr>
        <w:t xml:space="preserve"> </w:t>
      </w:r>
      <w:r w:rsidRPr="00C6336E">
        <w:rPr>
          <w:b/>
          <w:sz w:val="20"/>
          <w:szCs w:val="20"/>
        </w:rPr>
        <w:t>Spatial Characterization of Flora Diversity and Soil Relations using GIS-Based Models in a Riverine Wetland of Imo River Basin</w:t>
      </w:r>
      <w:r w:rsidR="00E356B8" w:rsidRPr="00C6336E">
        <w:rPr>
          <w:rFonts w:hint="eastAsia"/>
          <w:b/>
          <w:sz w:val="20"/>
          <w:szCs w:val="20"/>
          <w:lang w:eastAsia="zh-CN"/>
        </w:rPr>
        <w:t>.</w:t>
      </w:r>
      <w:r w:rsidRPr="00C6336E">
        <w:rPr>
          <w:bCs/>
          <w:i/>
          <w:sz w:val="20"/>
          <w:szCs w:val="20"/>
        </w:rPr>
        <w:t xml:space="preserve"> N Y Sci J</w:t>
      </w:r>
      <w:r w:rsidRPr="00C6336E">
        <w:rPr>
          <w:bCs/>
          <w:sz w:val="20"/>
          <w:szCs w:val="20"/>
        </w:rPr>
        <w:t xml:space="preserve"> </w:t>
      </w:r>
      <w:r w:rsidRPr="00C6336E">
        <w:rPr>
          <w:sz w:val="20"/>
          <w:szCs w:val="20"/>
        </w:rPr>
        <w:t>201</w:t>
      </w:r>
      <w:r w:rsidRPr="00C6336E">
        <w:rPr>
          <w:rFonts w:hint="eastAsia"/>
          <w:sz w:val="20"/>
          <w:szCs w:val="20"/>
        </w:rPr>
        <w:t>8</w:t>
      </w:r>
      <w:r w:rsidRPr="00C6336E">
        <w:rPr>
          <w:sz w:val="20"/>
          <w:szCs w:val="20"/>
        </w:rPr>
        <w:t>;</w:t>
      </w:r>
      <w:r w:rsidRPr="00C6336E">
        <w:rPr>
          <w:rFonts w:hint="eastAsia"/>
          <w:sz w:val="20"/>
          <w:szCs w:val="20"/>
        </w:rPr>
        <w:t>11</w:t>
      </w:r>
      <w:r w:rsidRPr="00C6336E">
        <w:rPr>
          <w:sz w:val="20"/>
          <w:szCs w:val="20"/>
        </w:rPr>
        <w:t>(</w:t>
      </w:r>
      <w:r w:rsidRPr="00C6336E">
        <w:rPr>
          <w:rFonts w:hint="eastAsia"/>
          <w:sz w:val="20"/>
          <w:szCs w:val="20"/>
        </w:rPr>
        <w:t>5</w:t>
      </w:r>
      <w:r w:rsidRPr="00C6336E">
        <w:rPr>
          <w:sz w:val="20"/>
          <w:szCs w:val="20"/>
        </w:rPr>
        <w:t>):</w:t>
      </w:r>
      <w:r w:rsidR="00626603" w:rsidRPr="00C6336E">
        <w:rPr>
          <w:noProof/>
          <w:color w:val="000000"/>
          <w:sz w:val="20"/>
          <w:szCs w:val="20"/>
        </w:rPr>
        <w:t>59-6</w:t>
      </w:r>
      <w:r w:rsidR="00AB355B">
        <w:rPr>
          <w:rFonts w:hint="eastAsia"/>
          <w:noProof/>
          <w:color w:val="000000"/>
          <w:sz w:val="20"/>
          <w:szCs w:val="20"/>
          <w:lang w:eastAsia="zh-CN"/>
        </w:rPr>
        <w:t>6</w:t>
      </w:r>
      <w:r w:rsidRPr="00C6336E">
        <w:rPr>
          <w:sz w:val="20"/>
          <w:szCs w:val="20"/>
        </w:rPr>
        <w:t xml:space="preserve">]. </w:t>
      </w:r>
      <w:r w:rsidRPr="00C6336E">
        <w:rPr>
          <w:iCs/>
          <w:color w:val="000000"/>
          <w:sz w:val="20"/>
          <w:szCs w:val="20"/>
        </w:rPr>
        <w:t>ISSN 1554-0200 (print); ISSN 2375-723X (online)</w:t>
      </w:r>
      <w:r w:rsidRPr="00C6336E">
        <w:rPr>
          <w:sz w:val="20"/>
          <w:szCs w:val="20"/>
        </w:rPr>
        <w:t xml:space="preserve">. </w:t>
      </w:r>
      <w:hyperlink r:id="rId8" w:history="1">
        <w:r w:rsidRPr="00C6336E">
          <w:rPr>
            <w:rStyle w:val="Hyperlink"/>
            <w:sz w:val="20"/>
            <w:szCs w:val="20"/>
          </w:rPr>
          <w:t>http://www.sciencepub.net/newyork</w:t>
        </w:r>
      </w:hyperlink>
      <w:r w:rsidRPr="00C6336E">
        <w:rPr>
          <w:sz w:val="20"/>
          <w:szCs w:val="20"/>
        </w:rPr>
        <w:t xml:space="preserve">. </w:t>
      </w:r>
      <w:r w:rsidR="00757E48" w:rsidRPr="00C6336E">
        <w:rPr>
          <w:rFonts w:hint="eastAsia"/>
          <w:sz w:val="20"/>
          <w:szCs w:val="20"/>
          <w:lang w:eastAsia="zh-CN"/>
        </w:rPr>
        <w:t>7</w:t>
      </w:r>
      <w:r w:rsidRPr="00C6336E">
        <w:rPr>
          <w:rFonts w:hint="eastAsia"/>
          <w:sz w:val="20"/>
          <w:szCs w:val="20"/>
        </w:rPr>
        <w:t xml:space="preserve">. </w:t>
      </w:r>
      <w:r w:rsidRPr="00C6336E">
        <w:rPr>
          <w:color w:val="000000"/>
          <w:sz w:val="20"/>
          <w:szCs w:val="20"/>
          <w:shd w:val="clear" w:color="auto" w:fill="FFFFFF"/>
        </w:rPr>
        <w:t>doi:</w:t>
      </w:r>
      <w:hyperlink r:id="rId9" w:history="1">
        <w:r w:rsidRPr="00C6336E">
          <w:rPr>
            <w:rStyle w:val="Hyperlink"/>
            <w:sz w:val="20"/>
            <w:szCs w:val="20"/>
            <w:shd w:val="clear" w:color="auto" w:fill="FFFFFF"/>
          </w:rPr>
          <w:t>10.7537/mars</w:t>
        </w:r>
        <w:r w:rsidRPr="00C6336E">
          <w:rPr>
            <w:rStyle w:val="Hyperlink"/>
            <w:rFonts w:hint="eastAsia"/>
            <w:sz w:val="20"/>
            <w:szCs w:val="20"/>
            <w:shd w:val="clear" w:color="auto" w:fill="FFFFFF"/>
          </w:rPr>
          <w:t>nys110518.</w:t>
        </w:r>
        <w:r w:rsidRPr="00C6336E">
          <w:rPr>
            <w:rStyle w:val="Hyperlink"/>
            <w:sz w:val="20"/>
            <w:szCs w:val="20"/>
            <w:shd w:val="clear" w:color="auto" w:fill="FFFFFF"/>
          </w:rPr>
          <w:t>0</w:t>
        </w:r>
        <w:r w:rsidR="00757E48" w:rsidRPr="00C6336E">
          <w:rPr>
            <w:rStyle w:val="Hyperlink"/>
            <w:rFonts w:hint="eastAsia"/>
            <w:sz w:val="20"/>
            <w:szCs w:val="20"/>
            <w:shd w:val="clear" w:color="auto" w:fill="FFFFFF"/>
            <w:lang w:eastAsia="zh-CN"/>
          </w:rPr>
          <w:t>7</w:t>
        </w:r>
      </w:hyperlink>
      <w:r w:rsidRPr="00C6336E">
        <w:rPr>
          <w:color w:val="000000"/>
          <w:sz w:val="20"/>
          <w:szCs w:val="20"/>
          <w:shd w:val="clear" w:color="auto" w:fill="FFFFFF"/>
        </w:rPr>
        <w:t>.</w:t>
      </w:r>
    </w:p>
    <w:p w:rsidR="001817C7" w:rsidRPr="00C6336E" w:rsidRDefault="001817C7" w:rsidP="00194FCD">
      <w:pPr>
        <w:suppressAutoHyphens w:val="0"/>
        <w:snapToGrid w:val="0"/>
        <w:jc w:val="both"/>
        <w:rPr>
          <w:sz w:val="20"/>
          <w:szCs w:val="20"/>
        </w:rPr>
      </w:pPr>
    </w:p>
    <w:p w:rsidR="001817C7" w:rsidRPr="00C6336E" w:rsidRDefault="001817C7" w:rsidP="00194FCD">
      <w:pPr>
        <w:suppressAutoHyphens w:val="0"/>
        <w:snapToGrid w:val="0"/>
        <w:jc w:val="both"/>
        <w:rPr>
          <w:sz w:val="20"/>
          <w:szCs w:val="20"/>
        </w:rPr>
      </w:pPr>
      <w:r w:rsidRPr="00C6336E">
        <w:rPr>
          <w:b/>
          <w:sz w:val="20"/>
          <w:szCs w:val="20"/>
        </w:rPr>
        <w:t xml:space="preserve">Keywords: </w:t>
      </w:r>
      <w:r w:rsidR="006965BA" w:rsidRPr="00C6336E">
        <w:rPr>
          <w:sz w:val="20"/>
          <w:szCs w:val="20"/>
        </w:rPr>
        <w:t>GIS-based indices, Plant diversity, Soil, Riverine Wetland, Imo River Basin.</w:t>
      </w:r>
    </w:p>
    <w:p w:rsidR="00A13736" w:rsidRPr="00C6336E" w:rsidRDefault="00A13736" w:rsidP="00194FCD">
      <w:pPr>
        <w:suppressAutoHyphens w:val="0"/>
        <w:snapToGrid w:val="0"/>
        <w:jc w:val="both"/>
        <w:rPr>
          <w:b/>
          <w:sz w:val="20"/>
          <w:szCs w:val="20"/>
        </w:rPr>
      </w:pPr>
    </w:p>
    <w:p w:rsidR="00A13736" w:rsidRPr="00C6336E" w:rsidRDefault="00A13736" w:rsidP="00194FCD">
      <w:pPr>
        <w:suppressAutoHyphens w:val="0"/>
        <w:snapToGrid w:val="0"/>
        <w:jc w:val="both"/>
        <w:rPr>
          <w:b/>
          <w:sz w:val="20"/>
          <w:szCs w:val="20"/>
        </w:rPr>
        <w:sectPr w:rsidR="00A13736" w:rsidRPr="00C6336E" w:rsidSect="0062660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9"/>
          <w:cols w:space="720"/>
          <w:docGrid w:linePitch="360"/>
        </w:sectPr>
      </w:pPr>
    </w:p>
    <w:p w:rsidR="00757E48" w:rsidRPr="00C6336E" w:rsidRDefault="00471E57" w:rsidP="00194FCD">
      <w:pPr>
        <w:suppressAutoHyphens w:val="0"/>
        <w:snapToGrid w:val="0"/>
        <w:jc w:val="both"/>
        <w:rPr>
          <w:b/>
          <w:sz w:val="20"/>
          <w:szCs w:val="20"/>
        </w:rPr>
      </w:pPr>
      <w:r w:rsidRPr="00C6336E">
        <w:rPr>
          <w:b/>
          <w:sz w:val="20"/>
          <w:szCs w:val="20"/>
        </w:rPr>
        <w:lastRenderedPageBreak/>
        <w:t>1. Introduction</w:t>
      </w:r>
    </w:p>
    <w:p w:rsidR="00757E48" w:rsidRPr="00C6336E" w:rsidRDefault="006965BA" w:rsidP="00194FCD">
      <w:pPr>
        <w:suppressAutoHyphens w:val="0"/>
        <w:snapToGrid w:val="0"/>
        <w:ind w:firstLine="425"/>
        <w:jc w:val="both"/>
        <w:rPr>
          <w:sz w:val="20"/>
          <w:szCs w:val="20"/>
        </w:rPr>
      </w:pPr>
      <w:r w:rsidRPr="00C6336E">
        <w:rPr>
          <w:sz w:val="20"/>
          <w:szCs w:val="20"/>
        </w:rPr>
        <w:t xml:space="preserve">Wetlands according to Ramsar Convention (2011) are “areas of marsh, fen, peat-land or water, whether natural or artificial, permanent or temporary, with water that is static or flowing, fresh, brackish or salt including areas of marine water, the depth of which at low tide does not exceed 6 meters’’. Wetlands vary in typologies and sizes but the pivotal point in this study is on riverine wetland. </w:t>
      </w:r>
      <w:r w:rsidRPr="00C6336E">
        <w:rPr>
          <w:color w:val="000000" w:themeColor="text1"/>
          <w:sz w:val="20"/>
          <w:szCs w:val="20"/>
        </w:rPr>
        <w:t>Riverine wetlands are wetlands that are situated on the fringes of rivers, streams and creeks</w:t>
      </w:r>
      <w:r w:rsidRPr="00C6336E">
        <w:rPr>
          <w:rStyle w:val="citation"/>
          <w:color w:val="000000" w:themeColor="text1"/>
          <w:sz w:val="20"/>
          <w:szCs w:val="20"/>
        </w:rPr>
        <w:t>.</w:t>
      </w:r>
      <w:r w:rsidRPr="00C6336E">
        <w:rPr>
          <w:color w:val="000000" w:themeColor="text1"/>
          <w:sz w:val="20"/>
          <w:szCs w:val="20"/>
        </w:rPr>
        <w:t xml:space="preserve"> They can be natural or artificial and may be linked to </w:t>
      </w:r>
      <w:hyperlink r:id="rId13" w:history="1">
        <w:r w:rsidRPr="00C6336E">
          <w:rPr>
            <w:rStyle w:val="Hyperlink"/>
            <w:color w:val="000000" w:themeColor="text1"/>
            <w:sz w:val="20"/>
            <w:szCs w:val="20"/>
            <w:u w:val="none"/>
          </w:rPr>
          <w:t>palustrine</w:t>
        </w:r>
      </w:hyperlink>
      <w:r w:rsidRPr="00C6336E">
        <w:rPr>
          <w:color w:val="000000" w:themeColor="text1"/>
          <w:sz w:val="20"/>
          <w:szCs w:val="20"/>
        </w:rPr>
        <w:t xml:space="preserve">, </w:t>
      </w:r>
      <w:hyperlink r:id="rId14" w:history="1">
        <w:r w:rsidRPr="00C6336E">
          <w:rPr>
            <w:rStyle w:val="Hyperlink"/>
            <w:color w:val="000000" w:themeColor="text1"/>
            <w:sz w:val="20"/>
            <w:szCs w:val="20"/>
            <w:u w:val="none"/>
          </w:rPr>
          <w:t>estuarine</w:t>
        </w:r>
      </w:hyperlink>
      <w:r w:rsidRPr="00C6336E">
        <w:rPr>
          <w:color w:val="000000" w:themeColor="text1"/>
          <w:sz w:val="20"/>
          <w:szCs w:val="20"/>
        </w:rPr>
        <w:t xml:space="preserve">, </w:t>
      </w:r>
      <w:hyperlink r:id="rId15" w:history="1">
        <w:r w:rsidRPr="00C6336E">
          <w:rPr>
            <w:rStyle w:val="Hyperlink"/>
            <w:color w:val="000000" w:themeColor="text1"/>
            <w:sz w:val="20"/>
            <w:szCs w:val="20"/>
            <w:u w:val="none"/>
          </w:rPr>
          <w:t>lacustrine</w:t>
        </w:r>
      </w:hyperlink>
      <w:r w:rsidRPr="00C6336E">
        <w:rPr>
          <w:color w:val="000000" w:themeColor="text1"/>
          <w:sz w:val="20"/>
          <w:szCs w:val="20"/>
        </w:rPr>
        <w:t xml:space="preserve"> and </w:t>
      </w:r>
      <w:hyperlink r:id="rId16" w:history="1">
        <w:r w:rsidRPr="00C6336E">
          <w:rPr>
            <w:rStyle w:val="Hyperlink"/>
            <w:color w:val="000000" w:themeColor="text1"/>
            <w:sz w:val="20"/>
            <w:szCs w:val="20"/>
            <w:u w:val="none"/>
          </w:rPr>
          <w:t>marine</w:t>
        </w:r>
      </w:hyperlink>
      <w:r w:rsidRPr="00C6336E">
        <w:rPr>
          <w:color w:val="000000" w:themeColor="text1"/>
          <w:sz w:val="20"/>
          <w:szCs w:val="20"/>
        </w:rPr>
        <w:t xml:space="preserve"> wetlands</w:t>
      </w:r>
      <w:r w:rsidRPr="00C6336E">
        <w:rPr>
          <w:rStyle w:val="citation"/>
          <w:color w:val="000000" w:themeColor="text1"/>
          <w:sz w:val="20"/>
          <w:szCs w:val="20"/>
        </w:rPr>
        <w:t xml:space="preserve"> (Stein, 2005).</w:t>
      </w:r>
      <w:r w:rsidRPr="00C6336E">
        <w:rPr>
          <w:color w:val="000000" w:themeColor="text1"/>
          <w:sz w:val="20"/>
          <w:szCs w:val="20"/>
        </w:rPr>
        <w:t xml:space="preserve"> High variability exist in water levels in riverine wetlands and as such, it may hold water periodically or permanently and in some cases may remain dry for long period of time. Due to the variability in riverine wetland habitats, variations in plant species composition and distribution are also noticeable. </w:t>
      </w:r>
      <w:r w:rsidRPr="00C6336E">
        <w:rPr>
          <w:sz w:val="20"/>
          <w:szCs w:val="20"/>
        </w:rPr>
        <w:t xml:space="preserve">Riverine wetlands support diversity of plant species of woody, shrubby and herbaceous forms. These species contribute vastly towards primary production and other hydro-chemical processes in the wetland (Seabloom, 2003). Their importance in wetlands is not unprecedented and cannot be unnoticed as they </w:t>
      </w:r>
      <w:r w:rsidRPr="00C6336E">
        <w:rPr>
          <w:sz w:val="20"/>
          <w:szCs w:val="20"/>
        </w:rPr>
        <w:lastRenderedPageBreak/>
        <w:t xml:space="preserve">provide protection, support and food to aquatic fauna (Tessier </w:t>
      </w:r>
      <w:r w:rsidRPr="00C6336E">
        <w:rPr>
          <w:i/>
          <w:iCs/>
          <w:sz w:val="20"/>
          <w:szCs w:val="20"/>
        </w:rPr>
        <w:t>et al</w:t>
      </w:r>
      <w:r w:rsidRPr="00C6336E">
        <w:rPr>
          <w:sz w:val="20"/>
          <w:szCs w:val="20"/>
        </w:rPr>
        <w:t xml:space="preserve">., 2004). They also aid in erosion control, filtering and sedimentation, oxygen enrichment in water, absorption of pollutants as well as cycling of nutrients (Seabloom, 2003; Ita </w:t>
      </w:r>
      <w:r w:rsidR="00AA2673">
        <w:rPr>
          <w:i/>
          <w:sz w:val="20"/>
          <w:szCs w:val="20"/>
        </w:rPr>
        <w:t xml:space="preserve">et </w:t>
      </w:r>
      <w:r w:rsidRPr="00C6336E">
        <w:rPr>
          <w:i/>
          <w:sz w:val="20"/>
          <w:szCs w:val="20"/>
        </w:rPr>
        <w:t>al</w:t>
      </w:r>
      <w:r w:rsidRPr="00C6336E">
        <w:rPr>
          <w:sz w:val="20"/>
          <w:szCs w:val="20"/>
        </w:rPr>
        <w:t>., 2017). For these plants to proliferate, they must be well acclimatized to the prevailing environmental (soil) conditions in this wetland.</w:t>
      </w:r>
      <w:r w:rsidR="00A13736" w:rsidRPr="00C6336E">
        <w:rPr>
          <w:sz w:val="20"/>
          <w:szCs w:val="20"/>
        </w:rPr>
        <w:t xml:space="preserve"> </w:t>
      </w:r>
      <w:r w:rsidRPr="00C6336E">
        <w:rPr>
          <w:sz w:val="20"/>
          <w:szCs w:val="20"/>
        </w:rPr>
        <w:t xml:space="preserve">Soils in wetlands are characterized by a high degree of spatial variability due to a combination of physical, chemical and biological processes that operate with different intensities at different scales (Ita </w:t>
      </w:r>
      <w:r w:rsidRPr="00C6336E">
        <w:rPr>
          <w:i/>
          <w:sz w:val="20"/>
          <w:szCs w:val="20"/>
        </w:rPr>
        <w:t>et al</w:t>
      </w:r>
      <w:r w:rsidRPr="00C6336E">
        <w:rPr>
          <w:sz w:val="20"/>
          <w:szCs w:val="20"/>
        </w:rPr>
        <w:t>., 2017).</w:t>
      </w:r>
    </w:p>
    <w:p w:rsidR="00757E48" w:rsidRPr="00C6336E" w:rsidRDefault="006965BA" w:rsidP="00194FCD">
      <w:pPr>
        <w:suppressAutoHyphens w:val="0"/>
        <w:snapToGrid w:val="0"/>
        <w:ind w:firstLine="425"/>
        <w:jc w:val="both"/>
        <w:rPr>
          <w:sz w:val="20"/>
          <w:szCs w:val="20"/>
        </w:rPr>
      </w:pPr>
      <w:r w:rsidRPr="00C6336E">
        <w:rPr>
          <w:sz w:val="20"/>
          <w:szCs w:val="20"/>
        </w:rPr>
        <w:t xml:space="preserve">How prevailing environmental conditions influence species diversity and distribution in an ecosystem is one of the most important subject of investigation when studying community structure (Molles, 1999). For a proper appraisal, survey and conservation of ecosystems, diversity indices are widely used (Mouillot and Leprêtre, 1999). The most common indices used in quantifying landscape composition are Shannon and Simpson indices. While the former emphasizes the richness component of diversity, the latter stresses the evenness component (Nagendra, 2002). It is believed that these indices have the potential to map diversity if appropriate tools </w:t>
      </w:r>
      <w:r w:rsidRPr="00C6336E">
        <w:rPr>
          <w:sz w:val="20"/>
          <w:szCs w:val="20"/>
        </w:rPr>
        <w:lastRenderedPageBreak/>
        <w:t xml:space="preserve">and methods are selected. At this point, geographic information systems (GIS) recognized recently by conservationists can be a very suitable and powerful tool in the spatial characterization and delineation of ecosystems (Dogan 2001). The spatial nature of the biological data lets GIS to develop spatial models which can be used as a solution for predictive mapping (Gottfried </w:t>
      </w:r>
      <w:r w:rsidRPr="00C6336E">
        <w:rPr>
          <w:i/>
          <w:sz w:val="20"/>
          <w:szCs w:val="20"/>
        </w:rPr>
        <w:t>et al</w:t>
      </w:r>
      <w:r w:rsidRPr="00C6336E">
        <w:rPr>
          <w:sz w:val="20"/>
          <w:szCs w:val="20"/>
        </w:rPr>
        <w:t>., 1998).</w:t>
      </w:r>
    </w:p>
    <w:p w:rsidR="006965BA" w:rsidRPr="00C6336E" w:rsidRDefault="006965BA" w:rsidP="00194FCD">
      <w:pPr>
        <w:suppressAutoHyphens w:val="0"/>
        <w:snapToGrid w:val="0"/>
        <w:ind w:firstLine="425"/>
        <w:jc w:val="both"/>
        <w:rPr>
          <w:sz w:val="20"/>
          <w:szCs w:val="20"/>
        </w:rPr>
      </w:pPr>
      <w:r w:rsidRPr="00C6336E">
        <w:rPr>
          <w:sz w:val="20"/>
          <w:szCs w:val="20"/>
        </w:rPr>
        <w:t>Anthropogenic upheavals such as deforestation, overgrazing of riverine vegetation by livestock (particularly in the dry season), selective exploitation of mangrove species (</w:t>
      </w:r>
      <w:r w:rsidRPr="00C6336E">
        <w:rPr>
          <w:i/>
          <w:sz w:val="20"/>
          <w:szCs w:val="20"/>
        </w:rPr>
        <w:t>Rhizophora</w:t>
      </w:r>
      <w:r w:rsidRPr="00C6336E">
        <w:rPr>
          <w:sz w:val="20"/>
          <w:szCs w:val="20"/>
        </w:rPr>
        <w:t xml:space="preserve"> and </w:t>
      </w:r>
      <w:r w:rsidRPr="00C6336E">
        <w:rPr>
          <w:i/>
          <w:sz w:val="20"/>
          <w:szCs w:val="20"/>
        </w:rPr>
        <w:t>Avicennia</w:t>
      </w:r>
      <w:r w:rsidRPr="00C6336E">
        <w:rPr>
          <w:sz w:val="20"/>
          <w:szCs w:val="20"/>
        </w:rPr>
        <w:t>) for timber, construction of traditional boat and fuelwood, clearance of shoreline vegetation and trampling due to fishing activities are the major threats faced by endemic wetlands. Despite this, information on phytodiversity in relation to and soil relations in our wetland ecosystems lag behind their terrestrial associates. Also, information on the spatial characterization of plant species and soil relations in wetlands using GIS in Akwa Ibom State is very scanty. If these were available they would have contributed to the advocacy for better conservation and management of indigenous wetland ecosystems and effective utilization of their resources by all.</w:t>
      </w:r>
    </w:p>
    <w:p w:rsidR="006965BA" w:rsidRPr="00C6336E" w:rsidRDefault="006965BA" w:rsidP="00194FCD">
      <w:pPr>
        <w:suppressAutoHyphens w:val="0"/>
        <w:snapToGrid w:val="0"/>
        <w:ind w:firstLine="425"/>
        <w:jc w:val="both"/>
        <w:rPr>
          <w:sz w:val="20"/>
          <w:szCs w:val="20"/>
        </w:rPr>
      </w:pPr>
    </w:p>
    <w:p w:rsidR="00471E57" w:rsidRPr="00C6336E" w:rsidRDefault="00471E57" w:rsidP="00194FCD">
      <w:pPr>
        <w:suppressAutoHyphens w:val="0"/>
        <w:snapToGrid w:val="0"/>
        <w:jc w:val="both"/>
        <w:rPr>
          <w:b/>
          <w:sz w:val="20"/>
          <w:szCs w:val="20"/>
        </w:rPr>
      </w:pPr>
      <w:r w:rsidRPr="00C6336E">
        <w:rPr>
          <w:b/>
          <w:sz w:val="20"/>
          <w:szCs w:val="20"/>
        </w:rPr>
        <w:t xml:space="preserve">2. Material and Methods </w:t>
      </w:r>
    </w:p>
    <w:p w:rsidR="00757E48" w:rsidRPr="00C6336E" w:rsidRDefault="006965BA" w:rsidP="00194FCD">
      <w:pPr>
        <w:suppressAutoHyphens w:val="0"/>
        <w:snapToGrid w:val="0"/>
        <w:jc w:val="both"/>
        <w:rPr>
          <w:b/>
          <w:sz w:val="20"/>
          <w:szCs w:val="20"/>
        </w:rPr>
      </w:pPr>
      <w:r w:rsidRPr="00C6336E">
        <w:rPr>
          <w:b/>
          <w:sz w:val="20"/>
          <w:szCs w:val="20"/>
        </w:rPr>
        <w:t>2.1 Study Area</w:t>
      </w:r>
    </w:p>
    <w:p w:rsidR="006965BA" w:rsidRPr="00C6336E" w:rsidRDefault="006965BA" w:rsidP="00194FCD">
      <w:pPr>
        <w:suppressAutoHyphens w:val="0"/>
        <w:snapToGrid w:val="0"/>
        <w:ind w:firstLine="425"/>
        <w:jc w:val="both"/>
        <w:rPr>
          <w:sz w:val="20"/>
          <w:szCs w:val="20"/>
        </w:rPr>
      </w:pPr>
      <w:r w:rsidRPr="00C6336E">
        <w:rPr>
          <w:sz w:val="20"/>
          <w:szCs w:val="20"/>
        </w:rPr>
        <w:t xml:space="preserve">The study was conducted in a mangrove forest of Utaewa Village in Ikot Abasi Local government Area of Akwa Ibom State. The swamp serves as an intertidal zone separating the riparian communities with the Sea. The vegetation is typically a mangrove with evidences of </w:t>
      </w:r>
      <w:r w:rsidRPr="00C6336E">
        <w:rPr>
          <w:i/>
          <w:sz w:val="20"/>
          <w:szCs w:val="20"/>
        </w:rPr>
        <w:t>Nypa</w:t>
      </w:r>
      <w:r w:rsidRPr="00C6336E">
        <w:rPr>
          <w:sz w:val="20"/>
          <w:szCs w:val="20"/>
        </w:rPr>
        <w:t xml:space="preserve"> invasion. The coordinates of the specific stations are presented in Table 1.</w:t>
      </w:r>
    </w:p>
    <w:p w:rsidR="006965BA" w:rsidRPr="00C6336E" w:rsidRDefault="006965BA" w:rsidP="00194FCD">
      <w:pPr>
        <w:suppressAutoHyphens w:val="0"/>
        <w:snapToGrid w:val="0"/>
        <w:jc w:val="center"/>
        <w:rPr>
          <w:sz w:val="20"/>
          <w:szCs w:val="20"/>
        </w:rPr>
      </w:pPr>
    </w:p>
    <w:p w:rsidR="006965BA" w:rsidRPr="006B0D2A" w:rsidRDefault="00654EBA" w:rsidP="00194FCD">
      <w:pPr>
        <w:suppressAutoHyphens w:val="0"/>
        <w:snapToGrid w:val="0"/>
        <w:jc w:val="center"/>
        <w:rPr>
          <w:b/>
          <w:sz w:val="20"/>
          <w:szCs w:val="20"/>
        </w:rPr>
      </w:pPr>
      <w:r>
        <w:rPr>
          <w:b/>
          <w:sz w:val="20"/>
          <w:szCs w:val="20"/>
        </w:rPr>
        <w:t xml:space="preserve">Table 1: </w:t>
      </w:r>
      <w:r w:rsidR="006965BA" w:rsidRPr="006B0D2A">
        <w:rPr>
          <w:b/>
          <w:sz w:val="20"/>
          <w:szCs w:val="20"/>
        </w:rPr>
        <w:t>Coordinates of the specific stations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61"/>
        <w:gridCol w:w="1804"/>
        <w:gridCol w:w="1529"/>
      </w:tblGrid>
      <w:tr w:rsidR="006965BA" w:rsidRPr="00C6336E" w:rsidTr="00A13736">
        <w:trPr>
          <w:jc w:val="center"/>
        </w:trPr>
        <w:tc>
          <w:tcPr>
            <w:tcW w:w="1292" w:type="pct"/>
            <w:tcBorders>
              <w:top w:val="single" w:sz="4" w:space="0" w:color="auto"/>
              <w:bottom w:val="single" w:sz="4" w:space="0" w:color="auto"/>
            </w:tcBorders>
            <w:vAlign w:val="center"/>
          </w:tcPr>
          <w:p w:rsidR="006965BA" w:rsidRPr="00C6336E" w:rsidRDefault="006965BA" w:rsidP="00194FCD">
            <w:pPr>
              <w:suppressAutoHyphens w:val="0"/>
              <w:snapToGrid w:val="0"/>
              <w:rPr>
                <w:b/>
                <w:sz w:val="20"/>
                <w:szCs w:val="20"/>
              </w:rPr>
            </w:pPr>
            <w:r w:rsidRPr="00C6336E">
              <w:rPr>
                <w:b/>
                <w:sz w:val="20"/>
                <w:szCs w:val="20"/>
              </w:rPr>
              <w:t>Stations</w:t>
            </w:r>
          </w:p>
        </w:tc>
        <w:tc>
          <w:tcPr>
            <w:tcW w:w="2007" w:type="pct"/>
            <w:tcBorders>
              <w:top w:val="single" w:sz="4" w:space="0" w:color="auto"/>
              <w:bottom w:val="single" w:sz="4" w:space="0" w:color="auto"/>
            </w:tcBorders>
            <w:vAlign w:val="center"/>
          </w:tcPr>
          <w:p w:rsidR="006965BA" w:rsidRPr="00C6336E" w:rsidRDefault="006965BA" w:rsidP="00194FCD">
            <w:pPr>
              <w:suppressAutoHyphens w:val="0"/>
              <w:snapToGrid w:val="0"/>
              <w:rPr>
                <w:b/>
                <w:sz w:val="20"/>
                <w:szCs w:val="20"/>
              </w:rPr>
            </w:pPr>
            <w:r w:rsidRPr="00C6336E">
              <w:rPr>
                <w:b/>
                <w:sz w:val="20"/>
                <w:szCs w:val="20"/>
              </w:rPr>
              <w:t>Longitude</w:t>
            </w:r>
          </w:p>
        </w:tc>
        <w:tc>
          <w:tcPr>
            <w:tcW w:w="1702" w:type="pct"/>
            <w:tcBorders>
              <w:top w:val="single" w:sz="4" w:space="0" w:color="auto"/>
              <w:bottom w:val="single" w:sz="4" w:space="0" w:color="auto"/>
            </w:tcBorders>
            <w:vAlign w:val="center"/>
          </w:tcPr>
          <w:p w:rsidR="006965BA" w:rsidRPr="00C6336E" w:rsidRDefault="006965BA" w:rsidP="00194FCD">
            <w:pPr>
              <w:suppressAutoHyphens w:val="0"/>
              <w:snapToGrid w:val="0"/>
              <w:rPr>
                <w:b/>
                <w:sz w:val="20"/>
                <w:szCs w:val="20"/>
              </w:rPr>
            </w:pPr>
            <w:r w:rsidRPr="00C6336E">
              <w:rPr>
                <w:b/>
                <w:sz w:val="20"/>
                <w:szCs w:val="20"/>
              </w:rPr>
              <w:t>Latitude</w:t>
            </w:r>
          </w:p>
        </w:tc>
      </w:tr>
      <w:tr w:rsidR="006965BA" w:rsidRPr="00C6336E" w:rsidTr="00A13736">
        <w:trPr>
          <w:jc w:val="center"/>
        </w:trPr>
        <w:tc>
          <w:tcPr>
            <w:tcW w:w="1292" w:type="pct"/>
            <w:tcBorders>
              <w:top w:val="single" w:sz="4" w:space="0" w:color="auto"/>
            </w:tcBorders>
            <w:vAlign w:val="center"/>
          </w:tcPr>
          <w:p w:rsidR="006965BA" w:rsidRPr="00C6336E" w:rsidRDefault="006965BA" w:rsidP="00194FCD">
            <w:pPr>
              <w:suppressAutoHyphens w:val="0"/>
              <w:snapToGrid w:val="0"/>
              <w:rPr>
                <w:sz w:val="20"/>
                <w:szCs w:val="20"/>
              </w:rPr>
            </w:pPr>
            <w:r w:rsidRPr="00C6336E">
              <w:rPr>
                <w:sz w:val="20"/>
                <w:szCs w:val="20"/>
              </w:rPr>
              <w:t>Station 1</w:t>
            </w:r>
          </w:p>
        </w:tc>
        <w:tc>
          <w:tcPr>
            <w:tcW w:w="2007" w:type="pct"/>
            <w:tcBorders>
              <w:top w:val="single" w:sz="4" w:space="0" w:color="auto"/>
            </w:tcBorders>
            <w:vAlign w:val="center"/>
          </w:tcPr>
          <w:p w:rsidR="006965BA" w:rsidRPr="00C6336E" w:rsidRDefault="006965BA" w:rsidP="00194FCD">
            <w:pPr>
              <w:suppressAutoHyphens w:val="0"/>
              <w:snapToGrid w:val="0"/>
              <w:rPr>
                <w:sz w:val="20"/>
                <w:szCs w:val="20"/>
              </w:rPr>
            </w:pPr>
            <w:r w:rsidRPr="00C6336E">
              <w:rPr>
                <w:sz w:val="20"/>
                <w:szCs w:val="20"/>
              </w:rPr>
              <w:t>7</w:t>
            </w:r>
            <w:r w:rsidRPr="00C6336E">
              <w:rPr>
                <w:sz w:val="20"/>
                <w:szCs w:val="20"/>
                <w:vertAlign w:val="superscript"/>
              </w:rPr>
              <w:t xml:space="preserve">o </w:t>
            </w:r>
            <w:r w:rsidRPr="00C6336E">
              <w:rPr>
                <w:sz w:val="20"/>
                <w:szCs w:val="20"/>
              </w:rPr>
              <w:t>31’ 39.85</w:t>
            </w:r>
            <w:r w:rsidRPr="00C6336E">
              <w:rPr>
                <w:sz w:val="20"/>
                <w:szCs w:val="20"/>
                <w:vertAlign w:val="superscript"/>
              </w:rPr>
              <w:t xml:space="preserve">” </w:t>
            </w:r>
            <w:r w:rsidRPr="00C6336E">
              <w:rPr>
                <w:sz w:val="20"/>
                <w:szCs w:val="20"/>
              </w:rPr>
              <w:t>E</w:t>
            </w:r>
          </w:p>
        </w:tc>
        <w:tc>
          <w:tcPr>
            <w:tcW w:w="1702" w:type="pct"/>
            <w:tcBorders>
              <w:top w:val="single" w:sz="4" w:space="0" w:color="auto"/>
            </w:tcBorders>
            <w:vAlign w:val="center"/>
          </w:tcPr>
          <w:p w:rsidR="006965BA" w:rsidRPr="00C6336E" w:rsidRDefault="006965BA" w:rsidP="00194FCD">
            <w:pPr>
              <w:suppressAutoHyphens w:val="0"/>
              <w:snapToGrid w:val="0"/>
              <w:rPr>
                <w:sz w:val="20"/>
                <w:szCs w:val="20"/>
              </w:rPr>
            </w:pPr>
            <w:r w:rsidRPr="00C6336E">
              <w:rPr>
                <w:sz w:val="20"/>
                <w:szCs w:val="20"/>
              </w:rPr>
              <w:t>4</w:t>
            </w:r>
            <w:r w:rsidRPr="00C6336E">
              <w:rPr>
                <w:sz w:val="20"/>
                <w:szCs w:val="20"/>
                <w:vertAlign w:val="superscript"/>
              </w:rPr>
              <w:t xml:space="preserve">o </w:t>
            </w:r>
            <w:r w:rsidRPr="00C6336E">
              <w:rPr>
                <w:sz w:val="20"/>
                <w:szCs w:val="20"/>
              </w:rPr>
              <w:t>35</w:t>
            </w:r>
            <w:r w:rsidRPr="00C6336E">
              <w:rPr>
                <w:sz w:val="20"/>
                <w:szCs w:val="20"/>
                <w:vertAlign w:val="superscript"/>
              </w:rPr>
              <w:t xml:space="preserve">’ </w:t>
            </w:r>
            <w:r w:rsidRPr="00C6336E">
              <w:rPr>
                <w:sz w:val="20"/>
                <w:szCs w:val="20"/>
              </w:rPr>
              <w:t>52.47</w:t>
            </w:r>
            <w:r w:rsidRPr="00C6336E">
              <w:rPr>
                <w:sz w:val="20"/>
                <w:szCs w:val="20"/>
                <w:vertAlign w:val="superscript"/>
              </w:rPr>
              <w:t>”</w:t>
            </w:r>
          </w:p>
        </w:tc>
      </w:tr>
      <w:tr w:rsidR="006965BA" w:rsidRPr="00C6336E" w:rsidTr="00A13736">
        <w:trPr>
          <w:jc w:val="center"/>
        </w:trPr>
        <w:tc>
          <w:tcPr>
            <w:tcW w:w="1292" w:type="pct"/>
            <w:vAlign w:val="center"/>
          </w:tcPr>
          <w:p w:rsidR="006965BA" w:rsidRPr="00C6336E" w:rsidRDefault="006965BA" w:rsidP="00194FCD">
            <w:pPr>
              <w:suppressAutoHyphens w:val="0"/>
              <w:snapToGrid w:val="0"/>
              <w:rPr>
                <w:sz w:val="20"/>
                <w:szCs w:val="20"/>
              </w:rPr>
            </w:pPr>
            <w:r w:rsidRPr="00C6336E">
              <w:rPr>
                <w:sz w:val="20"/>
                <w:szCs w:val="20"/>
              </w:rPr>
              <w:t>Station 2</w:t>
            </w:r>
          </w:p>
        </w:tc>
        <w:tc>
          <w:tcPr>
            <w:tcW w:w="2007" w:type="pct"/>
            <w:vAlign w:val="center"/>
          </w:tcPr>
          <w:p w:rsidR="006965BA" w:rsidRPr="00C6336E" w:rsidRDefault="006965BA" w:rsidP="00194FCD">
            <w:pPr>
              <w:suppressAutoHyphens w:val="0"/>
              <w:snapToGrid w:val="0"/>
              <w:rPr>
                <w:sz w:val="20"/>
                <w:szCs w:val="20"/>
              </w:rPr>
            </w:pPr>
            <w:r w:rsidRPr="00C6336E">
              <w:rPr>
                <w:sz w:val="20"/>
                <w:szCs w:val="20"/>
              </w:rPr>
              <w:t>7</w:t>
            </w:r>
            <w:r w:rsidRPr="00C6336E">
              <w:rPr>
                <w:sz w:val="20"/>
                <w:szCs w:val="20"/>
                <w:vertAlign w:val="superscript"/>
              </w:rPr>
              <w:t xml:space="preserve">o </w:t>
            </w:r>
            <w:r w:rsidRPr="00C6336E">
              <w:rPr>
                <w:sz w:val="20"/>
                <w:szCs w:val="20"/>
              </w:rPr>
              <w:t>31</w:t>
            </w:r>
            <w:r w:rsidRPr="00C6336E">
              <w:rPr>
                <w:sz w:val="20"/>
                <w:szCs w:val="20"/>
                <w:vertAlign w:val="superscript"/>
              </w:rPr>
              <w:t xml:space="preserve">’ </w:t>
            </w:r>
            <w:r w:rsidRPr="00C6336E">
              <w:rPr>
                <w:sz w:val="20"/>
                <w:szCs w:val="20"/>
              </w:rPr>
              <w:t>39.24</w:t>
            </w:r>
            <w:r w:rsidRPr="00C6336E">
              <w:rPr>
                <w:sz w:val="20"/>
                <w:szCs w:val="20"/>
                <w:vertAlign w:val="superscript"/>
              </w:rPr>
              <w:t xml:space="preserve">” </w:t>
            </w:r>
            <w:r w:rsidRPr="00C6336E">
              <w:rPr>
                <w:sz w:val="20"/>
                <w:szCs w:val="20"/>
              </w:rPr>
              <w:t>E</w:t>
            </w:r>
          </w:p>
        </w:tc>
        <w:tc>
          <w:tcPr>
            <w:tcW w:w="1702" w:type="pct"/>
            <w:vAlign w:val="center"/>
          </w:tcPr>
          <w:p w:rsidR="006965BA" w:rsidRPr="00C6336E" w:rsidRDefault="006965BA" w:rsidP="00194FCD">
            <w:pPr>
              <w:suppressAutoHyphens w:val="0"/>
              <w:snapToGrid w:val="0"/>
              <w:rPr>
                <w:sz w:val="20"/>
                <w:szCs w:val="20"/>
              </w:rPr>
            </w:pPr>
            <w:r w:rsidRPr="00C6336E">
              <w:rPr>
                <w:sz w:val="20"/>
                <w:szCs w:val="20"/>
              </w:rPr>
              <w:t>4</w:t>
            </w:r>
            <w:r w:rsidRPr="00C6336E">
              <w:rPr>
                <w:sz w:val="20"/>
                <w:szCs w:val="20"/>
                <w:vertAlign w:val="superscript"/>
              </w:rPr>
              <w:t xml:space="preserve">o </w:t>
            </w:r>
            <w:r w:rsidRPr="00C6336E">
              <w:rPr>
                <w:sz w:val="20"/>
                <w:szCs w:val="20"/>
              </w:rPr>
              <w:t>35</w:t>
            </w:r>
            <w:r w:rsidRPr="00C6336E">
              <w:rPr>
                <w:sz w:val="20"/>
                <w:szCs w:val="20"/>
                <w:vertAlign w:val="superscript"/>
              </w:rPr>
              <w:t xml:space="preserve">’ </w:t>
            </w:r>
            <w:r w:rsidRPr="00C6336E">
              <w:rPr>
                <w:sz w:val="20"/>
                <w:szCs w:val="20"/>
              </w:rPr>
              <w:t>54.07</w:t>
            </w:r>
            <w:r w:rsidRPr="00C6336E">
              <w:rPr>
                <w:sz w:val="20"/>
                <w:szCs w:val="20"/>
                <w:vertAlign w:val="superscript"/>
              </w:rPr>
              <w:t>”</w:t>
            </w:r>
          </w:p>
        </w:tc>
      </w:tr>
      <w:tr w:rsidR="006965BA" w:rsidRPr="00C6336E" w:rsidTr="00A13736">
        <w:trPr>
          <w:jc w:val="center"/>
        </w:trPr>
        <w:tc>
          <w:tcPr>
            <w:tcW w:w="1292" w:type="pct"/>
            <w:vAlign w:val="center"/>
          </w:tcPr>
          <w:p w:rsidR="006965BA" w:rsidRPr="00C6336E" w:rsidRDefault="006965BA" w:rsidP="00194FCD">
            <w:pPr>
              <w:suppressAutoHyphens w:val="0"/>
              <w:snapToGrid w:val="0"/>
              <w:rPr>
                <w:sz w:val="20"/>
                <w:szCs w:val="20"/>
              </w:rPr>
            </w:pPr>
            <w:r w:rsidRPr="00C6336E">
              <w:rPr>
                <w:sz w:val="20"/>
                <w:szCs w:val="20"/>
              </w:rPr>
              <w:t>Station 3</w:t>
            </w:r>
          </w:p>
        </w:tc>
        <w:tc>
          <w:tcPr>
            <w:tcW w:w="2007" w:type="pct"/>
            <w:vAlign w:val="center"/>
          </w:tcPr>
          <w:p w:rsidR="006965BA" w:rsidRPr="00C6336E" w:rsidRDefault="006965BA" w:rsidP="00194FCD">
            <w:pPr>
              <w:suppressAutoHyphens w:val="0"/>
              <w:snapToGrid w:val="0"/>
              <w:rPr>
                <w:sz w:val="20"/>
                <w:szCs w:val="20"/>
              </w:rPr>
            </w:pPr>
            <w:r w:rsidRPr="00C6336E">
              <w:rPr>
                <w:sz w:val="20"/>
                <w:szCs w:val="20"/>
              </w:rPr>
              <w:t>7</w:t>
            </w:r>
            <w:r w:rsidRPr="00C6336E">
              <w:rPr>
                <w:sz w:val="20"/>
                <w:szCs w:val="20"/>
                <w:vertAlign w:val="superscript"/>
              </w:rPr>
              <w:t xml:space="preserve">o </w:t>
            </w:r>
            <w:r w:rsidRPr="00C6336E">
              <w:rPr>
                <w:sz w:val="20"/>
                <w:szCs w:val="20"/>
              </w:rPr>
              <w:t>31</w:t>
            </w:r>
            <w:r w:rsidRPr="00C6336E">
              <w:rPr>
                <w:sz w:val="20"/>
                <w:szCs w:val="20"/>
                <w:vertAlign w:val="superscript"/>
              </w:rPr>
              <w:t xml:space="preserve">’ </w:t>
            </w:r>
            <w:r w:rsidRPr="00C6336E">
              <w:rPr>
                <w:sz w:val="20"/>
                <w:szCs w:val="20"/>
              </w:rPr>
              <w:t>29.97</w:t>
            </w:r>
            <w:r w:rsidRPr="00C6336E">
              <w:rPr>
                <w:sz w:val="20"/>
                <w:szCs w:val="20"/>
                <w:vertAlign w:val="superscript"/>
              </w:rPr>
              <w:t xml:space="preserve">” </w:t>
            </w:r>
            <w:r w:rsidRPr="00C6336E">
              <w:rPr>
                <w:sz w:val="20"/>
                <w:szCs w:val="20"/>
              </w:rPr>
              <w:t>E</w:t>
            </w:r>
          </w:p>
        </w:tc>
        <w:tc>
          <w:tcPr>
            <w:tcW w:w="1702" w:type="pct"/>
            <w:vAlign w:val="center"/>
          </w:tcPr>
          <w:p w:rsidR="006965BA" w:rsidRPr="00C6336E" w:rsidRDefault="006965BA" w:rsidP="00194FCD">
            <w:pPr>
              <w:suppressAutoHyphens w:val="0"/>
              <w:snapToGrid w:val="0"/>
              <w:rPr>
                <w:sz w:val="20"/>
                <w:szCs w:val="20"/>
              </w:rPr>
            </w:pPr>
            <w:r w:rsidRPr="00C6336E">
              <w:rPr>
                <w:sz w:val="20"/>
                <w:szCs w:val="20"/>
              </w:rPr>
              <w:t>4</w:t>
            </w:r>
            <w:r w:rsidRPr="00C6336E">
              <w:rPr>
                <w:sz w:val="20"/>
                <w:szCs w:val="20"/>
                <w:vertAlign w:val="superscript"/>
              </w:rPr>
              <w:t xml:space="preserve">o </w:t>
            </w:r>
            <w:r w:rsidRPr="00C6336E">
              <w:rPr>
                <w:sz w:val="20"/>
                <w:szCs w:val="20"/>
              </w:rPr>
              <w:t>35</w:t>
            </w:r>
            <w:r w:rsidRPr="00C6336E">
              <w:rPr>
                <w:sz w:val="20"/>
                <w:szCs w:val="20"/>
                <w:vertAlign w:val="superscript"/>
              </w:rPr>
              <w:t xml:space="preserve">’ </w:t>
            </w:r>
            <w:r w:rsidRPr="00C6336E">
              <w:rPr>
                <w:sz w:val="20"/>
                <w:szCs w:val="20"/>
              </w:rPr>
              <w:t>54.17</w:t>
            </w:r>
            <w:r w:rsidRPr="00C6336E">
              <w:rPr>
                <w:sz w:val="20"/>
                <w:szCs w:val="20"/>
                <w:vertAlign w:val="superscript"/>
              </w:rPr>
              <w:t>”</w:t>
            </w:r>
          </w:p>
        </w:tc>
      </w:tr>
      <w:tr w:rsidR="006965BA" w:rsidRPr="00C6336E" w:rsidTr="00A13736">
        <w:trPr>
          <w:jc w:val="center"/>
        </w:trPr>
        <w:tc>
          <w:tcPr>
            <w:tcW w:w="1292" w:type="pct"/>
            <w:vAlign w:val="center"/>
          </w:tcPr>
          <w:p w:rsidR="006965BA" w:rsidRPr="00C6336E" w:rsidRDefault="006965BA" w:rsidP="00194FCD">
            <w:pPr>
              <w:suppressAutoHyphens w:val="0"/>
              <w:snapToGrid w:val="0"/>
              <w:rPr>
                <w:sz w:val="20"/>
                <w:szCs w:val="20"/>
              </w:rPr>
            </w:pPr>
            <w:r w:rsidRPr="00C6336E">
              <w:rPr>
                <w:sz w:val="20"/>
                <w:szCs w:val="20"/>
              </w:rPr>
              <w:t>Station 4</w:t>
            </w:r>
          </w:p>
        </w:tc>
        <w:tc>
          <w:tcPr>
            <w:tcW w:w="2007" w:type="pct"/>
            <w:vAlign w:val="center"/>
          </w:tcPr>
          <w:p w:rsidR="006965BA" w:rsidRPr="00C6336E" w:rsidRDefault="006965BA" w:rsidP="00194FCD">
            <w:pPr>
              <w:suppressAutoHyphens w:val="0"/>
              <w:snapToGrid w:val="0"/>
              <w:rPr>
                <w:sz w:val="20"/>
                <w:szCs w:val="20"/>
              </w:rPr>
            </w:pPr>
            <w:r w:rsidRPr="00C6336E">
              <w:rPr>
                <w:sz w:val="20"/>
                <w:szCs w:val="20"/>
              </w:rPr>
              <w:t>7</w:t>
            </w:r>
            <w:r w:rsidRPr="00C6336E">
              <w:rPr>
                <w:sz w:val="20"/>
                <w:szCs w:val="20"/>
                <w:vertAlign w:val="superscript"/>
              </w:rPr>
              <w:t xml:space="preserve">o </w:t>
            </w:r>
            <w:r w:rsidRPr="00C6336E">
              <w:rPr>
                <w:sz w:val="20"/>
                <w:szCs w:val="20"/>
              </w:rPr>
              <w:t>31</w:t>
            </w:r>
            <w:r w:rsidRPr="00C6336E">
              <w:rPr>
                <w:sz w:val="20"/>
                <w:szCs w:val="20"/>
                <w:vertAlign w:val="superscript"/>
              </w:rPr>
              <w:t xml:space="preserve">’ </w:t>
            </w:r>
            <w:r w:rsidRPr="00C6336E">
              <w:rPr>
                <w:sz w:val="20"/>
                <w:szCs w:val="20"/>
              </w:rPr>
              <w:t>31.18</w:t>
            </w:r>
            <w:r w:rsidRPr="00C6336E">
              <w:rPr>
                <w:sz w:val="20"/>
                <w:szCs w:val="20"/>
                <w:vertAlign w:val="superscript"/>
              </w:rPr>
              <w:t xml:space="preserve">” </w:t>
            </w:r>
            <w:r w:rsidRPr="00C6336E">
              <w:rPr>
                <w:sz w:val="20"/>
                <w:szCs w:val="20"/>
              </w:rPr>
              <w:t>E</w:t>
            </w:r>
          </w:p>
        </w:tc>
        <w:tc>
          <w:tcPr>
            <w:tcW w:w="1702" w:type="pct"/>
            <w:vAlign w:val="center"/>
          </w:tcPr>
          <w:p w:rsidR="006965BA" w:rsidRPr="00C6336E" w:rsidRDefault="006965BA" w:rsidP="00194FCD">
            <w:pPr>
              <w:suppressAutoHyphens w:val="0"/>
              <w:snapToGrid w:val="0"/>
              <w:rPr>
                <w:sz w:val="20"/>
                <w:szCs w:val="20"/>
              </w:rPr>
            </w:pPr>
            <w:r w:rsidRPr="00C6336E">
              <w:rPr>
                <w:sz w:val="20"/>
                <w:szCs w:val="20"/>
              </w:rPr>
              <w:t>4</w:t>
            </w:r>
            <w:r w:rsidRPr="00C6336E">
              <w:rPr>
                <w:sz w:val="20"/>
                <w:szCs w:val="20"/>
                <w:vertAlign w:val="superscript"/>
              </w:rPr>
              <w:t xml:space="preserve">o </w:t>
            </w:r>
            <w:r w:rsidRPr="00C6336E">
              <w:rPr>
                <w:sz w:val="20"/>
                <w:szCs w:val="20"/>
              </w:rPr>
              <w:t>35</w:t>
            </w:r>
            <w:r w:rsidRPr="00C6336E">
              <w:rPr>
                <w:sz w:val="20"/>
                <w:szCs w:val="20"/>
                <w:vertAlign w:val="superscript"/>
              </w:rPr>
              <w:t xml:space="preserve">’ </w:t>
            </w:r>
            <w:r w:rsidRPr="00C6336E">
              <w:rPr>
                <w:sz w:val="20"/>
                <w:szCs w:val="20"/>
              </w:rPr>
              <w:t>54.08</w:t>
            </w:r>
            <w:r w:rsidRPr="00C6336E">
              <w:rPr>
                <w:sz w:val="20"/>
                <w:szCs w:val="20"/>
                <w:vertAlign w:val="superscript"/>
              </w:rPr>
              <w:t>”</w:t>
            </w:r>
          </w:p>
        </w:tc>
      </w:tr>
    </w:tbl>
    <w:p w:rsidR="006965BA" w:rsidRPr="00791435" w:rsidRDefault="006965BA" w:rsidP="00194FCD">
      <w:pPr>
        <w:suppressAutoHyphens w:val="0"/>
        <w:snapToGrid w:val="0"/>
        <w:ind w:firstLine="425"/>
        <w:jc w:val="both"/>
        <w:rPr>
          <w:sz w:val="12"/>
          <w:szCs w:val="20"/>
        </w:rPr>
      </w:pPr>
    </w:p>
    <w:p w:rsidR="00757E48" w:rsidRPr="00C6336E" w:rsidRDefault="006965BA" w:rsidP="00194FCD">
      <w:pPr>
        <w:suppressAutoHyphens w:val="0"/>
        <w:snapToGrid w:val="0"/>
        <w:jc w:val="both"/>
        <w:rPr>
          <w:b/>
          <w:sz w:val="20"/>
          <w:szCs w:val="20"/>
        </w:rPr>
      </w:pPr>
      <w:r w:rsidRPr="00C6336E">
        <w:rPr>
          <w:b/>
          <w:sz w:val="20"/>
          <w:szCs w:val="20"/>
        </w:rPr>
        <w:t>2.2 Vegetation and Soil Sampling</w:t>
      </w:r>
    </w:p>
    <w:p w:rsidR="006965BA" w:rsidRPr="00C6336E" w:rsidRDefault="006965BA" w:rsidP="00194FCD">
      <w:pPr>
        <w:suppressAutoHyphens w:val="0"/>
        <w:snapToGrid w:val="0"/>
        <w:ind w:firstLine="425"/>
        <w:jc w:val="both"/>
        <w:rPr>
          <w:sz w:val="20"/>
          <w:szCs w:val="20"/>
        </w:rPr>
      </w:pPr>
      <w:r w:rsidRPr="00C6336E">
        <w:rPr>
          <w:sz w:val="20"/>
          <w:szCs w:val="20"/>
        </w:rPr>
        <w:t xml:space="preserve">Systematic (vegetation and soil) sampling method (Cochran, 1963) was used to sample the vegetation using a quadrat of 10 m x 10 m. In each quadrat, vegetation components (plants) were identified to species level and their frequency and density were enumerated. Unknown plant species specimens were collected for identification and confirmation from voucher specimens in the Botany and Ecological studies Departmental Herbarium, University of Uyo, Uyo. The parameters determined for the vegetation were density, frequency, height, basal area and crown cover. Soil samples were </w:t>
      </w:r>
      <w:r w:rsidRPr="00C6336E">
        <w:rPr>
          <w:sz w:val="20"/>
          <w:szCs w:val="20"/>
        </w:rPr>
        <w:lastRenderedPageBreak/>
        <w:t xml:space="preserve">obtained at two </w:t>
      </w:r>
      <w:r w:rsidR="00791435">
        <w:rPr>
          <w:sz w:val="20"/>
          <w:szCs w:val="20"/>
        </w:rPr>
        <w:t xml:space="preserve">rooting </w:t>
      </w:r>
      <w:r w:rsidRPr="00C6336E">
        <w:rPr>
          <w:sz w:val="20"/>
          <w:szCs w:val="20"/>
        </w:rPr>
        <w:t>depths; 0 – 15 cm and 15 – 30 cm using a soil auger in each of the quadrats. In all a total of 30 soil samples were collected and taken to the laboratory for their physicochemical analyses.</w:t>
      </w:r>
    </w:p>
    <w:p w:rsidR="00AE619A" w:rsidRPr="00791435" w:rsidRDefault="00AE619A" w:rsidP="00194FCD">
      <w:pPr>
        <w:suppressAutoHyphens w:val="0"/>
        <w:snapToGrid w:val="0"/>
        <w:jc w:val="both"/>
        <w:rPr>
          <w:b/>
          <w:sz w:val="10"/>
          <w:szCs w:val="20"/>
        </w:rPr>
      </w:pPr>
    </w:p>
    <w:p w:rsidR="006965BA" w:rsidRPr="00C6336E" w:rsidRDefault="006965BA" w:rsidP="00194FCD">
      <w:pPr>
        <w:suppressAutoHyphens w:val="0"/>
        <w:snapToGrid w:val="0"/>
        <w:jc w:val="both"/>
        <w:rPr>
          <w:b/>
          <w:sz w:val="20"/>
          <w:szCs w:val="20"/>
        </w:rPr>
      </w:pPr>
      <w:r w:rsidRPr="00C6336E">
        <w:rPr>
          <w:b/>
          <w:sz w:val="20"/>
          <w:szCs w:val="20"/>
        </w:rPr>
        <w:t>2.2.1 Determination of Vegetation Parameters</w:t>
      </w:r>
    </w:p>
    <w:p w:rsidR="00757E48" w:rsidRPr="00C6336E" w:rsidRDefault="006965BA" w:rsidP="00194FCD">
      <w:pPr>
        <w:suppressAutoHyphens w:val="0"/>
        <w:snapToGrid w:val="0"/>
        <w:jc w:val="both"/>
        <w:rPr>
          <w:b/>
          <w:sz w:val="20"/>
          <w:szCs w:val="20"/>
        </w:rPr>
      </w:pPr>
      <w:r w:rsidRPr="00C6336E">
        <w:rPr>
          <w:b/>
          <w:sz w:val="20"/>
          <w:szCs w:val="20"/>
        </w:rPr>
        <w:t>2.2.1.1 Density</w:t>
      </w:r>
    </w:p>
    <w:p w:rsidR="006965BA" w:rsidRPr="00C6336E" w:rsidRDefault="006965BA" w:rsidP="00194FCD">
      <w:pPr>
        <w:suppressAutoHyphens w:val="0"/>
        <w:snapToGrid w:val="0"/>
        <w:ind w:firstLine="425"/>
        <w:jc w:val="both"/>
        <w:rPr>
          <w:sz w:val="20"/>
          <w:szCs w:val="20"/>
        </w:rPr>
      </w:pPr>
      <w:r w:rsidRPr="00C6336E">
        <w:rPr>
          <w:sz w:val="20"/>
          <w:szCs w:val="20"/>
        </w:rPr>
        <w:t>Density of plant species was determined using the method of Cochran (1963).</w:t>
      </w:r>
    </w:p>
    <w:p w:rsidR="00AE619A" w:rsidRDefault="00AE619A" w:rsidP="00194FCD">
      <w:pPr>
        <w:suppressAutoHyphens w:val="0"/>
        <w:snapToGrid w:val="0"/>
        <w:jc w:val="both"/>
        <w:rPr>
          <w:b/>
          <w:sz w:val="20"/>
          <w:szCs w:val="20"/>
        </w:rPr>
      </w:pPr>
    </w:p>
    <w:p w:rsidR="00757E48" w:rsidRPr="00C6336E" w:rsidRDefault="006965BA" w:rsidP="00194FCD">
      <w:pPr>
        <w:suppressAutoHyphens w:val="0"/>
        <w:snapToGrid w:val="0"/>
        <w:jc w:val="both"/>
        <w:rPr>
          <w:b/>
          <w:sz w:val="20"/>
          <w:szCs w:val="20"/>
        </w:rPr>
      </w:pPr>
      <w:r w:rsidRPr="00C6336E">
        <w:rPr>
          <w:b/>
          <w:sz w:val="20"/>
          <w:szCs w:val="20"/>
        </w:rPr>
        <w:t>2.2.1.2 Frequency</w:t>
      </w:r>
    </w:p>
    <w:p w:rsidR="006965BA" w:rsidRPr="00C6336E" w:rsidRDefault="006965BA" w:rsidP="00194FCD">
      <w:pPr>
        <w:suppressAutoHyphens w:val="0"/>
        <w:snapToGrid w:val="0"/>
        <w:ind w:firstLine="425"/>
        <w:jc w:val="both"/>
        <w:rPr>
          <w:sz w:val="20"/>
          <w:szCs w:val="20"/>
        </w:rPr>
      </w:pPr>
      <w:r w:rsidRPr="00C6336E">
        <w:rPr>
          <w:sz w:val="20"/>
          <w:szCs w:val="20"/>
        </w:rPr>
        <w:t>The frequency of each species occurrence was calculated thus:</w:t>
      </w:r>
    </w:p>
    <w:p w:rsidR="00A13736" w:rsidRPr="00C6336E" w:rsidRDefault="00A13736" w:rsidP="00194FCD">
      <w:pPr>
        <w:suppressAutoHyphens w:val="0"/>
        <w:snapToGrid w:val="0"/>
        <w:jc w:val="both"/>
        <w:rPr>
          <w:b/>
          <w:sz w:val="20"/>
          <w:szCs w:val="20"/>
        </w:rPr>
      </w:pPr>
    </w:p>
    <w:p w:rsidR="006965BA" w:rsidRPr="00C6336E" w:rsidRDefault="00A13736" w:rsidP="00AE619A">
      <w:pPr>
        <w:suppressAutoHyphens w:val="0"/>
        <w:snapToGrid w:val="0"/>
        <w:jc w:val="both"/>
        <w:rPr>
          <w:sz w:val="20"/>
          <w:szCs w:val="20"/>
        </w:rPr>
      </w:pPr>
      <w:r w:rsidRPr="00C6336E">
        <w:rPr>
          <w:sz w:val="20"/>
          <w:szCs w:val="20"/>
        </w:rPr>
        <w:t>F</w:t>
      </w:r>
      <w:r w:rsidR="006965BA" w:rsidRPr="00C6336E">
        <w:rPr>
          <w:sz w:val="20"/>
          <w:szCs w:val="20"/>
        </w:rPr>
        <w:t>requency =</w:t>
      </w:r>
      <w:r w:rsidRPr="00C6336E">
        <w:rPr>
          <w:sz w:val="20"/>
          <w:szCs w:val="20"/>
        </w:rPr>
        <w:t xml:space="preserve"> </w:t>
      </w:r>
      <m:oMath>
        <m:f>
          <m:fPr>
            <m:ctrlPr>
              <w:rPr>
                <w:rFonts w:ascii="Cambria Math" w:hAnsi="Cambria Math"/>
                <w:sz w:val="20"/>
                <w:szCs w:val="20"/>
              </w:rPr>
            </m:ctrlPr>
          </m:fPr>
          <m:num>
            <m:r>
              <m:rPr>
                <m:sty m:val="p"/>
              </m:rPr>
              <w:rPr>
                <w:rFonts w:ascii="Cambria Math" w:hAnsi="Cambria Math"/>
                <w:sz w:val="20"/>
                <w:szCs w:val="20"/>
              </w:rPr>
              <m:t>Number of occupied quadrat for a species</m:t>
            </m:r>
          </m:num>
          <m:den>
            <m:r>
              <m:rPr>
                <m:sty m:val="p"/>
              </m:rPr>
              <w:rPr>
                <w:rFonts w:ascii="Cambria Math" w:hAnsi="Cambria Math"/>
                <w:sz w:val="20"/>
                <w:szCs w:val="20"/>
              </w:rPr>
              <m:t>Total number of quadrats thrown</m:t>
            </m:r>
          </m:den>
        </m:f>
      </m:oMath>
      <w:r w:rsidR="006965BA" w:rsidRPr="00C6336E">
        <w:rPr>
          <w:sz w:val="20"/>
          <w:szCs w:val="20"/>
        </w:rPr>
        <w:t xml:space="preserve"> × 100</w:t>
      </w:r>
    </w:p>
    <w:p w:rsidR="006965BA" w:rsidRPr="00C6336E" w:rsidRDefault="006965BA" w:rsidP="00194FCD">
      <w:pPr>
        <w:suppressAutoHyphens w:val="0"/>
        <w:snapToGrid w:val="0"/>
        <w:ind w:firstLine="425"/>
        <w:jc w:val="both"/>
        <w:rPr>
          <w:sz w:val="20"/>
          <w:szCs w:val="20"/>
        </w:rPr>
      </w:pPr>
    </w:p>
    <w:p w:rsidR="00757E48" w:rsidRPr="00C6336E" w:rsidRDefault="006965BA" w:rsidP="00194FCD">
      <w:pPr>
        <w:suppressAutoHyphens w:val="0"/>
        <w:snapToGrid w:val="0"/>
        <w:jc w:val="both"/>
        <w:rPr>
          <w:b/>
          <w:sz w:val="20"/>
          <w:szCs w:val="20"/>
        </w:rPr>
      </w:pPr>
      <w:r w:rsidRPr="00C6336E">
        <w:rPr>
          <w:b/>
          <w:sz w:val="20"/>
          <w:szCs w:val="20"/>
        </w:rPr>
        <w:t>2.2.1.3 Height</w:t>
      </w:r>
    </w:p>
    <w:p w:rsidR="00757E48" w:rsidRPr="00C6336E" w:rsidRDefault="006965BA" w:rsidP="00194FCD">
      <w:pPr>
        <w:suppressAutoHyphens w:val="0"/>
        <w:snapToGrid w:val="0"/>
        <w:ind w:firstLine="425"/>
        <w:jc w:val="both"/>
        <w:rPr>
          <w:iCs/>
          <w:sz w:val="20"/>
          <w:szCs w:val="20"/>
        </w:rPr>
      </w:pPr>
      <w:r w:rsidRPr="00C6336E">
        <w:rPr>
          <w:sz w:val="20"/>
          <w:szCs w:val="20"/>
        </w:rPr>
        <w:t xml:space="preserve">The height of woody species were measured using a Haga altimeter (43913 </w:t>
      </w:r>
      <w:r w:rsidRPr="00C6336E">
        <w:rPr>
          <w:iCs/>
          <w:sz w:val="20"/>
          <w:szCs w:val="20"/>
        </w:rPr>
        <w:t>model). The reading was taken 15 m away from the base of the woody plant from where the crown was sighted through the eye piece of the altimeter and the upper reading taken. The base of the woody plant was similarly sited and the lower altimeter readings taken. The height of each species was calculated using the relation:</w:t>
      </w:r>
    </w:p>
    <w:p w:rsidR="006965BA" w:rsidRPr="00C6336E" w:rsidRDefault="006965BA" w:rsidP="00194FCD">
      <w:pPr>
        <w:suppressAutoHyphens w:val="0"/>
        <w:snapToGrid w:val="0"/>
        <w:ind w:firstLine="425"/>
        <w:jc w:val="both"/>
        <w:rPr>
          <w:iCs/>
          <w:sz w:val="20"/>
          <w:szCs w:val="20"/>
        </w:rPr>
      </w:pPr>
      <w:r w:rsidRPr="00C6336E">
        <w:rPr>
          <w:iCs/>
          <w:sz w:val="20"/>
          <w:szCs w:val="20"/>
        </w:rPr>
        <w:t>Height (m) = Algebraic sum of the reading of the top and bottom of each plant × horizontal distance from observer to each species divided by scale factor used on the altimeter.</w:t>
      </w:r>
    </w:p>
    <w:p w:rsidR="00AE619A" w:rsidRPr="00791435" w:rsidRDefault="00AE619A" w:rsidP="00194FCD">
      <w:pPr>
        <w:suppressAutoHyphens w:val="0"/>
        <w:snapToGrid w:val="0"/>
        <w:jc w:val="both"/>
        <w:rPr>
          <w:b/>
          <w:iCs/>
          <w:sz w:val="10"/>
          <w:szCs w:val="20"/>
        </w:rPr>
      </w:pPr>
    </w:p>
    <w:p w:rsidR="00757E48" w:rsidRPr="00C6336E" w:rsidRDefault="006965BA" w:rsidP="00194FCD">
      <w:pPr>
        <w:suppressAutoHyphens w:val="0"/>
        <w:snapToGrid w:val="0"/>
        <w:jc w:val="both"/>
        <w:rPr>
          <w:b/>
          <w:iCs/>
          <w:sz w:val="20"/>
          <w:szCs w:val="20"/>
        </w:rPr>
      </w:pPr>
      <w:r w:rsidRPr="00C6336E">
        <w:rPr>
          <w:b/>
          <w:iCs/>
          <w:sz w:val="20"/>
          <w:szCs w:val="20"/>
        </w:rPr>
        <w:t>2.2.1.4 Basal Area</w:t>
      </w:r>
    </w:p>
    <w:p w:rsidR="006965BA" w:rsidRPr="00C6336E" w:rsidRDefault="006965BA" w:rsidP="00194FCD">
      <w:pPr>
        <w:suppressAutoHyphens w:val="0"/>
        <w:snapToGrid w:val="0"/>
        <w:ind w:firstLine="425"/>
        <w:jc w:val="both"/>
        <w:rPr>
          <w:iCs/>
          <w:sz w:val="20"/>
          <w:szCs w:val="20"/>
        </w:rPr>
      </w:pPr>
      <w:r w:rsidRPr="00C6336E">
        <w:rPr>
          <w:iCs/>
          <w:sz w:val="20"/>
          <w:szCs w:val="20"/>
        </w:rPr>
        <w:t>This was calculated using the relation:</w:t>
      </w:r>
    </w:p>
    <w:p w:rsidR="000638FF" w:rsidRDefault="006965BA" w:rsidP="00194FCD">
      <w:pPr>
        <w:suppressAutoHyphens w:val="0"/>
        <w:snapToGrid w:val="0"/>
        <w:ind w:firstLine="425"/>
        <w:jc w:val="both"/>
        <w:rPr>
          <w:iCs/>
          <w:sz w:val="20"/>
          <w:szCs w:val="20"/>
        </w:rPr>
      </w:pPr>
      <w:r w:rsidRPr="00C6336E">
        <w:rPr>
          <w:iCs/>
          <w:sz w:val="20"/>
          <w:szCs w:val="20"/>
        </w:rPr>
        <w:t xml:space="preserve">Basal Area = </w:t>
      </w:r>
      <m:oMath>
        <m:f>
          <m:fPr>
            <m:ctrlPr>
              <w:rPr>
                <w:rFonts w:ascii="Cambria Math" w:hAnsi="Cambria Math"/>
                <w:iCs/>
                <w:sz w:val="20"/>
                <w:szCs w:val="20"/>
              </w:rPr>
            </m:ctrlPr>
          </m:fPr>
          <m:num>
            <m:sSup>
              <m:sSupPr>
                <m:ctrlPr>
                  <w:rPr>
                    <w:rFonts w:ascii="Cambria Math" w:hAnsi="Cambria Math"/>
                    <w:iCs/>
                    <w:sz w:val="20"/>
                    <w:szCs w:val="20"/>
                  </w:rPr>
                </m:ctrlPr>
              </m:sSupPr>
              <m:e>
                <m:r>
                  <m:rPr>
                    <m:sty m:val="p"/>
                  </m:rPr>
                  <w:rPr>
                    <w:rFonts w:ascii="Cambria Math" w:hAnsi="Cambria Math"/>
                    <w:sz w:val="20"/>
                    <w:szCs w:val="20"/>
                  </w:rPr>
                  <m:t>C</m:t>
                </m:r>
              </m:e>
              <m:sup>
                <m:r>
                  <m:rPr>
                    <m:sty m:val="p"/>
                  </m:rPr>
                  <w:rPr>
                    <w:rFonts w:ascii="Cambria Math" w:hAnsi="Cambria Math"/>
                    <w:sz w:val="20"/>
                    <w:szCs w:val="20"/>
                  </w:rPr>
                  <m:t>2</m:t>
                </m:r>
              </m:sup>
            </m:sSup>
          </m:num>
          <m:den>
            <m:r>
              <m:rPr>
                <m:sty m:val="p"/>
              </m:rPr>
              <w:rPr>
                <w:rFonts w:ascii="Cambria Math" w:hAnsi="Cambria Math"/>
                <w:sz w:val="20"/>
                <w:szCs w:val="20"/>
              </w:rPr>
              <m:t>4π</m:t>
            </m:r>
          </m:den>
        </m:f>
      </m:oMath>
    </w:p>
    <w:p w:rsidR="00757E48" w:rsidRPr="00C6336E" w:rsidRDefault="006965BA" w:rsidP="000638FF">
      <w:pPr>
        <w:suppressAutoHyphens w:val="0"/>
        <w:snapToGrid w:val="0"/>
        <w:jc w:val="both"/>
        <w:rPr>
          <w:iCs/>
          <w:sz w:val="20"/>
          <w:szCs w:val="20"/>
        </w:rPr>
      </w:pPr>
      <w:r w:rsidRPr="00C6336E">
        <w:rPr>
          <w:iCs/>
          <w:sz w:val="20"/>
          <w:szCs w:val="20"/>
        </w:rPr>
        <w:t xml:space="preserve">Where </w:t>
      </w:r>
      <w:r w:rsidR="000638FF">
        <w:rPr>
          <w:iCs/>
          <w:sz w:val="20"/>
          <w:szCs w:val="20"/>
        </w:rPr>
        <w:tab/>
      </w:r>
      <w:r w:rsidRPr="00C6336E">
        <w:rPr>
          <w:iCs/>
          <w:sz w:val="20"/>
          <w:szCs w:val="20"/>
        </w:rPr>
        <w:t>4π = 4 × 3.142 = 12.568</w:t>
      </w:r>
    </w:p>
    <w:p w:rsidR="00654EBA" w:rsidRPr="00654EBA" w:rsidRDefault="000638FF" w:rsidP="00654EBA">
      <w:pPr>
        <w:suppressAutoHyphens w:val="0"/>
        <w:snapToGrid w:val="0"/>
        <w:ind w:firstLine="425"/>
        <w:jc w:val="both"/>
        <w:rPr>
          <w:iCs/>
          <w:sz w:val="20"/>
          <w:szCs w:val="20"/>
        </w:rPr>
      </w:pPr>
      <w:r>
        <w:rPr>
          <w:iCs/>
          <w:sz w:val="20"/>
          <w:szCs w:val="20"/>
        </w:rPr>
        <w:tab/>
      </w:r>
      <w:r w:rsidR="006965BA" w:rsidRPr="00C6336E">
        <w:rPr>
          <w:iCs/>
          <w:sz w:val="20"/>
          <w:szCs w:val="20"/>
        </w:rPr>
        <w:t>C = girth size of the species at breast height</w:t>
      </w:r>
    </w:p>
    <w:p w:rsidR="00791435" w:rsidRPr="00791435" w:rsidRDefault="00791435" w:rsidP="00194FCD">
      <w:pPr>
        <w:suppressAutoHyphens w:val="0"/>
        <w:snapToGrid w:val="0"/>
        <w:jc w:val="both"/>
        <w:rPr>
          <w:b/>
          <w:iCs/>
          <w:sz w:val="6"/>
          <w:szCs w:val="20"/>
        </w:rPr>
      </w:pPr>
    </w:p>
    <w:p w:rsidR="00757E48" w:rsidRPr="00C6336E" w:rsidRDefault="006965BA" w:rsidP="00194FCD">
      <w:pPr>
        <w:suppressAutoHyphens w:val="0"/>
        <w:snapToGrid w:val="0"/>
        <w:jc w:val="both"/>
        <w:rPr>
          <w:b/>
          <w:iCs/>
          <w:sz w:val="20"/>
          <w:szCs w:val="20"/>
        </w:rPr>
      </w:pPr>
      <w:r w:rsidRPr="00C6336E">
        <w:rPr>
          <w:b/>
          <w:iCs/>
          <w:sz w:val="20"/>
          <w:szCs w:val="20"/>
        </w:rPr>
        <w:t>2.2.1.5 Crown Cover</w:t>
      </w:r>
    </w:p>
    <w:p w:rsidR="006965BA" w:rsidRPr="00C6336E" w:rsidRDefault="006965BA" w:rsidP="00194FCD">
      <w:pPr>
        <w:suppressAutoHyphens w:val="0"/>
        <w:snapToGrid w:val="0"/>
        <w:ind w:firstLine="425"/>
        <w:jc w:val="both"/>
        <w:rPr>
          <w:iCs/>
          <w:sz w:val="20"/>
          <w:szCs w:val="20"/>
        </w:rPr>
      </w:pPr>
      <w:r w:rsidRPr="00C6336E">
        <w:rPr>
          <w:iCs/>
          <w:sz w:val="20"/>
          <w:szCs w:val="20"/>
        </w:rPr>
        <w:t xml:space="preserve">The crown cover of </w:t>
      </w:r>
      <w:bookmarkStart w:id="0" w:name="_GoBack"/>
      <w:bookmarkEnd w:id="0"/>
      <w:r w:rsidRPr="00C6336E">
        <w:rPr>
          <w:iCs/>
          <w:sz w:val="20"/>
          <w:szCs w:val="20"/>
        </w:rPr>
        <w:t>woody plant species was determined by the crown cover diameter method (Muller- Dombios and Ellenberg, 1974).</w:t>
      </w:r>
    </w:p>
    <w:p w:rsidR="00AE619A" w:rsidRPr="00791435" w:rsidRDefault="00AE619A" w:rsidP="00194FCD">
      <w:pPr>
        <w:suppressAutoHyphens w:val="0"/>
        <w:snapToGrid w:val="0"/>
        <w:jc w:val="both"/>
        <w:rPr>
          <w:b/>
          <w:bCs/>
          <w:iCs/>
          <w:sz w:val="8"/>
          <w:szCs w:val="20"/>
        </w:rPr>
      </w:pPr>
    </w:p>
    <w:p w:rsidR="00757E48" w:rsidRPr="00C6336E" w:rsidRDefault="006965BA" w:rsidP="00194FCD">
      <w:pPr>
        <w:suppressAutoHyphens w:val="0"/>
        <w:snapToGrid w:val="0"/>
        <w:jc w:val="both"/>
        <w:rPr>
          <w:iCs/>
          <w:sz w:val="20"/>
          <w:szCs w:val="20"/>
        </w:rPr>
      </w:pPr>
      <w:r w:rsidRPr="00C6336E">
        <w:rPr>
          <w:b/>
          <w:bCs/>
          <w:iCs/>
          <w:sz w:val="20"/>
          <w:szCs w:val="20"/>
        </w:rPr>
        <w:t>2.3. Physicochemical Analysis of Soil Samples</w:t>
      </w:r>
      <w:r w:rsidRPr="00C6336E">
        <w:rPr>
          <w:iCs/>
          <w:sz w:val="20"/>
          <w:szCs w:val="20"/>
        </w:rPr>
        <w:t xml:space="preserve"> </w:t>
      </w:r>
    </w:p>
    <w:p w:rsidR="00A13736" w:rsidRPr="00C6336E" w:rsidRDefault="006965BA" w:rsidP="00194FCD">
      <w:pPr>
        <w:suppressAutoHyphens w:val="0"/>
        <w:snapToGrid w:val="0"/>
        <w:ind w:firstLine="425"/>
        <w:jc w:val="both"/>
        <w:rPr>
          <w:b/>
          <w:iCs/>
          <w:sz w:val="20"/>
          <w:szCs w:val="20"/>
        </w:rPr>
      </w:pPr>
      <w:r w:rsidRPr="00C6336E">
        <w:rPr>
          <w:iCs/>
          <w:sz w:val="20"/>
          <w:szCs w:val="20"/>
        </w:rPr>
        <w:t xml:space="preserve">Approved standard methods were used in analyzing soil samples. Soil Particle sizes, organic carbon, total nitrogen and available phosphorus were determined using the Hydrometer method, Walkey Black wet oxidation method, Micro-Kjeldahl method and Bray No 1 method (Jackson, 1992). Electrical conductivity, exchangeable acidity and pH were determined using a conductivity meter (Jenway Pcm 128723 model), titration with 1N KCL (Kramprath, 1967) and Beckman’s glass electrode pH meter (Mcclean, 1961), respectively. Total Exchangeable Bases were determined by EDTA titration method while sodium and potassium were determined by photometry method. The Effective Cation Exchange Capacity (ECEC) was calculated by the summation </w:t>
      </w:r>
      <w:r w:rsidRPr="00C6336E">
        <w:rPr>
          <w:iCs/>
          <w:sz w:val="20"/>
          <w:szCs w:val="20"/>
        </w:rPr>
        <w:lastRenderedPageBreak/>
        <w:t xml:space="preserve">method (that is summing up of the Exchangeable Bases and Exchange Acidity (EA). Base Saturation was calculated by dividing total Exchangeable Bases by ECEC multiplied by 100. </w:t>
      </w:r>
    </w:p>
    <w:p w:rsidR="00791435" w:rsidRPr="00791435" w:rsidRDefault="00791435" w:rsidP="00194FCD">
      <w:pPr>
        <w:suppressAutoHyphens w:val="0"/>
        <w:snapToGrid w:val="0"/>
        <w:jc w:val="both"/>
        <w:rPr>
          <w:b/>
          <w:sz w:val="6"/>
          <w:szCs w:val="20"/>
        </w:rPr>
      </w:pPr>
    </w:p>
    <w:p w:rsidR="00757E48" w:rsidRPr="00C6336E" w:rsidRDefault="00654EBA" w:rsidP="00194FCD">
      <w:pPr>
        <w:suppressAutoHyphens w:val="0"/>
        <w:snapToGrid w:val="0"/>
        <w:jc w:val="both"/>
        <w:rPr>
          <w:b/>
          <w:sz w:val="20"/>
          <w:szCs w:val="20"/>
        </w:rPr>
      </w:pPr>
      <w:r>
        <w:rPr>
          <w:b/>
          <w:sz w:val="20"/>
          <w:szCs w:val="20"/>
        </w:rPr>
        <w:t xml:space="preserve">2.4 </w:t>
      </w:r>
      <w:r w:rsidR="006965BA" w:rsidRPr="00C6336E">
        <w:rPr>
          <w:b/>
          <w:sz w:val="20"/>
          <w:szCs w:val="20"/>
        </w:rPr>
        <w:t>Statistical Analysis</w:t>
      </w:r>
      <w:r w:rsidR="006965BA" w:rsidRPr="00C6336E">
        <w:rPr>
          <w:b/>
          <w:sz w:val="20"/>
          <w:szCs w:val="20"/>
        </w:rPr>
        <w:tab/>
      </w:r>
    </w:p>
    <w:p w:rsidR="00654EBA" w:rsidRPr="00654EBA" w:rsidRDefault="006965BA" w:rsidP="00654EBA">
      <w:pPr>
        <w:suppressAutoHyphens w:val="0"/>
        <w:snapToGrid w:val="0"/>
        <w:ind w:firstLine="425"/>
        <w:jc w:val="both"/>
        <w:rPr>
          <w:sz w:val="20"/>
          <w:szCs w:val="20"/>
        </w:rPr>
      </w:pPr>
      <w:r w:rsidRPr="00C6336E">
        <w:rPr>
          <w:sz w:val="20"/>
          <w:szCs w:val="20"/>
        </w:rPr>
        <w:t>Statistical Package for Social Sciences (SPSS, Version 20.0) and Paleontological software were employed for descriptive statistics, analysis of variance and diversity indices. Species diversity indices such as Shannon-Wiener, Simpson, Dominance and Evenness were used to give information on the plant community richness and distribution across the study plots.</w:t>
      </w:r>
      <w:r w:rsidR="00654EBA" w:rsidRPr="00654EBA">
        <w:rPr>
          <w:rFonts w:eastAsiaTheme="minorHAnsi"/>
          <w:color w:val="000000"/>
          <w:lang w:eastAsia="en-US"/>
        </w:rPr>
        <w:t xml:space="preserve"> </w:t>
      </w:r>
      <w:r w:rsidR="00654EBA" w:rsidRPr="00654EBA">
        <w:rPr>
          <w:sz w:val="20"/>
          <w:szCs w:val="20"/>
        </w:rPr>
        <w:t xml:space="preserve">Arc-GIS software was used for </w:t>
      </w:r>
      <w:r w:rsidR="00663960" w:rsidRPr="00654EBA">
        <w:rPr>
          <w:sz w:val="20"/>
          <w:szCs w:val="20"/>
        </w:rPr>
        <w:t xml:space="preserve">parametric </w:t>
      </w:r>
      <w:r w:rsidR="00654EBA" w:rsidRPr="00654EBA">
        <w:rPr>
          <w:sz w:val="20"/>
          <w:szCs w:val="20"/>
        </w:rPr>
        <w:t>modeling of wetland soil and species attributes.</w:t>
      </w:r>
    </w:p>
    <w:p w:rsidR="006965BA" w:rsidRPr="00791435" w:rsidRDefault="006965BA" w:rsidP="00194FCD">
      <w:pPr>
        <w:suppressAutoHyphens w:val="0"/>
        <w:snapToGrid w:val="0"/>
        <w:jc w:val="both"/>
        <w:rPr>
          <w:b/>
          <w:sz w:val="14"/>
          <w:szCs w:val="20"/>
        </w:rPr>
      </w:pPr>
    </w:p>
    <w:p w:rsidR="00471E57" w:rsidRPr="00C6336E" w:rsidRDefault="00471E57" w:rsidP="00194FCD">
      <w:pPr>
        <w:suppressAutoHyphens w:val="0"/>
        <w:snapToGrid w:val="0"/>
        <w:jc w:val="both"/>
        <w:rPr>
          <w:b/>
          <w:sz w:val="20"/>
          <w:szCs w:val="20"/>
        </w:rPr>
      </w:pPr>
      <w:r w:rsidRPr="00C6336E">
        <w:rPr>
          <w:b/>
          <w:sz w:val="20"/>
          <w:szCs w:val="20"/>
        </w:rPr>
        <w:t xml:space="preserve">3. Results </w:t>
      </w:r>
    </w:p>
    <w:p w:rsidR="00757E48" w:rsidRPr="00C6336E" w:rsidRDefault="006965BA" w:rsidP="00194FCD">
      <w:pPr>
        <w:suppressAutoHyphens w:val="0"/>
        <w:snapToGrid w:val="0"/>
        <w:jc w:val="both"/>
        <w:rPr>
          <w:b/>
          <w:sz w:val="20"/>
          <w:szCs w:val="20"/>
        </w:rPr>
      </w:pPr>
      <w:r w:rsidRPr="00C6336E">
        <w:rPr>
          <w:b/>
          <w:sz w:val="20"/>
          <w:szCs w:val="20"/>
        </w:rPr>
        <w:t>3.1 Floristic Composition</w:t>
      </w:r>
    </w:p>
    <w:p w:rsidR="006965BA" w:rsidRPr="00C6336E" w:rsidRDefault="006965BA" w:rsidP="00194FCD">
      <w:pPr>
        <w:suppressAutoHyphens w:val="0"/>
        <w:snapToGrid w:val="0"/>
        <w:ind w:firstLine="425"/>
        <w:jc w:val="both"/>
        <w:rPr>
          <w:sz w:val="20"/>
          <w:szCs w:val="20"/>
        </w:rPr>
      </w:pPr>
      <w:r w:rsidRPr="00C6336E">
        <w:rPr>
          <w:sz w:val="20"/>
          <w:szCs w:val="20"/>
        </w:rPr>
        <w:t>The floristic composition of the River Basin</w:t>
      </w:r>
      <w:r w:rsidR="002F12A7" w:rsidRPr="00C6336E">
        <w:rPr>
          <w:sz w:val="20"/>
          <w:szCs w:val="20"/>
        </w:rPr>
        <w:t xml:space="preserve"> is presented in Table 2</w:t>
      </w:r>
      <w:r w:rsidRPr="00C6336E">
        <w:rPr>
          <w:sz w:val="20"/>
          <w:szCs w:val="20"/>
        </w:rPr>
        <w:t xml:space="preserve">. A total of nine (9) species </w:t>
      </w:r>
      <w:r w:rsidR="00791435">
        <w:rPr>
          <w:sz w:val="20"/>
          <w:szCs w:val="20"/>
        </w:rPr>
        <w:lastRenderedPageBreak/>
        <w:t>belonging to seven (7)</w:t>
      </w:r>
      <w:r w:rsidRPr="00C6336E">
        <w:rPr>
          <w:sz w:val="20"/>
          <w:szCs w:val="20"/>
        </w:rPr>
        <w:t xml:space="preserve"> families were found in the wetland. High frequency values (75%) were associated with species such as </w:t>
      </w:r>
      <w:r w:rsidRPr="00C6336E">
        <w:rPr>
          <w:i/>
          <w:sz w:val="20"/>
          <w:szCs w:val="20"/>
        </w:rPr>
        <w:t>Nypa fruticans</w:t>
      </w:r>
      <w:r w:rsidRPr="00C6336E">
        <w:rPr>
          <w:sz w:val="20"/>
          <w:szCs w:val="20"/>
        </w:rPr>
        <w:t xml:space="preserve"> and </w:t>
      </w:r>
      <w:r w:rsidRPr="00C6336E">
        <w:rPr>
          <w:i/>
          <w:sz w:val="20"/>
          <w:szCs w:val="20"/>
        </w:rPr>
        <w:t>Acrostichum aureum</w:t>
      </w:r>
      <w:r w:rsidRPr="00C6336E">
        <w:rPr>
          <w:sz w:val="20"/>
          <w:szCs w:val="20"/>
        </w:rPr>
        <w:t xml:space="preserve"> while </w:t>
      </w:r>
      <w:r w:rsidRPr="00C6336E">
        <w:rPr>
          <w:i/>
          <w:sz w:val="20"/>
          <w:szCs w:val="20"/>
        </w:rPr>
        <w:t>Rhizophora mangle, Laguncularia racemosa, Pandanus candellabrum</w:t>
      </w:r>
      <w:r w:rsidRPr="00C6336E">
        <w:rPr>
          <w:sz w:val="20"/>
          <w:szCs w:val="20"/>
        </w:rPr>
        <w:t xml:space="preserve"> and </w:t>
      </w:r>
      <w:r w:rsidRPr="00C6336E">
        <w:rPr>
          <w:i/>
          <w:sz w:val="20"/>
          <w:szCs w:val="20"/>
        </w:rPr>
        <w:t>Phoenix</w:t>
      </w:r>
      <w:r w:rsidRPr="00C6336E">
        <w:rPr>
          <w:sz w:val="20"/>
          <w:szCs w:val="20"/>
        </w:rPr>
        <w:t xml:space="preserve"> </w:t>
      </w:r>
      <w:r w:rsidRPr="00C6336E">
        <w:rPr>
          <w:i/>
          <w:sz w:val="20"/>
          <w:szCs w:val="20"/>
        </w:rPr>
        <w:t>reclinata</w:t>
      </w:r>
      <w:r w:rsidRPr="00C6336E">
        <w:rPr>
          <w:sz w:val="20"/>
          <w:szCs w:val="20"/>
        </w:rPr>
        <w:t xml:space="preserve"> had the least frequency of 25%, respectively. Height of species varied markedly in the wetlands with the tallest species being </w:t>
      </w:r>
      <w:r w:rsidRPr="00C6336E">
        <w:rPr>
          <w:i/>
          <w:sz w:val="20"/>
          <w:szCs w:val="20"/>
        </w:rPr>
        <w:t>Rhizophora mangle</w:t>
      </w:r>
      <w:r w:rsidRPr="00C6336E">
        <w:rPr>
          <w:sz w:val="20"/>
          <w:szCs w:val="20"/>
        </w:rPr>
        <w:t xml:space="preserve"> (8.33±1.25m) and the shortest being </w:t>
      </w:r>
      <w:r w:rsidRPr="00C6336E">
        <w:rPr>
          <w:i/>
          <w:sz w:val="20"/>
          <w:szCs w:val="20"/>
        </w:rPr>
        <w:t xml:space="preserve">Laguncularia racemosa </w:t>
      </w:r>
      <w:r w:rsidRPr="00C6336E">
        <w:rPr>
          <w:sz w:val="20"/>
          <w:szCs w:val="20"/>
        </w:rPr>
        <w:t xml:space="preserve">(3.00±0.00m). </w:t>
      </w:r>
      <w:r w:rsidRPr="00C6336E">
        <w:rPr>
          <w:i/>
          <w:sz w:val="20"/>
          <w:szCs w:val="20"/>
        </w:rPr>
        <w:t>Nypa fruticans</w:t>
      </w:r>
      <w:r w:rsidRPr="00C6336E">
        <w:rPr>
          <w:sz w:val="20"/>
          <w:szCs w:val="20"/>
        </w:rPr>
        <w:t xml:space="preserve"> was the most abundant species with a density value of 541.78±155.90 st/ha while </w:t>
      </w:r>
      <w:r w:rsidRPr="00C6336E">
        <w:rPr>
          <w:i/>
          <w:sz w:val="20"/>
          <w:szCs w:val="20"/>
        </w:rPr>
        <w:t>Laguncularia</w:t>
      </w:r>
      <w:r w:rsidRPr="00C6336E">
        <w:rPr>
          <w:sz w:val="20"/>
          <w:szCs w:val="20"/>
        </w:rPr>
        <w:t xml:space="preserve"> </w:t>
      </w:r>
      <w:r w:rsidRPr="00C6336E">
        <w:rPr>
          <w:i/>
          <w:sz w:val="20"/>
          <w:szCs w:val="20"/>
        </w:rPr>
        <w:t>racemosa</w:t>
      </w:r>
      <w:r w:rsidRPr="00C6336E">
        <w:rPr>
          <w:sz w:val="20"/>
          <w:szCs w:val="20"/>
        </w:rPr>
        <w:t xml:space="preserve"> had the lowest density value of 25.00±0.00 st/ha). Highest crown coverage was observed in </w:t>
      </w:r>
      <w:r w:rsidRPr="00C6336E">
        <w:rPr>
          <w:i/>
          <w:sz w:val="20"/>
          <w:szCs w:val="20"/>
        </w:rPr>
        <w:t>Avicennia africana</w:t>
      </w:r>
      <w:r w:rsidRPr="00C6336E">
        <w:rPr>
          <w:sz w:val="20"/>
          <w:szCs w:val="20"/>
        </w:rPr>
        <w:t xml:space="preserve"> (2.56±1.57 m</w:t>
      </w:r>
      <w:r w:rsidRPr="00C6336E">
        <w:rPr>
          <w:sz w:val="20"/>
          <w:szCs w:val="20"/>
          <w:vertAlign w:val="superscript"/>
        </w:rPr>
        <w:t>2</w:t>
      </w:r>
      <w:r w:rsidRPr="00C6336E">
        <w:rPr>
          <w:sz w:val="20"/>
          <w:szCs w:val="20"/>
        </w:rPr>
        <w:t xml:space="preserve">/ha) while </w:t>
      </w:r>
      <w:r w:rsidRPr="00C6336E">
        <w:rPr>
          <w:i/>
          <w:sz w:val="20"/>
          <w:szCs w:val="20"/>
        </w:rPr>
        <w:t>Machaerium lunatum</w:t>
      </w:r>
      <w:r w:rsidRPr="00C6336E">
        <w:rPr>
          <w:sz w:val="20"/>
          <w:szCs w:val="20"/>
        </w:rPr>
        <w:t xml:space="preserve"> had the lowest crown coverage (0.701±0.074 m</w:t>
      </w:r>
      <w:r w:rsidRPr="00C6336E">
        <w:rPr>
          <w:sz w:val="20"/>
          <w:szCs w:val="20"/>
          <w:vertAlign w:val="superscript"/>
        </w:rPr>
        <w:t>2</w:t>
      </w:r>
      <w:r w:rsidRPr="00C6336E">
        <w:rPr>
          <w:sz w:val="20"/>
          <w:szCs w:val="20"/>
        </w:rPr>
        <w:t xml:space="preserve">/ha). </w:t>
      </w:r>
      <w:r w:rsidRPr="00C6336E">
        <w:rPr>
          <w:i/>
          <w:sz w:val="20"/>
          <w:szCs w:val="20"/>
        </w:rPr>
        <w:t>Phoenix reclinata</w:t>
      </w:r>
      <w:r w:rsidRPr="00C6336E">
        <w:rPr>
          <w:sz w:val="20"/>
          <w:szCs w:val="20"/>
        </w:rPr>
        <w:t xml:space="preserve"> had the largest basal area (0.836±0.10 m</w:t>
      </w:r>
      <w:r w:rsidRPr="00C6336E">
        <w:rPr>
          <w:sz w:val="20"/>
          <w:szCs w:val="20"/>
          <w:vertAlign w:val="superscript"/>
        </w:rPr>
        <w:t>2</w:t>
      </w:r>
      <w:r w:rsidRPr="00C6336E">
        <w:rPr>
          <w:sz w:val="20"/>
          <w:szCs w:val="20"/>
        </w:rPr>
        <w:t xml:space="preserve">/ha) while </w:t>
      </w:r>
      <w:r w:rsidRPr="00C6336E">
        <w:rPr>
          <w:i/>
          <w:sz w:val="20"/>
          <w:szCs w:val="20"/>
        </w:rPr>
        <w:t>Laguncularia</w:t>
      </w:r>
      <w:r w:rsidRPr="00C6336E">
        <w:rPr>
          <w:sz w:val="20"/>
          <w:szCs w:val="20"/>
        </w:rPr>
        <w:t xml:space="preserve"> </w:t>
      </w:r>
      <w:r w:rsidRPr="00C6336E">
        <w:rPr>
          <w:i/>
          <w:sz w:val="20"/>
          <w:szCs w:val="20"/>
        </w:rPr>
        <w:t>racemosa</w:t>
      </w:r>
      <w:r w:rsidRPr="00C6336E">
        <w:rPr>
          <w:sz w:val="20"/>
          <w:szCs w:val="20"/>
        </w:rPr>
        <w:t xml:space="preserve"> had the lowest (0.0032±0.00 m</w:t>
      </w:r>
      <w:r w:rsidRPr="00C6336E">
        <w:rPr>
          <w:sz w:val="20"/>
          <w:szCs w:val="20"/>
          <w:vertAlign w:val="superscript"/>
        </w:rPr>
        <w:t>2</w:t>
      </w:r>
      <w:r w:rsidRPr="00C6336E">
        <w:rPr>
          <w:sz w:val="20"/>
          <w:szCs w:val="20"/>
        </w:rPr>
        <w:t>/ha).</w:t>
      </w:r>
    </w:p>
    <w:p w:rsidR="00A13736" w:rsidRPr="00C6336E" w:rsidRDefault="00A13736" w:rsidP="00194FCD">
      <w:pPr>
        <w:suppressAutoHyphens w:val="0"/>
        <w:snapToGrid w:val="0"/>
        <w:jc w:val="center"/>
        <w:rPr>
          <w:sz w:val="20"/>
          <w:szCs w:val="20"/>
        </w:rPr>
        <w:sectPr w:rsidR="00A13736" w:rsidRPr="00C6336E" w:rsidSect="00757E48">
          <w:footnotePr>
            <w:pos w:val="beneathText"/>
          </w:footnotePr>
          <w:type w:val="continuous"/>
          <w:pgSz w:w="12240" w:h="15840" w:code="1"/>
          <w:pgMar w:top="1440" w:right="1440" w:bottom="1440" w:left="1440" w:header="720" w:footer="720" w:gutter="0"/>
          <w:cols w:num="2" w:space="600"/>
          <w:docGrid w:linePitch="360"/>
        </w:sectPr>
      </w:pPr>
    </w:p>
    <w:p w:rsidR="00471E57" w:rsidRPr="00C6336E" w:rsidRDefault="00471E57" w:rsidP="00194FCD">
      <w:pPr>
        <w:suppressAutoHyphens w:val="0"/>
        <w:snapToGrid w:val="0"/>
        <w:jc w:val="center"/>
        <w:rPr>
          <w:sz w:val="20"/>
          <w:szCs w:val="20"/>
        </w:rPr>
      </w:pPr>
    </w:p>
    <w:p w:rsidR="002F12A7" w:rsidRPr="00AE619A" w:rsidRDefault="00654EBA" w:rsidP="00DE39C1">
      <w:pPr>
        <w:suppressAutoHyphens w:val="0"/>
        <w:rPr>
          <w:b/>
          <w:sz w:val="20"/>
          <w:szCs w:val="20"/>
        </w:rPr>
      </w:pPr>
      <w:r>
        <w:rPr>
          <w:b/>
          <w:sz w:val="20"/>
          <w:szCs w:val="20"/>
        </w:rPr>
        <w:t xml:space="preserve">Table 2: </w:t>
      </w:r>
      <w:r w:rsidR="002F12A7" w:rsidRPr="00AE619A">
        <w:rPr>
          <w:b/>
          <w:sz w:val="20"/>
          <w:szCs w:val="20"/>
        </w:rPr>
        <w:t>Floristic Composition of Imo River Basin</w:t>
      </w:r>
    </w:p>
    <w:tbl>
      <w:tblPr>
        <w:tblW w:w="9524" w:type="dxa"/>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2217"/>
        <w:gridCol w:w="1403"/>
        <w:gridCol w:w="1071"/>
        <w:gridCol w:w="1324"/>
        <w:gridCol w:w="924"/>
        <w:gridCol w:w="1388"/>
        <w:gridCol w:w="1197"/>
      </w:tblGrid>
      <w:tr w:rsidR="002F12A7" w:rsidRPr="00C6336E" w:rsidTr="006B0D2A">
        <w:trPr>
          <w:jc w:val="center"/>
        </w:trPr>
        <w:tc>
          <w:tcPr>
            <w:tcW w:w="2217" w:type="dxa"/>
            <w:tcBorders>
              <w:top w:val="single" w:sz="4" w:space="0" w:color="auto"/>
              <w:bottom w:val="single" w:sz="4" w:space="0" w:color="auto"/>
            </w:tcBorders>
            <w:shd w:val="clear" w:color="auto" w:fill="auto"/>
            <w:vAlign w:val="center"/>
          </w:tcPr>
          <w:p w:rsidR="002F12A7" w:rsidRPr="00C6336E" w:rsidRDefault="002F12A7" w:rsidP="00AE619A">
            <w:pPr>
              <w:suppressAutoHyphens w:val="0"/>
              <w:snapToGrid w:val="0"/>
              <w:jc w:val="both"/>
              <w:rPr>
                <w:b/>
                <w:sz w:val="20"/>
                <w:szCs w:val="20"/>
              </w:rPr>
            </w:pPr>
            <w:r w:rsidRPr="00C6336E">
              <w:rPr>
                <w:b/>
                <w:sz w:val="20"/>
                <w:szCs w:val="20"/>
              </w:rPr>
              <w:t>Species</w:t>
            </w:r>
          </w:p>
        </w:tc>
        <w:tc>
          <w:tcPr>
            <w:tcW w:w="0" w:type="auto"/>
            <w:tcBorders>
              <w:top w:val="single" w:sz="4" w:space="0" w:color="auto"/>
              <w:bottom w:val="single" w:sz="4" w:space="0" w:color="auto"/>
            </w:tcBorders>
            <w:shd w:val="clear" w:color="auto" w:fill="auto"/>
            <w:vAlign w:val="center"/>
          </w:tcPr>
          <w:p w:rsidR="002F12A7" w:rsidRPr="00C6336E" w:rsidRDefault="002F12A7" w:rsidP="00AE619A">
            <w:pPr>
              <w:suppressAutoHyphens w:val="0"/>
              <w:snapToGrid w:val="0"/>
              <w:contextualSpacing/>
              <w:jc w:val="both"/>
              <w:rPr>
                <w:b/>
                <w:sz w:val="20"/>
                <w:szCs w:val="20"/>
              </w:rPr>
            </w:pPr>
            <w:r w:rsidRPr="00C6336E">
              <w:rPr>
                <w:b/>
                <w:sz w:val="20"/>
                <w:szCs w:val="20"/>
              </w:rPr>
              <w:t>Family</w:t>
            </w:r>
          </w:p>
        </w:tc>
        <w:tc>
          <w:tcPr>
            <w:tcW w:w="1071" w:type="dxa"/>
            <w:tcBorders>
              <w:top w:val="single" w:sz="4" w:space="0" w:color="auto"/>
              <w:bottom w:val="single" w:sz="4" w:space="0" w:color="auto"/>
            </w:tcBorders>
            <w:shd w:val="clear" w:color="auto" w:fill="auto"/>
            <w:vAlign w:val="center"/>
          </w:tcPr>
          <w:p w:rsidR="002F12A7" w:rsidRPr="00C6336E" w:rsidRDefault="002F12A7" w:rsidP="00AE619A">
            <w:pPr>
              <w:suppressAutoHyphens w:val="0"/>
              <w:snapToGrid w:val="0"/>
              <w:contextualSpacing/>
              <w:jc w:val="both"/>
              <w:rPr>
                <w:b/>
                <w:sz w:val="20"/>
                <w:szCs w:val="20"/>
              </w:rPr>
            </w:pPr>
            <w:r w:rsidRPr="00C6336E">
              <w:rPr>
                <w:b/>
                <w:sz w:val="20"/>
                <w:szCs w:val="20"/>
              </w:rPr>
              <w:t>Frequency (%)</w:t>
            </w:r>
          </w:p>
        </w:tc>
        <w:tc>
          <w:tcPr>
            <w:tcW w:w="0" w:type="auto"/>
            <w:tcBorders>
              <w:top w:val="single" w:sz="4" w:space="0" w:color="auto"/>
              <w:bottom w:val="single" w:sz="4" w:space="0" w:color="auto"/>
            </w:tcBorders>
            <w:shd w:val="clear" w:color="auto" w:fill="auto"/>
            <w:vAlign w:val="center"/>
          </w:tcPr>
          <w:p w:rsidR="002F12A7" w:rsidRPr="00C6336E" w:rsidRDefault="002F12A7" w:rsidP="00AE619A">
            <w:pPr>
              <w:suppressAutoHyphens w:val="0"/>
              <w:snapToGrid w:val="0"/>
              <w:contextualSpacing/>
              <w:jc w:val="both"/>
              <w:rPr>
                <w:b/>
                <w:sz w:val="20"/>
                <w:szCs w:val="20"/>
              </w:rPr>
            </w:pPr>
            <w:r w:rsidRPr="00C6336E">
              <w:rPr>
                <w:b/>
                <w:sz w:val="20"/>
                <w:szCs w:val="20"/>
              </w:rPr>
              <w:t xml:space="preserve">Density </w:t>
            </w:r>
          </w:p>
          <w:p w:rsidR="002F12A7" w:rsidRPr="00C6336E" w:rsidRDefault="002F12A7" w:rsidP="00AE619A">
            <w:pPr>
              <w:suppressAutoHyphens w:val="0"/>
              <w:snapToGrid w:val="0"/>
              <w:contextualSpacing/>
              <w:jc w:val="both"/>
              <w:rPr>
                <w:b/>
                <w:sz w:val="20"/>
                <w:szCs w:val="20"/>
              </w:rPr>
            </w:pPr>
            <w:r w:rsidRPr="00C6336E">
              <w:rPr>
                <w:b/>
                <w:sz w:val="20"/>
                <w:szCs w:val="20"/>
              </w:rPr>
              <w:t>(stems/ha)</w:t>
            </w:r>
          </w:p>
        </w:tc>
        <w:tc>
          <w:tcPr>
            <w:tcW w:w="0" w:type="auto"/>
            <w:tcBorders>
              <w:top w:val="single" w:sz="4" w:space="0" w:color="auto"/>
              <w:bottom w:val="single" w:sz="4" w:space="0" w:color="auto"/>
            </w:tcBorders>
            <w:shd w:val="clear" w:color="auto" w:fill="auto"/>
            <w:vAlign w:val="center"/>
          </w:tcPr>
          <w:p w:rsidR="002F12A7" w:rsidRPr="00C6336E" w:rsidRDefault="002F12A7" w:rsidP="00AE619A">
            <w:pPr>
              <w:suppressAutoHyphens w:val="0"/>
              <w:snapToGrid w:val="0"/>
              <w:contextualSpacing/>
              <w:jc w:val="both"/>
              <w:rPr>
                <w:b/>
                <w:sz w:val="20"/>
                <w:szCs w:val="20"/>
              </w:rPr>
            </w:pPr>
            <w:r w:rsidRPr="00C6336E">
              <w:rPr>
                <w:b/>
                <w:sz w:val="20"/>
                <w:szCs w:val="20"/>
              </w:rPr>
              <w:t xml:space="preserve">Height </w:t>
            </w:r>
          </w:p>
          <w:p w:rsidR="002F12A7" w:rsidRPr="00C6336E" w:rsidRDefault="002F12A7" w:rsidP="00AE619A">
            <w:pPr>
              <w:suppressAutoHyphens w:val="0"/>
              <w:snapToGrid w:val="0"/>
              <w:contextualSpacing/>
              <w:jc w:val="both"/>
              <w:rPr>
                <w:b/>
                <w:sz w:val="20"/>
                <w:szCs w:val="20"/>
              </w:rPr>
            </w:pPr>
            <w:r w:rsidRPr="00C6336E">
              <w:rPr>
                <w:b/>
                <w:sz w:val="20"/>
                <w:szCs w:val="20"/>
              </w:rPr>
              <w:t>(m)</w:t>
            </w:r>
          </w:p>
        </w:tc>
        <w:tc>
          <w:tcPr>
            <w:tcW w:w="1388" w:type="dxa"/>
            <w:tcBorders>
              <w:top w:val="single" w:sz="4" w:space="0" w:color="auto"/>
              <w:bottom w:val="single" w:sz="4" w:space="0" w:color="auto"/>
            </w:tcBorders>
            <w:shd w:val="clear" w:color="auto" w:fill="auto"/>
            <w:vAlign w:val="center"/>
          </w:tcPr>
          <w:p w:rsidR="002F12A7" w:rsidRPr="00C6336E" w:rsidRDefault="00AE619A" w:rsidP="00AE619A">
            <w:pPr>
              <w:suppressAutoHyphens w:val="0"/>
              <w:snapToGrid w:val="0"/>
              <w:contextualSpacing/>
              <w:rPr>
                <w:b/>
                <w:sz w:val="20"/>
                <w:szCs w:val="20"/>
              </w:rPr>
            </w:pPr>
            <w:r>
              <w:rPr>
                <w:b/>
                <w:sz w:val="20"/>
                <w:szCs w:val="20"/>
              </w:rPr>
              <w:t xml:space="preserve">Crown </w:t>
            </w:r>
            <w:r w:rsidR="002F12A7" w:rsidRPr="00C6336E">
              <w:rPr>
                <w:b/>
                <w:sz w:val="20"/>
                <w:szCs w:val="20"/>
              </w:rPr>
              <w:t>cover (m</w:t>
            </w:r>
            <w:r w:rsidR="002F12A7" w:rsidRPr="00C6336E">
              <w:rPr>
                <w:b/>
                <w:sz w:val="20"/>
                <w:szCs w:val="20"/>
                <w:vertAlign w:val="superscript"/>
              </w:rPr>
              <w:t>2</w:t>
            </w:r>
            <w:r w:rsidR="002F12A7" w:rsidRPr="00C6336E">
              <w:rPr>
                <w:b/>
                <w:sz w:val="20"/>
                <w:szCs w:val="20"/>
              </w:rPr>
              <w:t>/ha)</w:t>
            </w:r>
          </w:p>
        </w:tc>
        <w:tc>
          <w:tcPr>
            <w:tcW w:w="0" w:type="auto"/>
            <w:tcBorders>
              <w:top w:val="single" w:sz="4" w:space="0" w:color="auto"/>
              <w:bottom w:val="single" w:sz="4" w:space="0" w:color="auto"/>
            </w:tcBorders>
            <w:shd w:val="clear" w:color="auto" w:fill="auto"/>
            <w:vAlign w:val="center"/>
          </w:tcPr>
          <w:p w:rsidR="002F12A7" w:rsidRPr="00C6336E" w:rsidRDefault="002F12A7" w:rsidP="00AE619A">
            <w:pPr>
              <w:suppressAutoHyphens w:val="0"/>
              <w:snapToGrid w:val="0"/>
              <w:contextualSpacing/>
              <w:jc w:val="both"/>
              <w:rPr>
                <w:b/>
                <w:sz w:val="20"/>
                <w:szCs w:val="20"/>
              </w:rPr>
            </w:pPr>
            <w:r w:rsidRPr="00C6336E">
              <w:rPr>
                <w:b/>
                <w:sz w:val="20"/>
                <w:szCs w:val="20"/>
              </w:rPr>
              <w:t xml:space="preserve">Basal </w:t>
            </w:r>
          </w:p>
          <w:p w:rsidR="002F12A7" w:rsidRPr="00C6336E" w:rsidRDefault="002F12A7" w:rsidP="00AE619A">
            <w:pPr>
              <w:suppressAutoHyphens w:val="0"/>
              <w:snapToGrid w:val="0"/>
              <w:contextualSpacing/>
              <w:jc w:val="both"/>
              <w:rPr>
                <w:b/>
                <w:sz w:val="20"/>
                <w:szCs w:val="20"/>
              </w:rPr>
            </w:pPr>
            <w:r w:rsidRPr="00C6336E">
              <w:rPr>
                <w:b/>
                <w:sz w:val="20"/>
                <w:szCs w:val="20"/>
              </w:rPr>
              <w:t>Area (m</w:t>
            </w:r>
            <w:r w:rsidRPr="00C6336E">
              <w:rPr>
                <w:b/>
                <w:sz w:val="20"/>
                <w:szCs w:val="20"/>
                <w:vertAlign w:val="superscript"/>
              </w:rPr>
              <w:t>2</w:t>
            </w:r>
            <w:r w:rsidRPr="00C6336E">
              <w:rPr>
                <w:b/>
                <w:sz w:val="20"/>
                <w:szCs w:val="20"/>
              </w:rPr>
              <w:t>/ha)</w:t>
            </w:r>
          </w:p>
        </w:tc>
      </w:tr>
      <w:tr w:rsidR="002F12A7" w:rsidRPr="00C6336E" w:rsidTr="006B0D2A">
        <w:trPr>
          <w:jc w:val="center"/>
        </w:trPr>
        <w:tc>
          <w:tcPr>
            <w:tcW w:w="2217" w:type="dxa"/>
            <w:tcBorders>
              <w:top w:val="single" w:sz="4" w:space="0" w:color="auto"/>
            </w:tcBorders>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Acrostichum aureum</w:t>
            </w:r>
          </w:p>
        </w:tc>
        <w:tc>
          <w:tcPr>
            <w:tcW w:w="0" w:type="auto"/>
            <w:tcBorders>
              <w:top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Pteridaceae</w:t>
            </w:r>
          </w:p>
        </w:tc>
        <w:tc>
          <w:tcPr>
            <w:tcW w:w="1071" w:type="dxa"/>
            <w:tcBorders>
              <w:top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75</w:t>
            </w:r>
          </w:p>
        </w:tc>
        <w:tc>
          <w:tcPr>
            <w:tcW w:w="0" w:type="auto"/>
            <w:tcBorders>
              <w:top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108.00±47.14</w:t>
            </w:r>
          </w:p>
        </w:tc>
        <w:tc>
          <w:tcPr>
            <w:tcW w:w="0" w:type="auto"/>
            <w:tcBorders>
              <w:top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w:t>
            </w:r>
          </w:p>
        </w:tc>
        <w:tc>
          <w:tcPr>
            <w:tcW w:w="1388" w:type="dxa"/>
            <w:tcBorders>
              <w:top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w:t>
            </w:r>
          </w:p>
        </w:tc>
        <w:tc>
          <w:tcPr>
            <w:tcW w:w="0" w:type="auto"/>
            <w:tcBorders>
              <w:top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w:t>
            </w:r>
          </w:p>
        </w:tc>
      </w:tr>
      <w:tr w:rsidR="002F12A7" w:rsidRPr="00C6336E" w:rsidTr="006B0D2A">
        <w:trPr>
          <w:jc w:val="center"/>
        </w:trPr>
        <w:tc>
          <w:tcPr>
            <w:tcW w:w="2217" w:type="dxa"/>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Avicennia africana</w:t>
            </w:r>
          </w:p>
        </w:tc>
        <w:tc>
          <w:tcPr>
            <w:tcW w:w="0" w:type="auto"/>
            <w:shd w:val="clear" w:color="auto" w:fill="auto"/>
            <w:vAlign w:val="center"/>
          </w:tcPr>
          <w:p w:rsidR="002F12A7" w:rsidRPr="00C6336E" w:rsidRDefault="00C67743" w:rsidP="00757E48">
            <w:pPr>
              <w:suppressAutoHyphens w:val="0"/>
              <w:snapToGrid w:val="0"/>
              <w:jc w:val="both"/>
              <w:rPr>
                <w:sz w:val="20"/>
                <w:szCs w:val="20"/>
              </w:rPr>
            </w:pPr>
            <w:r w:rsidRPr="00C67743">
              <w:rPr>
                <w:sz w:val="20"/>
                <w:szCs w:val="20"/>
              </w:rPr>
              <w:t>Acanthaceae</w:t>
            </w:r>
          </w:p>
        </w:tc>
        <w:tc>
          <w:tcPr>
            <w:tcW w:w="1071"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50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100.00±50.00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6.38±0.18</w:t>
            </w:r>
          </w:p>
        </w:tc>
        <w:tc>
          <w:tcPr>
            <w:tcW w:w="1388"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2.56±1.57</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0.0839±0.01</w:t>
            </w:r>
          </w:p>
        </w:tc>
      </w:tr>
      <w:tr w:rsidR="002F12A7" w:rsidRPr="00C6336E" w:rsidTr="006B0D2A">
        <w:trPr>
          <w:jc w:val="center"/>
        </w:trPr>
        <w:tc>
          <w:tcPr>
            <w:tcW w:w="2217" w:type="dxa"/>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Laguncularia racemosa</w:t>
            </w:r>
          </w:p>
        </w:tc>
        <w:tc>
          <w:tcPr>
            <w:tcW w:w="0" w:type="auto"/>
            <w:shd w:val="clear" w:color="auto" w:fill="auto"/>
            <w:vAlign w:val="center"/>
          </w:tcPr>
          <w:p w:rsidR="002F12A7" w:rsidRPr="00C6336E" w:rsidRDefault="00C67743" w:rsidP="00757E48">
            <w:pPr>
              <w:suppressAutoHyphens w:val="0"/>
              <w:snapToGrid w:val="0"/>
              <w:jc w:val="both"/>
              <w:rPr>
                <w:sz w:val="20"/>
                <w:szCs w:val="20"/>
              </w:rPr>
            </w:pPr>
            <w:r w:rsidRPr="00C67743">
              <w:rPr>
                <w:sz w:val="20"/>
                <w:szCs w:val="20"/>
              </w:rPr>
              <w:t>Combretaceae</w:t>
            </w:r>
          </w:p>
        </w:tc>
        <w:tc>
          <w:tcPr>
            <w:tcW w:w="1071"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25.00±0.00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3.00±0.00</w:t>
            </w:r>
          </w:p>
        </w:tc>
        <w:tc>
          <w:tcPr>
            <w:tcW w:w="1388"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0.785±0.00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0.0032±0.00</w:t>
            </w:r>
          </w:p>
        </w:tc>
      </w:tr>
      <w:tr w:rsidR="002F12A7" w:rsidRPr="00C6336E" w:rsidTr="006B0D2A">
        <w:trPr>
          <w:jc w:val="center"/>
        </w:trPr>
        <w:tc>
          <w:tcPr>
            <w:tcW w:w="2217" w:type="dxa"/>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Machaerium lunatum</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Fabaceae</w:t>
            </w:r>
          </w:p>
        </w:tc>
        <w:tc>
          <w:tcPr>
            <w:tcW w:w="1071"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50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150.00±50.00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7.50±0.50</w:t>
            </w:r>
          </w:p>
        </w:tc>
        <w:tc>
          <w:tcPr>
            <w:tcW w:w="1388"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0.701±0.07</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0.0306±0.01</w:t>
            </w:r>
          </w:p>
        </w:tc>
      </w:tr>
      <w:tr w:rsidR="002F12A7" w:rsidRPr="00C6336E" w:rsidTr="006B0D2A">
        <w:trPr>
          <w:jc w:val="center"/>
        </w:trPr>
        <w:tc>
          <w:tcPr>
            <w:tcW w:w="2217" w:type="dxa"/>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Nypa fruticans</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Arecaceae</w:t>
            </w:r>
          </w:p>
        </w:tc>
        <w:tc>
          <w:tcPr>
            <w:tcW w:w="1071"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75</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541.78±155.90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4.78±3.12</w:t>
            </w:r>
          </w:p>
        </w:tc>
        <w:tc>
          <w:tcPr>
            <w:tcW w:w="1388"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2.01±0.89</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0.391±0.09</w:t>
            </w:r>
          </w:p>
        </w:tc>
      </w:tr>
      <w:tr w:rsidR="002F12A7" w:rsidRPr="00C6336E" w:rsidTr="006B0D2A">
        <w:trPr>
          <w:jc w:val="center"/>
        </w:trPr>
        <w:tc>
          <w:tcPr>
            <w:tcW w:w="2217" w:type="dxa"/>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Pandanus candelabrum</w:t>
            </w:r>
          </w:p>
        </w:tc>
        <w:tc>
          <w:tcPr>
            <w:tcW w:w="0" w:type="auto"/>
            <w:shd w:val="clear" w:color="auto" w:fill="auto"/>
            <w:vAlign w:val="center"/>
          </w:tcPr>
          <w:p w:rsidR="002F12A7" w:rsidRPr="00C6336E" w:rsidRDefault="00C67743" w:rsidP="00757E48">
            <w:pPr>
              <w:suppressAutoHyphens w:val="0"/>
              <w:snapToGrid w:val="0"/>
              <w:jc w:val="both"/>
              <w:rPr>
                <w:sz w:val="20"/>
                <w:szCs w:val="20"/>
              </w:rPr>
            </w:pPr>
            <w:r w:rsidRPr="00C67743">
              <w:rPr>
                <w:sz w:val="20"/>
                <w:szCs w:val="20"/>
              </w:rPr>
              <w:t>Pandanaceae</w:t>
            </w:r>
          </w:p>
        </w:tc>
        <w:tc>
          <w:tcPr>
            <w:tcW w:w="1071"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50.00±0.00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4.00±0.00</w:t>
            </w:r>
          </w:p>
        </w:tc>
        <w:tc>
          <w:tcPr>
            <w:tcW w:w="1388"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0.785±0.00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0.064±0.001</w:t>
            </w:r>
          </w:p>
        </w:tc>
      </w:tr>
      <w:tr w:rsidR="002F12A7" w:rsidRPr="00C6336E" w:rsidTr="006B0D2A">
        <w:trPr>
          <w:jc w:val="center"/>
        </w:trPr>
        <w:tc>
          <w:tcPr>
            <w:tcW w:w="2217" w:type="dxa"/>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Phoenix reclinata</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Arecaceae</w:t>
            </w:r>
          </w:p>
        </w:tc>
        <w:tc>
          <w:tcPr>
            <w:tcW w:w="1071"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250.00±10.00</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7.50±3.20</w:t>
            </w:r>
          </w:p>
        </w:tc>
        <w:tc>
          <w:tcPr>
            <w:tcW w:w="1388" w:type="dxa"/>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5.64±2.41</w:t>
            </w:r>
          </w:p>
        </w:tc>
        <w:tc>
          <w:tcPr>
            <w:tcW w:w="0" w:type="auto"/>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0.836±0.10</w:t>
            </w:r>
          </w:p>
        </w:tc>
      </w:tr>
      <w:tr w:rsidR="002F12A7" w:rsidRPr="00C6336E" w:rsidTr="006B0D2A">
        <w:trPr>
          <w:jc w:val="center"/>
        </w:trPr>
        <w:tc>
          <w:tcPr>
            <w:tcW w:w="2217" w:type="dxa"/>
            <w:tcBorders>
              <w:bottom w:val="nil"/>
            </w:tcBorders>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Rhizophora mangle</w:t>
            </w:r>
          </w:p>
        </w:tc>
        <w:tc>
          <w:tcPr>
            <w:tcW w:w="0" w:type="auto"/>
            <w:tcBorders>
              <w:bottom w:val="nil"/>
            </w:tcBorders>
            <w:shd w:val="clear" w:color="auto" w:fill="auto"/>
            <w:vAlign w:val="center"/>
          </w:tcPr>
          <w:p w:rsidR="002F12A7" w:rsidRPr="00C6336E" w:rsidRDefault="00C67743" w:rsidP="00757E48">
            <w:pPr>
              <w:suppressAutoHyphens w:val="0"/>
              <w:snapToGrid w:val="0"/>
              <w:jc w:val="both"/>
              <w:rPr>
                <w:sz w:val="20"/>
                <w:szCs w:val="20"/>
              </w:rPr>
            </w:pPr>
            <w:r>
              <w:rPr>
                <w:sz w:val="20"/>
                <w:szCs w:val="20"/>
              </w:rPr>
              <w:t>Rhizophora</w:t>
            </w:r>
            <w:r w:rsidR="002F12A7" w:rsidRPr="00C6336E">
              <w:rPr>
                <w:sz w:val="20"/>
                <w:szCs w:val="20"/>
              </w:rPr>
              <w:t>ceae</w:t>
            </w:r>
          </w:p>
        </w:tc>
        <w:tc>
          <w:tcPr>
            <w:tcW w:w="1071" w:type="dxa"/>
            <w:tcBorders>
              <w:bottom w:val="nil"/>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25</w:t>
            </w:r>
          </w:p>
        </w:tc>
        <w:tc>
          <w:tcPr>
            <w:tcW w:w="0" w:type="auto"/>
            <w:tcBorders>
              <w:bottom w:val="nil"/>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75.00±0.00</w:t>
            </w:r>
          </w:p>
        </w:tc>
        <w:tc>
          <w:tcPr>
            <w:tcW w:w="0" w:type="auto"/>
            <w:tcBorders>
              <w:bottom w:val="nil"/>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8.33±1.25</w:t>
            </w:r>
          </w:p>
        </w:tc>
        <w:tc>
          <w:tcPr>
            <w:tcW w:w="1388" w:type="dxa"/>
            <w:tcBorders>
              <w:bottom w:val="nil"/>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1.897±0.97</w:t>
            </w:r>
          </w:p>
        </w:tc>
        <w:tc>
          <w:tcPr>
            <w:tcW w:w="0" w:type="auto"/>
            <w:tcBorders>
              <w:bottom w:val="nil"/>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0.059±0.01</w:t>
            </w:r>
          </w:p>
        </w:tc>
      </w:tr>
      <w:tr w:rsidR="002F12A7" w:rsidRPr="00C6336E" w:rsidTr="006B0D2A">
        <w:trPr>
          <w:jc w:val="center"/>
        </w:trPr>
        <w:tc>
          <w:tcPr>
            <w:tcW w:w="2217" w:type="dxa"/>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i/>
                <w:sz w:val="20"/>
                <w:szCs w:val="20"/>
              </w:rPr>
            </w:pPr>
            <w:r w:rsidRPr="00C6336E">
              <w:rPr>
                <w:i/>
                <w:sz w:val="20"/>
                <w:szCs w:val="20"/>
              </w:rPr>
              <w:t xml:space="preserve">Terminalia superba </w:t>
            </w:r>
          </w:p>
        </w:tc>
        <w:tc>
          <w:tcPr>
            <w:tcW w:w="0" w:type="auto"/>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Combretaceae</w:t>
            </w:r>
          </w:p>
        </w:tc>
        <w:tc>
          <w:tcPr>
            <w:tcW w:w="1071" w:type="dxa"/>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50</w:t>
            </w:r>
          </w:p>
        </w:tc>
        <w:tc>
          <w:tcPr>
            <w:tcW w:w="0" w:type="auto"/>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75.00±25.00</w:t>
            </w:r>
          </w:p>
        </w:tc>
        <w:tc>
          <w:tcPr>
            <w:tcW w:w="0" w:type="auto"/>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4.55±1.50</w:t>
            </w:r>
          </w:p>
        </w:tc>
        <w:tc>
          <w:tcPr>
            <w:tcW w:w="1388" w:type="dxa"/>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0.711±0.07</w:t>
            </w:r>
          </w:p>
        </w:tc>
        <w:tc>
          <w:tcPr>
            <w:tcW w:w="0" w:type="auto"/>
            <w:tcBorders>
              <w:top w:val="nil"/>
              <w:bottom w:val="single" w:sz="4" w:space="0" w:color="auto"/>
            </w:tcBorders>
            <w:shd w:val="clear" w:color="auto" w:fill="auto"/>
            <w:vAlign w:val="center"/>
          </w:tcPr>
          <w:p w:rsidR="002F12A7" w:rsidRPr="00C6336E" w:rsidRDefault="002F12A7" w:rsidP="00757E48">
            <w:pPr>
              <w:suppressAutoHyphens w:val="0"/>
              <w:snapToGrid w:val="0"/>
              <w:jc w:val="both"/>
              <w:rPr>
                <w:sz w:val="20"/>
                <w:szCs w:val="20"/>
              </w:rPr>
            </w:pPr>
            <w:r w:rsidRPr="00C6336E">
              <w:rPr>
                <w:sz w:val="20"/>
                <w:szCs w:val="20"/>
              </w:rPr>
              <w:t>0.4040±0.01</w:t>
            </w:r>
          </w:p>
        </w:tc>
      </w:tr>
    </w:tbl>
    <w:p w:rsidR="00791435" w:rsidRDefault="00A13736" w:rsidP="00DE39C1">
      <w:pPr>
        <w:suppressAutoHyphens w:val="0"/>
        <w:snapToGrid w:val="0"/>
        <w:jc w:val="center"/>
        <w:rPr>
          <w:b/>
          <w:sz w:val="20"/>
          <w:szCs w:val="20"/>
        </w:rPr>
        <w:sectPr w:rsidR="00791435" w:rsidSect="00A13736">
          <w:footnotePr>
            <w:pos w:val="beneathText"/>
          </w:footnotePr>
          <w:type w:val="continuous"/>
          <w:pgSz w:w="12240" w:h="15840" w:code="1"/>
          <w:pgMar w:top="1440" w:right="1440" w:bottom="1440" w:left="1440" w:header="720" w:footer="720" w:gutter="0"/>
          <w:cols w:space="720"/>
          <w:docGrid w:linePitch="360"/>
        </w:sectPr>
      </w:pPr>
      <w:r w:rsidRPr="00C6336E">
        <w:rPr>
          <w:b/>
          <w:sz w:val="20"/>
          <w:szCs w:val="20"/>
        </w:rPr>
        <w:cr/>
      </w:r>
    </w:p>
    <w:p w:rsidR="00791435" w:rsidRPr="00AE619A" w:rsidRDefault="00791435" w:rsidP="00791435">
      <w:pPr>
        <w:suppressAutoHyphens w:val="0"/>
        <w:snapToGrid w:val="0"/>
        <w:jc w:val="both"/>
        <w:rPr>
          <w:b/>
          <w:sz w:val="20"/>
          <w:szCs w:val="20"/>
          <w:lang w:eastAsia="zh-CN"/>
        </w:rPr>
      </w:pPr>
      <w:r>
        <w:rPr>
          <w:b/>
          <w:sz w:val="20"/>
          <w:szCs w:val="20"/>
          <w:lang w:eastAsia="zh-CN"/>
        </w:rPr>
        <w:lastRenderedPageBreak/>
        <w:t xml:space="preserve">3.2 </w:t>
      </w:r>
      <w:r w:rsidRPr="00AE619A">
        <w:rPr>
          <w:b/>
          <w:sz w:val="20"/>
          <w:szCs w:val="20"/>
          <w:lang w:eastAsia="zh-CN"/>
        </w:rPr>
        <w:t>Physicochemical Characteristics of Soil</w:t>
      </w:r>
    </w:p>
    <w:p w:rsidR="00A13736" w:rsidRDefault="00A13736" w:rsidP="00DE39C1">
      <w:pPr>
        <w:suppressAutoHyphens w:val="0"/>
        <w:snapToGrid w:val="0"/>
        <w:jc w:val="center"/>
        <w:rPr>
          <w:sz w:val="20"/>
          <w:szCs w:val="20"/>
        </w:rPr>
      </w:pPr>
    </w:p>
    <w:p w:rsidR="00A13736" w:rsidRPr="00C6336E" w:rsidRDefault="00A13736" w:rsidP="00194FCD">
      <w:pPr>
        <w:suppressAutoHyphens w:val="0"/>
        <w:snapToGrid w:val="0"/>
        <w:ind w:firstLine="425"/>
        <w:jc w:val="both"/>
        <w:rPr>
          <w:sz w:val="20"/>
          <w:szCs w:val="20"/>
        </w:rPr>
        <w:sectPr w:rsidR="00A13736" w:rsidRPr="00C6336E" w:rsidSect="00791435">
          <w:footnotePr>
            <w:pos w:val="beneathText"/>
          </w:footnotePr>
          <w:type w:val="continuous"/>
          <w:pgSz w:w="12240" w:h="15840" w:code="1"/>
          <w:pgMar w:top="1440" w:right="1440" w:bottom="1440" w:left="1440" w:header="720" w:footer="720" w:gutter="0"/>
          <w:cols w:num="2" w:space="720"/>
          <w:docGrid w:linePitch="360"/>
        </w:sectPr>
      </w:pPr>
    </w:p>
    <w:p w:rsidR="00757E48" w:rsidRDefault="00757E48" w:rsidP="00757E48">
      <w:pPr>
        <w:suppressAutoHyphens w:val="0"/>
        <w:snapToGrid w:val="0"/>
        <w:ind w:firstLine="425"/>
        <w:jc w:val="both"/>
        <w:rPr>
          <w:sz w:val="20"/>
          <w:szCs w:val="20"/>
          <w:lang w:eastAsia="zh-CN"/>
        </w:rPr>
      </w:pPr>
      <w:r w:rsidRPr="00C6336E">
        <w:rPr>
          <w:sz w:val="20"/>
          <w:szCs w:val="20"/>
        </w:rPr>
        <w:lastRenderedPageBreak/>
        <w:t xml:space="preserve">The physiochemical properties of the soil </w:t>
      </w:r>
      <w:r w:rsidR="00AA2673">
        <w:rPr>
          <w:sz w:val="20"/>
          <w:szCs w:val="20"/>
        </w:rPr>
        <w:t xml:space="preserve">across the sampled stations </w:t>
      </w:r>
      <w:r w:rsidRPr="00C6336E">
        <w:rPr>
          <w:sz w:val="20"/>
          <w:szCs w:val="20"/>
        </w:rPr>
        <w:t>is presented in Table 3. Among the particle size class, sand fragment dominated spatially and this was followed by clay and silt fragments. Station 3 had the highest sand content (79.200±2.21) while station 4 had the least (45.200±2.00). The proportion of clay was greatest in stations 1 (31.980±5.81) and 4 (31.980±10.98) while the least clay content was recorded in station 3</w:t>
      </w:r>
      <w:r w:rsidR="00E356B8" w:rsidRPr="00C6336E">
        <w:rPr>
          <w:sz w:val="20"/>
          <w:szCs w:val="20"/>
        </w:rPr>
        <w:t>. S</w:t>
      </w:r>
      <w:r w:rsidRPr="00C6336E">
        <w:rPr>
          <w:sz w:val="20"/>
          <w:szCs w:val="20"/>
        </w:rPr>
        <w:t xml:space="preserve">ilt fragment was more abundant in station 4 (22.820±0.60) and less abundant in station 3 (8.820±1.61). However, the pH of the soil ranged between extremely acidic to strongly acidic. Stations 4 (5.500±0.40) and 3 (3.900±0.60). Electrical conductivity had the highest and least values in stations 4 (3.340±0.62) and 3 (2.430±0.12). The proportions of organic matter and total nitrogen were highest in station 3 (14.800±2.01 and 0.370±0.07) </w:t>
      </w:r>
      <w:r w:rsidRPr="00C6336E">
        <w:rPr>
          <w:sz w:val="20"/>
          <w:szCs w:val="20"/>
        </w:rPr>
        <w:lastRenderedPageBreak/>
        <w:t>while station 4 had the least values for these parameters (9.770±1.52 and 0.240±0.00). Mg had a highest value of (3.620±1.14) in station 1 and a least value of (2.110±0.01) in station 4. Na recorded a highest value of 0.490±0.01 in station 1 and the least value of 0.270±0.00 in station 3. However, potassium had the highest and least values in stations 2 (0.460±0.01) and 4 (0.260±0.00). Exchange acidity values ranged between 2.400 and 3.100 with the highest and least values obtained in stations 1 (3.100±0.41) and 4 (2.400±0.40). The values for Effective Cation Exchange Capacity and base saturation were highest in stations 2 (19.130±3.4 and 84.485±5.1) while the least values for these parameters were obtained in station 3 (13.470±1.23 and 81.440±5.21).</w:t>
      </w:r>
    </w:p>
    <w:p w:rsidR="00C6336E" w:rsidRPr="00C6336E" w:rsidRDefault="00C6336E" w:rsidP="00757E48">
      <w:pPr>
        <w:suppressAutoHyphens w:val="0"/>
        <w:snapToGrid w:val="0"/>
        <w:ind w:firstLine="425"/>
        <w:jc w:val="both"/>
        <w:rPr>
          <w:sz w:val="20"/>
          <w:szCs w:val="20"/>
          <w:lang w:eastAsia="zh-CN"/>
        </w:rPr>
      </w:pPr>
    </w:p>
    <w:p w:rsidR="00791435" w:rsidRDefault="00791435" w:rsidP="00654EBA">
      <w:pPr>
        <w:suppressAutoHyphens w:val="0"/>
        <w:snapToGrid w:val="0"/>
        <w:ind w:left="360" w:hanging="360"/>
        <w:jc w:val="both"/>
        <w:rPr>
          <w:b/>
          <w:sz w:val="20"/>
          <w:szCs w:val="20"/>
        </w:rPr>
        <w:sectPr w:rsidR="00791435" w:rsidSect="00791435">
          <w:footnotePr>
            <w:pos w:val="beneathText"/>
          </w:footnotePr>
          <w:type w:val="continuous"/>
          <w:pgSz w:w="12240" w:h="15840" w:code="1"/>
          <w:pgMar w:top="1440" w:right="1440" w:bottom="1440" w:left="1440" w:header="720" w:footer="720" w:gutter="0"/>
          <w:cols w:num="2" w:space="600"/>
          <w:docGrid w:linePitch="360"/>
        </w:sectPr>
      </w:pPr>
    </w:p>
    <w:p w:rsidR="00DE39C1" w:rsidRDefault="00DE39C1" w:rsidP="00654EBA">
      <w:pPr>
        <w:suppressAutoHyphens w:val="0"/>
        <w:snapToGrid w:val="0"/>
        <w:ind w:left="360" w:hanging="360"/>
        <w:jc w:val="both"/>
        <w:rPr>
          <w:b/>
          <w:sz w:val="20"/>
          <w:szCs w:val="20"/>
        </w:rPr>
      </w:pPr>
    </w:p>
    <w:p w:rsidR="00AA2673" w:rsidRDefault="00AA2673" w:rsidP="00DE39C1">
      <w:pPr>
        <w:suppressAutoHyphens w:val="0"/>
        <w:snapToGrid w:val="0"/>
        <w:jc w:val="center"/>
        <w:rPr>
          <w:b/>
          <w:sz w:val="20"/>
          <w:szCs w:val="20"/>
        </w:rPr>
      </w:pPr>
    </w:p>
    <w:p w:rsidR="00DE39C1" w:rsidRPr="006B0D2A" w:rsidRDefault="00DE39C1" w:rsidP="00DE39C1">
      <w:pPr>
        <w:suppressAutoHyphens w:val="0"/>
        <w:snapToGrid w:val="0"/>
        <w:jc w:val="center"/>
        <w:rPr>
          <w:b/>
          <w:sz w:val="20"/>
          <w:szCs w:val="20"/>
        </w:rPr>
      </w:pPr>
      <w:r>
        <w:rPr>
          <w:b/>
          <w:sz w:val="20"/>
          <w:szCs w:val="20"/>
        </w:rPr>
        <w:lastRenderedPageBreak/>
        <w:t>Table 3:</w:t>
      </w:r>
      <w:r w:rsidRPr="006B0D2A">
        <w:rPr>
          <w:b/>
          <w:sz w:val="20"/>
          <w:szCs w:val="20"/>
        </w:rPr>
        <w:t xml:space="preserve"> </w:t>
      </w:r>
      <w:r w:rsidR="00AA2673" w:rsidRPr="00AA2673">
        <w:rPr>
          <w:b/>
          <w:sz w:val="20"/>
          <w:szCs w:val="20"/>
        </w:rPr>
        <w:t xml:space="preserve">Physicochemical Characteristics of Soil </w:t>
      </w:r>
      <w:r w:rsidRPr="006B0D2A">
        <w:rPr>
          <w:b/>
          <w:sz w:val="20"/>
          <w:szCs w:val="20"/>
        </w:rPr>
        <w:t xml:space="preserve">in Imo River </w:t>
      </w:r>
      <w:r>
        <w:rPr>
          <w:b/>
          <w:sz w:val="20"/>
          <w:szCs w:val="20"/>
        </w:rPr>
        <w:t>Basin</w:t>
      </w:r>
      <w:r w:rsidRPr="006B0D2A">
        <w:rPr>
          <w:b/>
          <w:sz w:val="20"/>
          <w:szCs w:val="20"/>
        </w:rPr>
        <w:t xml:space="preserve"> </w:t>
      </w:r>
    </w:p>
    <w:tbl>
      <w:tblPr>
        <w:tblW w:w="5000" w:type="pct"/>
        <w:jc w:val="center"/>
        <w:tblCellMar>
          <w:left w:w="57" w:type="dxa"/>
          <w:right w:w="57" w:type="dxa"/>
        </w:tblCellMar>
        <w:tblLook w:val="04A0" w:firstRow="1" w:lastRow="0" w:firstColumn="1" w:lastColumn="0" w:noHBand="0" w:noVBand="1"/>
      </w:tblPr>
      <w:tblGrid>
        <w:gridCol w:w="3671"/>
        <w:gridCol w:w="1419"/>
        <w:gridCol w:w="1419"/>
        <w:gridCol w:w="1419"/>
        <w:gridCol w:w="1546"/>
      </w:tblGrid>
      <w:tr w:rsidR="00DE39C1" w:rsidRPr="00C6336E" w:rsidTr="00C5203E">
        <w:trPr>
          <w:jc w:val="center"/>
        </w:trPr>
        <w:tc>
          <w:tcPr>
            <w:tcW w:w="1937" w:type="pct"/>
            <w:tcBorders>
              <w:top w:val="single" w:sz="4" w:space="0" w:color="auto"/>
              <w:bottom w:val="single" w:sz="4" w:space="0" w:color="auto"/>
            </w:tcBorders>
            <w:shd w:val="clear" w:color="auto" w:fill="auto"/>
            <w:vAlign w:val="center"/>
          </w:tcPr>
          <w:p w:rsidR="00DE39C1" w:rsidRPr="00C6336E" w:rsidRDefault="00DE39C1" w:rsidP="00C5203E">
            <w:pPr>
              <w:suppressAutoHyphens w:val="0"/>
              <w:snapToGrid w:val="0"/>
              <w:jc w:val="both"/>
              <w:rPr>
                <w:b/>
                <w:sz w:val="20"/>
                <w:szCs w:val="20"/>
              </w:rPr>
            </w:pPr>
            <w:r w:rsidRPr="00C6336E">
              <w:rPr>
                <w:b/>
                <w:sz w:val="20"/>
                <w:szCs w:val="20"/>
              </w:rPr>
              <w:t>Parameters</w:t>
            </w:r>
            <w:r w:rsidRPr="00C6336E">
              <w:rPr>
                <w:b/>
                <w:sz w:val="20"/>
                <w:szCs w:val="20"/>
              </w:rPr>
              <w:tab/>
            </w:r>
          </w:p>
        </w:tc>
        <w:tc>
          <w:tcPr>
            <w:tcW w:w="749" w:type="pct"/>
            <w:tcBorders>
              <w:top w:val="single" w:sz="4" w:space="0" w:color="auto"/>
              <w:bottom w:val="single" w:sz="4" w:space="0" w:color="auto"/>
            </w:tcBorders>
            <w:shd w:val="clear" w:color="auto" w:fill="auto"/>
            <w:vAlign w:val="center"/>
          </w:tcPr>
          <w:p w:rsidR="00DE39C1" w:rsidRPr="00C6336E" w:rsidRDefault="00DE39C1" w:rsidP="00C5203E">
            <w:pPr>
              <w:suppressAutoHyphens w:val="0"/>
              <w:snapToGrid w:val="0"/>
              <w:jc w:val="both"/>
              <w:rPr>
                <w:b/>
                <w:sz w:val="20"/>
                <w:szCs w:val="20"/>
              </w:rPr>
            </w:pPr>
            <w:r w:rsidRPr="00C6336E">
              <w:rPr>
                <w:b/>
                <w:sz w:val="20"/>
                <w:szCs w:val="20"/>
              </w:rPr>
              <w:t>Station 1</w:t>
            </w:r>
          </w:p>
        </w:tc>
        <w:tc>
          <w:tcPr>
            <w:tcW w:w="749" w:type="pct"/>
            <w:tcBorders>
              <w:top w:val="single" w:sz="4" w:space="0" w:color="auto"/>
              <w:bottom w:val="single" w:sz="4" w:space="0" w:color="auto"/>
            </w:tcBorders>
            <w:shd w:val="clear" w:color="auto" w:fill="auto"/>
            <w:vAlign w:val="center"/>
          </w:tcPr>
          <w:p w:rsidR="00DE39C1" w:rsidRPr="00C6336E" w:rsidRDefault="00DE39C1" w:rsidP="00C5203E">
            <w:pPr>
              <w:suppressAutoHyphens w:val="0"/>
              <w:snapToGrid w:val="0"/>
              <w:jc w:val="both"/>
              <w:rPr>
                <w:b/>
                <w:sz w:val="20"/>
                <w:szCs w:val="20"/>
              </w:rPr>
            </w:pPr>
            <w:r w:rsidRPr="00C6336E">
              <w:rPr>
                <w:b/>
                <w:sz w:val="20"/>
                <w:szCs w:val="20"/>
              </w:rPr>
              <w:t>Station 2</w:t>
            </w:r>
          </w:p>
        </w:tc>
        <w:tc>
          <w:tcPr>
            <w:tcW w:w="749" w:type="pct"/>
            <w:tcBorders>
              <w:top w:val="single" w:sz="4" w:space="0" w:color="auto"/>
              <w:bottom w:val="single" w:sz="4" w:space="0" w:color="auto"/>
            </w:tcBorders>
            <w:shd w:val="clear" w:color="auto" w:fill="auto"/>
            <w:vAlign w:val="center"/>
          </w:tcPr>
          <w:p w:rsidR="00DE39C1" w:rsidRPr="00C6336E" w:rsidRDefault="00DE39C1" w:rsidP="00C5203E">
            <w:pPr>
              <w:suppressAutoHyphens w:val="0"/>
              <w:snapToGrid w:val="0"/>
              <w:jc w:val="both"/>
              <w:rPr>
                <w:b/>
                <w:sz w:val="20"/>
                <w:szCs w:val="20"/>
              </w:rPr>
            </w:pPr>
            <w:r w:rsidRPr="00C6336E">
              <w:rPr>
                <w:b/>
                <w:sz w:val="20"/>
                <w:szCs w:val="20"/>
              </w:rPr>
              <w:t>Station 3</w:t>
            </w:r>
          </w:p>
        </w:tc>
        <w:tc>
          <w:tcPr>
            <w:tcW w:w="816" w:type="pct"/>
            <w:tcBorders>
              <w:top w:val="single" w:sz="4" w:space="0" w:color="auto"/>
              <w:bottom w:val="single" w:sz="4" w:space="0" w:color="auto"/>
            </w:tcBorders>
            <w:shd w:val="clear" w:color="auto" w:fill="auto"/>
            <w:vAlign w:val="center"/>
          </w:tcPr>
          <w:p w:rsidR="00DE39C1" w:rsidRPr="00C6336E" w:rsidRDefault="00DE39C1" w:rsidP="00C5203E">
            <w:pPr>
              <w:suppressAutoHyphens w:val="0"/>
              <w:snapToGrid w:val="0"/>
              <w:jc w:val="both"/>
              <w:rPr>
                <w:b/>
                <w:sz w:val="20"/>
                <w:szCs w:val="20"/>
              </w:rPr>
            </w:pPr>
            <w:r w:rsidRPr="00C6336E">
              <w:rPr>
                <w:b/>
                <w:sz w:val="20"/>
                <w:szCs w:val="20"/>
              </w:rPr>
              <w:t>Station 4</w:t>
            </w:r>
          </w:p>
        </w:tc>
      </w:tr>
      <w:tr w:rsidR="00DE39C1" w:rsidRPr="00C6336E" w:rsidTr="00C5203E">
        <w:trPr>
          <w:jc w:val="center"/>
        </w:trPr>
        <w:tc>
          <w:tcPr>
            <w:tcW w:w="1937" w:type="pct"/>
            <w:tcBorders>
              <w:top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Sand</w:t>
            </w:r>
          </w:p>
        </w:tc>
        <w:tc>
          <w:tcPr>
            <w:tcW w:w="749" w:type="pct"/>
            <w:tcBorders>
              <w:top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56.20±2.3</w:t>
            </w:r>
          </w:p>
        </w:tc>
        <w:tc>
          <w:tcPr>
            <w:tcW w:w="749" w:type="pct"/>
            <w:tcBorders>
              <w:top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58.200±2.1</w:t>
            </w:r>
          </w:p>
        </w:tc>
        <w:tc>
          <w:tcPr>
            <w:tcW w:w="749" w:type="pct"/>
            <w:tcBorders>
              <w:top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79.200±2.21</w:t>
            </w:r>
          </w:p>
        </w:tc>
        <w:tc>
          <w:tcPr>
            <w:tcW w:w="816" w:type="pct"/>
            <w:tcBorders>
              <w:top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45.200±2.00</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Silt</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11.82±1.40</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13.820±0.61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8.820±1.61</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22.820±0.60</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Clay</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31.980±5.81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27.780±3.41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11.820±1.32</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31.980±10.98</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pH</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4.650±0.02</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5.200±1.07</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3.900±0.60</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5.500±0.40</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Electrical Conductivity</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3.340±0.62</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2.820±0.45</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2.430±0.12</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3.310±0.13</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Organic Matter</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12.830±2.31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12.430±1.71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14.800±2.01</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9.770±1.52</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Total Nitrogen</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0.330±0.001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0.2950±0.13</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0.370±0.07</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0.240±0.00</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Average Phosphorus</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1.995±0.01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2.165±0.61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1.660±0.40</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1.670±0.21</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Calcium</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11.000±2.0</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11.495±2.41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7.600±0.61</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8.880±0.62</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Mg</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3.620±1.14</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3.380±1.02</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2.800±0.02</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2.110±0.01</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Na</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0.490±0.01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0.345±0.08</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0.270±0.00</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0.420±0.21</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 xml:space="preserve">Potassium </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 xml:space="preserve"> 0.330±0.02</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0.460±0.01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0.300±0.01</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0.260±0.00</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Exchange Acidity</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3.100±0.41</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2.900±0.0</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2.500±0.30</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2.400±0.40</w:t>
            </w:r>
          </w:p>
        </w:tc>
      </w:tr>
      <w:tr w:rsidR="00DE39C1" w:rsidRPr="00C6336E" w:rsidTr="00C5203E">
        <w:trPr>
          <w:jc w:val="center"/>
        </w:trPr>
        <w:tc>
          <w:tcPr>
            <w:tcW w:w="1937"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Effective cation exchange capacity</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17.990±3.6</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19.130±3.4</w:t>
            </w:r>
          </w:p>
        </w:tc>
        <w:tc>
          <w:tcPr>
            <w:tcW w:w="749"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13.470±1.23</w:t>
            </w:r>
          </w:p>
        </w:tc>
        <w:tc>
          <w:tcPr>
            <w:tcW w:w="816" w:type="pct"/>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14.070±3.02</w:t>
            </w:r>
          </w:p>
        </w:tc>
      </w:tr>
      <w:tr w:rsidR="00DE39C1" w:rsidRPr="00C6336E" w:rsidTr="00C5203E">
        <w:trPr>
          <w:jc w:val="center"/>
        </w:trPr>
        <w:tc>
          <w:tcPr>
            <w:tcW w:w="1937" w:type="pct"/>
            <w:tcBorders>
              <w:bottom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Base Saturation</w:t>
            </w:r>
          </w:p>
        </w:tc>
        <w:tc>
          <w:tcPr>
            <w:tcW w:w="749" w:type="pct"/>
            <w:tcBorders>
              <w:bottom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82.730±10.4</w:t>
            </w:r>
          </w:p>
        </w:tc>
        <w:tc>
          <w:tcPr>
            <w:tcW w:w="749" w:type="pct"/>
            <w:tcBorders>
              <w:bottom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84.485±5.1</w:t>
            </w:r>
          </w:p>
        </w:tc>
        <w:tc>
          <w:tcPr>
            <w:tcW w:w="749" w:type="pct"/>
            <w:tcBorders>
              <w:bottom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81.440±5.21</w:t>
            </w:r>
          </w:p>
        </w:tc>
        <w:tc>
          <w:tcPr>
            <w:tcW w:w="816" w:type="pct"/>
            <w:tcBorders>
              <w:bottom w:val="single" w:sz="4" w:space="0" w:color="auto"/>
            </w:tcBorders>
            <w:shd w:val="clear" w:color="auto" w:fill="auto"/>
            <w:vAlign w:val="center"/>
          </w:tcPr>
          <w:p w:rsidR="00DE39C1" w:rsidRPr="00C6336E" w:rsidRDefault="00DE39C1" w:rsidP="00C5203E">
            <w:pPr>
              <w:suppressAutoHyphens w:val="0"/>
              <w:snapToGrid w:val="0"/>
              <w:jc w:val="both"/>
              <w:rPr>
                <w:sz w:val="20"/>
                <w:szCs w:val="20"/>
              </w:rPr>
            </w:pPr>
            <w:r w:rsidRPr="00C6336E">
              <w:rPr>
                <w:sz w:val="20"/>
                <w:szCs w:val="20"/>
              </w:rPr>
              <w:t>82.940±1.86</w:t>
            </w:r>
          </w:p>
        </w:tc>
      </w:tr>
    </w:tbl>
    <w:p w:rsidR="00DE39C1" w:rsidRDefault="00DE39C1" w:rsidP="00DE39C1">
      <w:pPr>
        <w:suppressAutoHyphens w:val="0"/>
        <w:snapToGrid w:val="0"/>
        <w:jc w:val="both"/>
        <w:rPr>
          <w:sz w:val="20"/>
          <w:szCs w:val="20"/>
        </w:rPr>
      </w:pPr>
      <w:r w:rsidRPr="00C6336E">
        <w:rPr>
          <w:sz w:val="20"/>
          <w:szCs w:val="20"/>
        </w:rPr>
        <w:t>S.E = Standard error</w:t>
      </w:r>
    </w:p>
    <w:p w:rsidR="00DE39C1" w:rsidRDefault="00DE39C1" w:rsidP="00654EBA">
      <w:pPr>
        <w:suppressAutoHyphens w:val="0"/>
        <w:snapToGrid w:val="0"/>
        <w:ind w:left="360" w:hanging="360"/>
        <w:jc w:val="both"/>
        <w:rPr>
          <w:b/>
          <w:sz w:val="20"/>
          <w:szCs w:val="20"/>
        </w:rPr>
        <w:sectPr w:rsidR="00DE39C1" w:rsidSect="00DE39C1">
          <w:footnotePr>
            <w:pos w:val="beneathText"/>
          </w:footnotePr>
          <w:type w:val="continuous"/>
          <w:pgSz w:w="12240" w:h="15840" w:code="1"/>
          <w:pgMar w:top="1440" w:right="1440" w:bottom="1440" w:left="1440" w:header="720" w:footer="720" w:gutter="0"/>
          <w:cols w:space="600"/>
          <w:docGrid w:linePitch="360"/>
        </w:sectPr>
      </w:pPr>
    </w:p>
    <w:p w:rsidR="00791435" w:rsidRDefault="00791435" w:rsidP="00654EBA">
      <w:pPr>
        <w:suppressAutoHyphens w:val="0"/>
        <w:snapToGrid w:val="0"/>
        <w:ind w:left="360" w:hanging="360"/>
        <w:jc w:val="both"/>
        <w:rPr>
          <w:b/>
          <w:sz w:val="20"/>
          <w:szCs w:val="20"/>
        </w:rPr>
      </w:pPr>
    </w:p>
    <w:p w:rsidR="00757E48" w:rsidRPr="00C6336E" w:rsidRDefault="002F12A7" w:rsidP="00654EBA">
      <w:pPr>
        <w:suppressAutoHyphens w:val="0"/>
        <w:snapToGrid w:val="0"/>
        <w:ind w:left="360" w:hanging="360"/>
        <w:jc w:val="both"/>
        <w:rPr>
          <w:b/>
          <w:sz w:val="20"/>
          <w:szCs w:val="20"/>
        </w:rPr>
      </w:pPr>
      <w:r w:rsidRPr="00C6336E">
        <w:rPr>
          <w:b/>
          <w:sz w:val="20"/>
          <w:szCs w:val="20"/>
        </w:rPr>
        <w:t xml:space="preserve">3.3 Geospatial Modeling and </w:t>
      </w:r>
      <w:r w:rsidR="00654EBA" w:rsidRPr="00C6336E">
        <w:rPr>
          <w:b/>
          <w:sz w:val="20"/>
          <w:szCs w:val="20"/>
        </w:rPr>
        <w:t xml:space="preserve">Relative </w:t>
      </w:r>
      <w:r w:rsidRPr="00C6336E">
        <w:rPr>
          <w:b/>
          <w:sz w:val="20"/>
          <w:szCs w:val="20"/>
        </w:rPr>
        <w:t>Dynamism of Environmental variables</w:t>
      </w:r>
      <w:r w:rsidR="00654EBA" w:rsidRPr="00C6336E">
        <w:rPr>
          <w:b/>
          <w:sz w:val="20"/>
          <w:szCs w:val="20"/>
        </w:rPr>
        <w:t>.</w:t>
      </w:r>
    </w:p>
    <w:p w:rsidR="002F12A7" w:rsidRDefault="002F12A7" w:rsidP="00194FCD">
      <w:pPr>
        <w:suppressAutoHyphens w:val="0"/>
        <w:snapToGrid w:val="0"/>
        <w:ind w:firstLine="425"/>
        <w:jc w:val="both"/>
        <w:rPr>
          <w:sz w:val="20"/>
          <w:szCs w:val="20"/>
          <w:lang w:eastAsia="zh-CN"/>
        </w:rPr>
      </w:pPr>
      <w:r w:rsidRPr="00C6336E">
        <w:rPr>
          <w:sz w:val="20"/>
          <w:szCs w:val="20"/>
        </w:rPr>
        <w:t>The use of Geographic Information Systems Software (GIS) in generating computer-based maps showed spatial variability trends for soil variables (Figures 1 – 3). The map delineated the river basin with the four sampled stations lying in between. Generally, contour linings and colour aberrations denoted intensity or weakness of simulated variables. Geospatial modelling was done for nutrients (available phosphorus, nitrogen and organic matter) and diversity indices (dominance, evenness and Shannon Weinner).</w:t>
      </w:r>
    </w:p>
    <w:p w:rsidR="00C6336E" w:rsidRPr="00C6336E" w:rsidRDefault="00C6336E" w:rsidP="00194FCD">
      <w:pPr>
        <w:suppressAutoHyphens w:val="0"/>
        <w:snapToGrid w:val="0"/>
        <w:ind w:firstLine="425"/>
        <w:jc w:val="both"/>
        <w:rPr>
          <w:sz w:val="20"/>
          <w:szCs w:val="20"/>
          <w:lang w:eastAsia="zh-CN"/>
        </w:rPr>
      </w:pPr>
    </w:p>
    <w:p w:rsidR="00757E48" w:rsidRPr="00C6336E" w:rsidRDefault="002F12A7" w:rsidP="00194FCD">
      <w:pPr>
        <w:suppressAutoHyphens w:val="0"/>
        <w:snapToGrid w:val="0"/>
        <w:jc w:val="both"/>
        <w:rPr>
          <w:b/>
          <w:sz w:val="20"/>
          <w:szCs w:val="20"/>
        </w:rPr>
      </w:pPr>
      <w:r w:rsidRPr="00C6336E">
        <w:rPr>
          <w:b/>
          <w:sz w:val="20"/>
          <w:szCs w:val="20"/>
        </w:rPr>
        <w:t>3.3.1 Geospatial Distribution of Soil Nutrients</w:t>
      </w:r>
    </w:p>
    <w:p w:rsidR="00757E48" w:rsidRPr="00C6336E" w:rsidRDefault="002F12A7" w:rsidP="00194FCD">
      <w:pPr>
        <w:suppressAutoHyphens w:val="0"/>
        <w:snapToGrid w:val="0"/>
        <w:ind w:firstLine="425"/>
        <w:jc w:val="both"/>
        <w:rPr>
          <w:sz w:val="20"/>
          <w:szCs w:val="20"/>
        </w:rPr>
      </w:pPr>
      <w:r w:rsidRPr="00C6336E">
        <w:rPr>
          <w:sz w:val="20"/>
          <w:szCs w:val="20"/>
        </w:rPr>
        <w:t>The different levels and distribution of available phosphorus in the vegetation plots within Imo River Basin is presented in Figure 1. Available phosphorus contents in the soil was lower in stations 3 and 4 while a progressive increase in the seaward direction with peak values were observed in station 2. Five classes were delineated for this parameter namely; class 1 (1.66 – 1.76), class 2 (1.77 – 1.86), class 3 (1.87 – 1.96), class 4 (1.97 – 2.06) and class 5 (2.07 – 2.17).</w:t>
      </w:r>
    </w:p>
    <w:p w:rsidR="00757E48" w:rsidRPr="00C6336E" w:rsidRDefault="002F12A7" w:rsidP="00194FCD">
      <w:pPr>
        <w:suppressAutoHyphens w:val="0"/>
        <w:snapToGrid w:val="0"/>
        <w:ind w:firstLine="425"/>
        <w:jc w:val="both"/>
        <w:rPr>
          <w:sz w:val="20"/>
          <w:szCs w:val="20"/>
        </w:rPr>
      </w:pPr>
      <w:r w:rsidRPr="00C6336E">
        <w:rPr>
          <w:sz w:val="20"/>
          <w:szCs w:val="20"/>
        </w:rPr>
        <w:t>Figure 2 shows the levels and distribution of total nitrogen in sampled plots. The percentage of total nitrogen content was very low in station 4 but it progressively increased with peak values in station 3. Five classes were highlighted for this parameter namely; class 1 (0.24 – 0.27), class 2 (0.28 – 0.29), class 3 (0.30 – 0.32), class 4 (0.33 – 0.34) and class 5 (0.35 – 0.37).</w:t>
      </w:r>
    </w:p>
    <w:p w:rsidR="002F12A7" w:rsidRDefault="002F12A7" w:rsidP="00194FCD">
      <w:pPr>
        <w:suppressAutoHyphens w:val="0"/>
        <w:snapToGrid w:val="0"/>
        <w:ind w:firstLine="425"/>
        <w:jc w:val="both"/>
        <w:rPr>
          <w:sz w:val="20"/>
          <w:szCs w:val="20"/>
          <w:lang w:eastAsia="zh-CN"/>
        </w:rPr>
      </w:pPr>
      <w:r w:rsidRPr="00C6336E">
        <w:rPr>
          <w:sz w:val="20"/>
          <w:szCs w:val="20"/>
        </w:rPr>
        <w:t xml:space="preserve">The levels and distribution of organic matter in the soil as presented in Figure 3 revealed that organic matter content was low in station 4 but it increased progressively in other stations with peak values obtained in station 3. Four classes were identified for </w:t>
      </w:r>
      <w:r w:rsidRPr="00C6336E">
        <w:rPr>
          <w:sz w:val="20"/>
          <w:szCs w:val="20"/>
        </w:rPr>
        <w:lastRenderedPageBreak/>
        <w:t xml:space="preserve">this parameter namely; class 1 (9.77 – 11.03), class 2 (11.04 – 12.29), class 3 (12.30 – 13.54) and class 4 (13.55 – 14.80). </w:t>
      </w:r>
    </w:p>
    <w:p w:rsidR="00C6336E" w:rsidRDefault="00C6336E" w:rsidP="00194FCD">
      <w:pPr>
        <w:suppressAutoHyphens w:val="0"/>
        <w:snapToGrid w:val="0"/>
        <w:ind w:firstLine="425"/>
        <w:jc w:val="both"/>
        <w:rPr>
          <w:sz w:val="20"/>
          <w:szCs w:val="20"/>
          <w:lang w:eastAsia="zh-CN"/>
        </w:rPr>
      </w:pPr>
    </w:p>
    <w:p w:rsidR="00757E48" w:rsidRDefault="002F12A7" w:rsidP="006B0D2A">
      <w:pPr>
        <w:suppressAutoHyphens w:val="0"/>
        <w:snapToGrid w:val="0"/>
        <w:jc w:val="both"/>
        <w:rPr>
          <w:b/>
          <w:sz w:val="20"/>
          <w:szCs w:val="20"/>
        </w:rPr>
      </w:pPr>
      <w:r w:rsidRPr="00C6336E">
        <w:rPr>
          <w:b/>
          <w:sz w:val="20"/>
          <w:szCs w:val="20"/>
        </w:rPr>
        <w:t>3.3.2 Geospatial Trends in Diversity Indices</w:t>
      </w:r>
    </w:p>
    <w:p w:rsidR="006B0D2A" w:rsidRPr="00C6336E" w:rsidRDefault="006B0D2A" w:rsidP="006B0D2A">
      <w:pPr>
        <w:suppressAutoHyphens w:val="0"/>
        <w:snapToGrid w:val="0"/>
        <w:ind w:firstLine="425"/>
        <w:jc w:val="both"/>
        <w:rPr>
          <w:sz w:val="20"/>
          <w:szCs w:val="20"/>
        </w:rPr>
      </w:pPr>
      <w:r w:rsidRPr="00C6336E">
        <w:rPr>
          <w:sz w:val="20"/>
          <w:szCs w:val="20"/>
        </w:rPr>
        <w:t>The level of dominance in vegetation plots is shown in Figure 4. The variability in dominance across the plots revealed five classes viz: class 1 (0.35 – 0.41), class 2 (0.42 – 0.47), class 3 (0.48 – 0.53), class 4 (0.54 – 0.58) and class 5 (0.59 – 0.64). Evenness trend showed marked variability across the vegetation plot (Fig. 5). Five classes were distinguished namely: class 1 (0.52 – 0.58), class 2 (0.59 – 0.63), class 3 (0.64 – 0.69), class 4 (0.70 – 0.75) and class 5 (0.76 – 0.80).</w:t>
      </w:r>
    </w:p>
    <w:p w:rsidR="006B0D2A" w:rsidRPr="00C6336E" w:rsidRDefault="006B0D2A" w:rsidP="006B0D2A">
      <w:pPr>
        <w:suppressAutoHyphens w:val="0"/>
        <w:snapToGrid w:val="0"/>
        <w:ind w:firstLine="425"/>
        <w:jc w:val="both"/>
        <w:rPr>
          <w:sz w:val="20"/>
          <w:szCs w:val="20"/>
          <w:lang w:eastAsia="zh-CN"/>
        </w:rPr>
      </w:pPr>
      <w:r w:rsidRPr="00C6336E">
        <w:rPr>
          <w:sz w:val="20"/>
          <w:szCs w:val="20"/>
        </w:rPr>
        <w:t>For the Shannon Weinner diversity index, variability was observed across the sampled plot. Five distinct classes were delineated namely: class 1 (0.73 – 0.82), class 2 (0.83 – 0.91), class 3 (0.92 – 0.99), class 4 (1.00 – 1.08) and class 5 (1.09 – 1.11).</w:t>
      </w:r>
    </w:p>
    <w:p w:rsidR="006B0D2A" w:rsidRPr="006B0D2A" w:rsidRDefault="006B0D2A" w:rsidP="006B0D2A">
      <w:pPr>
        <w:suppressAutoHyphens w:val="0"/>
        <w:snapToGrid w:val="0"/>
        <w:jc w:val="both"/>
        <w:rPr>
          <w:b/>
          <w:sz w:val="20"/>
          <w:szCs w:val="20"/>
        </w:rPr>
      </w:pPr>
    </w:p>
    <w:p w:rsidR="00E356B8" w:rsidRPr="00C6336E" w:rsidRDefault="00E356B8" w:rsidP="00194FCD">
      <w:pPr>
        <w:suppressAutoHyphens w:val="0"/>
        <w:snapToGrid w:val="0"/>
        <w:ind w:firstLine="425"/>
        <w:jc w:val="both"/>
        <w:rPr>
          <w:sz w:val="20"/>
          <w:szCs w:val="20"/>
          <w:lang w:eastAsia="zh-CN"/>
        </w:rPr>
      </w:pPr>
    </w:p>
    <w:p w:rsidR="002F12A7" w:rsidRPr="00C6336E" w:rsidRDefault="002F12A7" w:rsidP="00757E48">
      <w:pPr>
        <w:suppressAutoHyphens w:val="0"/>
        <w:snapToGrid w:val="0"/>
        <w:jc w:val="center"/>
        <w:rPr>
          <w:sz w:val="20"/>
          <w:szCs w:val="20"/>
        </w:rPr>
      </w:pPr>
      <w:r w:rsidRPr="00C6336E">
        <w:rPr>
          <w:noProof/>
          <w:sz w:val="20"/>
          <w:szCs w:val="20"/>
          <w:lang w:eastAsia="en-US"/>
        </w:rPr>
        <w:lastRenderedPageBreak/>
        <w:drawing>
          <wp:inline distT="0" distB="0" distL="0" distR="0">
            <wp:extent cx="2957195" cy="3543300"/>
            <wp:effectExtent l="0" t="0" r="0" b="0"/>
            <wp:docPr id="3" name="Picture 3" descr="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v"/>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7581" cy="3543763"/>
                    </a:xfrm>
                    <a:prstGeom prst="rect">
                      <a:avLst/>
                    </a:prstGeom>
                    <a:noFill/>
                    <a:ln>
                      <a:noFill/>
                    </a:ln>
                  </pic:spPr>
                </pic:pic>
              </a:graphicData>
            </a:graphic>
          </wp:inline>
        </w:drawing>
      </w:r>
    </w:p>
    <w:p w:rsidR="00C6336E" w:rsidRDefault="002F12A7" w:rsidP="006B0D2A">
      <w:pPr>
        <w:suppressAutoHyphens w:val="0"/>
        <w:snapToGrid w:val="0"/>
        <w:jc w:val="center"/>
        <w:rPr>
          <w:sz w:val="20"/>
          <w:szCs w:val="20"/>
        </w:rPr>
      </w:pPr>
      <w:r w:rsidRPr="00C6336E">
        <w:rPr>
          <w:sz w:val="20"/>
          <w:szCs w:val="20"/>
        </w:rPr>
        <w:t>Figure 1. Spatial Distribution of Available Phosphorus</w:t>
      </w:r>
    </w:p>
    <w:p w:rsidR="00471E57" w:rsidRPr="00C6336E" w:rsidRDefault="002F12A7" w:rsidP="00194FCD">
      <w:pPr>
        <w:suppressAutoHyphens w:val="0"/>
        <w:snapToGrid w:val="0"/>
        <w:jc w:val="center"/>
        <w:rPr>
          <w:sz w:val="20"/>
          <w:szCs w:val="20"/>
        </w:rPr>
      </w:pPr>
      <w:r w:rsidRPr="00C6336E">
        <w:rPr>
          <w:noProof/>
          <w:sz w:val="20"/>
          <w:szCs w:val="20"/>
          <w:lang w:eastAsia="en-US"/>
        </w:rPr>
        <w:drawing>
          <wp:inline distT="0" distB="0" distL="0" distR="0">
            <wp:extent cx="2956660" cy="3705225"/>
            <wp:effectExtent l="0" t="0" r="0" b="0"/>
            <wp:docPr id="4" name="Picture 4" descr="Total Nit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tal Nitro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7729" cy="3719097"/>
                    </a:xfrm>
                    <a:prstGeom prst="rect">
                      <a:avLst/>
                    </a:prstGeom>
                    <a:noFill/>
                    <a:ln>
                      <a:noFill/>
                    </a:ln>
                  </pic:spPr>
                </pic:pic>
              </a:graphicData>
            </a:graphic>
          </wp:inline>
        </w:drawing>
      </w:r>
    </w:p>
    <w:p w:rsidR="00850F84" w:rsidRDefault="00850F84" w:rsidP="00757E48">
      <w:pPr>
        <w:suppressAutoHyphens w:val="0"/>
        <w:snapToGrid w:val="0"/>
        <w:jc w:val="center"/>
        <w:rPr>
          <w:sz w:val="20"/>
          <w:szCs w:val="20"/>
        </w:rPr>
      </w:pPr>
      <w:r w:rsidRPr="00C6336E">
        <w:rPr>
          <w:sz w:val="20"/>
          <w:szCs w:val="20"/>
        </w:rPr>
        <w:t>Figure 2. Spatial Distribution of Total Nitrogen</w:t>
      </w:r>
    </w:p>
    <w:p w:rsidR="006B0D2A" w:rsidRPr="00C6336E" w:rsidRDefault="006B0D2A" w:rsidP="00757E48">
      <w:pPr>
        <w:suppressAutoHyphens w:val="0"/>
        <w:snapToGrid w:val="0"/>
        <w:jc w:val="center"/>
        <w:rPr>
          <w:sz w:val="20"/>
          <w:szCs w:val="20"/>
        </w:rPr>
      </w:pPr>
    </w:p>
    <w:p w:rsidR="00850F84" w:rsidRPr="00C6336E" w:rsidRDefault="00850F84" w:rsidP="00194FCD">
      <w:pPr>
        <w:suppressAutoHyphens w:val="0"/>
        <w:snapToGrid w:val="0"/>
        <w:jc w:val="center"/>
        <w:rPr>
          <w:b/>
          <w:sz w:val="20"/>
          <w:szCs w:val="20"/>
        </w:rPr>
      </w:pPr>
      <w:r w:rsidRPr="00C6336E">
        <w:rPr>
          <w:noProof/>
          <w:sz w:val="20"/>
          <w:szCs w:val="20"/>
          <w:lang w:eastAsia="en-US"/>
        </w:rPr>
        <w:lastRenderedPageBreak/>
        <w:drawing>
          <wp:inline distT="0" distB="0" distL="0" distR="0">
            <wp:extent cx="2778760" cy="3543300"/>
            <wp:effectExtent l="0" t="0" r="0" b="0"/>
            <wp:docPr id="5" name="Picture 5" descr="Organic Mat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rganic Matter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3546" cy="3549403"/>
                    </a:xfrm>
                    <a:prstGeom prst="rect">
                      <a:avLst/>
                    </a:prstGeom>
                    <a:noFill/>
                    <a:ln>
                      <a:noFill/>
                    </a:ln>
                  </pic:spPr>
                </pic:pic>
              </a:graphicData>
            </a:graphic>
          </wp:inline>
        </w:drawing>
      </w:r>
    </w:p>
    <w:p w:rsidR="00850F84" w:rsidRPr="00C6336E" w:rsidRDefault="00850F84" w:rsidP="00194FCD">
      <w:pPr>
        <w:suppressAutoHyphens w:val="0"/>
        <w:snapToGrid w:val="0"/>
        <w:ind w:firstLine="425"/>
        <w:jc w:val="both"/>
        <w:rPr>
          <w:b/>
          <w:sz w:val="20"/>
          <w:szCs w:val="20"/>
        </w:rPr>
      </w:pPr>
      <w:r w:rsidRPr="00C6336E">
        <w:rPr>
          <w:rFonts w:eastAsia="Calibri"/>
          <w:sz w:val="20"/>
          <w:szCs w:val="20"/>
          <w:lang w:eastAsia="en-US"/>
        </w:rPr>
        <w:t>Figure 3. Spatial Distribution of Organic Carbon</w:t>
      </w:r>
    </w:p>
    <w:p w:rsidR="00850F84" w:rsidRPr="00C6336E" w:rsidRDefault="00850F84" w:rsidP="00194FCD">
      <w:pPr>
        <w:suppressAutoHyphens w:val="0"/>
        <w:snapToGrid w:val="0"/>
        <w:jc w:val="center"/>
        <w:rPr>
          <w:b/>
          <w:sz w:val="20"/>
          <w:szCs w:val="20"/>
        </w:rPr>
      </w:pPr>
      <w:r w:rsidRPr="00C6336E">
        <w:rPr>
          <w:noProof/>
          <w:sz w:val="20"/>
          <w:szCs w:val="20"/>
          <w:lang w:eastAsia="en-US"/>
        </w:rPr>
        <w:drawing>
          <wp:inline distT="0" distB="0" distL="0" distR="0">
            <wp:extent cx="2876550" cy="3705225"/>
            <wp:effectExtent l="0" t="0" r="0" b="0"/>
            <wp:docPr id="6" name="Picture 6" descr="Dom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mina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6099" cy="3769048"/>
                    </a:xfrm>
                    <a:prstGeom prst="rect">
                      <a:avLst/>
                    </a:prstGeom>
                    <a:noFill/>
                    <a:ln>
                      <a:noFill/>
                    </a:ln>
                  </pic:spPr>
                </pic:pic>
              </a:graphicData>
            </a:graphic>
          </wp:inline>
        </w:drawing>
      </w:r>
    </w:p>
    <w:p w:rsidR="00850F84" w:rsidRPr="00C6336E" w:rsidRDefault="00850F84" w:rsidP="00757E48">
      <w:pPr>
        <w:suppressAutoHyphens w:val="0"/>
        <w:snapToGrid w:val="0"/>
        <w:jc w:val="center"/>
        <w:rPr>
          <w:sz w:val="20"/>
          <w:szCs w:val="20"/>
        </w:rPr>
      </w:pPr>
      <w:r w:rsidRPr="00C6336E">
        <w:rPr>
          <w:sz w:val="20"/>
          <w:szCs w:val="20"/>
        </w:rPr>
        <w:t>Figure 4. Spatial Rate of Dominance in Species</w:t>
      </w:r>
    </w:p>
    <w:p w:rsidR="00850F84" w:rsidRDefault="00850F84" w:rsidP="00194FCD">
      <w:pPr>
        <w:suppressAutoHyphens w:val="0"/>
        <w:snapToGrid w:val="0"/>
        <w:ind w:firstLine="425"/>
        <w:jc w:val="both"/>
        <w:rPr>
          <w:sz w:val="20"/>
          <w:szCs w:val="20"/>
          <w:lang w:eastAsia="zh-CN"/>
        </w:rPr>
      </w:pPr>
    </w:p>
    <w:p w:rsidR="00850F84" w:rsidRPr="00C6336E" w:rsidRDefault="00850F84" w:rsidP="00194FCD">
      <w:pPr>
        <w:suppressAutoHyphens w:val="0"/>
        <w:snapToGrid w:val="0"/>
        <w:jc w:val="center"/>
        <w:rPr>
          <w:sz w:val="20"/>
          <w:szCs w:val="20"/>
        </w:rPr>
      </w:pPr>
      <w:r w:rsidRPr="00C6336E">
        <w:rPr>
          <w:noProof/>
          <w:sz w:val="20"/>
          <w:szCs w:val="20"/>
          <w:lang w:eastAsia="en-US"/>
        </w:rPr>
        <w:lastRenderedPageBreak/>
        <w:drawing>
          <wp:inline distT="0" distB="0" distL="0" distR="0">
            <wp:extent cx="2924175" cy="3190875"/>
            <wp:effectExtent l="0" t="0" r="0" b="0"/>
            <wp:docPr id="7" name="Picture 7" descr="Evenness 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venness I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833" cy="3191593"/>
                    </a:xfrm>
                    <a:prstGeom prst="rect">
                      <a:avLst/>
                    </a:prstGeom>
                    <a:noFill/>
                    <a:ln>
                      <a:noFill/>
                    </a:ln>
                  </pic:spPr>
                </pic:pic>
              </a:graphicData>
            </a:graphic>
          </wp:inline>
        </w:drawing>
      </w:r>
    </w:p>
    <w:p w:rsidR="00850F84" w:rsidRPr="00C6336E" w:rsidRDefault="00850F84" w:rsidP="00194FCD">
      <w:pPr>
        <w:suppressAutoHyphens w:val="0"/>
        <w:snapToGrid w:val="0"/>
        <w:ind w:firstLine="425"/>
        <w:jc w:val="both"/>
        <w:rPr>
          <w:sz w:val="20"/>
          <w:szCs w:val="20"/>
        </w:rPr>
      </w:pPr>
      <w:r w:rsidRPr="00C6336E">
        <w:rPr>
          <w:sz w:val="20"/>
          <w:szCs w:val="20"/>
        </w:rPr>
        <w:t>Figure 5. Spatial rate of Evenness in Species</w:t>
      </w:r>
    </w:p>
    <w:p w:rsidR="00850F84" w:rsidRDefault="00850F84" w:rsidP="00194FCD">
      <w:pPr>
        <w:suppressAutoHyphens w:val="0"/>
        <w:snapToGrid w:val="0"/>
        <w:jc w:val="both"/>
        <w:rPr>
          <w:b/>
          <w:sz w:val="20"/>
          <w:szCs w:val="20"/>
          <w:lang w:eastAsia="zh-CN"/>
        </w:rPr>
      </w:pPr>
    </w:p>
    <w:p w:rsidR="00C6336E" w:rsidRPr="00C6336E" w:rsidRDefault="00C6336E" w:rsidP="00194FCD">
      <w:pPr>
        <w:suppressAutoHyphens w:val="0"/>
        <w:snapToGrid w:val="0"/>
        <w:jc w:val="both"/>
        <w:rPr>
          <w:b/>
          <w:sz w:val="20"/>
          <w:szCs w:val="20"/>
          <w:lang w:eastAsia="zh-CN"/>
        </w:rPr>
      </w:pPr>
    </w:p>
    <w:p w:rsidR="00EE29D7" w:rsidRPr="00C6336E" w:rsidRDefault="00850F84" w:rsidP="00194FCD">
      <w:pPr>
        <w:suppressAutoHyphens w:val="0"/>
        <w:snapToGrid w:val="0"/>
        <w:jc w:val="center"/>
        <w:rPr>
          <w:sz w:val="20"/>
          <w:szCs w:val="20"/>
        </w:rPr>
      </w:pPr>
      <w:r w:rsidRPr="00C6336E">
        <w:rPr>
          <w:noProof/>
          <w:sz w:val="20"/>
          <w:szCs w:val="20"/>
          <w:lang w:eastAsia="en-US"/>
        </w:rPr>
        <w:drawing>
          <wp:inline distT="0" distB="0" distL="0" distR="0">
            <wp:extent cx="2903076" cy="3324225"/>
            <wp:effectExtent l="0" t="0" r="0" b="0"/>
            <wp:docPr id="8" name="Picture 8" descr="Shannon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hannon Diversit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5578" cy="3349991"/>
                    </a:xfrm>
                    <a:prstGeom prst="rect">
                      <a:avLst/>
                    </a:prstGeom>
                    <a:noFill/>
                    <a:ln>
                      <a:noFill/>
                    </a:ln>
                  </pic:spPr>
                </pic:pic>
              </a:graphicData>
            </a:graphic>
          </wp:inline>
        </w:drawing>
      </w:r>
    </w:p>
    <w:p w:rsidR="00EE29D7" w:rsidRPr="00C6336E" w:rsidRDefault="00EE29D7" w:rsidP="00194FCD">
      <w:pPr>
        <w:suppressAutoHyphens w:val="0"/>
        <w:snapToGrid w:val="0"/>
        <w:ind w:firstLine="425"/>
        <w:jc w:val="both"/>
        <w:rPr>
          <w:sz w:val="20"/>
          <w:szCs w:val="20"/>
        </w:rPr>
      </w:pPr>
      <w:r w:rsidRPr="00C6336E">
        <w:rPr>
          <w:sz w:val="20"/>
          <w:szCs w:val="20"/>
        </w:rPr>
        <w:t>Figure 6. Shannon Wienner index of diversity</w:t>
      </w:r>
    </w:p>
    <w:p w:rsidR="00654EBA" w:rsidRDefault="00654EBA" w:rsidP="00194FCD">
      <w:pPr>
        <w:suppressAutoHyphens w:val="0"/>
        <w:snapToGrid w:val="0"/>
        <w:jc w:val="both"/>
        <w:rPr>
          <w:b/>
          <w:sz w:val="20"/>
          <w:szCs w:val="20"/>
        </w:rPr>
      </w:pPr>
    </w:p>
    <w:p w:rsidR="00757E48" w:rsidRPr="00C6336E" w:rsidRDefault="00EE29D7" w:rsidP="00194FCD">
      <w:pPr>
        <w:suppressAutoHyphens w:val="0"/>
        <w:snapToGrid w:val="0"/>
        <w:jc w:val="both"/>
        <w:rPr>
          <w:b/>
          <w:sz w:val="20"/>
          <w:szCs w:val="20"/>
        </w:rPr>
      </w:pPr>
      <w:r w:rsidRPr="00C6336E">
        <w:rPr>
          <w:b/>
          <w:sz w:val="20"/>
          <w:szCs w:val="20"/>
        </w:rPr>
        <w:t>4. Discussion</w:t>
      </w:r>
    </w:p>
    <w:p w:rsidR="00757E48" w:rsidRPr="00C6336E" w:rsidRDefault="00EE29D7" w:rsidP="00194FCD">
      <w:pPr>
        <w:suppressAutoHyphens w:val="0"/>
        <w:snapToGrid w:val="0"/>
        <w:ind w:firstLine="425"/>
        <w:jc w:val="both"/>
        <w:rPr>
          <w:sz w:val="20"/>
          <w:szCs w:val="20"/>
        </w:rPr>
      </w:pPr>
      <w:r w:rsidRPr="00C6336E">
        <w:rPr>
          <w:sz w:val="20"/>
          <w:szCs w:val="20"/>
        </w:rPr>
        <w:t xml:space="preserve">There is ample evidence from this study that the vegetation of Imo River Basin is part of the leftover indigenous mangrove swamp forest in Akwa Ibom State. This is so because the principal members of its physiognomy do not differ from those reported by </w:t>
      </w:r>
      <w:r w:rsidRPr="00C6336E">
        <w:rPr>
          <w:sz w:val="20"/>
          <w:szCs w:val="20"/>
        </w:rPr>
        <w:lastRenderedPageBreak/>
        <w:t xml:space="preserve">Ukpong (1997) for other mangrove swamps. However, the species composition in this study varies when compared with the flora compendium reported by Ubom </w:t>
      </w:r>
      <w:r w:rsidRPr="00C6336E">
        <w:rPr>
          <w:i/>
          <w:sz w:val="20"/>
          <w:szCs w:val="20"/>
        </w:rPr>
        <w:t>et al</w:t>
      </w:r>
      <w:r w:rsidRPr="00C6336E">
        <w:rPr>
          <w:sz w:val="20"/>
          <w:szCs w:val="20"/>
        </w:rPr>
        <w:t>. (2012). This gap is probably because the latter researchers enlisted species present in fresh water swamp forest. In all, it can be construed that the terrain is bestowed with diagnostic imprints of autochthonous flora. Also, variations in the floristic attributes were evidenced in this study. Disparities in values of density, height, basal area and crown cover are not unrelated with age differences and (or) growth behaviour of individual species.</w:t>
      </w:r>
      <w:r w:rsidR="00A13736" w:rsidRPr="00C6336E">
        <w:rPr>
          <w:sz w:val="20"/>
          <w:szCs w:val="20"/>
        </w:rPr>
        <w:t xml:space="preserve"> </w:t>
      </w:r>
      <w:r w:rsidRPr="00C6336E">
        <w:rPr>
          <w:sz w:val="20"/>
          <w:szCs w:val="20"/>
        </w:rPr>
        <w:t>This differences might also be an indication of the varying intensities of anthropogenic exploitation, natural disturbances or reproductive efficiencies of individual species (Ita, 2018). The density value</w:t>
      </w:r>
      <w:r w:rsidR="002B1907" w:rsidRPr="00C6336E">
        <w:rPr>
          <w:sz w:val="20"/>
          <w:szCs w:val="20"/>
        </w:rPr>
        <w:t>s found in this research create</w:t>
      </w:r>
      <w:r w:rsidRPr="00C6336E">
        <w:rPr>
          <w:sz w:val="20"/>
          <w:szCs w:val="20"/>
        </w:rPr>
        <w:t xml:space="preserve"> a conception of an interspecific competition in this ecosystem. For instance, a close range in density values of 50 – 75 stems/ha was observed for </w:t>
      </w:r>
      <w:r w:rsidRPr="00C6336E">
        <w:rPr>
          <w:i/>
          <w:sz w:val="20"/>
          <w:szCs w:val="20"/>
        </w:rPr>
        <w:t>Terminalia superba</w:t>
      </w:r>
      <w:r w:rsidRPr="00C6336E">
        <w:rPr>
          <w:sz w:val="20"/>
          <w:szCs w:val="20"/>
        </w:rPr>
        <w:t>,</w:t>
      </w:r>
      <w:r w:rsidRPr="00C6336E">
        <w:rPr>
          <w:i/>
          <w:sz w:val="20"/>
          <w:szCs w:val="20"/>
        </w:rPr>
        <w:t xml:space="preserve"> Rhizophora mangle</w:t>
      </w:r>
      <w:r w:rsidRPr="00C6336E">
        <w:rPr>
          <w:sz w:val="20"/>
          <w:szCs w:val="20"/>
        </w:rPr>
        <w:t xml:space="preserve"> and </w:t>
      </w:r>
      <w:r w:rsidRPr="00C6336E">
        <w:rPr>
          <w:i/>
          <w:sz w:val="20"/>
          <w:szCs w:val="20"/>
        </w:rPr>
        <w:t>Pandanus candelabrum.</w:t>
      </w:r>
      <w:r w:rsidR="00A13736" w:rsidRPr="00C6336E">
        <w:rPr>
          <w:i/>
          <w:sz w:val="20"/>
          <w:szCs w:val="20"/>
        </w:rPr>
        <w:t xml:space="preserve"> </w:t>
      </w:r>
      <w:r w:rsidRPr="00C6336E">
        <w:rPr>
          <w:sz w:val="20"/>
          <w:szCs w:val="20"/>
        </w:rPr>
        <w:t xml:space="preserve">Massive proliferations and occurrences of </w:t>
      </w:r>
      <w:r w:rsidRPr="00C6336E">
        <w:rPr>
          <w:i/>
          <w:sz w:val="20"/>
          <w:szCs w:val="20"/>
        </w:rPr>
        <w:t xml:space="preserve">Nypa fruticans </w:t>
      </w:r>
      <w:r w:rsidRPr="00C6336E">
        <w:rPr>
          <w:sz w:val="20"/>
          <w:szCs w:val="20"/>
        </w:rPr>
        <w:t xml:space="preserve">in large colonies may accentuate its intrinsic ability to adapt to prevailing ecological conditions, wide ecological amplitude and microsite variability in this wetland. This may confirm the reports of Ukpong (2002) that </w:t>
      </w:r>
      <w:r w:rsidRPr="00C6336E">
        <w:rPr>
          <w:i/>
          <w:sz w:val="20"/>
          <w:szCs w:val="20"/>
        </w:rPr>
        <w:t>Nypa</w:t>
      </w:r>
      <w:r w:rsidRPr="00C6336E">
        <w:rPr>
          <w:sz w:val="20"/>
          <w:szCs w:val="20"/>
        </w:rPr>
        <w:t xml:space="preserve"> is well developed in density and structure regardless of whether the swamps consist of the open or close types. The massive establishment of </w:t>
      </w:r>
      <w:r w:rsidRPr="00C6336E">
        <w:rPr>
          <w:i/>
          <w:sz w:val="20"/>
          <w:szCs w:val="20"/>
        </w:rPr>
        <w:t>Nypa fruticans</w:t>
      </w:r>
      <w:r w:rsidRPr="00C6336E">
        <w:rPr>
          <w:sz w:val="20"/>
          <w:szCs w:val="20"/>
        </w:rPr>
        <w:t xml:space="preserve"> may also be allied to its exotic nature and high invasiveness in many creeks, beaches and estuaries in the Niger Delta region, displacing the autochthonous mangrove species. The low frequency and density associated with species such as </w:t>
      </w:r>
      <w:r w:rsidRPr="00C6336E">
        <w:rPr>
          <w:i/>
          <w:sz w:val="20"/>
          <w:szCs w:val="20"/>
        </w:rPr>
        <w:t>Rhizophora mangle</w:t>
      </w:r>
      <w:r w:rsidRPr="00C6336E">
        <w:rPr>
          <w:sz w:val="20"/>
          <w:szCs w:val="20"/>
        </w:rPr>
        <w:t xml:space="preserve"> is linked to the sequence of human activities, particularly harvesting of the tree for fuelwood or construction.</w:t>
      </w:r>
    </w:p>
    <w:p w:rsidR="00757E48" w:rsidRPr="00C6336E" w:rsidRDefault="00EE29D7" w:rsidP="00194FCD">
      <w:pPr>
        <w:suppressAutoHyphens w:val="0"/>
        <w:snapToGrid w:val="0"/>
        <w:ind w:firstLine="425"/>
        <w:jc w:val="both"/>
        <w:rPr>
          <w:sz w:val="20"/>
          <w:szCs w:val="20"/>
        </w:rPr>
      </w:pPr>
      <w:r w:rsidRPr="00C6336E">
        <w:rPr>
          <w:sz w:val="20"/>
          <w:szCs w:val="20"/>
        </w:rPr>
        <w:t xml:space="preserve"> According to Rozpondek </w:t>
      </w:r>
      <w:r w:rsidRPr="00C6336E">
        <w:rPr>
          <w:i/>
          <w:sz w:val="20"/>
          <w:szCs w:val="20"/>
        </w:rPr>
        <w:t>et al</w:t>
      </w:r>
      <w:r w:rsidRPr="00C6336E">
        <w:rPr>
          <w:sz w:val="20"/>
          <w:szCs w:val="20"/>
        </w:rPr>
        <w:t xml:space="preserve">. (2016) Geographic Information Systems (GIS) and geo-statistical modelling serve as tools in site evaluation and environmental monitoring. They can be applied in many areas of research particularly where spatial variability and distribution are substantial. In this, the likelihoods include the credible assessment of the accuracy of the models, accompanying the process of prediction and the production of spatial variability in the form of maps (Djeneba, 2015). This is evidenced in this study as it gave a first-hand information and visualization of the various impacts of human and natural disturbances such as deforestation, selective exploitation, bush burning and tidal inundation on the cycling and retention of nutrients in the wetland. The spatial distribution of soil variables is advantageous as it offers the possibility of site-specific conservation and nutrient management strategies in ecosystems (Djeneba, 2015). For instance, eclectic patches of </w:t>
      </w:r>
      <w:r w:rsidRPr="00C6336E">
        <w:rPr>
          <w:sz w:val="20"/>
          <w:szCs w:val="20"/>
        </w:rPr>
        <w:lastRenderedPageBreak/>
        <w:t xml:space="preserve">available phosphorus in the stations most proximal to the sea is not unprecedented but rather confirms the sea as being a natural source of phosphorus recycling. The varnishing shades obtained spatially for phosphorus distribution in other stations (1, 3 and 4) may be an attribute of dilution effects. The high nutrient levels (total nitrogen and organic carbon) recorded in station 3 may highlight the fact the environmental conditions favoured a high rate of leaf fall, litter putrefaction and nutrient retention in this site. This had been confirmed by Brady and Weil (1996) and Ita </w:t>
      </w:r>
      <w:r w:rsidRPr="00C6336E">
        <w:rPr>
          <w:i/>
          <w:sz w:val="20"/>
          <w:szCs w:val="20"/>
        </w:rPr>
        <w:t>et al</w:t>
      </w:r>
      <w:r w:rsidRPr="00C6336E">
        <w:rPr>
          <w:sz w:val="20"/>
          <w:szCs w:val="20"/>
        </w:rPr>
        <w:t xml:space="preserve">. (2017). These researchers in their study reported that litter upon decomposition, is a major source of nutrients in the soil. This may further imply that this station is nutrient-rich. </w:t>
      </w:r>
    </w:p>
    <w:p w:rsidR="00EE29D7" w:rsidRPr="00C6336E" w:rsidRDefault="00EE29D7" w:rsidP="00194FCD">
      <w:pPr>
        <w:suppressAutoHyphens w:val="0"/>
        <w:snapToGrid w:val="0"/>
        <w:ind w:firstLine="425"/>
        <w:jc w:val="both"/>
        <w:rPr>
          <w:sz w:val="20"/>
          <w:szCs w:val="20"/>
        </w:rPr>
      </w:pPr>
      <w:r w:rsidRPr="00C6336E">
        <w:rPr>
          <w:sz w:val="20"/>
          <w:szCs w:val="20"/>
        </w:rPr>
        <w:t xml:space="preserve">Notably, from the options of the GIS imprints, station 2 is a focal point in this study due to the fact that it recorded the least diversity, least evenness and highest dominance values. This may be attributed to the fact that this station is close to the sea which is characterized by high levels of salinity and strong tidal regimes. These two factors (salinity and tidal regimes) combine to form a critical micro habitat within the ecosystem and was maximized and dominated only by </w:t>
      </w:r>
      <w:r w:rsidRPr="00C6336E">
        <w:rPr>
          <w:i/>
          <w:sz w:val="20"/>
          <w:szCs w:val="20"/>
        </w:rPr>
        <w:t>Nypa</w:t>
      </w:r>
      <w:r w:rsidRPr="00C6336E">
        <w:rPr>
          <w:sz w:val="20"/>
          <w:szCs w:val="20"/>
        </w:rPr>
        <w:t xml:space="preserve"> </w:t>
      </w:r>
      <w:r w:rsidRPr="00C6336E">
        <w:rPr>
          <w:i/>
          <w:sz w:val="20"/>
          <w:szCs w:val="20"/>
        </w:rPr>
        <w:t>fruticans</w:t>
      </w:r>
      <w:r w:rsidRPr="00C6336E">
        <w:rPr>
          <w:sz w:val="20"/>
          <w:szCs w:val="20"/>
        </w:rPr>
        <w:t xml:space="preserve">. This may further connote that this station is primarily restricted to species with high degree of tolerance to salinity and tidal fluctuations. The occurrence of only </w:t>
      </w:r>
      <w:r w:rsidRPr="00C6336E">
        <w:rPr>
          <w:i/>
          <w:sz w:val="20"/>
          <w:szCs w:val="20"/>
        </w:rPr>
        <w:t>Nypa fruticans</w:t>
      </w:r>
      <w:r w:rsidRPr="00C6336E">
        <w:rPr>
          <w:sz w:val="20"/>
          <w:szCs w:val="20"/>
        </w:rPr>
        <w:t xml:space="preserve"> in station 2 (close to the sea) in this study agrees with the ecological gradient study performed on this species by Ukpong (1991). In his study, </w:t>
      </w:r>
      <w:r w:rsidRPr="00C6336E">
        <w:rPr>
          <w:i/>
          <w:sz w:val="20"/>
          <w:szCs w:val="20"/>
        </w:rPr>
        <w:t>Nypa fruticans</w:t>
      </w:r>
      <w:r w:rsidRPr="00C6336E">
        <w:rPr>
          <w:sz w:val="20"/>
          <w:szCs w:val="20"/>
        </w:rPr>
        <w:t xml:space="preserve"> belonged to ecological group 4 since this species dominated habitats where salt concentration was plentiful in supply.</w:t>
      </w:r>
      <w:r w:rsidR="00A13736" w:rsidRPr="00C6336E">
        <w:rPr>
          <w:sz w:val="20"/>
          <w:szCs w:val="20"/>
        </w:rPr>
        <w:t xml:space="preserve"> </w:t>
      </w:r>
      <w:r w:rsidRPr="00C6336E">
        <w:rPr>
          <w:sz w:val="20"/>
          <w:szCs w:val="20"/>
        </w:rPr>
        <w:t xml:space="preserve">Its lone occurrence </w:t>
      </w:r>
      <w:r w:rsidRPr="00C6336E">
        <w:rPr>
          <w:i/>
          <w:sz w:val="20"/>
          <w:szCs w:val="20"/>
        </w:rPr>
        <w:t>(Nypa fruticans)</w:t>
      </w:r>
      <w:r w:rsidRPr="00C6336E">
        <w:rPr>
          <w:sz w:val="20"/>
          <w:szCs w:val="20"/>
        </w:rPr>
        <w:t xml:space="preserve"> in this station (</w:t>
      </w:r>
      <w:r w:rsidRPr="00C6336E">
        <w:rPr>
          <w:i/>
          <w:sz w:val="20"/>
          <w:szCs w:val="20"/>
        </w:rPr>
        <w:t>Nypa fruticans</w:t>
      </w:r>
      <w:r w:rsidRPr="00C6336E">
        <w:rPr>
          <w:sz w:val="20"/>
          <w:szCs w:val="20"/>
        </w:rPr>
        <w:t xml:space="preserve">) may further authenticate the high dominance value of this station. Furthermore, the high Shannon index and evenness values obtained in station 4 should not be overlooked as this station reflects the peak of flora diversity in the wetland. This was clearly seen in this study as this station was characterized by mixed flora of obligate and facultative mangrove species. The high diversity and evenness values in station 4 may be allied to suitable pedological and hydrological conditions and less human interference (selective exploitation and logging). Also, station 4 being the crux of plant diversity in this wetland should be monitored periodically and protected against human encroachment and perturbations. </w:t>
      </w:r>
    </w:p>
    <w:p w:rsidR="00373D8D" w:rsidRPr="00C6336E" w:rsidRDefault="00373D8D" w:rsidP="00194FCD">
      <w:pPr>
        <w:suppressAutoHyphens w:val="0"/>
        <w:snapToGrid w:val="0"/>
        <w:jc w:val="both"/>
        <w:rPr>
          <w:b/>
          <w:sz w:val="20"/>
          <w:szCs w:val="20"/>
        </w:rPr>
      </w:pPr>
    </w:p>
    <w:p w:rsidR="00757E48" w:rsidRPr="00C6336E" w:rsidRDefault="00AA2673" w:rsidP="00194FCD">
      <w:pPr>
        <w:suppressAutoHyphens w:val="0"/>
        <w:snapToGrid w:val="0"/>
        <w:jc w:val="both"/>
        <w:rPr>
          <w:b/>
          <w:sz w:val="20"/>
          <w:szCs w:val="20"/>
        </w:rPr>
      </w:pPr>
      <w:r>
        <w:rPr>
          <w:b/>
          <w:sz w:val="20"/>
          <w:szCs w:val="20"/>
        </w:rPr>
        <w:t xml:space="preserve">5.0 </w:t>
      </w:r>
      <w:r w:rsidR="00EE29D7" w:rsidRPr="00C6336E">
        <w:rPr>
          <w:b/>
          <w:sz w:val="20"/>
          <w:szCs w:val="20"/>
        </w:rPr>
        <w:t>Conclusion and Recommendations</w:t>
      </w:r>
    </w:p>
    <w:p w:rsidR="00E52EA0" w:rsidRPr="00C6336E" w:rsidRDefault="00EE29D7" w:rsidP="00194FCD">
      <w:pPr>
        <w:suppressAutoHyphens w:val="0"/>
        <w:snapToGrid w:val="0"/>
        <w:ind w:firstLine="425"/>
        <w:jc w:val="both"/>
        <w:rPr>
          <w:sz w:val="20"/>
          <w:szCs w:val="20"/>
        </w:rPr>
      </w:pPr>
      <w:r w:rsidRPr="00C6336E">
        <w:rPr>
          <w:sz w:val="20"/>
          <w:szCs w:val="20"/>
        </w:rPr>
        <w:t xml:space="preserve">Forested wetland soils are complex systems resulting from various intricate interactions between abiotic (tides and physiography) and biotic (activities of plants, humans and invertebrates) factors, that keep changing even within short distances. Environmental </w:t>
      </w:r>
      <w:r w:rsidRPr="00C6336E">
        <w:rPr>
          <w:sz w:val="20"/>
          <w:szCs w:val="20"/>
        </w:rPr>
        <w:lastRenderedPageBreak/>
        <w:t>attributes such as salinity, tidal fluctuations and soil nutrients are key drivers in plant species occurrences and distribution in wetlands. The use of geo-referenced data spatially to model the soil nutrients, vegetation richness and distribution in this study gave a clear pictorial representation of the current status of this wetland and presents ecologists with informed choices on effective management and protection of this wetland.</w:t>
      </w:r>
      <w:r w:rsidR="00A13736" w:rsidRPr="00C6336E">
        <w:rPr>
          <w:sz w:val="20"/>
          <w:szCs w:val="20"/>
        </w:rPr>
        <w:t xml:space="preserve"> </w:t>
      </w:r>
      <w:r w:rsidRPr="00C6336E">
        <w:rPr>
          <w:sz w:val="20"/>
          <w:szCs w:val="20"/>
        </w:rPr>
        <w:t>In a résumé, spatial modelling and mapping using GIS-based indices are important tools in ecology and conservation biology and should be encouraged as these can help in quantifying information about biota diversity and their various habitats.</w:t>
      </w:r>
    </w:p>
    <w:p w:rsidR="00793A80" w:rsidRPr="00C6336E" w:rsidRDefault="00E356B8" w:rsidP="00194FCD">
      <w:pPr>
        <w:suppressAutoHyphens w:val="0"/>
        <w:snapToGrid w:val="0"/>
        <w:ind w:firstLine="425"/>
        <w:jc w:val="both"/>
        <w:rPr>
          <w:sz w:val="20"/>
          <w:szCs w:val="20"/>
          <w:lang w:eastAsia="zh-CN"/>
        </w:rPr>
      </w:pPr>
      <w:r w:rsidRPr="00C6336E">
        <w:rPr>
          <w:rFonts w:hint="eastAsia"/>
          <w:sz w:val="20"/>
          <w:szCs w:val="20"/>
          <w:lang w:eastAsia="zh-CN"/>
        </w:rPr>
        <w:t xml:space="preserve"> </w:t>
      </w:r>
    </w:p>
    <w:p w:rsidR="00793A80" w:rsidRPr="00C6336E" w:rsidRDefault="00793A80" w:rsidP="00757E48">
      <w:pPr>
        <w:suppressAutoHyphens w:val="0"/>
        <w:snapToGrid w:val="0"/>
        <w:jc w:val="both"/>
        <w:rPr>
          <w:b/>
          <w:sz w:val="20"/>
          <w:szCs w:val="20"/>
        </w:rPr>
      </w:pPr>
      <w:r w:rsidRPr="00C6336E">
        <w:rPr>
          <w:b/>
          <w:sz w:val="20"/>
          <w:szCs w:val="20"/>
        </w:rPr>
        <w:t>Corresponding Author:</w:t>
      </w:r>
    </w:p>
    <w:p w:rsidR="00793A80" w:rsidRPr="00C6336E" w:rsidRDefault="00793A80" w:rsidP="00757E48">
      <w:pPr>
        <w:suppressAutoHyphens w:val="0"/>
        <w:snapToGrid w:val="0"/>
        <w:jc w:val="both"/>
        <w:rPr>
          <w:sz w:val="20"/>
          <w:szCs w:val="20"/>
        </w:rPr>
      </w:pPr>
      <w:r w:rsidRPr="00C6336E">
        <w:rPr>
          <w:sz w:val="20"/>
          <w:szCs w:val="20"/>
        </w:rPr>
        <w:t>Ita, Richard Ekeng</w:t>
      </w:r>
    </w:p>
    <w:p w:rsidR="00793A80" w:rsidRPr="00C6336E" w:rsidRDefault="00793A80" w:rsidP="00757E48">
      <w:pPr>
        <w:suppressAutoHyphens w:val="0"/>
        <w:snapToGrid w:val="0"/>
        <w:jc w:val="both"/>
        <w:rPr>
          <w:sz w:val="20"/>
          <w:szCs w:val="20"/>
        </w:rPr>
      </w:pPr>
      <w:r w:rsidRPr="00C6336E">
        <w:rPr>
          <w:sz w:val="20"/>
          <w:szCs w:val="20"/>
        </w:rPr>
        <w:t>Department of Botany and Ecological Studies, University of Uyo, P.M.B 1017, Akwa Ibom State, Nigeria.</w:t>
      </w:r>
    </w:p>
    <w:p w:rsidR="00793A80" w:rsidRPr="00C6336E" w:rsidRDefault="00793A80" w:rsidP="00757E48">
      <w:pPr>
        <w:suppressAutoHyphens w:val="0"/>
        <w:snapToGrid w:val="0"/>
        <w:jc w:val="both"/>
        <w:rPr>
          <w:sz w:val="20"/>
          <w:szCs w:val="20"/>
        </w:rPr>
      </w:pPr>
      <w:r w:rsidRPr="00C6336E">
        <w:rPr>
          <w:rFonts w:hint="eastAsia"/>
          <w:sz w:val="20"/>
          <w:szCs w:val="20"/>
        </w:rPr>
        <w:t xml:space="preserve">Telephone: </w:t>
      </w:r>
      <w:r w:rsidRPr="00C6336E">
        <w:rPr>
          <w:sz w:val="20"/>
          <w:szCs w:val="20"/>
        </w:rPr>
        <w:t>08069290525</w:t>
      </w:r>
    </w:p>
    <w:p w:rsidR="00793A80" w:rsidRPr="00C6336E" w:rsidRDefault="00793A80" w:rsidP="00757E48">
      <w:pPr>
        <w:suppressAutoHyphens w:val="0"/>
        <w:snapToGrid w:val="0"/>
        <w:jc w:val="both"/>
        <w:rPr>
          <w:sz w:val="20"/>
          <w:szCs w:val="20"/>
        </w:rPr>
      </w:pPr>
      <w:r w:rsidRPr="00C6336E">
        <w:rPr>
          <w:sz w:val="20"/>
          <w:szCs w:val="20"/>
        </w:rPr>
        <w:t xml:space="preserve">E-mail: </w:t>
      </w:r>
      <w:hyperlink r:id="rId23" w:history="1">
        <w:r w:rsidRPr="00C6336E">
          <w:rPr>
            <w:rStyle w:val="Hyperlink"/>
            <w:sz w:val="20"/>
            <w:szCs w:val="20"/>
          </w:rPr>
          <w:t>alwaizfwesh247@yahoo.com</w:t>
        </w:r>
      </w:hyperlink>
      <w:r w:rsidRPr="00C6336E">
        <w:rPr>
          <w:sz w:val="20"/>
          <w:szCs w:val="20"/>
        </w:rPr>
        <w:t xml:space="preserve"> </w:t>
      </w:r>
    </w:p>
    <w:p w:rsidR="00654EBA" w:rsidRDefault="00654EBA" w:rsidP="00194FCD">
      <w:pPr>
        <w:suppressAutoHyphens w:val="0"/>
        <w:snapToGrid w:val="0"/>
        <w:jc w:val="both"/>
        <w:rPr>
          <w:b/>
          <w:sz w:val="20"/>
          <w:szCs w:val="20"/>
        </w:rPr>
      </w:pPr>
    </w:p>
    <w:p w:rsidR="00EE29D7" w:rsidRPr="00C6336E" w:rsidRDefault="00EE29D7" w:rsidP="00194FCD">
      <w:pPr>
        <w:suppressAutoHyphens w:val="0"/>
        <w:snapToGrid w:val="0"/>
        <w:jc w:val="both"/>
        <w:rPr>
          <w:b/>
          <w:sz w:val="20"/>
          <w:szCs w:val="20"/>
        </w:rPr>
      </w:pPr>
      <w:r w:rsidRPr="00C6336E">
        <w:rPr>
          <w:b/>
          <w:sz w:val="20"/>
          <w:szCs w:val="20"/>
        </w:rPr>
        <w:t>References</w:t>
      </w:r>
    </w:p>
    <w:p w:rsidR="00793A80"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Brady,</w:t>
      </w:r>
      <w:r w:rsidR="00A13736" w:rsidRPr="00C6336E">
        <w:rPr>
          <w:sz w:val="20"/>
          <w:szCs w:val="20"/>
        </w:rPr>
        <w:t xml:space="preserve"> </w:t>
      </w:r>
      <w:r w:rsidRPr="00C6336E">
        <w:rPr>
          <w:sz w:val="20"/>
          <w:szCs w:val="20"/>
        </w:rPr>
        <w:t>N.</w:t>
      </w:r>
      <w:r w:rsidR="00A13736" w:rsidRPr="00C6336E">
        <w:rPr>
          <w:sz w:val="20"/>
          <w:szCs w:val="20"/>
        </w:rPr>
        <w:t xml:space="preserve"> </w:t>
      </w:r>
      <w:r w:rsidRPr="00C6336E">
        <w:rPr>
          <w:sz w:val="20"/>
          <w:szCs w:val="20"/>
        </w:rPr>
        <w:t>C.</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Weil,</w:t>
      </w:r>
      <w:r w:rsidR="00A13736" w:rsidRPr="00C6336E">
        <w:rPr>
          <w:sz w:val="20"/>
          <w:szCs w:val="20"/>
        </w:rPr>
        <w:t xml:space="preserve"> </w:t>
      </w:r>
      <w:r w:rsidRPr="00C6336E">
        <w:rPr>
          <w:sz w:val="20"/>
          <w:szCs w:val="20"/>
        </w:rPr>
        <w:t>R.</w:t>
      </w:r>
      <w:r w:rsidR="00A13736" w:rsidRPr="00C6336E">
        <w:rPr>
          <w:sz w:val="20"/>
          <w:szCs w:val="20"/>
        </w:rPr>
        <w:t xml:space="preserve"> </w:t>
      </w:r>
      <w:r w:rsidRPr="00C6336E">
        <w:rPr>
          <w:sz w:val="20"/>
          <w:szCs w:val="20"/>
        </w:rPr>
        <w:t>(1996).</w:t>
      </w:r>
      <w:r w:rsidR="00A13736" w:rsidRPr="00C6336E">
        <w:rPr>
          <w:sz w:val="20"/>
          <w:szCs w:val="20"/>
        </w:rPr>
        <w:t xml:space="preserve"> </w:t>
      </w:r>
      <w:r w:rsidRPr="00C6336E">
        <w:rPr>
          <w:i/>
          <w:sz w:val="20"/>
          <w:szCs w:val="20"/>
        </w:rPr>
        <w:t>The</w:t>
      </w:r>
      <w:r w:rsidR="00A13736" w:rsidRPr="00C6336E">
        <w:rPr>
          <w:i/>
          <w:sz w:val="20"/>
          <w:szCs w:val="20"/>
        </w:rPr>
        <w:t xml:space="preserve"> </w:t>
      </w:r>
      <w:r w:rsidRPr="00C6336E">
        <w:rPr>
          <w:i/>
          <w:sz w:val="20"/>
          <w:szCs w:val="20"/>
        </w:rPr>
        <w:t>Nature</w:t>
      </w:r>
      <w:r w:rsidR="00A13736" w:rsidRPr="00C6336E">
        <w:rPr>
          <w:i/>
          <w:sz w:val="20"/>
          <w:szCs w:val="20"/>
        </w:rPr>
        <w:t xml:space="preserve"> </w:t>
      </w:r>
      <w:r w:rsidRPr="00C6336E">
        <w:rPr>
          <w:i/>
          <w:sz w:val="20"/>
          <w:szCs w:val="20"/>
        </w:rPr>
        <w:t>and</w:t>
      </w:r>
      <w:r w:rsidR="00A13736" w:rsidRPr="00C6336E">
        <w:rPr>
          <w:i/>
          <w:sz w:val="20"/>
          <w:szCs w:val="20"/>
        </w:rPr>
        <w:t xml:space="preserve"> </w:t>
      </w:r>
      <w:r w:rsidRPr="00C6336E">
        <w:rPr>
          <w:i/>
          <w:sz w:val="20"/>
          <w:szCs w:val="20"/>
        </w:rPr>
        <w:t>Properties</w:t>
      </w:r>
      <w:r w:rsidR="00A13736" w:rsidRPr="00C6336E">
        <w:rPr>
          <w:i/>
          <w:sz w:val="20"/>
          <w:szCs w:val="20"/>
        </w:rPr>
        <w:t xml:space="preserve"> </w:t>
      </w:r>
      <w:r w:rsidRPr="00C6336E">
        <w:rPr>
          <w:i/>
          <w:sz w:val="20"/>
          <w:szCs w:val="20"/>
        </w:rPr>
        <w:t>of</w:t>
      </w:r>
      <w:r w:rsidR="00A13736" w:rsidRPr="00C6336E">
        <w:rPr>
          <w:i/>
          <w:sz w:val="20"/>
          <w:szCs w:val="20"/>
        </w:rPr>
        <w:t xml:space="preserve"> </w:t>
      </w:r>
      <w:r w:rsidRPr="00C6336E">
        <w:rPr>
          <w:i/>
          <w:sz w:val="20"/>
          <w:szCs w:val="20"/>
        </w:rPr>
        <w:t>Soils</w:t>
      </w:r>
      <w:r w:rsidRPr="00C6336E">
        <w:rPr>
          <w:sz w:val="20"/>
          <w:szCs w:val="20"/>
        </w:rPr>
        <w:t>.</w:t>
      </w:r>
      <w:r w:rsidR="00A13736" w:rsidRPr="00C6336E">
        <w:rPr>
          <w:sz w:val="20"/>
          <w:szCs w:val="20"/>
        </w:rPr>
        <w:t xml:space="preserve"> </w:t>
      </w:r>
      <w:r w:rsidRPr="00C6336E">
        <w:rPr>
          <w:sz w:val="20"/>
          <w:szCs w:val="20"/>
        </w:rPr>
        <w:t>New</w:t>
      </w:r>
      <w:r w:rsidR="00A13736" w:rsidRPr="00C6336E">
        <w:rPr>
          <w:sz w:val="20"/>
          <w:szCs w:val="20"/>
        </w:rPr>
        <w:t xml:space="preserve"> </w:t>
      </w:r>
      <w:r w:rsidRPr="00C6336E">
        <w:rPr>
          <w:sz w:val="20"/>
          <w:szCs w:val="20"/>
        </w:rPr>
        <w:t>York:</w:t>
      </w:r>
      <w:r w:rsidR="00A13736" w:rsidRPr="00C6336E">
        <w:rPr>
          <w:sz w:val="20"/>
          <w:szCs w:val="20"/>
        </w:rPr>
        <w:t xml:space="preserve"> </w:t>
      </w:r>
      <w:r w:rsidRPr="00C6336E">
        <w:rPr>
          <w:sz w:val="20"/>
          <w:szCs w:val="20"/>
        </w:rPr>
        <w:t>Macmillan</w:t>
      </w:r>
      <w:r w:rsidR="00A13736" w:rsidRPr="00C6336E">
        <w:rPr>
          <w:sz w:val="20"/>
          <w:szCs w:val="20"/>
        </w:rPr>
        <w:t xml:space="preserve"> </w:t>
      </w:r>
      <w:r w:rsidRPr="00C6336E">
        <w:rPr>
          <w:sz w:val="20"/>
          <w:szCs w:val="20"/>
        </w:rPr>
        <w:t>Publishing</w:t>
      </w:r>
      <w:r w:rsidR="00A13736" w:rsidRPr="00C6336E">
        <w:rPr>
          <w:sz w:val="20"/>
          <w:szCs w:val="20"/>
        </w:rPr>
        <w:t xml:space="preserve"> </w:t>
      </w:r>
      <w:r w:rsidRPr="00C6336E">
        <w:rPr>
          <w:sz w:val="20"/>
          <w:szCs w:val="20"/>
        </w:rPr>
        <w:t>Company,</w:t>
      </w:r>
      <w:r w:rsidR="00A13736" w:rsidRPr="00C6336E">
        <w:rPr>
          <w:sz w:val="20"/>
          <w:szCs w:val="20"/>
        </w:rPr>
        <w:t xml:space="preserve"> </w:t>
      </w:r>
      <w:r w:rsidRPr="00C6336E">
        <w:rPr>
          <w:sz w:val="20"/>
          <w:szCs w:val="20"/>
        </w:rPr>
        <w:t>p.</w:t>
      </w:r>
      <w:r w:rsidR="00A13736" w:rsidRPr="00C6336E">
        <w:rPr>
          <w:sz w:val="20"/>
          <w:szCs w:val="20"/>
        </w:rPr>
        <w:t xml:space="preserve"> </w:t>
      </w:r>
      <w:r w:rsidRPr="00C6336E">
        <w:rPr>
          <w:sz w:val="20"/>
          <w:szCs w:val="20"/>
        </w:rPr>
        <w:t>881.</w:t>
      </w:r>
    </w:p>
    <w:p w:rsidR="00654EBA" w:rsidRPr="00654EBA" w:rsidRDefault="00654EBA" w:rsidP="00654EBA">
      <w:pPr>
        <w:pStyle w:val="ListParagraph"/>
        <w:numPr>
          <w:ilvl w:val="0"/>
          <w:numId w:val="5"/>
        </w:numPr>
        <w:ind w:left="360"/>
        <w:rPr>
          <w:iCs/>
          <w:sz w:val="20"/>
          <w:szCs w:val="20"/>
        </w:rPr>
      </w:pPr>
      <w:r w:rsidRPr="00654EBA">
        <w:rPr>
          <w:iCs/>
          <w:sz w:val="20"/>
          <w:szCs w:val="20"/>
        </w:rPr>
        <w:t xml:space="preserve">Cochran, W. G. (1963). </w:t>
      </w:r>
      <w:r w:rsidRPr="00654EBA">
        <w:rPr>
          <w:i/>
          <w:iCs/>
          <w:sz w:val="20"/>
          <w:szCs w:val="20"/>
        </w:rPr>
        <w:t>Sampling techniques</w:t>
      </w:r>
      <w:r w:rsidRPr="00654EBA">
        <w:rPr>
          <w:iCs/>
          <w:sz w:val="20"/>
          <w:szCs w:val="20"/>
        </w:rPr>
        <w:t xml:space="preserve">. </w:t>
      </w:r>
      <w:r w:rsidRPr="00654EBA">
        <w:rPr>
          <w:i/>
          <w:iCs/>
          <w:sz w:val="20"/>
          <w:szCs w:val="20"/>
        </w:rPr>
        <w:t>2</w:t>
      </w:r>
      <w:r w:rsidRPr="00654EBA">
        <w:rPr>
          <w:i/>
          <w:iCs/>
          <w:sz w:val="20"/>
          <w:szCs w:val="20"/>
          <w:vertAlign w:val="superscript"/>
        </w:rPr>
        <w:t>nd</w:t>
      </w:r>
      <w:r w:rsidRPr="00654EBA">
        <w:rPr>
          <w:i/>
          <w:iCs/>
          <w:sz w:val="20"/>
          <w:szCs w:val="20"/>
        </w:rPr>
        <w:t xml:space="preserve"> ed</w:t>
      </w:r>
      <w:r w:rsidRPr="00654EBA">
        <w:rPr>
          <w:iCs/>
          <w:sz w:val="20"/>
          <w:szCs w:val="20"/>
        </w:rPr>
        <w:t>. New Delhi: Wiley Eastern Limited, p. 413.</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Djenaba,</w:t>
      </w:r>
      <w:r w:rsidR="00A13736" w:rsidRPr="00C6336E">
        <w:rPr>
          <w:sz w:val="20"/>
          <w:szCs w:val="20"/>
        </w:rPr>
        <w:t xml:space="preserve"> </w:t>
      </w:r>
      <w:r w:rsidRPr="00C6336E">
        <w:rPr>
          <w:sz w:val="20"/>
          <w:szCs w:val="20"/>
        </w:rPr>
        <w:t>D.</w:t>
      </w:r>
      <w:r w:rsidR="00A13736" w:rsidRPr="00C6336E">
        <w:rPr>
          <w:sz w:val="20"/>
          <w:szCs w:val="20"/>
        </w:rPr>
        <w:t xml:space="preserve"> </w:t>
      </w:r>
      <w:r w:rsidRPr="00C6336E">
        <w:rPr>
          <w:sz w:val="20"/>
          <w:szCs w:val="20"/>
        </w:rPr>
        <w:t>(2015).</w:t>
      </w:r>
      <w:r w:rsidR="00A13736" w:rsidRPr="00C6336E">
        <w:rPr>
          <w:sz w:val="20"/>
          <w:szCs w:val="20"/>
        </w:rPr>
        <w:t xml:space="preserve"> </w:t>
      </w:r>
      <w:r w:rsidRPr="00C6336E">
        <w:rPr>
          <w:i/>
          <w:sz w:val="20"/>
          <w:szCs w:val="20"/>
        </w:rPr>
        <w:t>Integration</w:t>
      </w:r>
      <w:r w:rsidR="00A13736" w:rsidRPr="00C6336E">
        <w:rPr>
          <w:i/>
          <w:sz w:val="20"/>
          <w:szCs w:val="20"/>
        </w:rPr>
        <w:t xml:space="preserve"> </w:t>
      </w:r>
      <w:r w:rsidRPr="00C6336E">
        <w:rPr>
          <w:i/>
          <w:sz w:val="20"/>
          <w:szCs w:val="20"/>
        </w:rPr>
        <w:t>of</w:t>
      </w:r>
      <w:r w:rsidR="00A13736" w:rsidRPr="00C6336E">
        <w:rPr>
          <w:i/>
          <w:sz w:val="20"/>
          <w:szCs w:val="20"/>
        </w:rPr>
        <w:t xml:space="preserve"> </w:t>
      </w:r>
      <w:r w:rsidRPr="00C6336E">
        <w:rPr>
          <w:i/>
          <w:sz w:val="20"/>
          <w:szCs w:val="20"/>
        </w:rPr>
        <w:t>remote</w:t>
      </w:r>
      <w:r w:rsidR="00A13736" w:rsidRPr="00C6336E">
        <w:rPr>
          <w:i/>
          <w:sz w:val="20"/>
          <w:szCs w:val="20"/>
        </w:rPr>
        <w:t xml:space="preserve"> </w:t>
      </w:r>
      <w:r w:rsidRPr="00C6336E">
        <w:rPr>
          <w:i/>
          <w:sz w:val="20"/>
          <w:szCs w:val="20"/>
        </w:rPr>
        <w:t>sensing</w:t>
      </w:r>
      <w:r w:rsidR="00A13736" w:rsidRPr="00C6336E">
        <w:rPr>
          <w:i/>
          <w:sz w:val="20"/>
          <w:szCs w:val="20"/>
        </w:rPr>
        <w:t xml:space="preserve"> </w:t>
      </w:r>
      <w:r w:rsidRPr="00C6336E">
        <w:rPr>
          <w:i/>
          <w:sz w:val="20"/>
          <w:szCs w:val="20"/>
        </w:rPr>
        <w:t>and</w:t>
      </w:r>
      <w:r w:rsidR="00A13736" w:rsidRPr="00C6336E">
        <w:rPr>
          <w:i/>
          <w:sz w:val="20"/>
          <w:szCs w:val="20"/>
        </w:rPr>
        <w:t xml:space="preserve"> </w:t>
      </w:r>
      <w:r w:rsidRPr="00C6336E">
        <w:rPr>
          <w:i/>
          <w:sz w:val="20"/>
          <w:szCs w:val="20"/>
        </w:rPr>
        <w:t>geographic</w:t>
      </w:r>
      <w:r w:rsidR="00A13736" w:rsidRPr="00C6336E">
        <w:rPr>
          <w:i/>
          <w:sz w:val="20"/>
          <w:szCs w:val="20"/>
        </w:rPr>
        <w:t xml:space="preserve"> </w:t>
      </w:r>
      <w:r w:rsidRPr="00C6336E">
        <w:rPr>
          <w:i/>
          <w:sz w:val="20"/>
          <w:szCs w:val="20"/>
        </w:rPr>
        <w:t>information</w:t>
      </w:r>
      <w:r w:rsidR="00A13736" w:rsidRPr="00C6336E">
        <w:rPr>
          <w:i/>
          <w:sz w:val="20"/>
          <w:szCs w:val="20"/>
        </w:rPr>
        <w:t xml:space="preserve"> </w:t>
      </w:r>
      <w:r w:rsidRPr="00C6336E">
        <w:rPr>
          <w:i/>
          <w:sz w:val="20"/>
          <w:szCs w:val="20"/>
        </w:rPr>
        <w:t>system</w:t>
      </w:r>
      <w:r w:rsidR="00A13736" w:rsidRPr="00C6336E">
        <w:rPr>
          <w:i/>
          <w:sz w:val="20"/>
          <w:szCs w:val="20"/>
        </w:rPr>
        <w:t xml:space="preserve"> </w:t>
      </w:r>
      <w:r w:rsidRPr="00C6336E">
        <w:rPr>
          <w:i/>
          <w:sz w:val="20"/>
          <w:szCs w:val="20"/>
        </w:rPr>
        <w:t>in</w:t>
      </w:r>
      <w:r w:rsidR="00A13736" w:rsidRPr="00C6336E">
        <w:rPr>
          <w:i/>
          <w:sz w:val="20"/>
          <w:szCs w:val="20"/>
        </w:rPr>
        <w:t xml:space="preserve"> </w:t>
      </w:r>
      <w:r w:rsidRPr="00C6336E">
        <w:rPr>
          <w:i/>
          <w:sz w:val="20"/>
          <w:szCs w:val="20"/>
        </w:rPr>
        <w:t>soil</w:t>
      </w:r>
      <w:r w:rsidR="00A13736" w:rsidRPr="00C6336E">
        <w:rPr>
          <w:i/>
          <w:sz w:val="20"/>
          <w:szCs w:val="20"/>
        </w:rPr>
        <w:t xml:space="preserve"> </w:t>
      </w:r>
      <w:r w:rsidRPr="00C6336E">
        <w:rPr>
          <w:i/>
          <w:sz w:val="20"/>
          <w:szCs w:val="20"/>
        </w:rPr>
        <w:t>fertility</w:t>
      </w:r>
      <w:r w:rsidR="00A13736" w:rsidRPr="00C6336E">
        <w:rPr>
          <w:i/>
          <w:sz w:val="20"/>
          <w:szCs w:val="20"/>
        </w:rPr>
        <w:t xml:space="preserve"> </w:t>
      </w:r>
      <w:r w:rsidRPr="00C6336E">
        <w:rPr>
          <w:i/>
          <w:sz w:val="20"/>
          <w:szCs w:val="20"/>
        </w:rPr>
        <w:t>management</w:t>
      </w:r>
      <w:r w:rsidR="00A13736" w:rsidRPr="00C6336E">
        <w:rPr>
          <w:i/>
          <w:sz w:val="20"/>
          <w:szCs w:val="20"/>
        </w:rPr>
        <w:t xml:space="preserve"> </w:t>
      </w:r>
      <w:r w:rsidRPr="00C6336E">
        <w:rPr>
          <w:i/>
          <w:sz w:val="20"/>
          <w:szCs w:val="20"/>
        </w:rPr>
        <w:t>in</w:t>
      </w:r>
      <w:r w:rsidR="00A13736" w:rsidRPr="00C6336E">
        <w:rPr>
          <w:i/>
          <w:sz w:val="20"/>
          <w:szCs w:val="20"/>
        </w:rPr>
        <w:t xml:space="preserve"> </w:t>
      </w:r>
      <w:r w:rsidRPr="00C6336E">
        <w:rPr>
          <w:i/>
          <w:sz w:val="20"/>
          <w:szCs w:val="20"/>
        </w:rPr>
        <w:t>Mali.</w:t>
      </w:r>
      <w:r w:rsidR="00A13736" w:rsidRPr="00C6336E">
        <w:rPr>
          <w:sz w:val="20"/>
          <w:szCs w:val="20"/>
        </w:rPr>
        <w:t xml:space="preserve"> </w:t>
      </w:r>
      <w:r w:rsidRPr="00C6336E">
        <w:rPr>
          <w:sz w:val="20"/>
          <w:szCs w:val="20"/>
        </w:rPr>
        <w:t>Published</w:t>
      </w:r>
      <w:r w:rsidR="00A13736" w:rsidRPr="00C6336E">
        <w:rPr>
          <w:sz w:val="20"/>
          <w:szCs w:val="20"/>
        </w:rPr>
        <w:t xml:space="preserve"> </w:t>
      </w:r>
      <w:r w:rsidRPr="00C6336E">
        <w:rPr>
          <w:sz w:val="20"/>
          <w:szCs w:val="20"/>
        </w:rPr>
        <w:t>Ph.</w:t>
      </w:r>
      <w:r w:rsidR="00A13736" w:rsidRPr="00C6336E">
        <w:rPr>
          <w:sz w:val="20"/>
          <w:szCs w:val="20"/>
        </w:rPr>
        <w:t xml:space="preserve"> </w:t>
      </w:r>
      <w:r w:rsidRPr="00C6336E">
        <w:rPr>
          <w:sz w:val="20"/>
          <w:szCs w:val="20"/>
        </w:rPr>
        <w:t>D</w:t>
      </w:r>
      <w:r w:rsidR="00A13736" w:rsidRPr="00C6336E">
        <w:rPr>
          <w:sz w:val="20"/>
          <w:szCs w:val="20"/>
        </w:rPr>
        <w:t xml:space="preserve"> </w:t>
      </w:r>
      <w:r w:rsidRPr="00C6336E">
        <w:rPr>
          <w:sz w:val="20"/>
          <w:szCs w:val="20"/>
        </w:rPr>
        <w:t>thesis</w:t>
      </w:r>
      <w:r w:rsidR="00A13736" w:rsidRPr="00C6336E">
        <w:rPr>
          <w:sz w:val="20"/>
          <w:szCs w:val="20"/>
        </w:rPr>
        <w:t xml:space="preserve"> </w:t>
      </w:r>
      <w:r w:rsidRPr="00C6336E">
        <w:rPr>
          <w:sz w:val="20"/>
          <w:szCs w:val="20"/>
        </w:rPr>
        <w:t>submitted</w:t>
      </w:r>
      <w:r w:rsidR="00A13736" w:rsidRPr="00C6336E">
        <w:rPr>
          <w:sz w:val="20"/>
          <w:szCs w:val="20"/>
        </w:rPr>
        <w:t xml:space="preserve"> </w:t>
      </w:r>
      <w:r w:rsidRPr="00C6336E">
        <w:rPr>
          <w:sz w:val="20"/>
          <w:szCs w:val="20"/>
        </w:rPr>
        <w:t>to</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department</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crop</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soil</w:t>
      </w:r>
      <w:r w:rsidR="00A13736" w:rsidRPr="00C6336E">
        <w:rPr>
          <w:sz w:val="20"/>
          <w:szCs w:val="20"/>
        </w:rPr>
        <w:t xml:space="preserve"> </w:t>
      </w:r>
      <w:r w:rsidRPr="00C6336E">
        <w:rPr>
          <w:sz w:val="20"/>
          <w:szCs w:val="20"/>
        </w:rPr>
        <w:t>sciences.</w:t>
      </w:r>
      <w:r w:rsidR="00A13736" w:rsidRPr="00C6336E">
        <w:rPr>
          <w:sz w:val="20"/>
          <w:szCs w:val="20"/>
        </w:rPr>
        <w:t xml:space="preserve"> </w:t>
      </w:r>
      <w:r w:rsidRPr="00C6336E">
        <w:rPr>
          <w:sz w:val="20"/>
          <w:szCs w:val="20"/>
        </w:rPr>
        <w:t>Faculty</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agriculture,</w:t>
      </w:r>
      <w:r w:rsidR="00A13736" w:rsidRPr="00C6336E">
        <w:rPr>
          <w:sz w:val="20"/>
          <w:szCs w:val="20"/>
        </w:rPr>
        <w:t xml:space="preserve"> </w:t>
      </w:r>
      <w:r w:rsidRPr="00C6336E">
        <w:rPr>
          <w:sz w:val="20"/>
          <w:szCs w:val="20"/>
        </w:rPr>
        <w:t>Kwame</w:t>
      </w:r>
      <w:r w:rsidR="00A13736" w:rsidRPr="00C6336E">
        <w:rPr>
          <w:sz w:val="20"/>
          <w:szCs w:val="20"/>
        </w:rPr>
        <w:t xml:space="preserve"> </w:t>
      </w:r>
      <w:r w:rsidRPr="00C6336E">
        <w:rPr>
          <w:sz w:val="20"/>
          <w:szCs w:val="20"/>
        </w:rPr>
        <w:t>Nkrumah</w:t>
      </w:r>
      <w:r w:rsidR="00A13736" w:rsidRPr="00C6336E">
        <w:rPr>
          <w:sz w:val="20"/>
          <w:szCs w:val="20"/>
        </w:rPr>
        <w:t xml:space="preserve"> </w:t>
      </w:r>
      <w:r w:rsidRPr="00C6336E">
        <w:rPr>
          <w:sz w:val="20"/>
          <w:szCs w:val="20"/>
        </w:rPr>
        <w:t>University</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science</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technology,</w:t>
      </w:r>
      <w:r w:rsidR="00A13736" w:rsidRPr="00C6336E">
        <w:rPr>
          <w:sz w:val="20"/>
          <w:szCs w:val="20"/>
        </w:rPr>
        <w:t xml:space="preserve"> </w:t>
      </w:r>
      <w:r w:rsidRPr="00C6336E">
        <w:rPr>
          <w:sz w:val="20"/>
          <w:szCs w:val="20"/>
        </w:rPr>
        <w:t>Kumasi,</w:t>
      </w:r>
      <w:r w:rsidR="00A13736" w:rsidRPr="00C6336E">
        <w:rPr>
          <w:sz w:val="20"/>
          <w:szCs w:val="20"/>
        </w:rPr>
        <w:t xml:space="preserve"> </w:t>
      </w:r>
      <w:r w:rsidRPr="00C6336E">
        <w:rPr>
          <w:sz w:val="20"/>
          <w:szCs w:val="20"/>
        </w:rPr>
        <w:t>Ghana.</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Dogan</w:t>
      </w:r>
      <w:r w:rsidR="00A13736" w:rsidRPr="00C6336E">
        <w:rPr>
          <w:sz w:val="20"/>
          <w:szCs w:val="20"/>
        </w:rPr>
        <w:t xml:space="preserve"> </w:t>
      </w:r>
      <w:r w:rsidRPr="00C6336E">
        <w:rPr>
          <w:sz w:val="20"/>
          <w:szCs w:val="20"/>
        </w:rPr>
        <w:t>H.M.</w:t>
      </w:r>
      <w:r w:rsidR="00A13736" w:rsidRPr="00C6336E">
        <w:rPr>
          <w:sz w:val="20"/>
          <w:szCs w:val="20"/>
        </w:rPr>
        <w:t xml:space="preserve"> </w:t>
      </w:r>
      <w:r w:rsidRPr="00C6336E">
        <w:rPr>
          <w:sz w:val="20"/>
          <w:szCs w:val="20"/>
        </w:rPr>
        <w:t>2001.</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applications</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geographic</w:t>
      </w:r>
      <w:r w:rsidR="00A13736" w:rsidRPr="00C6336E">
        <w:rPr>
          <w:sz w:val="20"/>
          <w:szCs w:val="20"/>
        </w:rPr>
        <w:t xml:space="preserve"> </w:t>
      </w:r>
      <w:r w:rsidRPr="00C6336E">
        <w:rPr>
          <w:sz w:val="20"/>
          <w:szCs w:val="20"/>
        </w:rPr>
        <w:t>information</w:t>
      </w:r>
      <w:r w:rsidR="00A13736" w:rsidRPr="00C6336E">
        <w:rPr>
          <w:sz w:val="20"/>
          <w:szCs w:val="20"/>
        </w:rPr>
        <w:t xml:space="preserve"> </w:t>
      </w:r>
      <w:r w:rsidRPr="00C6336E">
        <w:rPr>
          <w:sz w:val="20"/>
          <w:szCs w:val="20"/>
        </w:rPr>
        <w:t>systems</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remote</w:t>
      </w:r>
      <w:r w:rsidR="00A13736" w:rsidRPr="00C6336E">
        <w:rPr>
          <w:sz w:val="20"/>
          <w:szCs w:val="20"/>
        </w:rPr>
        <w:t xml:space="preserve"> </w:t>
      </w:r>
      <w:r w:rsidRPr="00C6336E">
        <w:rPr>
          <w:sz w:val="20"/>
          <w:szCs w:val="20"/>
        </w:rPr>
        <w:t>sensing</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agriculture.</w:t>
      </w:r>
      <w:r w:rsidR="00A13736" w:rsidRPr="00C6336E">
        <w:rPr>
          <w:sz w:val="20"/>
          <w:szCs w:val="20"/>
        </w:rPr>
        <w:t xml:space="preserve"> </w:t>
      </w:r>
      <w:r w:rsidRPr="00C6336E">
        <w:rPr>
          <w:sz w:val="20"/>
          <w:szCs w:val="20"/>
        </w:rPr>
        <w:t>Global</w:t>
      </w:r>
      <w:r w:rsidR="00A13736" w:rsidRPr="00C6336E">
        <w:rPr>
          <w:sz w:val="20"/>
          <w:szCs w:val="20"/>
        </w:rPr>
        <w:t xml:space="preserve"> </w:t>
      </w:r>
      <w:r w:rsidRPr="00C6336E">
        <w:rPr>
          <w:sz w:val="20"/>
          <w:szCs w:val="20"/>
        </w:rPr>
        <w:t>Space</w:t>
      </w:r>
      <w:r w:rsidR="00A13736" w:rsidRPr="00C6336E">
        <w:rPr>
          <w:sz w:val="20"/>
          <w:szCs w:val="20"/>
        </w:rPr>
        <w:t xml:space="preserve"> </w:t>
      </w:r>
      <w:r w:rsidRPr="00C6336E">
        <w:rPr>
          <w:sz w:val="20"/>
          <w:szCs w:val="20"/>
        </w:rPr>
        <w:t>Activities</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Potential</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Turkey,</w:t>
      </w:r>
      <w:r w:rsidR="00A13736" w:rsidRPr="00C6336E">
        <w:rPr>
          <w:sz w:val="20"/>
          <w:szCs w:val="20"/>
        </w:rPr>
        <w:t xml:space="preserve"> </w:t>
      </w:r>
      <w:r w:rsidRPr="00C6336E">
        <w:rPr>
          <w:sz w:val="20"/>
          <w:szCs w:val="20"/>
        </w:rPr>
        <w:t>1st</w:t>
      </w:r>
      <w:r w:rsidR="00A13736" w:rsidRPr="00C6336E">
        <w:rPr>
          <w:sz w:val="20"/>
          <w:szCs w:val="20"/>
        </w:rPr>
        <w:t xml:space="preserve"> </w:t>
      </w:r>
      <w:r w:rsidRPr="00C6336E">
        <w:rPr>
          <w:sz w:val="20"/>
          <w:szCs w:val="20"/>
        </w:rPr>
        <w:t>International</w:t>
      </w:r>
      <w:r w:rsidR="00A13736" w:rsidRPr="00C6336E">
        <w:rPr>
          <w:sz w:val="20"/>
          <w:szCs w:val="20"/>
        </w:rPr>
        <w:t xml:space="preserve"> </w:t>
      </w:r>
      <w:r w:rsidRPr="00C6336E">
        <w:rPr>
          <w:sz w:val="20"/>
          <w:szCs w:val="20"/>
        </w:rPr>
        <w:t>Space</w:t>
      </w:r>
      <w:r w:rsidR="00A13736" w:rsidRPr="00C6336E">
        <w:rPr>
          <w:sz w:val="20"/>
          <w:szCs w:val="20"/>
        </w:rPr>
        <w:t xml:space="preserve"> </w:t>
      </w:r>
      <w:r w:rsidRPr="00C6336E">
        <w:rPr>
          <w:sz w:val="20"/>
          <w:szCs w:val="20"/>
        </w:rPr>
        <w:t>Symposium,</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General</w:t>
      </w:r>
      <w:r w:rsidR="00A13736" w:rsidRPr="00C6336E">
        <w:rPr>
          <w:sz w:val="20"/>
          <w:szCs w:val="20"/>
        </w:rPr>
        <w:t xml:space="preserve"> </w:t>
      </w:r>
      <w:r w:rsidRPr="00C6336E">
        <w:rPr>
          <w:sz w:val="20"/>
          <w:szCs w:val="20"/>
        </w:rPr>
        <w:t>Commandership</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Air</w:t>
      </w:r>
      <w:r w:rsidR="00A13736" w:rsidRPr="00C6336E">
        <w:rPr>
          <w:sz w:val="20"/>
          <w:szCs w:val="20"/>
        </w:rPr>
        <w:t xml:space="preserve"> </w:t>
      </w:r>
      <w:r w:rsidRPr="00C6336E">
        <w:rPr>
          <w:sz w:val="20"/>
          <w:szCs w:val="20"/>
        </w:rPr>
        <w:t>Force</w:t>
      </w:r>
      <w:r w:rsidR="00A13736" w:rsidRPr="00C6336E">
        <w:rPr>
          <w:sz w:val="20"/>
          <w:szCs w:val="20"/>
        </w:rPr>
        <w:t xml:space="preserve"> </w:t>
      </w:r>
      <w:r w:rsidRPr="00C6336E">
        <w:rPr>
          <w:sz w:val="20"/>
          <w:szCs w:val="20"/>
        </w:rPr>
        <w:t>Proceedings,</w:t>
      </w:r>
      <w:r w:rsidR="00A13736" w:rsidRPr="00C6336E">
        <w:rPr>
          <w:sz w:val="20"/>
          <w:szCs w:val="20"/>
        </w:rPr>
        <w:t xml:space="preserve"> </w:t>
      </w:r>
      <w:r w:rsidRPr="00C6336E">
        <w:rPr>
          <w:sz w:val="20"/>
          <w:szCs w:val="20"/>
        </w:rPr>
        <w:t>Ankara,</w:t>
      </w:r>
      <w:r w:rsidR="00A13736" w:rsidRPr="00C6336E">
        <w:rPr>
          <w:sz w:val="20"/>
          <w:szCs w:val="20"/>
        </w:rPr>
        <w:t xml:space="preserve"> </w:t>
      </w:r>
      <w:r w:rsidRPr="00C6336E">
        <w:rPr>
          <w:sz w:val="20"/>
          <w:szCs w:val="20"/>
        </w:rPr>
        <w:t>Turkey.</w:t>
      </w:r>
      <w:r w:rsidR="00A13736" w:rsidRPr="00C6336E">
        <w:rPr>
          <w:sz w:val="20"/>
          <w:szCs w:val="20"/>
        </w:rPr>
        <w:t xml:space="preserve"> </w:t>
      </w:r>
      <w:r w:rsidRPr="00C6336E">
        <w:rPr>
          <w:sz w:val="20"/>
          <w:szCs w:val="20"/>
        </w:rPr>
        <w:t>pp.</w:t>
      </w:r>
      <w:r w:rsidR="00A13736" w:rsidRPr="00C6336E">
        <w:rPr>
          <w:sz w:val="20"/>
          <w:szCs w:val="20"/>
        </w:rPr>
        <w:t xml:space="preserve"> </w:t>
      </w:r>
      <w:r w:rsidRPr="00C6336E">
        <w:rPr>
          <w:sz w:val="20"/>
          <w:szCs w:val="20"/>
        </w:rPr>
        <w:t>265–271.</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Gottfried,</w:t>
      </w:r>
      <w:r w:rsidR="00A13736" w:rsidRPr="00C6336E">
        <w:rPr>
          <w:sz w:val="20"/>
          <w:szCs w:val="20"/>
        </w:rPr>
        <w:t xml:space="preserve"> </w:t>
      </w:r>
      <w:r w:rsidRPr="00C6336E">
        <w:rPr>
          <w:sz w:val="20"/>
          <w:szCs w:val="20"/>
        </w:rPr>
        <w:t>M.,</w:t>
      </w:r>
      <w:r w:rsidR="00A13736" w:rsidRPr="00C6336E">
        <w:rPr>
          <w:sz w:val="20"/>
          <w:szCs w:val="20"/>
        </w:rPr>
        <w:t xml:space="preserve"> </w:t>
      </w:r>
      <w:r w:rsidRPr="00C6336E">
        <w:rPr>
          <w:sz w:val="20"/>
          <w:szCs w:val="20"/>
        </w:rPr>
        <w:t>Pauli,</w:t>
      </w:r>
      <w:r w:rsidR="00A13736" w:rsidRPr="00C6336E">
        <w:rPr>
          <w:sz w:val="20"/>
          <w:szCs w:val="20"/>
        </w:rPr>
        <w:t xml:space="preserve"> </w:t>
      </w:r>
      <w:r w:rsidRPr="00C6336E">
        <w:rPr>
          <w:sz w:val="20"/>
          <w:szCs w:val="20"/>
        </w:rPr>
        <w:t>H.</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Grabherr,</w:t>
      </w:r>
      <w:r w:rsidR="00A13736" w:rsidRPr="00C6336E">
        <w:rPr>
          <w:sz w:val="20"/>
          <w:szCs w:val="20"/>
        </w:rPr>
        <w:t xml:space="preserve"> </w:t>
      </w:r>
      <w:r w:rsidRPr="00C6336E">
        <w:rPr>
          <w:sz w:val="20"/>
          <w:szCs w:val="20"/>
        </w:rPr>
        <w:t>G.</w:t>
      </w:r>
      <w:r w:rsidR="00A13736" w:rsidRPr="00C6336E">
        <w:rPr>
          <w:sz w:val="20"/>
          <w:szCs w:val="20"/>
        </w:rPr>
        <w:t xml:space="preserve"> </w:t>
      </w:r>
      <w:r w:rsidRPr="00C6336E">
        <w:rPr>
          <w:sz w:val="20"/>
          <w:szCs w:val="20"/>
        </w:rPr>
        <w:t>(1998).</w:t>
      </w:r>
      <w:r w:rsidR="00A13736" w:rsidRPr="00C6336E">
        <w:rPr>
          <w:sz w:val="20"/>
          <w:szCs w:val="20"/>
        </w:rPr>
        <w:t xml:space="preserve"> </w:t>
      </w:r>
      <w:r w:rsidRPr="00C6336E">
        <w:rPr>
          <w:sz w:val="20"/>
          <w:szCs w:val="20"/>
        </w:rPr>
        <w:t>Prediction</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vegetation</w:t>
      </w:r>
      <w:r w:rsidR="00A13736" w:rsidRPr="00C6336E">
        <w:rPr>
          <w:sz w:val="20"/>
          <w:szCs w:val="20"/>
        </w:rPr>
        <w:t xml:space="preserve"> </w:t>
      </w:r>
      <w:r w:rsidRPr="00C6336E">
        <w:rPr>
          <w:sz w:val="20"/>
          <w:szCs w:val="20"/>
        </w:rPr>
        <w:t>patterns</w:t>
      </w:r>
      <w:r w:rsidR="00A13736" w:rsidRPr="00C6336E">
        <w:rPr>
          <w:sz w:val="20"/>
          <w:szCs w:val="20"/>
        </w:rPr>
        <w:t xml:space="preserve"> </w:t>
      </w:r>
      <w:r w:rsidRPr="00C6336E">
        <w:rPr>
          <w:sz w:val="20"/>
          <w:szCs w:val="20"/>
        </w:rPr>
        <w:t>at</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limits</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plant</w:t>
      </w:r>
      <w:r w:rsidR="00A13736" w:rsidRPr="00C6336E">
        <w:rPr>
          <w:sz w:val="20"/>
          <w:szCs w:val="20"/>
        </w:rPr>
        <w:t xml:space="preserve"> </w:t>
      </w:r>
      <w:r w:rsidRPr="00C6336E">
        <w:rPr>
          <w:sz w:val="20"/>
          <w:szCs w:val="20"/>
        </w:rPr>
        <w:t>life:</w:t>
      </w:r>
      <w:r w:rsidR="00A13736" w:rsidRPr="00C6336E">
        <w:rPr>
          <w:sz w:val="20"/>
          <w:szCs w:val="20"/>
        </w:rPr>
        <w:t xml:space="preserve"> </w:t>
      </w:r>
      <w:r w:rsidRPr="00C6336E">
        <w:rPr>
          <w:sz w:val="20"/>
          <w:szCs w:val="20"/>
        </w:rPr>
        <w:t>a</w:t>
      </w:r>
      <w:r w:rsidR="00A13736" w:rsidRPr="00C6336E">
        <w:rPr>
          <w:sz w:val="20"/>
          <w:szCs w:val="20"/>
        </w:rPr>
        <w:t xml:space="preserve"> </w:t>
      </w:r>
      <w:r w:rsidRPr="00C6336E">
        <w:rPr>
          <w:sz w:val="20"/>
          <w:szCs w:val="20"/>
        </w:rPr>
        <w:t>new</w:t>
      </w:r>
      <w:r w:rsidR="00A13736" w:rsidRPr="00C6336E">
        <w:rPr>
          <w:sz w:val="20"/>
          <w:szCs w:val="20"/>
        </w:rPr>
        <w:t xml:space="preserve"> </w:t>
      </w:r>
      <w:r w:rsidRPr="00C6336E">
        <w:rPr>
          <w:sz w:val="20"/>
          <w:szCs w:val="20"/>
        </w:rPr>
        <w:t>view</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Alpine-Nival</w:t>
      </w:r>
      <w:r w:rsidR="00A13736" w:rsidRPr="00C6336E">
        <w:rPr>
          <w:sz w:val="20"/>
          <w:szCs w:val="20"/>
        </w:rPr>
        <w:t xml:space="preserve"> </w:t>
      </w:r>
      <w:r w:rsidRPr="00C6336E">
        <w:rPr>
          <w:sz w:val="20"/>
          <w:szCs w:val="20"/>
        </w:rPr>
        <w:t>ecotone.</w:t>
      </w:r>
      <w:r w:rsidR="00A13736" w:rsidRPr="00C6336E">
        <w:rPr>
          <w:sz w:val="20"/>
          <w:szCs w:val="20"/>
        </w:rPr>
        <w:t xml:space="preserve"> </w:t>
      </w:r>
      <w:r w:rsidRPr="00C6336E">
        <w:rPr>
          <w:i/>
          <w:sz w:val="20"/>
          <w:szCs w:val="20"/>
        </w:rPr>
        <w:t>Arctic</w:t>
      </w:r>
      <w:r w:rsidR="00A13736" w:rsidRPr="00C6336E">
        <w:rPr>
          <w:i/>
          <w:sz w:val="20"/>
          <w:szCs w:val="20"/>
        </w:rPr>
        <w:t xml:space="preserve"> </w:t>
      </w:r>
      <w:r w:rsidRPr="00C6336E">
        <w:rPr>
          <w:i/>
          <w:sz w:val="20"/>
          <w:szCs w:val="20"/>
        </w:rPr>
        <w:t>Alpine</w:t>
      </w:r>
      <w:r w:rsidR="00A13736" w:rsidRPr="00C6336E">
        <w:rPr>
          <w:i/>
          <w:sz w:val="20"/>
          <w:szCs w:val="20"/>
        </w:rPr>
        <w:t xml:space="preserve"> </w:t>
      </w:r>
      <w:r w:rsidRPr="00C6336E">
        <w:rPr>
          <w:i/>
          <w:sz w:val="20"/>
          <w:szCs w:val="20"/>
        </w:rPr>
        <w:t>Res</w:t>
      </w:r>
      <w:r w:rsidRPr="00C6336E">
        <w:rPr>
          <w:sz w:val="20"/>
          <w:szCs w:val="20"/>
        </w:rPr>
        <w:t>.,</w:t>
      </w:r>
      <w:r w:rsidR="00A13736" w:rsidRPr="00C6336E">
        <w:rPr>
          <w:sz w:val="20"/>
          <w:szCs w:val="20"/>
        </w:rPr>
        <w:t xml:space="preserve"> </w:t>
      </w:r>
      <w:r w:rsidRPr="00C6336E">
        <w:rPr>
          <w:sz w:val="20"/>
          <w:szCs w:val="20"/>
        </w:rPr>
        <w:t>30:</w:t>
      </w:r>
      <w:r w:rsidR="00A13736" w:rsidRPr="00C6336E">
        <w:rPr>
          <w:sz w:val="20"/>
          <w:szCs w:val="20"/>
        </w:rPr>
        <w:t xml:space="preserve"> </w:t>
      </w:r>
      <w:r w:rsidRPr="00C6336E">
        <w:rPr>
          <w:sz w:val="20"/>
          <w:szCs w:val="20"/>
        </w:rPr>
        <w:t>207–221.</w:t>
      </w:r>
    </w:p>
    <w:p w:rsidR="00793A80" w:rsidRPr="00654EBA" w:rsidRDefault="00EE29D7" w:rsidP="00654EBA">
      <w:pPr>
        <w:pStyle w:val="ListParagraph"/>
        <w:numPr>
          <w:ilvl w:val="0"/>
          <w:numId w:val="5"/>
        </w:numPr>
        <w:suppressAutoHyphens w:val="0"/>
        <w:snapToGrid w:val="0"/>
        <w:ind w:left="425" w:hanging="425"/>
        <w:jc w:val="both"/>
        <w:rPr>
          <w:i/>
          <w:sz w:val="20"/>
          <w:szCs w:val="20"/>
        </w:rPr>
      </w:pPr>
      <w:r w:rsidRPr="00C6336E">
        <w:rPr>
          <w:sz w:val="20"/>
          <w:szCs w:val="20"/>
        </w:rPr>
        <w:t>Ita,</w:t>
      </w:r>
      <w:r w:rsidR="00A13736" w:rsidRPr="00C6336E">
        <w:rPr>
          <w:sz w:val="20"/>
          <w:szCs w:val="20"/>
        </w:rPr>
        <w:t xml:space="preserve"> </w:t>
      </w:r>
      <w:r w:rsidRPr="00C6336E">
        <w:rPr>
          <w:sz w:val="20"/>
          <w:szCs w:val="20"/>
        </w:rPr>
        <w:t>R.</w:t>
      </w:r>
      <w:r w:rsidR="00A13736" w:rsidRPr="00C6336E">
        <w:rPr>
          <w:sz w:val="20"/>
          <w:szCs w:val="20"/>
        </w:rPr>
        <w:t xml:space="preserve"> </w:t>
      </w:r>
      <w:r w:rsidRPr="00C6336E">
        <w:rPr>
          <w:sz w:val="20"/>
          <w:szCs w:val="20"/>
        </w:rPr>
        <w:t>E.</w:t>
      </w:r>
      <w:r w:rsidR="00A13736" w:rsidRPr="00C6336E">
        <w:rPr>
          <w:sz w:val="20"/>
          <w:szCs w:val="20"/>
        </w:rPr>
        <w:t xml:space="preserve"> </w:t>
      </w:r>
      <w:r w:rsidRPr="00C6336E">
        <w:rPr>
          <w:sz w:val="20"/>
          <w:szCs w:val="20"/>
        </w:rPr>
        <w:t>(2018).</w:t>
      </w:r>
      <w:r w:rsidR="00A13736" w:rsidRPr="00C6336E">
        <w:rPr>
          <w:sz w:val="20"/>
          <w:szCs w:val="20"/>
        </w:rPr>
        <w:t xml:space="preserve"> </w:t>
      </w:r>
      <w:r w:rsidRPr="00C6336E">
        <w:rPr>
          <w:sz w:val="20"/>
          <w:szCs w:val="20"/>
        </w:rPr>
        <w:t>Influence</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Seasonality</w:t>
      </w:r>
      <w:r w:rsidR="00A13736" w:rsidRPr="00C6336E">
        <w:rPr>
          <w:sz w:val="20"/>
          <w:szCs w:val="20"/>
        </w:rPr>
        <w:t xml:space="preserve"> </w:t>
      </w:r>
      <w:r w:rsidRPr="00C6336E">
        <w:rPr>
          <w:sz w:val="20"/>
          <w:szCs w:val="20"/>
        </w:rPr>
        <w:t>Gradients</w:t>
      </w:r>
      <w:r w:rsidR="00A13736" w:rsidRPr="00C6336E">
        <w:rPr>
          <w:sz w:val="20"/>
          <w:szCs w:val="20"/>
        </w:rPr>
        <w:t xml:space="preserve"> </w:t>
      </w:r>
      <w:r w:rsidRPr="00C6336E">
        <w:rPr>
          <w:sz w:val="20"/>
          <w:szCs w:val="20"/>
        </w:rPr>
        <w:t>on</w:t>
      </w:r>
      <w:r w:rsidR="00A13736" w:rsidRPr="00C6336E">
        <w:rPr>
          <w:sz w:val="20"/>
          <w:szCs w:val="20"/>
        </w:rPr>
        <w:t xml:space="preserve"> </w:t>
      </w:r>
      <w:r w:rsidRPr="00C6336E">
        <w:rPr>
          <w:sz w:val="20"/>
          <w:szCs w:val="20"/>
        </w:rPr>
        <w:t>Phytodiversity</w:t>
      </w:r>
      <w:r w:rsidR="00A13736" w:rsidRPr="00C6336E">
        <w:rPr>
          <w:sz w:val="20"/>
          <w:szCs w:val="20"/>
        </w:rPr>
        <w:t xml:space="preserve"> </w:t>
      </w:r>
      <w:r w:rsidRPr="00C6336E">
        <w:rPr>
          <w:sz w:val="20"/>
          <w:szCs w:val="20"/>
        </w:rPr>
        <w:t>Richness</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Rural</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Urban</w:t>
      </w:r>
      <w:r w:rsidR="00A13736" w:rsidRPr="00C6336E">
        <w:rPr>
          <w:sz w:val="20"/>
          <w:szCs w:val="20"/>
        </w:rPr>
        <w:t xml:space="preserve"> </w:t>
      </w:r>
      <w:r w:rsidRPr="00C6336E">
        <w:rPr>
          <w:sz w:val="20"/>
          <w:szCs w:val="20"/>
        </w:rPr>
        <w:t>Wetlands.</w:t>
      </w:r>
      <w:r w:rsidR="00654EBA">
        <w:rPr>
          <w:sz w:val="20"/>
          <w:szCs w:val="20"/>
        </w:rPr>
        <w:t xml:space="preserve"> </w:t>
      </w:r>
      <w:r w:rsidR="00654EBA" w:rsidRPr="00654EBA">
        <w:rPr>
          <w:i/>
          <w:sz w:val="20"/>
          <w:szCs w:val="20"/>
        </w:rPr>
        <w:t>Earth and Atmospheric Sciences</w:t>
      </w:r>
      <w:r w:rsidR="00654EBA" w:rsidRPr="00654EBA">
        <w:rPr>
          <w:sz w:val="20"/>
          <w:szCs w:val="20"/>
        </w:rPr>
        <w:t>, 1(1): 25-30.</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Ita,</w:t>
      </w:r>
      <w:r w:rsidR="00A13736" w:rsidRPr="00C6336E">
        <w:rPr>
          <w:sz w:val="20"/>
          <w:szCs w:val="20"/>
        </w:rPr>
        <w:t xml:space="preserve"> </w:t>
      </w:r>
      <w:r w:rsidRPr="00C6336E">
        <w:rPr>
          <w:sz w:val="20"/>
          <w:szCs w:val="20"/>
        </w:rPr>
        <w:t>R.</w:t>
      </w:r>
      <w:r w:rsidR="00A13736" w:rsidRPr="00C6336E">
        <w:rPr>
          <w:sz w:val="20"/>
          <w:szCs w:val="20"/>
        </w:rPr>
        <w:t xml:space="preserve"> </w:t>
      </w:r>
      <w:r w:rsidRPr="00C6336E">
        <w:rPr>
          <w:sz w:val="20"/>
          <w:szCs w:val="20"/>
        </w:rPr>
        <w:t>E.,</w:t>
      </w:r>
      <w:r w:rsidR="00A13736" w:rsidRPr="00C6336E">
        <w:rPr>
          <w:sz w:val="20"/>
          <w:szCs w:val="20"/>
        </w:rPr>
        <w:t xml:space="preserve"> </w:t>
      </w:r>
      <w:r w:rsidRPr="00C6336E">
        <w:rPr>
          <w:sz w:val="20"/>
          <w:szCs w:val="20"/>
        </w:rPr>
        <w:t>Ogbemudia,</w:t>
      </w:r>
      <w:r w:rsidR="00A13736" w:rsidRPr="00C6336E">
        <w:rPr>
          <w:sz w:val="20"/>
          <w:szCs w:val="20"/>
        </w:rPr>
        <w:t xml:space="preserve"> </w:t>
      </w:r>
      <w:r w:rsidRPr="00C6336E">
        <w:rPr>
          <w:sz w:val="20"/>
          <w:szCs w:val="20"/>
        </w:rPr>
        <w:t>F.</w:t>
      </w:r>
      <w:r w:rsidR="00A13736" w:rsidRPr="00C6336E">
        <w:rPr>
          <w:sz w:val="20"/>
          <w:szCs w:val="20"/>
        </w:rPr>
        <w:t xml:space="preserve"> </w:t>
      </w:r>
      <w:r w:rsidRPr="00C6336E">
        <w:rPr>
          <w:sz w:val="20"/>
          <w:szCs w:val="20"/>
        </w:rPr>
        <w:t>O.</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Udo,</w:t>
      </w:r>
      <w:r w:rsidR="00A13736" w:rsidRPr="00C6336E">
        <w:rPr>
          <w:sz w:val="20"/>
          <w:szCs w:val="20"/>
        </w:rPr>
        <w:t xml:space="preserve"> </w:t>
      </w:r>
      <w:r w:rsidRPr="00C6336E">
        <w:rPr>
          <w:sz w:val="20"/>
          <w:szCs w:val="20"/>
        </w:rPr>
        <w:t>N.</w:t>
      </w:r>
      <w:r w:rsidR="00A13736" w:rsidRPr="00C6336E">
        <w:rPr>
          <w:sz w:val="20"/>
          <w:szCs w:val="20"/>
        </w:rPr>
        <w:t xml:space="preserve"> </w:t>
      </w:r>
      <w:r w:rsidRPr="00C6336E">
        <w:rPr>
          <w:sz w:val="20"/>
          <w:szCs w:val="20"/>
        </w:rPr>
        <w:t>S.</w:t>
      </w:r>
      <w:r w:rsidR="00A13736" w:rsidRPr="00C6336E">
        <w:rPr>
          <w:sz w:val="20"/>
          <w:szCs w:val="20"/>
        </w:rPr>
        <w:t xml:space="preserve"> </w:t>
      </w:r>
      <w:r w:rsidRPr="00C6336E">
        <w:rPr>
          <w:sz w:val="20"/>
          <w:szCs w:val="20"/>
        </w:rPr>
        <w:t>(2017).</w:t>
      </w:r>
      <w:r w:rsidR="00A13736" w:rsidRPr="00C6336E">
        <w:rPr>
          <w:sz w:val="20"/>
          <w:szCs w:val="20"/>
        </w:rPr>
        <w:t xml:space="preserve"> </w:t>
      </w:r>
      <w:r w:rsidRPr="00C6336E">
        <w:rPr>
          <w:bCs/>
          <w:sz w:val="20"/>
          <w:szCs w:val="20"/>
        </w:rPr>
        <w:t>Influence</w:t>
      </w:r>
      <w:r w:rsidR="00A13736" w:rsidRPr="00C6336E">
        <w:rPr>
          <w:bCs/>
          <w:sz w:val="20"/>
          <w:szCs w:val="20"/>
        </w:rPr>
        <w:t xml:space="preserve"> </w:t>
      </w:r>
      <w:r w:rsidRPr="00C6336E">
        <w:rPr>
          <w:bCs/>
          <w:sz w:val="20"/>
          <w:szCs w:val="20"/>
        </w:rPr>
        <w:t>of</w:t>
      </w:r>
      <w:r w:rsidR="00A13736" w:rsidRPr="00C6336E">
        <w:rPr>
          <w:bCs/>
          <w:sz w:val="20"/>
          <w:szCs w:val="20"/>
        </w:rPr>
        <w:t xml:space="preserve"> </w:t>
      </w:r>
      <w:r w:rsidRPr="00C6336E">
        <w:rPr>
          <w:bCs/>
          <w:sz w:val="20"/>
          <w:szCs w:val="20"/>
        </w:rPr>
        <w:t>Pedological</w:t>
      </w:r>
      <w:r w:rsidR="00A13736" w:rsidRPr="00C6336E">
        <w:rPr>
          <w:bCs/>
          <w:sz w:val="20"/>
          <w:szCs w:val="20"/>
        </w:rPr>
        <w:t xml:space="preserve"> </w:t>
      </w:r>
      <w:r w:rsidRPr="00C6336E">
        <w:rPr>
          <w:bCs/>
          <w:sz w:val="20"/>
          <w:szCs w:val="20"/>
        </w:rPr>
        <w:t>Regimes</w:t>
      </w:r>
      <w:r w:rsidR="00A13736" w:rsidRPr="00C6336E">
        <w:rPr>
          <w:bCs/>
          <w:sz w:val="20"/>
          <w:szCs w:val="20"/>
        </w:rPr>
        <w:t xml:space="preserve"> </w:t>
      </w:r>
      <w:r w:rsidRPr="00C6336E">
        <w:rPr>
          <w:bCs/>
          <w:sz w:val="20"/>
          <w:szCs w:val="20"/>
        </w:rPr>
        <w:t>on</w:t>
      </w:r>
      <w:r w:rsidR="00A13736" w:rsidRPr="00C6336E">
        <w:rPr>
          <w:bCs/>
          <w:sz w:val="20"/>
          <w:szCs w:val="20"/>
        </w:rPr>
        <w:t xml:space="preserve"> </w:t>
      </w:r>
      <w:r w:rsidRPr="00C6336E">
        <w:rPr>
          <w:bCs/>
          <w:sz w:val="20"/>
          <w:szCs w:val="20"/>
        </w:rPr>
        <w:t>Plants</w:t>
      </w:r>
      <w:r w:rsidR="00A13736" w:rsidRPr="00C6336E">
        <w:rPr>
          <w:bCs/>
          <w:sz w:val="20"/>
          <w:szCs w:val="20"/>
        </w:rPr>
        <w:t xml:space="preserve"> </w:t>
      </w:r>
      <w:r w:rsidRPr="00C6336E">
        <w:rPr>
          <w:bCs/>
          <w:sz w:val="20"/>
          <w:szCs w:val="20"/>
        </w:rPr>
        <w:t>Distribution</w:t>
      </w:r>
      <w:r w:rsidR="00A13736" w:rsidRPr="00C6336E">
        <w:rPr>
          <w:bCs/>
          <w:sz w:val="20"/>
          <w:szCs w:val="20"/>
        </w:rPr>
        <w:t xml:space="preserve"> </w:t>
      </w:r>
      <w:r w:rsidRPr="00C6336E">
        <w:rPr>
          <w:bCs/>
          <w:sz w:val="20"/>
          <w:szCs w:val="20"/>
        </w:rPr>
        <w:t>in</w:t>
      </w:r>
      <w:r w:rsidR="00A13736" w:rsidRPr="00C6336E">
        <w:rPr>
          <w:bCs/>
          <w:sz w:val="20"/>
          <w:szCs w:val="20"/>
        </w:rPr>
        <w:t xml:space="preserve"> </w:t>
      </w:r>
      <w:r w:rsidRPr="00C6336E">
        <w:rPr>
          <w:bCs/>
          <w:sz w:val="20"/>
          <w:szCs w:val="20"/>
        </w:rPr>
        <w:t>a</w:t>
      </w:r>
      <w:r w:rsidR="00A13736" w:rsidRPr="00C6336E">
        <w:rPr>
          <w:bCs/>
          <w:sz w:val="20"/>
          <w:szCs w:val="20"/>
        </w:rPr>
        <w:t xml:space="preserve"> </w:t>
      </w:r>
      <w:r w:rsidRPr="00C6336E">
        <w:rPr>
          <w:bCs/>
          <w:sz w:val="20"/>
          <w:szCs w:val="20"/>
        </w:rPr>
        <w:t>Lacustrine</w:t>
      </w:r>
      <w:r w:rsidR="00A13736" w:rsidRPr="00C6336E">
        <w:rPr>
          <w:bCs/>
          <w:sz w:val="20"/>
          <w:szCs w:val="20"/>
        </w:rPr>
        <w:t xml:space="preserve"> </w:t>
      </w:r>
      <w:r w:rsidRPr="00C6336E">
        <w:rPr>
          <w:bCs/>
          <w:sz w:val="20"/>
          <w:szCs w:val="20"/>
        </w:rPr>
        <w:t>Wetland</w:t>
      </w:r>
      <w:r w:rsidR="00A13736" w:rsidRPr="00C6336E">
        <w:rPr>
          <w:bCs/>
          <w:sz w:val="20"/>
          <w:szCs w:val="20"/>
        </w:rPr>
        <w:t xml:space="preserve"> </w:t>
      </w:r>
      <w:r w:rsidRPr="00C6336E">
        <w:rPr>
          <w:bCs/>
          <w:sz w:val="20"/>
          <w:szCs w:val="20"/>
        </w:rPr>
        <w:t>in</w:t>
      </w:r>
      <w:r w:rsidR="00A13736" w:rsidRPr="00C6336E">
        <w:rPr>
          <w:bCs/>
          <w:sz w:val="20"/>
          <w:szCs w:val="20"/>
        </w:rPr>
        <w:t xml:space="preserve"> </w:t>
      </w:r>
      <w:r w:rsidRPr="00C6336E">
        <w:rPr>
          <w:bCs/>
          <w:sz w:val="20"/>
          <w:szCs w:val="20"/>
        </w:rPr>
        <w:t>Uyo,</w:t>
      </w:r>
      <w:r w:rsidR="00A13736" w:rsidRPr="00C6336E">
        <w:rPr>
          <w:bCs/>
          <w:sz w:val="20"/>
          <w:szCs w:val="20"/>
        </w:rPr>
        <w:t xml:space="preserve"> </w:t>
      </w:r>
      <w:r w:rsidRPr="00C6336E">
        <w:rPr>
          <w:bCs/>
          <w:sz w:val="20"/>
          <w:szCs w:val="20"/>
        </w:rPr>
        <w:t>Akwa</w:t>
      </w:r>
      <w:r w:rsidR="00A13736" w:rsidRPr="00C6336E">
        <w:rPr>
          <w:bCs/>
          <w:sz w:val="20"/>
          <w:szCs w:val="20"/>
        </w:rPr>
        <w:t xml:space="preserve"> </w:t>
      </w:r>
      <w:r w:rsidRPr="00C6336E">
        <w:rPr>
          <w:bCs/>
          <w:sz w:val="20"/>
          <w:szCs w:val="20"/>
        </w:rPr>
        <w:t>Ibom</w:t>
      </w:r>
      <w:r w:rsidR="00A13736" w:rsidRPr="00C6336E">
        <w:rPr>
          <w:bCs/>
          <w:sz w:val="20"/>
          <w:szCs w:val="20"/>
        </w:rPr>
        <w:t xml:space="preserve"> </w:t>
      </w:r>
      <w:r w:rsidRPr="00C6336E">
        <w:rPr>
          <w:bCs/>
          <w:sz w:val="20"/>
          <w:szCs w:val="20"/>
        </w:rPr>
        <w:t>State,</w:t>
      </w:r>
      <w:r w:rsidR="00A13736" w:rsidRPr="00C6336E">
        <w:rPr>
          <w:sz w:val="20"/>
          <w:szCs w:val="20"/>
        </w:rPr>
        <w:t xml:space="preserve"> </w:t>
      </w:r>
      <w:r w:rsidRPr="00C6336E">
        <w:rPr>
          <w:bCs/>
          <w:sz w:val="20"/>
          <w:szCs w:val="20"/>
        </w:rPr>
        <w:t>Nigeria.</w:t>
      </w:r>
      <w:r w:rsidR="00A13736" w:rsidRPr="00C6336E">
        <w:rPr>
          <w:bCs/>
          <w:sz w:val="20"/>
          <w:szCs w:val="20"/>
        </w:rPr>
        <w:t xml:space="preserve"> </w:t>
      </w:r>
      <w:r w:rsidRPr="00C6336E">
        <w:rPr>
          <w:bCs/>
          <w:i/>
          <w:sz w:val="20"/>
          <w:szCs w:val="20"/>
        </w:rPr>
        <w:t>Researcher</w:t>
      </w:r>
      <w:r w:rsidRPr="00C6336E">
        <w:rPr>
          <w:bCs/>
          <w:sz w:val="20"/>
          <w:szCs w:val="20"/>
        </w:rPr>
        <w:t>,</w:t>
      </w:r>
      <w:r w:rsidR="00A13736" w:rsidRPr="00C6336E">
        <w:rPr>
          <w:bCs/>
          <w:sz w:val="20"/>
          <w:szCs w:val="20"/>
        </w:rPr>
        <w:t xml:space="preserve"> </w:t>
      </w:r>
      <w:r w:rsidRPr="00C6336E">
        <w:rPr>
          <w:bCs/>
          <w:sz w:val="20"/>
          <w:szCs w:val="20"/>
        </w:rPr>
        <w:t>9(8):</w:t>
      </w:r>
      <w:r w:rsidR="00A13736" w:rsidRPr="00C6336E">
        <w:rPr>
          <w:bCs/>
          <w:sz w:val="20"/>
          <w:szCs w:val="20"/>
        </w:rPr>
        <w:t xml:space="preserve"> </w:t>
      </w:r>
      <w:r w:rsidRPr="00C6336E">
        <w:rPr>
          <w:bCs/>
          <w:sz w:val="20"/>
          <w:szCs w:val="20"/>
        </w:rPr>
        <w:t>16</w:t>
      </w:r>
      <w:r w:rsidR="00A13736" w:rsidRPr="00C6336E">
        <w:rPr>
          <w:bCs/>
          <w:sz w:val="20"/>
          <w:szCs w:val="20"/>
        </w:rPr>
        <w:t xml:space="preserve"> </w:t>
      </w:r>
      <w:r w:rsidRPr="00C6336E">
        <w:rPr>
          <w:bCs/>
          <w:sz w:val="20"/>
          <w:szCs w:val="20"/>
        </w:rPr>
        <w:t>–</w:t>
      </w:r>
      <w:r w:rsidR="00A13736" w:rsidRPr="00C6336E">
        <w:rPr>
          <w:bCs/>
          <w:sz w:val="20"/>
          <w:szCs w:val="20"/>
        </w:rPr>
        <w:t xml:space="preserve"> </w:t>
      </w:r>
      <w:r w:rsidRPr="00C6336E">
        <w:rPr>
          <w:bCs/>
          <w:sz w:val="20"/>
          <w:szCs w:val="20"/>
        </w:rPr>
        <w:t>21.</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lastRenderedPageBreak/>
        <w:t>Molles</w:t>
      </w:r>
      <w:r w:rsidR="00A13736" w:rsidRPr="00C6336E">
        <w:rPr>
          <w:sz w:val="20"/>
          <w:szCs w:val="20"/>
        </w:rPr>
        <w:t xml:space="preserve"> </w:t>
      </w:r>
      <w:r w:rsidRPr="00C6336E">
        <w:rPr>
          <w:sz w:val="20"/>
          <w:szCs w:val="20"/>
        </w:rPr>
        <w:t>M.</w:t>
      </w:r>
      <w:r w:rsidR="00A13736" w:rsidRPr="00C6336E">
        <w:rPr>
          <w:sz w:val="20"/>
          <w:szCs w:val="20"/>
        </w:rPr>
        <w:t xml:space="preserve"> </w:t>
      </w:r>
      <w:r w:rsidRPr="00C6336E">
        <w:rPr>
          <w:sz w:val="20"/>
          <w:szCs w:val="20"/>
        </w:rPr>
        <w:t>C.</w:t>
      </w:r>
      <w:r w:rsidR="00A13736" w:rsidRPr="00C6336E">
        <w:rPr>
          <w:sz w:val="20"/>
          <w:szCs w:val="20"/>
        </w:rPr>
        <w:t xml:space="preserve"> </w:t>
      </w:r>
      <w:r w:rsidRPr="00C6336E">
        <w:rPr>
          <w:sz w:val="20"/>
          <w:szCs w:val="20"/>
        </w:rPr>
        <w:t>(1999).</w:t>
      </w:r>
      <w:r w:rsidR="00A13736" w:rsidRPr="00C6336E">
        <w:rPr>
          <w:sz w:val="20"/>
          <w:szCs w:val="20"/>
        </w:rPr>
        <w:t xml:space="preserve"> </w:t>
      </w:r>
      <w:r w:rsidRPr="00C6336E">
        <w:rPr>
          <w:sz w:val="20"/>
          <w:szCs w:val="20"/>
        </w:rPr>
        <w:t>Ecology,</w:t>
      </w:r>
      <w:r w:rsidR="00A13736" w:rsidRPr="00C6336E">
        <w:rPr>
          <w:sz w:val="20"/>
          <w:szCs w:val="20"/>
        </w:rPr>
        <w:t xml:space="preserve"> </w:t>
      </w:r>
      <w:r w:rsidRPr="00C6336E">
        <w:rPr>
          <w:sz w:val="20"/>
          <w:szCs w:val="20"/>
        </w:rPr>
        <w:t>Concepts</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Applications.</w:t>
      </w:r>
      <w:r w:rsidR="00A13736" w:rsidRPr="00C6336E">
        <w:rPr>
          <w:sz w:val="20"/>
          <w:szCs w:val="20"/>
        </w:rPr>
        <w:t xml:space="preserve"> </w:t>
      </w:r>
      <w:r w:rsidRPr="00C6336E">
        <w:rPr>
          <w:sz w:val="20"/>
          <w:szCs w:val="20"/>
        </w:rPr>
        <w:t>International</w:t>
      </w:r>
      <w:r w:rsidR="00A13736" w:rsidRPr="00C6336E">
        <w:rPr>
          <w:sz w:val="20"/>
          <w:szCs w:val="20"/>
        </w:rPr>
        <w:t xml:space="preserve"> </w:t>
      </w:r>
      <w:r w:rsidRPr="00C6336E">
        <w:rPr>
          <w:sz w:val="20"/>
          <w:szCs w:val="20"/>
        </w:rPr>
        <w:t>Edition,</w:t>
      </w:r>
      <w:r w:rsidR="00A13736" w:rsidRPr="00C6336E">
        <w:rPr>
          <w:sz w:val="20"/>
          <w:szCs w:val="20"/>
        </w:rPr>
        <w:t xml:space="preserve"> </w:t>
      </w:r>
      <w:r w:rsidRPr="00C6336E">
        <w:rPr>
          <w:sz w:val="20"/>
          <w:szCs w:val="20"/>
        </w:rPr>
        <w:t>WCB/McGraw</w:t>
      </w:r>
      <w:r w:rsidR="00A13736" w:rsidRPr="00C6336E">
        <w:rPr>
          <w:sz w:val="20"/>
          <w:szCs w:val="20"/>
        </w:rPr>
        <w:t xml:space="preserve"> </w:t>
      </w:r>
      <w:r w:rsidRPr="00C6336E">
        <w:rPr>
          <w:sz w:val="20"/>
          <w:szCs w:val="20"/>
        </w:rPr>
        <w:t>Hill</w:t>
      </w:r>
      <w:r w:rsidR="00A13736" w:rsidRPr="00C6336E">
        <w:rPr>
          <w:sz w:val="20"/>
          <w:szCs w:val="20"/>
        </w:rPr>
        <w:t xml:space="preserve"> </w:t>
      </w:r>
      <w:r w:rsidRPr="00C6336E">
        <w:rPr>
          <w:sz w:val="20"/>
          <w:szCs w:val="20"/>
        </w:rPr>
        <w:t>Companies</w:t>
      </w:r>
      <w:r w:rsidR="00A13736" w:rsidRPr="00C6336E">
        <w:rPr>
          <w:sz w:val="20"/>
          <w:szCs w:val="20"/>
        </w:rPr>
        <w:t xml:space="preserve"> </w:t>
      </w:r>
      <w:r w:rsidRPr="00C6336E">
        <w:rPr>
          <w:sz w:val="20"/>
          <w:szCs w:val="20"/>
        </w:rPr>
        <w:t>Inc.,</w:t>
      </w:r>
      <w:r w:rsidR="00A13736" w:rsidRPr="00C6336E">
        <w:rPr>
          <w:sz w:val="20"/>
          <w:szCs w:val="20"/>
        </w:rPr>
        <w:t xml:space="preserve"> </w:t>
      </w:r>
      <w:r w:rsidRPr="00C6336E">
        <w:rPr>
          <w:sz w:val="20"/>
          <w:szCs w:val="20"/>
        </w:rPr>
        <w:t>Boston,</w:t>
      </w:r>
      <w:r w:rsidR="00A13736" w:rsidRPr="00C6336E">
        <w:rPr>
          <w:sz w:val="20"/>
          <w:szCs w:val="20"/>
        </w:rPr>
        <w:t xml:space="preserve"> </w:t>
      </w:r>
      <w:r w:rsidRPr="00C6336E">
        <w:rPr>
          <w:sz w:val="20"/>
          <w:szCs w:val="20"/>
        </w:rPr>
        <w:t>USA.</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Mouillot</w:t>
      </w:r>
      <w:r w:rsidR="00A13736" w:rsidRPr="00C6336E">
        <w:rPr>
          <w:sz w:val="20"/>
          <w:szCs w:val="20"/>
        </w:rPr>
        <w:t xml:space="preserve"> </w:t>
      </w:r>
      <w:r w:rsidRPr="00C6336E">
        <w:rPr>
          <w:sz w:val="20"/>
          <w:szCs w:val="20"/>
        </w:rPr>
        <w:t>D.</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Leprêtre</w:t>
      </w:r>
      <w:r w:rsidR="00A13736" w:rsidRPr="00C6336E">
        <w:rPr>
          <w:sz w:val="20"/>
          <w:szCs w:val="20"/>
        </w:rPr>
        <w:t xml:space="preserve"> </w:t>
      </w:r>
      <w:r w:rsidRPr="00C6336E">
        <w:rPr>
          <w:sz w:val="20"/>
          <w:szCs w:val="20"/>
        </w:rPr>
        <w:t>A.</w:t>
      </w:r>
      <w:r w:rsidR="00A13736" w:rsidRPr="00C6336E">
        <w:rPr>
          <w:sz w:val="20"/>
          <w:szCs w:val="20"/>
        </w:rPr>
        <w:t xml:space="preserve"> </w:t>
      </w:r>
      <w:r w:rsidRPr="00C6336E">
        <w:rPr>
          <w:sz w:val="20"/>
          <w:szCs w:val="20"/>
        </w:rPr>
        <w:t>1999.</w:t>
      </w:r>
      <w:r w:rsidR="00A13736" w:rsidRPr="00C6336E">
        <w:rPr>
          <w:sz w:val="20"/>
          <w:szCs w:val="20"/>
        </w:rPr>
        <w:t xml:space="preserve"> </w:t>
      </w:r>
      <w:r w:rsidRPr="00C6336E">
        <w:rPr>
          <w:sz w:val="20"/>
          <w:szCs w:val="20"/>
        </w:rPr>
        <w:t>A</w:t>
      </w:r>
      <w:r w:rsidR="00A13736" w:rsidRPr="00C6336E">
        <w:rPr>
          <w:sz w:val="20"/>
          <w:szCs w:val="20"/>
        </w:rPr>
        <w:t xml:space="preserve"> </w:t>
      </w:r>
      <w:r w:rsidRPr="00C6336E">
        <w:rPr>
          <w:sz w:val="20"/>
          <w:szCs w:val="20"/>
        </w:rPr>
        <w:t>comparison</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species</w:t>
      </w:r>
      <w:r w:rsidR="00A13736" w:rsidRPr="00C6336E">
        <w:rPr>
          <w:sz w:val="20"/>
          <w:szCs w:val="20"/>
        </w:rPr>
        <w:t xml:space="preserve"> </w:t>
      </w:r>
      <w:r w:rsidRPr="00C6336E">
        <w:rPr>
          <w:sz w:val="20"/>
          <w:szCs w:val="20"/>
        </w:rPr>
        <w:t>diversity</w:t>
      </w:r>
      <w:r w:rsidR="00A13736" w:rsidRPr="00C6336E">
        <w:rPr>
          <w:sz w:val="20"/>
          <w:szCs w:val="20"/>
        </w:rPr>
        <w:t xml:space="preserve"> </w:t>
      </w:r>
      <w:r w:rsidRPr="00C6336E">
        <w:rPr>
          <w:sz w:val="20"/>
          <w:szCs w:val="20"/>
        </w:rPr>
        <w:t>estimators.</w:t>
      </w:r>
      <w:r w:rsidR="00A13736" w:rsidRPr="00C6336E">
        <w:rPr>
          <w:sz w:val="20"/>
          <w:szCs w:val="20"/>
        </w:rPr>
        <w:t xml:space="preserve"> </w:t>
      </w:r>
      <w:r w:rsidRPr="00C6336E">
        <w:rPr>
          <w:i/>
          <w:sz w:val="20"/>
          <w:szCs w:val="20"/>
        </w:rPr>
        <w:t>Res.</w:t>
      </w:r>
      <w:r w:rsidR="00A13736" w:rsidRPr="00C6336E">
        <w:rPr>
          <w:i/>
          <w:sz w:val="20"/>
          <w:szCs w:val="20"/>
        </w:rPr>
        <w:t xml:space="preserve"> </w:t>
      </w:r>
      <w:r w:rsidRPr="00C6336E">
        <w:rPr>
          <w:i/>
          <w:sz w:val="20"/>
          <w:szCs w:val="20"/>
        </w:rPr>
        <w:t>Popul.</w:t>
      </w:r>
      <w:r w:rsidR="00A13736" w:rsidRPr="00C6336E">
        <w:rPr>
          <w:i/>
          <w:sz w:val="20"/>
          <w:szCs w:val="20"/>
        </w:rPr>
        <w:t xml:space="preserve"> </w:t>
      </w:r>
      <w:r w:rsidRPr="00C6336E">
        <w:rPr>
          <w:i/>
          <w:sz w:val="20"/>
          <w:szCs w:val="20"/>
        </w:rPr>
        <w:t>Ecol</w:t>
      </w:r>
      <w:r w:rsidRPr="00C6336E">
        <w:rPr>
          <w:sz w:val="20"/>
          <w:szCs w:val="20"/>
        </w:rPr>
        <w:t>.,</w:t>
      </w:r>
      <w:r w:rsidR="00A13736" w:rsidRPr="00C6336E">
        <w:rPr>
          <w:sz w:val="20"/>
          <w:szCs w:val="20"/>
        </w:rPr>
        <w:t xml:space="preserve"> </w:t>
      </w:r>
      <w:r w:rsidRPr="00C6336E">
        <w:rPr>
          <w:sz w:val="20"/>
          <w:szCs w:val="20"/>
        </w:rPr>
        <w:t>41(2):</w:t>
      </w:r>
      <w:r w:rsidR="00A13736" w:rsidRPr="00C6336E">
        <w:rPr>
          <w:sz w:val="20"/>
          <w:szCs w:val="20"/>
        </w:rPr>
        <w:t xml:space="preserve"> </w:t>
      </w:r>
      <w:r w:rsidRPr="00C6336E">
        <w:rPr>
          <w:sz w:val="20"/>
          <w:szCs w:val="20"/>
        </w:rPr>
        <w:t>203–215.</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Nagendra</w:t>
      </w:r>
      <w:r w:rsidR="00A13736" w:rsidRPr="00C6336E">
        <w:rPr>
          <w:sz w:val="20"/>
          <w:szCs w:val="20"/>
        </w:rPr>
        <w:t xml:space="preserve"> </w:t>
      </w:r>
      <w:r w:rsidRPr="00C6336E">
        <w:rPr>
          <w:sz w:val="20"/>
          <w:szCs w:val="20"/>
        </w:rPr>
        <w:t>H.</w:t>
      </w:r>
      <w:r w:rsidR="00A13736" w:rsidRPr="00C6336E">
        <w:rPr>
          <w:sz w:val="20"/>
          <w:szCs w:val="20"/>
        </w:rPr>
        <w:t xml:space="preserve"> </w:t>
      </w:r>
      <w:r w:rsidRPr="00C6336E">
        <w:rPr>
          <w:sz w:val="20"/>
          <w:szCs w:val="20"/>
        </w:rPr>
        <w:t>(2002).</w:t>
      </w:r>
      <w:r w:rsidR="00A13736" w:rsidRPr="00C6336E">
        <w:rPr>
          <w:sz w:val="20"/>
          <w:szCs w:val="20"/>
        </w:rPr>
        <w:t xml:space="preserve"> </w:t>
      </w:r>
      <w:r w:rsidRPr="00C6336E">
        <w:rPr>
          <w:sz w:val="20"/>
          <w:szCs w:val="20"/>
        </w:rPr>
        <w:t>Opposite</w:t>
      </w:r>
      <w:r w:rsidR="00A13736" w:rsidRPr="00C6336E">
        <w:rPr>
          <w:sz w:val="20"/>
          <w:szCs w:val="20"/>
        </w:rPr>
        <w:t xml:space="preserve"> </w:t>
      </w:r>
      <w:r w:rsidRPr="00C6336E">
        <w:rPr>
          <w:sz w:val="20"/>
          <w:szCs w:val="20"/>
        </w:rPr>
        <w:t>trends</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response</w:t>
      </w:r>
      <w:r w:rsidR="00A13736" w:rsidRPr="00C6336E">
        <w:rPr>
          <w:sz w:val="20"/>
          <w:szCs w:val="20"/>
        </w:rPr>
        <w:t xml:space="preserve"> </w:t>
      </w:r>
      <w:r w:rsidRPr="00C6336E">
        <w:rPr>
          <w:sz w:val="20"/>
          <w:szCs w:val="20"/>
        </w:rPr>
        <w:t>for</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Shannon</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Simpson</w:t>
      </w:r>
      <w:r w:rsidR="00A13736" w:rsidRPr="00C6336E">
        <w:rPr>
          <w:sz w:val="20"/>
          <w:szCs w:val="20"/>
        </w:rPr>
        <w:t xml:space="preserve"> </w:t>
      </w:r>
      <w:r w:rsidRPr="00C6336E">
        <w:rPr>
          <w:sz w:val="20"/>
          <w:szCs w:val="20"/>
        </w:rPr>
        <w:t>indices</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landscape</w:t>
      </w:r>
      <w:r w:rsidR="00A13736" w:rsidRPr="00C6336E">
        <w:rPr>
          <w:sz w:val="20"/>
          <w:szCs w:val="20"/>
        </w:rPr>
        <w:t xml:space="preserve"> </w:t>
      </w:r>
      <w:r w:rsidRPr="00C6336E">
        <w:rPr>
          <w:sz w:val="20"/>
          <w:szCs w:val="20"/>
        </w:rPr>
        <w:t>diversity.</w:t>
      </w:r>
      <w:r w:rsidR="00A13736" w:rsidRPr="00C6336E">
        <w:rPr>
          <w:sz w:val="20"/>
          <w:szCs w:val="20"/>
        </w:rPr>
        <w:t xml:space="preserve"> </w:t>
      </w:r>
      <w:r w:rsidRPr="00C6336E">
        <w:rPr>
          <w:i/>
          <w:sz w:val="20"/>
          <w:szCs w:val="20"/>
        </w:rPr>
        <w:t>Appl.</w:t>
      </w:r>
      <w:r w:rsidR="00A13736" w:rsidRPr="00C6336E">
        <w:rPr>
          <w:i/>
          <w:sz w:val="20"/>
          <w:szCs w:val="20"/>
        </w:rPr>
        <w:t xml:space="preserve"> </w:t>
      </w:r>
      <w:r w:rsidRPr="00C6336E">
        <w:rPr>
          <w:i/>
          <w:sz w:val="20"/>
          <w:szCs w:val="20"/>
        </w:rPr>
        <w:t>Geog</w:t>
      </w:r>
      <w:r w:rsidRPr="00C6336E">
        <w:rPr>
          <w:sz w:val="20"/>
          <w:szCs w:val="20"/>
        </w:rPr>
        <w:t>.,</w:t>
      </w:r>
      <w:r w:rsidR="00A13736" w:rsidRPr="00C6336E">
        <w:rPr>
          <w:sz w:val="20"/>
          <w:szCs w:val="20"/>
        </w:rPr>
        <w:t xml:space="preserve"> </w:t>
      </w:r>
      <w:r w:rsidRPr="00C6336E">
        <w:rPr>
          <w:sz w:val="20"/>
          <w:szCs w:val="20"/>
        </w:rPr>
        <w:t>22(2):</w:t>
      </w:r>
      <w:r w:rsidR="00A13736" w:rsidRPr="00C6336E">
        <w:rPr>
          <w:sz w:val="20"/>
          <w:szCs w:val="20"/>
        </w:rPr>
        <w:t xml:space="preserve"> </w:t>
      </w:r>
      <w:r w:rsidRPr="00C6336E">
        <w:rPr>
          <w:sz w:val="20"/>
          <w:szCs w:val="20"/>
        </w:rPr>
        <w:t>175–186.</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Ramsar</w:t>
      </w:r>
      <w:r w:rsidR="00A13736" w:rsidRPr="00C6336E">
        <w:rPr>
          <w:sz w:val="20"/>
          <w:szCs w:val="20"/>
        </w:rPr>
        <w:t xml:space="preserve"> </w:t>
      </w:r>
      <w:r w:rsidRPr="00C6336E">
        <w:rPr>
          <w:sz w:val="20"/>
          <w:szCs w:val="20"/>
        </w:rPr>
        <w:t>(2011).</w:t>
      </w:r>
      <w:r w:rsidR="00A13736" w:rsidRPr="00C6336E">
        <w:rPr>
          <w:sz w:val="20"/>
          <w:szCs w:val="20"/>
        </w:rPr>
        <w:t xml:space="preserve"> </w:t>
      </w:r>
      <w:r w:rsidRPr="00C6336E">
        <w:rPr>
          <w:i/>
          <w:sz w:val="20"/>
          <w:szCs w:val="20"/>
        </w:rPr>
        <w:t>The</w:t>
      </w:r>
      <w:r w:rsidR="00A13736" w:rsidRPr="00C6336E">
        <w:rPr>
          <w:i/>
          <w:sz w:val="20"/>
          <w:szCs w:val="20"/>
        </w:rPr>
        <w:t xml:space="preserve"> </w:t>
      </w:r>
      <w:r w:rsidRPr="00C6336E">
        <w:rPr>
          <w:i/>
          <w:sz w:val="20"/>
          <w:szCs w:val="20"/>
        </w:rPr>
        <w:t>Ramsar</w:t>
      </w:r>
      <w:r w:rsidR="00A13736" w:rsidRPr="00C6336E">
        <w:rPr>
          <w:i/>
          <w:sz w:val="20"/>
          <w:szCs w:val="20"/>
        </w:rPr>
        <w:t xml:space="preserve"> </w:t>
      </w:r>
      <w:r w:rsidRPr="00C6336E">
        <w:rPr>
          <w:i/>
          <w:sz w:val="20"/>
          <w:szCs w:val="20"/>
        </w:rPr>
        <w:t>Manual,</w:t>
      </w:r>
      <w:r w:rsidR="00A13736" w:rsidRPr="00C6336E">
        <w:rPr>
          <w:i/>
          <w:sz w:val="20"/>
          <w:szCs w:val="20"/>
        </w:rPr>
        <w:t xml:space="preserve"> </w:t>
      </w:r>
      <w:r w:rsidRPr="00C6336E">
        <w:rPr>
          <w:i/>
          <w:sz w:val="20"/>
          <w:szCs w:val="20"/>
        </w:rPr>
        <w:t>Ramsar</w:t>
      </w:r>
      <w:r w:rsidR="00A13736" w:rsidRPr="00C6336E">
        <w:rPr>
          <w:i/>
          <w:sz w:val="20"/>
          <w:szCs w:val="20"/>
        </w:rPr>
        <w:t xml:space="preserve"> </w:t>
      </w:r>
      <w:r w:rsidRPr="00C6336E">
        <w:rPr>
          <w:i/>
          <w:sz w:val="20"/>
          <w:szCs w:val="20"/>
        </w:rPr>
        <w:t>and</w:t>
      </w:r>
      <w:r w:rsidR="00A13736" w:rsidRPr="00C6336E">
        <w:rPr>
          <w:i/>
          <w:sz w:val="20"/>
          <w:szCs w:val="20"/>
        </w:rPr>
        <w:t xml:space="preserve"> </w:t>
      </w:r>
      <w:r w:rsidRPr="00C6336E">
        <w:rPr>
          <w:i/>
          <w:sz w:val="20"/>
          <w:szCs w:val="20"/>
        </w:rPr>
        <w:t>Its</w:t>
      </w:r>
      <w:r w:rsidR="00A13736" w:rsidRPr="00C6336E">
        <w:rPr>
          <w:i/>
          <w:sz w:val="20"/>
          <w:szCs w:val="20"/>
        </w:rPr>
        <w:t xml:space="preserve"> </w:t>
      </w:r>
      <w:r w:rsidRPr="00C6336E">
        <w:rPr>
          <w:i/>
          <w:sz w:val="20"/>
          <w:szCs w:val="20"/>
        </w:rPr>
        <w:t>mission,</w:t>
      </w:r>
      <w:r w:rsidR="00A13736" w:rsidRPr="00C6336E">
        <w:rPr>
          <w:i/>
          <w:sz w:val="20"/>
          <w:szCs w:val="20"/>
        </w:rPr>
        <w:t xml:space="preserve"> </w:t>
      </w:r>
      <w:r w:rsidRPr="00C6336E">
        <w:rPr>
          <w:i/>
          <w:sz w:val="20"/>
          <w:szCs w:val="20"/>
        </w:rPr>
        <w:t>Brief</w:t>
      </w:r>
      <w:r w:rsidR="00A13736" w:rsidRPr="00C6336E">
        <w:rPr>
          <w:i/>
          <w:sz w:val="20"/>
          <w:szCs w:val="20"/>
        </w:rPr>
        <w:t xml:space="preserve"> </w:t>
      </w:r>
      <w:r w:rsidRPr="00C6336E">
        <w:rPr>
          <w:i/>
          <w:sz w:val="20"/>
          <w:szCs w:val="20"/>
        </w:rPr>
        <w:t>History.</w:t>
      </w:r>
      <w:r w:rsidR="00A13736" w:rsidRPr="00C6336E">
        <w:rPr>
          <w:i/>
          <w:sz w:val="20"/>
          <w:szCs w:val="20"/>
        </w:rPr>
        <w:t xml:space="preserve"> </w:t>
      </w:r>
      <w:r w:rsidRPr="00C6336E">
        <w:rPr>
          <w:sz w:val="20"/>
          <w:szCs w:val="20"/>
        </w:rPr>
        <w:t>http://www.ramsar.org/cda/en/ramsar-march11/main/ramsar/1%5E250444000</w:t>
      </w:r>
      <w:r w:rsidR="00A13736" w:rsidRPr="00C6336E">
        <w:rPr>
          <w:sz w:val="20"/>
          <w:szCs w:val="20"/>
        </w:rPr>
        <w:t xml:space="preserve"> </w:t>
      </w:r>
      <w:r w:rsidRPr="00C6336E">
        <w:rPr>
          <w:sz w:val="20"/>
          <w:szCs w:val="20"/>
        </w:rPr>
        <w:t>0.</w:t>
      </w:r>
      <w:r w:rsidR="00A13736" w:rsidRPr="00C6336E">
        <w:rPr>
          <w:sz w:val="20"/>
          <w:szCs w:val="20"/>
        </w:rPr>
        <w:t xml:space="preserve"> </w:t>
      </w:r>
      <w:r w:rsidRPr="00C6336E">
        <w:rPr>
          <w:sz w:val="20"/>
          <w:szCs w:val="20"/>
        </w:rPr>
        <w:t>Last</w:t>
      </w:r>
      <w:r w:rsidR="00A13736" w:rsidRPr="00C6336E">
        <w:rPr>
          <w:sz w:val="20"/>
          <w:szCs w:val="20"/>
        </w:rPr>
        <w:t xml:space="preserve"> </w:t>
      </w:r>
      <w:r w:rsidRPr="00C6336E">
        <w:rPr>
          <w:sz w:val="20"/>
          <w:szCs w:val="20"/>
        </w:rPr>
        <w:t>accessed</w:t>
      </w:r>
      <w:r w:rsidR="00A13736" w:rsidRPr="00C6336E">
        <w:rPr>
          <w:sz w:val="20"/>
          <w:szCs w:val="20"/>
        </w:rPr>
        <w:t xml:space="preserve"> </w:t>
      </w:r>
      <w:r w:rsidRPr="00C6336E">
        <w:rPr>
          <w:sz w:val="20"/>
          <w:szCs w:val="20"/>
        </w:rPr>
        <w:t>February</w:t>
      </w:r>
      <w:r w:rsidR="00A13736" w:rsidRPr="00C6336E">
        <w:rPr>
          <w:sz w:val="20"/>
          <w:szCs w:val="20"/>
        </w:rPr>
        <w:t xml:space="preserve"> </w:t>
      </w:r>
      <w:r w:rsidRPr="00C6336E">
        <w:rPr>
          <w:sz w:val="20"/>
          <w:szCs w:val="20"/>
        </w:rPr>
        <w:t>20,</w:t>
      </w:r>
      <w:r w:rsidR="00A13736" w:rsidRPr="00C6336E">
        <w:rPr>
          <w:sz w:val="20"/>
          <w:szCs w:val="20"/>
        </w:rPr>
        <w:t xml:space="preserve"> </w:t>
      </w:r>
      <w:r w:rsidRPr="00C6336E">
        <w:rPr>
          <w:sz w:val="20"/>
          <w:szCs w:val="20"/>
        </w:rPr>
        <w:t>2018.</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Rozpondek,</w:t>
      </w:r>
      <w:r w:rsidR="00A13736" w:rsidRPr="00C6336E">
        <w:rPr>
          <w:sz w:val="20"/>
          <w:szCs w:val="20"/>
        </w:rPr>
        <w:t xml:space="preserve"> </w:t>
      </w:r>
      <w:r w:rsidRPr="00C6336E">
        <w:rPr>
          <w:sz w:val="20"/>
          <w:szCs w:val="20"/>
        </w:rPr>
        <w:t>K.</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Wancisiewicz,</w:t>
      </w:r>
      <w:r w:rsidR="00A13736" w:rsidRPr="00C6336E">
        <w:rPr>
          <w:sz w:val="20"/>
          <w:szCs w:val="20"/>
        </w:rPr>
        <w:t xml:space="preserve"> </w:t>
      </w:r>
      <w:r w:rsidRPr="00C6336E">
        <w:rPr>
          <w:sz w:val="20"/>
          <w:szCs w:val="20"/>
        </w:rPr>
        <w:t>K.</w:t>
      </w:r>
      <w:r w:rsidR="00A13736" w:rsidRPr="00C6336E">
        <w:rPr>
          <w:sz w:val="20"/>
          <w:szCs w:val="20"/>
        </w:rPr>
        <w:t xml:space="preserve"> </w:t>
      </w:r>
      <w:r w:rsidRPr="00C6336E">
        <w:rPr>
          <w:sz w:val="20"/>
          <w:szCs w:val="20"/>
        </w:rPr>
        <w:t>(2016).</w:t>
      </w:r>
      <w:r w:rsidR="00A13736" w:rsidRPr="00C6336E">
        <w:rPr>
          <w:sz w:val="20"/>
          <w:szCs w:val="20"/>
        </w:rPr>
        <w:t xml:space="preserve"> </w:t>
      </w:r>
      <w:r w:rsidRPr="00C6336E">
        <w:rPr>
          <w:sz w:val="20"/>
          <w:szCs w:val="20"/>
        </w:rPr>
        <w:t>Analysis</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distribution</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impurities</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bottom</w:t>
      </w:r>
      <w:r w:rsidR="00A13736" w:rsidRPr="00C6336E">
        <w:rPr>
          <w:sz w:val="20"/>
          <w:szCs w:val="20"/>
        </w:rPr>
        <w:t xml:space="preserve"> </w:t>
      </w:r>
      <w:r w:rsidRPr="00C6336E">
        <w:rPr>
          <w:sz w:val="20"/>
          <w:szCs w:val="20"/>
        </w:rPr>
        <w:t>sediments</w:t>
      </w:r>
      <w:r w:rsidR="00A13736" w:rsidRPr="00C6336E">
        <w:rPr>
          <w:sz w:val="20"/>
          <w:szCs w:val="20"/>
        </w:rPr>
        <w:t xml:space="preserve"> </w:t>
      </w:r>
      <w:r w:rsidRPr="00C6336E">
        <w:rPr>
          <w:sz w:val="20"/>
          <w:szCs w:val="20"/>
        </w:rPr>
        <w:t>using</w:t>
      </w:r>
      <w:r w:rsidR="00A13736" w:rsidRPr="00C6336E">
        <w:rPr>
          <w:sz w:val="20"/>
          <w:szCs w:val="20"/>
        </w:rPr>
        <w:t xml:space="preserve"> </w:t>
      </w:r>
      <w:r w:rsidRPr="00C6336E">
        <w:rPr>
          <w:sz w:val="20"/>
          <w:szCs w:val="20"/>
        </w:rPr>
        <w:t>a</w:t>
      </w:r>
      <w:r w:rsidR="00A13736" w:rsidRPr="00C6336E">
        <w:rPr>
          <w:sz w:val="20"/>
          <w:szCs w:val="20"/>
        </w:rPr>
        <w:t xml:space="preserve"> </w:t>
      </w:r>
      <w:r w:rsidRPr="00C6336E">
        <w:rPr>
          <w:sz w:val="20"/>
          <w:szCs w:val="20"/>
        </w:rPr>
        <w:t>GIS</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coastal</w:t>
      </w:r>
      <w:r w:rsidR="00A13736" w:rsidRPr="00C6336E">
        <w:rPr>
          <w:sz w:val="20"/>
          <w:szCs w:val="20"/>
        </w:rPr>
        <w:t xml:space="preserve"> </w:t>
      </w:r>
      <w:r w:rsidRPr="00C6336E">
        <w:rPr>
          <w:sz w:val="20"/>
          <w:szCs w:val="20"/>
        </w:rPr>
        <w:t>zone</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a</w:t>
      </w:r>
      <w:r w:rsidR="00A13736" w:rsidRPr="00C6336E">
        <w:rPr>
          <w:sz w:val="20"/>
          <w:szCs w:val="20"/>
        </w:rPr>
        <w:t xml:space="preserve"> </w:t>
      </w:r>
      <w:r w:rsidRPr="00C6336E">
        <w:rPr>
          <w:sz w:val="20"/>
          <w:szCs w:val="20"/>
        </w:rPr>
        <w:t>body</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water</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river</w:t>
      </w:r>
      <w:r w:rsidR="00A13736" w:rsidRPr="00C6336E">
        <w:rPr>
          <w:sz w:val="20"/>
          <w:szCs w:val="20"/>
        </w:rPr>
        <w:t xml:space="preserve"> </w:t>
      </w:r>
      <w:r w:rsidRPr="00C6336E">
        <w:rPr>
          <w:sz w:val="20"/>
          <w:szCs w:val="20"/>
        </w:rPr>
        <w:t>Ostrows</w:t>
      </w:r>
      <w:r w:rsidR="00A13736" w:rsidRPr="00C6336E">
        <w:rPr>
          <w:sz w:val="20"/>
          <w:szCs w:val="20"/>
        </w:rPr>
        <w:t xml:space="preserve"> </w:t>
      </w:r>
      <w:r w:rsidRPr="00C6336E">
        <w:rPr>
          <w:sz w:val="20"/>
          <w:szCs w:val="20"/>
        </w:rPr>
        <w:t>Osza</w:t>
      </w:r>
      <w:r w:rsidR="00A13736" w:rsidRPr="00C6336E">
        <w:rPr>
          <w:sz w:val="20"/>
          <w:szCs w:val="20"/>
        </w:rPr>
        <w:t xml:space="preserve"> </w:t>
      </w:r>
      <w:r w:rsidRPr="00C6336E">
        <w:rPr>
          <w:sz w:val="20"/>
          <w:szCs w:val="20"/>
        </w:rPr>
        <w:t>White.</w:t>
      </w:r>
      <w:r w:rsidR="00A13736" w:rsidRPr="00C6336E">
        <w:rPr>
          <w:sz w:val="20"/>
          <w:szCs w:val="20"/>
        </w:rPr>
        <w:t xml:space="preserve"> </w:t>
      </w:r>
      <w:r w:rsidRPr="00C6336E">
        <w:rPr>
          <w:i/>
          <w:sz w:val="20"/>
          <w:szCs w:val="20"/>
        </w:rPr>
        <w:t>Engineering</w:t>
      </w:r>
      <w:r w:rsidR="00A13736" w:rsidRPr="00C6336E">
        <w:rPr>
          <w:i/>
          <w:sz w:val="20"/>
          <w:szCs w:val="20"/>
        </w:rPr>
        <w:t xml:space="preserve"> </w:t>
      </w:r>
      <w:r w:rsidRPr="00C6336E">
        <w:rPr>
          <w:i/>
          <w:sz w:val="20"/>
          <w:szCs w:val="20"/>
        </w:rPr>
        <w:t>and</w:t>
      </w:r>
      <w:r w:rsidR="00A13736" w:rsidRPr="00C6336E">
        <w:rPr>
          <w:i/>
          <w:sz w:val="20"/>
          <w:szCs w:val="20"/>
        </w:rPr>
        <w:t xml:space="preserve"> </w:t>
      </w:r>
      <w:r w:rsidRPr="00C6336E">
        <w:rPr>
          <w:i/>
          <w:sz w:val="20"/>
          <w:szCs w:val="20"/>
        </w:rPr>
        <w:t>Environmental</w:t>
      </w:r>
      <w:r w:rsidR="00A13736" w:rsidRPr="00C6336E">
        <w:rPr>
          <w:i/>
          <w:sz w:val="20"/>
          <w:szCs w:val="20"/>
        </w:rPr>
        <w:t xml:space="preserve"> </w:t>
      </w:r>
      <w:r w:rsidRPr="00C6336E">
        <w:rPr>
          <w:i/>
          <w:sz w:val="20"/>
          <w:szCs w:val="20"/>
        </w:rPr>
        <w:t>Protection</w:t>
      </w:r>
      <w:r w:rsidR="00A13736" w:rsidRPr="00C6336E">
        <w:rPr>
          <w:i/>
          <w:sz w:val="20"/>
          <w:szCs w:val="20"/>
        </w:rPr>
        <w:t xml:space="preserve"> </w:t>
      </w:r>
      <w:r w:rsidRPr="00C6336E">
        <w:rPr>
          <w:sz w:val="20"/>
          <w:szCs w:val="20"/>
        </w:rPr>
        <w:t>19(1):</w:t>
      </w:r>
      <w:r w:rsidR="00A13736" w:rsidRPr="00C6336E">
        <w:rPr>
          <w:sz w:val="20"/>
          <w:szCs w:val="20"/>
        </w:rPr>
        <w:t xml:space="preserve"> </w:t>
      </w:r>
      <w:r w:rsidRPr="00C6336E">
        <w:rPr>
          <w:sz w:val="20"/>
          <w:szCs w:val="20"/>
        </w:rPr>
        <w:t>37-</w:t>
      </w:r>
      <w:r w:rsidR="00A13736" w:rsidRPr="00C6336E">
        <w:rPr>
          <w:sz w:val="20"/>
          <w:szCs w:val="20"/>
        </w:rPr>
        <w:t xml:space="preserve"> </w:t>
      </w:r>
      <w:r w:rsidRPr="00C6336E">
        <w:rPr>
          <w:sz w:val="20"/>
          <w:szCs w:val="20"/>
        </w:rPr>
        <w:t>49.</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Seabloom,</w:t>
      </w:r>
      <w:r w:rsidR="00A13736" w:rsidRPr="00C6336E">
        <w:rPr>
          <w:sz w:val="20"/>
          <w:szCs w:val="20"/>
        </w:rPr>
        <w:t xml:space="preserve"> </w:t>
      </w:r>
      <w:r w:rsidRPr="00C6336E">
        <w:rPr>
          <w:sz w:val="20"/>
          <w:szCs w:val="20"/>
        </w:rPr>
        <w:t>E.</w:t>
      </w:r>
      <w:r w:rsidR="00A13736" w:rsidRPr="00C6336E">
        <w:rPr>
          <w:sz w:val="20"/>
          <w:szCs w:val="20"/>
        </w:rPr>
        <w:t xml:space="preserve"> </w:t>
      </w:r>
      <w:r w:rsidRPr="00C6336E">
        <w:rPr>
          <w:sz w:val="20"/>
          <w:szCs w:val="20"/>
        </w:rPr>
        <w:t>W.</w:t>
      </w:r>
      <w:r w:rsidR="00A13736" w:rsidRPr="00C6336E">
        <w:rPr>
          <w:sz w:val="20"/>
          <w:szCs w:val="20"/>
        </w:rPr>
        <w:t xml:space="preserve"> </w:t>
      </w:r>
      <w:r w:rsidRPr="00C6336E">
        <w:rPr>
          <w:sz w:val="20"/>
          <w:szCs w:val="20"/>
        </w:rPr>
        <w:t>(2003).</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development</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vegetative</w:t>
      </w:r>
      <w:r w:rsidR="00A13736" w:rsidRPr="00C6336E">
        <w:rPr>
          <w:sz w:val="20"/>
          <w:szCs w:val="20"/>
        </w:rPr>
        <w:t xml:space="preserve"> </w:t>
      </w:r>
      <w:r w:rsidRPr="00C6336E">
        <w:rPr>
          <w:sz w:val="20"/>
          <w:szCs w:val="20"/>
        </w:rPr>
        <w:t>zonation</w:t>
      </w:r>
      <w:r w:rsidR="00A13736" w:rsidRPr="00C6336E">
        <w:rPr>
          <w:sz w:val="20"/>
          <w:szCs w:val="20"/>
        </w:rPr>
        <w:t xml:space="preserve"> </w:t>
      </w:r>
      <w:r w:rsidRPr="00C6336E">
        <w:rPr>
          <w:sz w:val="20"/>
          <w:szCs w:val="20"/>
        </w:rPr>
        <w:t>patterns</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restored</w:t>
      </w:r>
      <w:r w:rsidR="00A13736" w:rsidRPr="00C6336E">
        <w:rPr>
          <w:sz w:val="20"/>
          <w:szCs w:val="20"/>
        </w:rPr>
        <w:t xml:space="preserve"> </w:t>
      </w:r>
      <w:r w:rsidRPr="00C6336E">
        <w:rPr>
          <w:sz w:val="20"/>
          <w:szCs w:val="20"/>
        </w:rPr>
        <w:t>prairie</w:t>
      </w:r>
      <w:r w:rsidR="00E356B8" w:rsidRPr="00C6336E">
        <w:rPr>
          <w:rFonts w:hint="eastAsia"/>
          <w:sz w:val="20"/>
          <w:szCs w:val="20"/>
          <w:lang w:eastAsia="zh-CN"/>
        </w:rPr>
        <w:t xml:space="preserve"> </w:t>
      </w:r>
      <w:r w:rsidRPr="00C6336E">
        <w:rPr>
          <w:sz w:val="20"/>
          <w:szCs w:val="20"/>
        </w:rPr>
        <w:t>pothole</w:t>
      </w:r>
      <w:r w:rsidR="00A13736" w:rsidRPr="00C6336E">
        <w:rPr>
          <w:sz w:val="20"/>
          <w:szCs w:val="20"/>
        </w:rPr>
        <w:t xml:space="preserve"> </w:t>
      </w:r>
      <w:r w:rsidRPr="00C6336E">
        <w:rPr>
          <w:sz w:val="20"/>
          <w:szCs w:val="20"/>
        </w:rPr>
        <w:t>wetlands.</w:t>
      </w:r>
      <w:r w:rsidR="00A13736" w:rsidRPr="00C6336E">
        <w:rPr>
          <w:sz w:val="20"/>
          <w:szCs w:val="20"/>
        </w:rPr>
        <w:t xml:space="preserve"> </w:t>
      </w:r>
      <w:r w:rsidRPr="00C6336E">
        <w:rPr>
          <w:i/>
          <w:iCs/>
          <w:sz w:val="20"/>
          <w:szCs w:val="20"/>
        </w:rPr>
        <w:t>Journal</w:t>
      </w:r>
      <w:r w:rsidR="00A13736" w:rsidRPr="00C6336E">
        <w:rPr>
          <w:i/>
          <w:iCs/>
          <w:sz w:val="20"/>
          <w:szCs w:val="20"/>
        </w:rPr>
        <w:t xml:space="preserve"> </w:t>
      </w:r>
      <w:r w:rsidRPr="00C6336E">
        <w:rPr>
          <w:i/>
          <w:iCs/>
          <w:sz w:val="20"/>
          <w:szCs w:val="20"/>
        </w:rPr>
        <w:t>of</w:t>
      </w:r>
      <w:r w:rsidR="00A13736" w:rsidRPr="00C6336E">
        <w:rPr>
          <w:i/>
          <w:iCs/>
          <w:sz w:val="20"/>
          <w:szCs w:val="20"/>
        </w:rPr>
        <w:t xml:space="preserve"> </w:t>
      </w:r>
      <w:r w:rsidRPr="00C6336E">
        <w:rPr>
          <w:i/>
          <w:iCs/>
          <w:sz w:val="20"/>
          <w:szCs w:val="20"/>
        </w:rPr>
        <w:t>Applied</w:t>
      </w:r>
      <w:r w:rsidR="00A13736" w:rsidRPr="00C6336E">
        <w:rPr>
          <w:i/>
          <w:iCs/>
          <w:sz w:val="20"/>
          <w:szCs w:val="20"/>
        </w:rPr>
        <w:t xml:space="preserve"> </w:t>
      </w:r>
      <w:r w:rsidRPr="00C6336E">
        <w:rPr>
          <w:i/>
          <w:iCs/>
          <w:sz w:val="20"/>
          <w:szCs w:val="20"/>
        </w:rPr>
        <w:t>Ecology</w:t>
      </w:r>
      <w:r w:rsidRPr="00C6336E">
        <w:rPr>
          <w:sz w:val="20"/>
          <w:szCs w:val="20"/>
        </w:rPr>
        <w:t>,</w:t>
      </w:r>
      <w:r w:rsidR="00A13736" w:rsidRPr="00C6336E">
        <w:rPr>
          <w:sz w:val="20"/>
          <w:szCs w:val="20"/>
        </w:rPr>
        <w:t xml:space="preserve"> </w:t>
      </w:r>
      <w:r w:rsidRPr="00C6336E">
        <w:rPr>
          <w:sz w:val="20"/>
          <w:szCs w:val="20"/>
        </w:rPr>
        <w:t>40:</w:t>
      </w:r>
      <w:r w:rsidR="00A13736" w:rsidRPr="00C6336E">
        <w:rPr>
          <w:sz w:val="20"/>
          <w:szCs w:val="20"/>
        </w:rPr>
        <w:t xml:space="preserve"> </w:t>
      </w:r>
      <w:r w:rsidRPr="00C6336E">
        <w:rPr>
          <w:sz w:val="20"/>
          <w:szCs w:val="20"/>
        </w:rPr>
        <w:t>92</w:t>
      </w:r>
      <w:r w:rsidR="00A13736" w:rsidRPr="00C6336E">
        <w:rPr>
          <w:sz w:val="20"/>
          <w:szCs w:val="20"/>
        </w:rPr>
        <w:t xml:space="preserve"> </w:t>
      </w:r>
      <w:r w:rsidRPr="00C6336E">
        <w:rPr>
          <w:sz w:val="20"/>
          <w:szCs w:val="20"/>
        </w:rPr>
        <w:t>–</w:t>
      </w:r>
      <w:r w:rsidR="00A13736" w:rsidRPr="00C6336E">
        <w:rPr>
          <w:sz w:val="20"/>
          <w:szCs w:val="20"/>
        </w:rPr>
        <w:t xml:space="preserve"> </w:t>
      </w:r>
      <w:r w:rsidRPr="00C6336E">
        <w:rPr>
          <w:sz w:val="20"/>
          <w:szCs w:val="20"/>
        </w:rPr>
        <w:t>100.</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Stein,</w:t>
      </w:r>
      <w:r w:rsidR="00A13736" w:rsidRPr="00C6336E">
        <w:rPr>
          <w:sz w:val="20"/>
          <w:szCs w:val="20"/>
        </w:rPr>
        <w:t xml:space="preserve"> </w:t>
      </w:r>
      <w:r w:rsidRPr="00C6336E">
        <w:rPr>
          <w:sz w:val="20"/>
          <w:szCs w:val="20"/>
        </w:rPr>
        <w:t>J.</w:t>
      </w:r>
      <w:r w:rsidR="00A13736" w:rsidRPr="00C6336E">
        <w:rPr>
          <w:sz w:val="20"/>
          <w:szCs w:val="20"/>
        </w:rPr>
        <w:t xml:space="preserve"> </w:t>
      </w:r>
      <w:r w:rsidRPr="00C6336E">
        <w:rPr>
          <w:sz w:val="20"/>
          <w:szCs w:val="20"/>
        </w:rPr>
        <w:t>L.</w:t>
      </w:r>
      <w:r w:rsidR="00A13736" w:rsidRPr="00C6336E">
        <w:rPr>
          <w:sz w:val="20"/>
          <w:szCs w:val="20"/>
        </w:rPr>
        <w:t xml:space="preserve"> </w:t>
      </w:r>
      <w:r w:rsidRPr="00C6336E">
        <w:rPr>
          <w:sz w:val="20"/>
          <w:szCs w:val="20"/>
        </w:rPr>
        <w:t>(2005).</w:t>
      </w:r>
      <w:r w:rsidR="00A13736" w:rsidRPr="00C6336E">
        <w:rPr>
          <w:sz w:val="20"/>
          <w:szCs w:val="20"/>
        </w:rPr>
        <w:t xml:space="preserve"> </w:t>
      </w:r>
      <w:r w:rsidRPr="00C6336E">
        <w:rPr>
          <w:i/>
          <w:iCs/>
          <w:sz w:val="20"/>
          <w:szCs w:val="20"/>
        </w:rPr>
        <w:t>Landscape</w:t>
      </w:r>
      <w:r w:rsidR="00A13736" w:rsidRPr="00C6336E">
        <w:rPr>
          <w:i/>
          <w:iCs/>
          <w:sz w:val="20"/>
          <w:szCs w:val="20"/>
        </w:rPr>
        <w:t xml:space="preserve"> </w:t>
      </w:r>
      <w:r w:rsidRPr="00C6336E">
        <w:rPr>
          <w:i/>
          <w:iCs/>
          <w:sz w:val="20"/>
          <w:szCs w:val="20"/>
        </w:rPr>
        <w:t>characteristics</w:t>
      </w:r>
      <w:r w:rsidR="00A13736" w:rsidRPr="00C6336E">
        <w:rPr>
          <w:i/>
          <w:iCs/>
          <w:sz w:val="20"/>
          <w:szCs w:val="20"/>
        </w:rPr>
        <w:t xml:space="preserve"> </w:t>
      </w:r>
      <w:r w:rsidRPr="00C6336E">
        <w:rPr>
          <w:i/>
          <w:iCs/>
          <w:sz w:val="20"/>
          <w:szCs w:val="20"/>
        </w:rPr>
        <w:t>of</w:t>
      </w:r>
      <w:r w:rsidR="00A13736" w:rsidRPr="00C6336E">
        <w:rPr>
          <w:i/>
          <w:iCs/>
          <w:sz w:val="20"/>
          <w:szCs w:val="20"/>
        </w:rPr>
        <w:t xml:space="preserve"> </w:t>
      </w:r>
      <w:r w:rsidRPr="00C6336E">
        <w:rPr>
          <w:i/>
          <w:iCs/>
          <w:sz w:val="20"/>
          <w:szCs w:val="20"/>
        </w:rPr>
        <w:t>Queensland</w:t>
      </w:r>
      <w:r w:rsidR="00A13736" w:rsidRPr="00C6336E">
        <w:rPr>
          <w:i/>
          <w:iCs/>
          <w:sz w:val="20"/>
          <w:szCs w:val="20"/>
        </w:rPr>
        <w:t xml:space="preserve"> </w:t>
      </w:r>
      <w:r w:rsidRPr="00C6336E">
        <w:rPr>
          <w:i/>
          <w:iCs/>
          <w:sz w:val="20"/>
          <w:szCs w:val="20"/>
        </w:rPr>
        <w:t>Freshwater</w:t>
      </w:r>
      <w:r w:rsidR="00A13736" w:rsidRPr="00C6336E">
        <w:rPr>
          <w:i/>
          <w:iCs/>
          <w:sz w:val="20"/>
          <w:szCs w:val="20"/>
        </w:rPr>
        <w:t xml:space="preserve"> </w:t>
      </w:r>
      <w:r w:rsidRPr="00C6336E">
        <w:rPr>
          <w:i/>
          <w:iCs/>
          <w:sz w:val="20"/>
          <w:szCs w:val="20"/>
        </w:rPr>
        <w:t>Biogeographical</w:t>
      </w:r>
      <w:r w:rsidR="00A13736" w:rsidRPr="00C6336E">
        <w:rPr>
          <w:i/>
          <w:iCs/>
          <w:sz w:val="20"/>
          <w:szCs w:val="20"/>
        </w:rPr>
        <w:t xml:space="preserve"> </w:t>
      </w:r>
      <w:r w:rsidRPr="00C6336E">
        <w:rPr>
          <w:i/>
          <w:iCs/>
          <w:sz w:val="20"/>
          <w:szCs w:val="20"/>
        </w:rPr>
        <w:lastRenderedPageBreak/>
        <w:t>Provinces</w:t>
      </w:r>
      <w:r w:rsidRPr="00C6336E">
        <w:rPr>
          <w:sz w:val="20"/>
          <w:szCs w:val="20"/>
        </w:rPr>
        <w:t>,</w:t>
      </w:r>
      <w:r w:rsidR="00A13736" w:rsidRPr="00C6336E">
        <w:rPr>
          <w:sz w:val="20"/>
          <w:szCs w:val="20"/>
        </w:rPr>
        <w:t xml:space="preserve"> </w:t>
      </w:r>
      <w:r w:rsidRPr="00C6336E">
        <w:rPr>
          <w:sz w:val="20"/>
          <w:szCs w:val="20"/>
        </w:rPr>
        <w:t>Centre</w:t>
      </w:r>
      <w:r w:rsidR="00A13736" w:rsidRPr="00C6336E">
        <w:rPr>
          <w:sz w:val="20"/>
          <w:szCs w:val="20"/>
        </w:rPr>
        <w:t xml:space="preserve"> </w:t>
      </w:r>
      <w:r w:rsidRPr="00C6336E">
        <w:rPr>
          <w:sz w:val="20"/>
          <w:szCs w:val="20"/>
        </w:rPr>
        <w:t>for</w:t>
      </w:r>
      <w:r w:rsidR="00A13736" w:rsidRPr="00C6336E">
        <w:rPr>
          <w:sz w:val="20"/>
          <w:szCs w:val="20"/>
        </w:rPr>
        <w:t xml:space="preserve"> </w:t>
      </w:r>
      <w:r w:rsidRPr="00C6336E">
        <w:rPr>
          <w:sz w:val="20"/>
          <w:szCs w:val="20"/>
        </w:rPr>
        <w:t>Resource</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Environmental</w:t>
      </w:r>
      <w:r w:rsidR="00A13736" w:rsidRPr="00C6336E">
        <w:rPr>
          <w:sz w:val="20"/>
          <w:szCs w:val="20"/>
        </w:rPr>
        <w:t xml:space="preserve"> </w:t>
      </w:r>
      <w:r w:rsidRPr="00C6336E">
        <w:rPr>
          <w:sz w:val="20"/>
          <w:szCs w:val="20"/>
        </w:rPr>
        <w:t>Studies,</w:t>
      </w:r>
      <w:r w:rsidR="00A13736" w:rsidRPr="00C6336E">
        <w:rPr>
          <w:sz w:val="20"/>
          <w:szCs w:val="20"/>
        </w:rPr>
        <w:t xml:space="preserve"> </w:t>
      </w:r>
      <w:r w:rsidRPr="00C6336E">
        <w:rPr>
          <w:sz w:val="20"/>
          <w:szCs w:val="20"/>
        </w:rPr>
        <w:t>Australian</w:t>
      </w:r>
      <w:r w:rsidR="00A13736" w:rsidRPr="00C6336E">
        <w:rPr>
          <w:sz w:val="20"/>
          <w:szCs w:val="20"/>
        </w:rPr>
        <w:t xml:space="preserve"> </w:t>
      </w:r>
      <w:r w:rsidRPr="00C6336E">
        <w:rPr>
          <w:sz w:val="20"/>
          <w:szCs w:val="20"/>
        </w:rPr>
        <w:t>National</w:t>
      </w:r>
      <w:r w:rsidR="00A13736" w:rsidRPr="00C6336E">
        <w:rPr>
          <w:sz w:val="20"/>
          <w:szCs w:val="20"/>
        </w:rPr>
        <w:t xml:space="preserve"> </w:t>
      </w:r>
      <w:r w:rsidRPr="00C6336E">
        <w:rPr>
          <w:sz w:val="20"/>
          <w:szCs w:val="20"/>
        </w:rPr>
        <w:t>University.</w:t>
      </w:r>
      <w:r w:rsidR="00A13736" w:rsidRPr="00C6336E">
        <w:rPr>
          <w:sz w:val="20"/>
          <w:szCs w:val="20"/>
        </w:rPr>
        <w:t xml:space="preserve"> </w:t>
      </w:r>
      <w:r w:rsidRPr="00C6336E">
        <w:rPr>
          <w:sz w:val="20"/>
          <w:szCs w:val="20"/>
        </w:rPr>
        <w:t>p.</w:t>
      </w:r>
      <w:r w:rsidR="00A13736" w:rsidRPr="00C6336E">
        <w:rPr>
          <w:sz w:val="20"/>
          <w:szCs w:val="20"/>
        </w:rPr>
        <w:t xml:space="preserve"> </w:t>
      </w:r>
      <w:r w:rsidRPr="00C6336E">
        <w:rPr>
          <w:sz w:val="20"/>
          <w:szCs w:val="20"/>
        </w:rPr>
        <w:t>154</w:t>
      </w:r>
      <w:r w:rsidR="00793A80" w:rsidRPr="00C6336E">
        <w:rPr>
          <w:sz w:val="20"/>
          <w:szCs w:val="20"/>
        </w:rPr>
        <w:t>.</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Tessier,</w:t>
      </w:r>
      <w:r w:rsidR="00A13736" w:rsidRPr="00C6336E">
        <w:rPr>
          <w:sz w:val="20"/>
          <w:szCs w:val="20"/>
        </w:rPr>
        <w:t xml:space="preserve"> </w:t>
      </w:r>
      <w:r w:rsidRPr="00C6336E">
        <w:rPr>
          <w:sz w:val="20"/>
          <w:szCs w:val="20"/>
        </w:rPr>
        <w:t>C.</w:t>
      </w:r>
      <w:r w:rsidR="00A13736" w:rsidRPr="00C6336E">
        <w:rPr>
          <w:sz w:val="20"/>
          <w:szCs w:val="20"/>
        </w:rPr>
        <w:t xml:space="preserve"> </w:t>
      </w:r>
      <w:r w:rsidRPr="00C6336E">
        <w:rPr>
          <w:sz w:val="20"/>
          <w:szCs w:val="20"/>
        </w:rPr>
        <w:t>Cattaneo,</w:t>
      </w:r>
      <w:r w:rsidR="00A13736" w:rsidRPr="00C6336E">
        <w:rPr>
          <w:sz w:val="20"/>
          <w:szCs w:val="20"/>
        </w:rPr>
        <w:t xml:space="preserve"> </w:t>
      </w:r>
      <w:r w:rsidRPr="00C6336E">
        <w:rPr>
          <w:sz w:val="20"/>
          <w:szCs w:val="20"/>
        </w:rPr>
        <w:t>A.</w:t>
      </w:r>
      <w:r w:rsidR="00A13736" w:rsidRPr="00C6336E">
        <w:rPr>
          <w:sz w:val="20"/>
          <w:szCs w:val="20"/>
        </w:rPr>
        <w:t xml:space="preserve"> </w:t>
      </w:r>
      <w:r w:rsidRPr="00C6336E">
        <w:rPr>
          <w:sz w:val="20"/>
          <w:szCs w:val="20"/>
        </w:rPr>
        <w:t>Pinel-Alloul,</w:t>
      </w:r>
      <w:r w:rsidR="00A13736" w:rsidRPr="00C6336E">
        <w:rPr>
          <w:sz w:val="20"/>
          <w:szCs w:val="20"/>
        </w:rPr>
        <w:t xml:space="preserve"> </w:t>
      </w:r>
      <w:r w:rsidRPr="00C6336E">
        <w:rPr>
          <w:sz w:val="20"/>
          <w:szCs w:val="20"/>
        </w:rPr>
        <w:t>B.</w:t>
      </w:r>
      <w:r w:rsidR="00A13736" w:rsidRPr="00C6336E">
        <w:rPr>
          <w:sz w:val="20"/>
          <w:szCs w:val="20"/>
        </w:rPr>
        <w:t xml:space="preserve"> </w:t>
      </w:r>
      <w:r w:rsidRPr="00C6336E">
        <w:rPr>
          <w:sz w:val="20"/>
          <w:szCs w:val="20"/>
        </w:rPr>
        <w:t>Galanti,</w:t>
      </w:r>
      <w:r w:rsidR="00A13736" w:rsidRPr="00C6336E">
        <w:rPr>
          <w:sz w:val="20"/>
          <w:szCs w:val="20"/>
        </w:rPr>
        <w:t xml:space="preserve"> </w:t>
      </w:r>
      <w:r w:rsidRPr="00C6336E">
        <w:rPr>
          <w:sz w:val="20"/>
          <w:szCs w:val="20"/>
        </w:rPr>
        <w:t>G.</w:t>
      </w:r>
      <w:r w:rsidR="00A13736" w:rsidRPr="00C6336E">
        <w:rPr>
          <w:sz w:val="20"/>
          <w:szCs w:val="20"/>
        </w:rPr>
        <w:t xml:space="preserve"> </w:t>
      </w:r>
      <w:r w:rsidRPr="00C6336E">
        <w:rPr>
          <w:sz w:val="20"/>
          <w:szCs w:val="20"/>
        </w:rPr>
        <w:t>an</w:t>
      </w:r>
      <w:r w:rsidR="00793A80" w:rsidRPr="00C6336E">
        <w:rPr>
          <w:sz w:val="20"/>
          <w:szCs w:val="20"/>
        </w:rPr>
        <w:t>d</w:t>
      </w:r>
      <w:r w:rsidR="00A13736" w:rsidRPr="00C6336E">
        <w:rPr>
          <w:sz w:val="20"/>
          <w:szCs w:val="20"/>
        </w:rPr>
        <w:t xml:space="preserve"> </w:t>
      </w:r>
      <w:r w:rsidR="00793A80" w:rsidRPr="00C6336E">
        <w:rPr>
          <w:sz w:val="20"/>
          <w:szCs w:val="20"/>
        </w:rPr>
        <w:t>Morabito,</w:t>
      </w:r>
      <w:r w:rsidR="00A13736" w:rsidRPr="00C6336E">
        <w:rPr>
          <w:sz w:val="20"/>
          <w:szCs w:val="20"/>
        </w:rPr>
        <w:t xml:space="preserve"> </w:t>
      </w:r>
      <w:r w:rsidR="00793A80" w:rsidRPr="00C6336E">
        <w:rPr>
          <w:sz w:val="20"/>
          <w:szCs w:val="20"/>
        </w:rPr>
        <w:t>G.</w:t>
      </w:r>
      <w:r w:rsidR="00A13736" w:rsidRPr="00C6336E">
        <w:rPr>
          <w:sz w:val="20"/>
          <w:szCs w:val="20"/>
        </w:rPr>
        <w:t xml:space="preserve"> </w:t>
      </w:r>
      <w:r w:rsidR="00793A80" w:rsidRPr="00C6336E">
        <w:rPr>
          <w:sz w:val="20"/>
          <w:szCs w:val="20"/>
        </w:rPr>
        <w:t>(2004).</w:t>
      </w:r>
      <w:r w:rsidR="00A13736" w:rsidRPr="00C6336E">
        <w:rPr>
          <w:sz w:val="20"/>
          <w:szCs w:val="20"/>
        </w:rPr>
        <w:t xml:space="preserve"> </w:t>
      </w:r>
      <w:r w:rsidR="00793A80" w:rsidRPr="00C6336E">
        <w:rPr>
          <w:sz w:val="20"/>
          <w:szCs w:val="20"/>
        </w:rPr>
        <w:t>Biomass</w:t>
      </w:r>
      <w:r w:rsidR="00A13736" w:rsidRPr="00C6336E">
        <w:rPr>
          <w:sz w:val="20"/>
          <w:szCs w:val="20"/>
        </w:rPr>
        <w:t xml:space="preserve"> </w:t>
      </w:r>
      <w:r w:rsidRPr="00C6336E">
        <w:rPr>
          <w:sz w:val="20"/>
          <w:szCs w:val="20"/>
        </w:rPr>
        <w:t>composition</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size</w:t>
      </w:r>
      <w:r w:rsidR="00A13736" w:rsidRPr="00C6336E">
        <w:rPr>
          <w:sz w:val="20"/>
          <w:szCs w:val="20"/>
        </w:rPr>
        <w:t xml:space="preserve"> </w:t>
      </w:r>
      <w:r w:rsidRPr="00C6336E">
        <w:rPr>
          <w:sz w:val="20"/>
          <w:szCs w:val="20"/>
        </w:rPr>
        <w:t>structure</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invertebrate’s</w:t>
      </w:r>
      <w:r w:rsidR="00A13736" w:rsidRPr="00C6336E">
        <w:rPr>
          <w:sz w:val="20"/>
          <w:szCs w:val="20"/>
        </w:rPr>
        <w:t xml:space="preserve"> </w:t>
      </w:r>
      <w:r w:rsidRPr="00C6336E">
        <w:rPr>
          <w:sz w:val="20"/>
          <w:szCs w:val="20"/>
        </w:rPr>
        <w:t>communities</w:t>
      </w:r>
      <w:r w:rsidR="00A13736" w:rsidRPr="00C6336E">
        <w:rPr>
          <w:sz w:val="20"/>
          <w:szCs w:val="20"/>
        </w:rPr>
        <w:t xml:space="preserve"> </w:t>
      </w:r>
      <w:r w:rsidRPr="00C6336E">
        <w:rPr>
          <w:sz w:val="20"/>
          <w:szCs w:val="20"/>
        </w:rPr>
        <w:t>associated</w:t>
      </w:r>
      <w:r w:rsidR="00A13736" w:rsidRPr="00C6336E">
        <w:rPr>
          <w:sz w:val="20"/>
          <w:szCs w:val="20"/>
        </w:rPr>
        <w:t xml:space="preserve"> </w:t>
      </w:r>
      <w:r w:rsidRPr="00C6336E">
        <w:rPr>
          <w:sz w:val="20"/>
          <w:szCs w:val="20"/>
        </w:rPr>
        <w:t>to</w:t>
      </w:r>
      <w:r w:rsidR="00A13736" w:rsidRPr="00C6336E">
        <w:rPr>
          <w:sz w:val="20"/>
          <w:szCs w:val="20"/>
        </w:rPr>
        <w:t xml:space="preserve"> </w:t>
      </w:r>
      <w:r w:rsidRPr="00C6336E">
        <w:rPr>
          <w:sz w:val="20"/>
          <w:szCs w:val="20"/>
        </w:rPr>
        <w:t>different</w:t>
      </w:r>
      <w:r w:rsidR="00A13736" w:rsidRPr="00C6336E">
        <w:rPr>
          <w:sz w:val="20"/>
          <w:szCs w:val="20"/>
        </w:rPr>
        <w:t xml:space="preserve"> </w:t>
      </w:r>
      <w:r w:rsidRPr="00C6336E">
        <w:rPr>
          <w:sz w:val="20"/>
          <w:szCs w:val="20"/>
        </w:rPr>
        <w:t>types</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aquatic</w:t>
      </w:r>
      <w:r w:rsidR="00A13736" w:rsidRPr="00C6336E">
        <w:rPr>
          <w:sz w:val="20"/>
          <w:szCs w:val="20"/>
        </w:rPr>
        <w:t xml:space="preserve"> </w:t>
      </w:r>
      <w:r w:rsidRPr="00C6336E">
        <w:rPr>
          <w:sz w:val="20"/>
          <w:szCs w:val="20"/>
        </w:rPr>
        <w:t>vegetation</w:t>
      </w:r>
      <w:r w:rsidR="00A13736" w:rsidRPr="00C6336E">
        <w:rPr>
          <w:sz w:val="20"/>
          <w:szCs w:val="20"/>
        </w:rPr>
        <w:t xml:space="preserve"> </w:t>
      </w:r>
      <w:r w:rsidRPr="00C6336E">
        <w:rPr>
          <w:sz w:val="20"/>
          <w:szCs w:val="20"/>
        </w:rPr>
        <w:t>during</w:t>
      </w:r>
      <w:r w:rsidR="00A13736" w:rsidRPr="00C6336E">
        <w:rPr>
          <w:sz w:val="20"/>
          <w:szCs w:val="20"/>
        </w:rPr>
        <w:t xml:space="preserve"> </w:t>
      </w:r>
      <w:r w:rsidRPr="00C6336E">
        <w:rPr>
          <w:sz w:val="20"/>
          <w:szCs w:val="20"/>
        </w:rPr>
        <w:t>summer</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Lago</w:t>
      </w:r>
      <w:r w:rsidR="00A13736" w:rsidRPr="00C6336E">
        <w:rPr>
          <w:sz w:val="20"/>
          <w:szCs w:val="20"/>
        </w:rPr>
        <w:t xml:space="preserve"> </w:t>
      </w:r>
      <w:r w:rsidRPr="00C6336E">
        <w:rPr>
          <w:sz w:val="20"/>
          <w:szCs w:val="20"/>
        </w:rPr>
        <w:t>di</w:t>
      </w:r>
      <w:r w:rsidR="00A13736" w:rsidRPr="00C6336E">
        <w:rPr>
          <w:sz w:val="20"/>
          <w:szCs w:val="20"/>
        </w:rPr>
        <w:t xml:space="preserve"> </w:t>
      </w:r>
      <w:r w:rsidRPr="00C6336E">
        <w:rPr>
          <w:sz w:val="20"/>
          <w:szCs w:val="20"/>
        </w:rPr>
        <w:t>Candia</w:t>
      </w:r>
      <w:r w:rsidR="00A13736" w:rsidRPr="00C6336E">
        <w:rPr>
          <w:sz w:val="20"/>
          <w:szCs w:val="20"/>
        </w:rPr>
        <w:t xml:space="preserve"> </w:t>
      </w:r>
      <w:r w:rsidRPr="00C6336E">
        <w:rPr>
          <w:sz w:val="20"/>
          <w:szCs w:val="20"/>
        </w:rPr>
        <w:t>(Italy).</w:t>
      </w:r>
      <w:r w:rsidR="00A13736" w:rsidRPr="00C6336E">
        <w:rPr>
          <w:sz w:val="20"/>
          <w:szCs w:val="20"/>
        </w:rPr>
        <w:t xml:space="preserve"> </w:t>
      </w:r>
      <w:r w:rsidRPr="00C6336E">
        <w:rPr>
          <w:i/>
          <w:iCs/>
          <w:sz w:val="20"/>
          <w:szCs w:val="20"/>
        </w:rPr>
        <w:t>Journal</w:t>
      </w:r>
      <w:r w:rsidR="00A13736" w:rsidRPr="00C6336E">
        <w:rPr>
          <w:i/>
          <w:iCs/>
          <w:sz w:val="20"/>
          <w:szCs w:val="20"/>
        </w:rPr>
        <w:t xml:space="preserve"> </w:t>
      </w:r>
      <w:r w:rsidRPr="00C6336E">
        <w:rPr>
          <w:i/>
          <w:iCs/>
          <w:sz w:val="20"/>
          <w:szCs w:val="20"/>
        </w:rPr>
        <w:t>of</w:t>
      </w:r>
      <w:r w:rsidR="00A13736" w:rsidRPr="00C6336E">
        <w:rPr>
          <w:i/>
          <w:iCs/>
          <w:sz w:val="20"/>
          <w:szCs w:val="20"/>
        </w:rPr>
        <w:t xml:space="preserve"> </w:t>
      </w:r>
      <w:r w:rsidRPr="00C6336E">
        <w:rPr>
          <w:i/>
          <w:iCs/>
          <w:sz w:val="20"/>
          <w:szCs w:val="20"/>
        </w:rPr>
        <w:t>Limnology</w:t>
      </w:r>
      <w:r w:rsidRPr="00C6336E">
        <w:rPr>
          <w:sz w:val="20"/>
          <w:szCs w:val="20"/>
        </w:rPr>
        <w:t>,</w:t>
      </w:r>
      <w:r w:rsidR="00A13736" w:rsidRPr="00C6336E">
        <w:rPr>
          <w:sz w:val="20"/>
          <w:szCs w:val="20"/>
        </w:rPr>
        <w:t xml:space="preserve"> </w:t>
      </w:r>
      <w:r w:rsidRPr="00C6336E">
        <w:rPr>
          <w:sz w:val="20"/>
          <w:szCs w:val="20"/>
        </w:rPr>
        <w:t>63(2):190–</w:t>
      </w:r>
      <w:r w:rsidR="00A13736" w:rsidRPr="00C6336E">
        <w:rPr>
          <w:sz w:val="20"/>
          <w:szCs w:val="20"/>
        </w:rPr>
        <w:t xml:space="preserve"> </w:t>
      </w:r>
      <w:r w:rsidRPr="00C6336E">
        <w:rPr>
          <w:sz w:val="20"/>
          <w:szCs w:val="20"/>
        </w:rPr>
        <w:t>198.</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Ubom,</w:t>
      </w:r>
      <w:r w:rsidR="00A13736" w:rsidRPr="00C6336E">
        <w:rPr>
          <w:sz w:val="20"/>
          <w:szCs w:val="20"/>
        </w:rPr>
        <w:t xml:space="preserve"> </w:t>
      </w:r>
      <w:r w:rsidRPr="00C6336E">
        <w:rPr>
          <w:sz w:val="20"/>
          <w:szCs w:val="20"/>
        </w:rPr>
        <w:t>R.</w:t>
      </w:r>
      <w:r w:rsidR="00A13736" w:rsidRPr="00C6336E">
        <w:rPr>
          <w:sz w:val="20"/>
          <w:szCs w:val="20"/>
        </w:rPr>
        <w:t xml:space="preserve"> </w:t>
      </w:r>
      <w:r w:rsidRPr="00C6336E">
        <w:rPr>
          <w:sz w:val="20"/>
          <w:szCs w:val="20"/>
        </w:rPr>
        <w:t>M.,</w:t>
      </w:r>
      <w:r w:rsidR="00A13736" w:rsidRPr="00C6336E">
        <w:rPr>
          <w:sz w:val="20"/>
          <w:szCs w:val="20"/>
        </w:rPr>
        <w:t xml:space="preserve"> </w:t>
      </w:r>
      <w:r w:rsidRPr="00C6336E">
        <w:rPr>
          <w:sz w:val="20"/>
          <w:szCs w:val="20"/>
        </w:rPr>
        <w:t>Ogbemudia,</w:t>
      </w:r>
      <w:r w:rsidR="00A13736" w:rsidRPr="00C6336E">
        <w:rPr>
          <w:sz w:val="20"/>
          <w:szCs w:val="20"/>
        </w:rPr>
        <w:t xml:space="preserve"> </w:t>
      </w:r>
      <w:r w:rsidRPr="00C6336E">
        <w:rPr>
          <w:sz w:val="20"/>
          <w:szCs w:val="20"/>
        </w:rPr>
        <w:t>F.</w:t>
      </w:r>
      <w:r w:rsidR="00A13736" w:rsidRPr="00C6336E">
        <w:rPr>
          <w:sz w:val="20"/>
          <w:szCs w:val="20"/>
        </w:rPr>
        <w:t xml:space="preserve"> </w:t>
      </w:r>
      <w:r w:rsidRPr="00C6336E">
        <w:rPr>
          <w:sz w:val="20"/>
          <w:szCs w:val="20"/>
        </w:rPr>
        <w:t>O.</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Benson,</w:t>
      </w:r>
      <w:r w:rsidR="00A13736" w:rsidRPr="00C6336E">
        <w:rPr>
          <w:sz w:val="20"/>
          <w:szCs w:val="20"/>
        </w:rPr>
        <w:t xml:space="preserve"> </w:t>
      </w:r>
      <w:r w:rsidRPr="00C6336E">
        <w:rPr>
          <w:sz w:val="20"/>
          <w:szCs w:val="20"/>
        </w:rPr>
        <w:t>K.</w:t>
      </w:r>
      <w:r w:rsidR="00A13736" w:rsidRPr="00C6336E">
        <w:rPr>
          <w:sz w:val="20"/>
          <w:szCs w:val="20"/>
        </w:rPr>
        <w:t xml:space="preserve"> </w:t>
      </w:r>
      <w:r w:rsidRPr="00C6336E">
        <w:rPr>
          <w:sz w:val="20"/>
          <w:szCs w:val="20"/>
        </w:rPr>
        <w:t>O.</w:t>
      </w:r>
      <w:r w:rsidR="00A13736" w:rsidRPr="00C6336E">
        <w:rPr>
          <w:sz w:val="20"/>
          <w:szCs w:val="20"/>
        </w:rPr>
        <w:t xml:space="preserve"> </w:t>
      </w:r>
      <w:r w:rsidRPr="00C6336E">
        <w:rPr>
          <w:sz w:val="20"/>
          <w:szCs w:val="20"/>
        </w:rPr>
        <w:t>(2012).</w:t>
      </w:r>
      <w:r w:rsidR="00A13736" w:rsidRPr="00C6336E">
        <w:rPr>
          <w:sz w:val="20"/>
          <w:szCs w:val="20"/>
        </w:rPr>
        <w:t xml:space="preserve"> </w:t>
      </w:r>
      <w:r w:rsidRPr="00C6336E">
        <w:rPr>
          <w:sz w:val="20"/>
          <w:szCs w:val="20"/>
        </w:rPr>
        <w:t>Soil</w:t>
      </w:r>
      <w:r w:rsidR="00A13736" w:rsidRPr="00C6336E">
        <w:rPr>
          <w:sz w:val="20"/>
          <w:szCs w:val="20"/>
        </w:rPr>
        <w:t xml:space="preserve"> </w:t>
      </w:r>
      <w:r w:rsidRPr="00C6336E">
        <w:rPr>
          <w:sz w:val="20"/>
          <w:szCs w:val="20"/>
        </w:rPr>
        <w:t>vegetation</w:t>
      </w:r>
      <w:r w:rsidR="00A13736" w:rsidRPr="00C6336E">
        <w:rPr>
          <w:sz w:val="20"/>
          <w:szCs w:val="20"/>
        </w:rPr>
        <w:t xml:space="preserve"> </w:t>
      </w:r>
      <w:r w:rsidRPr="00C6336E">
        <w:rPr>
          <w:sz w:val="20"/>
          <w:szCs w:val="20"/>
        </w:rPr>
        <w:t>relationship</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fresh</w:t>
      </w:r>
      <w:r w:rsidR="00A13736" w:rsidRPr="00C6336E">
        <w:rPr>
          <w:sz w:val="20"/>
          <w:szCs w:val="20"/>
        </w:rPr>
        <w:t xml:space="preserve"> </w:t>
      </w:r>
      <w:r w:rsidRPr="00C6336E">
        <w:rPr>
          <w:sz w:val="20"/>
          <w:szCs w:val="20"/>
        </w:rPr>
        <w:t>water</w:t>
      </w:r>
      <w:r w:rsidR="00A13736" w:rsidRPr="00C6336E">
        <w:rPr>
          <w:sz w:val="20"/>
          <w:szCs w:val="20"/>
        </w:rPr>
        <w:t xml:space="preserve"> </w:t>
      </w:r>
      <w:r w:rsidRPr="00C6336E">
        <w:rPr>
          <w:sz w:val="20"/>
          <w:szCs w:val="20"/>
        </w:rPr>
        <w:t>swamp</w:t>
      </w:r>
      <w:r w:rsidR="00A13736" w:rsidRPr="00C6336E">
        <w:rPr>
          <w:sz w:val="20"/>
          <w:szCs w:val="20"/>
        </w:rPr>
        <w:t xml:space="preserve"> </w:t>
      </w:r>
      <w:r w:rsidRPr="00C6336E">
        <w:rPr>
          <w:sz w:val="20"/>
          <w:szCs w:val="20"/>
        </w:rPr>
        <w:t>forest.</w:t>
      </w:r>
      <w:r w:rsidR="00A13736" w:rsidRPr="00C6336E">
        <w:rPr>
          <w:sz w:val="20"/>
          <w:szCs w:val="20"/>
        </w:rPr>
        <w:t xml:space="preserve"> </w:t>
      </w:r>
      <w:r w:rsidRPr="00C6336E">
        <w:rPr>
          <w:i/>
          <w:sz w:val="20"/>
          <w:szCs w:val="20"/>
        </w:rPr>
        <w:t>Scientific</w:t>
      </w:r>
      <w:r w:rsidR="00A13736" w:rsidRPr="00C6336E">
        <w:rPr>
          <w:i/>
          <w:sz w:val="20"/>
          <w:szCs w:val="20"/>
        </w:rPr>
        <w:t xml:space="preserve"> </w:t>
      </w:r>
      <w:r w:rsidRPr="00C6336E">
        <w:rPr>
          <w:i/>
          <w:sz w:val="20"/>
          <w:szCs w:val="20"/>
        </w:rPr>
        <w:t>Journal</w:t>
      </w:r>
      <w:r w:rsidR="00A13736" w:rsidRPr="00C6336E">
        <w:rPr>
          <w:i/>
          <w:sz w:val="20"/>
          <w:szCs w:val="20"/>
        </w:rPr>
        <w:t xml:space="preserve"> </w:t>
      </w:r>
      <w:r w:rsidRPr="00C6336E">
        <w:rPr>
          <w:i/>
          <w:sz w:val="20"/>
          <w:szCs w:val="20"/>
        </w:rPr>
        <w:t>of</w:t>
      </w:r>
      <w:r w:rsidR="00A13736" w:rsidRPr="00C6336E">
        <w:rPr>
          <w:i/>
          <w:sz w:val="20"/>
          <w:szCs w:val="20"/>
        </w:rPr>
        <w:t xml:space="preserve"> </w:t>
      </w:r>
      <w:r w:rsidRPr="00C6336E">
        <w:rPr>
          <w:i/>
          <w:sz w:val="20"/>
          <w:szCs w:val="20"/>
        </w:rPr>
        <w:t>Biological</w:t>
      </w:r>
      <w:r w:rsidR="00A13736" w:rsidRPr="00C6336E">
        <w:rPr>
          <w:i/>
          <w:sz w:val="20"/>
          <w:szCs w:val="20"/>
        </w:rPr>
        <w:t xml:space="preserve"> </w:t>
      </w:r>
      <w:r w:rsidRPr="00C6336E">
        <w:rPr>
          <w:i/>
          <w:sz w:val="20"/>
          <w:szCs w:val="20"/>
        </w:rPr>
        <w:t>sciences</w:t>
      </w:r>
      <w:r w:rsidRPr="00C6336E">
        <w:rPr>
          <w:sz w:val="20"/>
          <w:szCs w:val="20"/>
        </w:rPr>
        <w:t>,</w:t>
      </w:r>
      <w:r w:rsidR="00A13736" w:rsidRPr="00C6336E">
        <w:rPr>
          <w:sz w:val="20"/>
          <w:szCs w:val="20"/>
        </w:rPr>
        <w:t xml:space="preserve"> </w:t>
      </w:r>
      <w:r w:rsidRPr="00C6336E">
        <w:rPr>
          <w:sz w:val="20"/>
          <w:szCs w:val="20"/>
        </w:rPr>
        <w:t>1(2):</w:t>
      </w:r>
      <w:r w:rsidR="00A13736" w:rsidRPr="00C6336E">
        <w:rPr>
          <w:sz w:val="20"/>
          <w:szCs w:val="20"/>
        </w:rPr>
        <w:t xml:space="preserve"> </w:t>
      </w:r>
      <w:r w:rsidRPr="00C6336E">
        <w:rPr>
          <w:sz w:val="20"/>
          <w:szCs w:val="20"/>
        </w:rPr>
        <w:t>43-51.</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Ukpong,</w:t>
      </w:r>
      <w:r w:rsidR="00A13736" w:rsidRPr="00C6336E">
        <w:rPr>
          <w:sz w:val="20"/>
          <w:szCs w:val="20"/>
        </w:rPr>
        <w:t xml:space="preserve"> </w:t>
      </w:r>
      <w:r w:rsidRPr="00C6336E">
        <w:rPr>
          <w:sz w:val="20"/>
          <w:szCs w:val="20"/>
        </w:rPr>
        <w:t>I.</w:t>
      </w:r>
      <w:r w:rsidR="00A13736" w:rsidRPr="00C6336E">
        <w:rPr>
          <w:sz w:val="20"/>
          <w:szCs w:val="20"/>
        </w:rPr>
        <w:t xml:space="preserve"> </w:t>
      </w:r>
      <w:r w:rsidRPr="00C6336E">
        <w:rPr>
          <w:sz w:val="20"/>
          <w:szCs w:val="20"/>
        </w:rPr>
        <w:t>E.</w:t>
      </w:r>
      <w:r w:rsidR="00A13736" w:rsidRPr="00C6336E">
        <w:rPr>
          <w:sz w:val="20"/>
          <w:szCs w:val="20"/>
        </w:rPr>
        <w:t xml:space="preserve"> </w:t>
      </w:r>
      <w:r w:rsidRPr="00C6336E">
        <w:rPr>
          <w:sz w:val="20"/>
          <w:szCs w:val="20"/>
        </w:rPr>
        <w:t>(1991).</w:t>
      </w:r>
      <w:r w:rsidR="00A13736" w:rsidRPr="00C6336E">
        <w:rPr>
          <w:sz w:val="20"/>
          <w:szCs w:val="20"/>
        </w:rPr>
        <w:t xml:space="preserve"> </w:t>
      </w:r>
      <w:r w:rsidRPr="00C6336E">
        <w:rPr>
          <w:bCs/>
          <w:sz w:val="20"/>
          <w:szCs w:val="20"/>
        </w:rPr>
        <w:t>The</w:t>
      </w:r>
      <w:r w:rsidR="00A13736" w:rsidRPr="00C6336E">
        <w:rPr>
          <w:bCs/>
          <w:sz w:val="20"/>
          <w:szCs w:val="20"/>
        </w:rPr>
        <w:t xml:space="preserve"> </w:t>
      </w:r>
      <w:r w:rsidRPr="00C6336E">
        <w:rPr>
          <w:bCs/>
          <w:sz w:val="20"/>
          <w:szCs w:val="20"/>
        </w:rPr>
        <w:t>performance</w:t>
      </w:r>
      <w:r w:rsidR="00A13736" w:rsidRPr="00C6336E">
        <w:rPr>
          <w:bCs/>
          <w:sz w:val="20"/>
          <w:szCs w:val="20"/>
        </w:rPr>
        <w:t xml:space="preserve"> </w:t>
      </w:r>
      <w:r w:rsidRPr="00C6336E">
        <w:rPr>
          <w:bCs/>
          <w:sz w:val="20"/>
          <w:szCs w:val="20"/>
        </w:rPr>
        <w:t>and</w:t>
      </w:r>
      <w:r w:rsidR="00A13736" w:rsidRPr="00C6336E">
        <w:rPr>
          <w:bCs/>
          <w:sz w:val="20"/>
          <w:szCs w:val="20"/>
        </w:rPr>
        <w:t xml:space="preserve"> </w:t>
      </w:r>
      <w:r w:rsidRPr="00C6336E">
        <w:rPr>
          <w:bCs/>
          <w:sz w:val="20"/>
          <w:szCs w:val="20"/>
        </w:rPr>
        <w:t>distribution</w:t>
      </w:r>
      <w:r w:rsidR="00A13736" w:rsidRPr="00C6336E">
        <w:rPr>
          <w:bCs/>
          <w:sz w:val="20"/>
          <w:szCs w:val="20"/>
        </w:rPr>
        <w:t xml:space="preserve"> </w:t>
      </w:r>
      <w:r w:rsidRPr="00C6336E">
        <w:rPr>
          <w:bCs/>
          <w:sz w:val="20"/>
          <w:szCs w:val="20"/>
        </w:rPr>
        <w:t>of</w:t>
      </w:r>
      <w:r w:rsidR="00A13736" w:rsidRPr="00C6336E">
        <w:rPr>
          <w:bCs/>
          <w:sz w:val="20"/>
          <w:szCs w:val="20"/>
        </w:rPr>
        <w:t xml:space="preserve"> </w:t>
      </w:r>
      <w:r w:rsidRPr="00C6336E">
        <w:rPr>
          <w:bCs/>
          <w:sz w:val="20"/>
          <w:szCs w:val="20"/>
        </w:rPr>
        <w:t>species</w:t>
      </w:r>
      <w:r w:rsidR="00A13736" w:rsidRPr="00C6336E">
        <w:rPr>
          <w:bCs/>
          <w:sz w:val="20"/>
          <w:szCs w:val="20"/>
        </w:rPr>
        <w:t xml:space="preserve"> </w:t>
      </w:r>
      <w:r w:rsidRPr="00C6336E">
        <w:rPr>
          <w:bCs/>
          <w:sz w:val="20"/>
          <w:szCs w:val="20"/>
        </w:rPr>
        <w:t>along</w:t>
      </w:r>
      <w:r w:rsidR="00A13736" w:rsidRPr="00C6336E">
        <w:rPr>
          <w:bCs/>
          <w:sz w:val="20"/>
          <w:szCs w:val="20"/>
        </w:rPr>
        <w:t xml:space="preserve"> </w:t>
      </w:r>
      <w:r w:rsidRPr="00C6336E">
        <w:rPr>
          <w:bCs/>
          <w:sz w:val="20"/>
          <w:szCs w:val="20"/>
        </w:rPr>
        <w:t>soil</w:t>
      </w:r>
      <w:r w:rsidR="00A13736" w:rsidRPr="00C6336E">
        <w:rPr>
          <w:bCs/>
          <w:sz w:val="20"/>
          <w:szCs w:val="20"/>
        </w:rPr>
        <w:t xml:space="preserve"> </w:t>
      </w:r>
      <w:r w:rsidRPr="00C6336E">
        <w:rPr>
          <w:bCs/>
          <w:sz w:val="20"/>
          <w:szCs w:val="20"/>
        </w:rPr>
        <w:t>salinity</w:t>
      </w:r>
      <w:r w:rsidR="00A13736" w:rsidRPr="00C6336E">
        <w:rPr>
          <w:bCs/>
          <w:sz w:val="20"/>
          <w:szCs w:val="20"/>
        </w:rPr>
        <w:t xml:space="preserve"> </w:t>
      </w:r>
      <w:r w:rsidRPr="00C6336E">
        <w:rPr>
          <w:bCs/>
          <w:sz w:val="20"/>
          <w:szCs w:val="20"/>
        </w:rPr>
        <w:t>gradients</w:t>
      </w:r>
      <w:r w:rsidR="00E356B8" w:rsidRPr="00C6336E">
        <w:rPr>
          <w:rFonts w:hint="eastAsia"/>
          <w:bCs/>
          <w:sz w:val="20"/>
          <w:szCs w:val="20"/>
          <w:lang w:eastAsia="zh-CN"/>
        </w:rPr>
        <w:t xml:space="preserve"> </w:t>
      </w:r>
      <w:r w:rsidRPr="00C6336E">
        <w:rPr>
          <w:bCs/>
          <w:sz w:val="20"/>
          <w:szCs w:val="20"/>
        </w:rPr>
        <w:t>of</w:t>
      </w:r>
      <w:r w:rsidR="00A13736" w:rsidRPr="00C6336E">
        <w:rPr>
          <w:bCs/>
          <w:sz w:val="20"/>
          <w:szCs w:val="20"/>
        </w:rPr>
        <w:t xml:space="preserve"> </w:t>
      </w:r>
      <w:r w:rsidRPr="00C6336E">
        <w:rPr>
          <w:bCs/>
          <w:sz w:val="20"/>
          <w:szCs w:val="20"/>
        </w:rPr>
        <w:t>mangrove</w:t>
      </w:r>
      <w:r w:rsidR="00A13736" w:rsidRPr="00C6336E">
        <w:rPr>
          <w:bCs/>
          <w:sz w:val="20"/>
          <w:szCs w:val="20"/>
        </w:rPr>
        <w:t xml:space="preserve"> </w:t>
      </w:r>
      <w:r w:rsidRPr="00C6336E">
        <w:rPr>
          <w:bCs/>
          <w:sz w:val="20"/>
          <w:szCs w:val="20"/>
        </w:rPr>
        <w:t>swamps</w:t>
      </w:r>
      <w:r w:rsidR="00A13736" w:rsidRPr="00C6336E">
        <w:rPr>
          <w:bCs/>
          <w:sz w:val="20"/>
          <w:szCs w:val="20"/>
        </w:rPr>
        <w:t xml:space="preserve"> </w:t>
      </w:r>
      <w:r w:rsidRPr="00C6336E">
        <w:rPr>
          <w:bCs/>
          <w:sz w:val="20"/>
          <w:szCs w:val="20"/>
        </w:rPr>
        <w:t>in</w:t>
      </w:r>
      <w:r w:rsidR="00A13736" w:rsidRPr="00C6336E">
        <w:rPr>
          <w:bCs/>
          <w:sz w:val="20"/>
          <w:szCs w:val="20"/>
        </w:rPr>
        <w:t xml:space="preserve"> </w:t>
      </w:r>
      <w:r w:rsidRPr="00C6336E">
        <w:rPr>
          <w:bCs/>
          <w:sz w:val="20"/>
          <w:szCs w:val="20"/>
        </w:rPr>
        <w:t>southeastern</w:t>
      </w:r>
      <w:r w:rsidR="00A13736" w:rsidRPr="00C6336E">
        <w:rPr>
          <w:bCs/>
          <w:sz w:val="20"/>
          <w:szCs w:val="20"/>
        </w:rPr>
        <w:t xml:space="preserve"> </w:t>
      </w:r>
      <w:r w:rsidRPr="00C6336E">
        <w:rPr>
          <w:bCs/>
          <w:sz w:val="20"/>
          <w:szCs w:val="20"/>
        </w:rPr>
        <w:t>Nigeria.</w:t>
      </w:r>
      <w:r w:rsidR="00A13736" w:rsidRPr="00C6336E">
        <w:rPr>
          <w:bCs/>
          <w:sz w:val="20"/>
          <w:szCs w:val="20"/>
        </w:rPr>
        <w:t xml:space="preserve"> </w:t>
      </w:r>
      <w:r w:rsidRPr="00C6336E">
        <w:rPr>
          <w:bCs/>
          <w:i/>
          <w:sz w:val="20"/>
          <w:szCs w:val="20"/>
        </w:rPr>
        <w:t>Vegetatio</w:t>
      </w:r>
      <w:r w:rsidRPr="00C6336E">
        <w:rPr>
          <w:bCs/>
          <w:sz w:val="20"/>
          <w:szCs w:val="20"/>
        </w:rPr>
        <w:t>,</w:t>
      </w:r>
      <w:r w:rsidR="00A13736" w:rsidRPr="00C6336E">
        <w:rPr>
          <w:bCs/>
          <w:sz w:val="20"/>
          <w:szCs w:val="20"/>
        </w:rPr>
        <w:t xml:space="preserve"> </w:t>
      </w:r>
      <w:r w:rsidRPr="00C6336E">
        <w:rPr>
          <w:bCs/>
          <w:sz w:val="20"/>
          <w:szCs w:val="20"/>
        </w:rPr>
        <w:t>95:</w:t>
      </w:r>
      <w:r w:rsidR="00A13736" w:rsidRPr="00C6336E">
        <w:rPr>
          <w:bCs/>
          <w:sz w:val="20"/>
          <w:szCs w:val="20"/>
        </w:rPr>
        <w:t xml:space="preserve"> </w:t>
      </w:r>
      <w:r w:rsidRPr="00C6336E">
        <w:rPr>
          <w:bCs/>
          <w:sz w:val="20"/>
          <w:szCs w:val="20"/>
        </w:rPr>
        <w:t>63</w:t>
      </w:r>
      <w:r w:rsidR="00A13736" w:rsidRPr="00C6336E">
        <w:rPr>
          <w:bCs/>
          <w:sz w:val="20"/>
          <w:szCs w:val="20"/>
        </w:rPr>
        <w:t xml:space="preserve"> </w:t>
      </w:r>
      <w:r w:rsidRPr="00C6336E">
        <w:rPr>
          <w:bCs/>
          <w:sz w:val="20"/>
          <w:szCs w:val="20"/>
        </w:rPr>
        <w:t>–</w:t>
      </w:r>
      <w:r w:rsidR="00A13736" w:rsidRPr="00C6336E">
        <w:rPr>
          <w:bCs/>
          <w:sz w:val="20"/>
          <w:szCs w:val="20"/>
        </w:rPr>
        <w:t xml:space="preserve"> </w:t>
      </w:r>
      <w:r w:rsidRPr="00C6336E">
        <w:rPr>
          <w:bCs/>
          <w:sz w:val="20"/>
          <w:szCs w:val="20"/>
        </w:rPr>
        <w:t>70.</w:t>
      </w:r>
    </w:p>
    <w:p w:rsidR="00793A80"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Ukpong,</w:t>
      </w:r>
      <w:r w:rsidR="00A13736" w:rsidRPr="00C6336E">
        <w:rPr>
          <w:sz w:val="20"/>
          <w:szCs w:val="20"/>
        </w:rPr>
        <w:t xml:space="preserve"> </w:t>
      </w:r>
      <w:r w:rsidRPr="00C6336E">
        <w:rPr>
          <w:sz w:val="20"/>
          <w:szCs w:val="20"/>
        </w:rPr>
        <w:t>I.</w:t>
      </w:r>
      <w:r w:rsidR="00A13736" w:rsidRPr="00C6336E">
        <w:rPr>
          <w:sz w:val="20"/>
          <w:szCs w:val="20"/>
        </w:rPr>
        <w:t xml:space="preserve"> </w:t>
      </w:r>
      <w:r w:rsidRPr="00C6336E">
        <w:rPr>
          <w:sz w:val="20"/>
          <w:szCs w:val="20"/>
        </w:rPr>
        <w:t>E.</w:t>
      </w:r>
      <w:r w:rsidR="00A13736" w:rsidRPr="00C6336E">
        <w:rPr>
          <w:sz w:val="20"/>
          <w:szCs w:val="20"/>
        </w:rPr>
        <w:t xml:space="preserve"> </w:t>
      </w:r>
      <w:r w:rsidRPr="00C6336E">
        <w:rPr>
          <w:sz w:val="20"/>
          <w:szCs w:val="20"/>
        </w:rPr>
        <w:t>(1997).</w:t>
      </w:r>
      <w:r w:rsidR="00A13736" w:rsidRPr="00C6336E">
        <w:rPr>
          <w:sz w:val="20"/>
          <w:szCs w:val="20"/>
        </w:rPr>
        <w:t xml:space="preserve"> </w:t>
      </w:r>
      <w:r w:rsidRPr="00C6336E">
        <w:rPr>
          <w:sz w:val="20"/>
          <w:szCs w:val="20"/>
        </w:rPr>
        <w:t>Vegetation</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its</w:t>
      </w:r>
      <w:r w:rsidR="00A13736" w:rsidRPr="00C6336E">
        <w:rPr>
          <w:sz w:val="20"/>
          <w:szCs w:val="20"/>
        </w:rPr>
        <w:t xml:space="preserve"> </w:t>
      </w:r>
      <w:r w:rsidRPr="00C6336E">
        <w:rPr>
          <w:sz w:val="20"/>
          <w:szCs w:val="20"/>
        </w:rPr>
        <w:t>Relation</w:t>
      </w:r>
      <w:r w:rsidR="00A13736" w:rsidRPr="00C6336E">
        <w:rPr>
          <w:sz w:val="20"/>
          <w:szCs w:val="20"/>
        </w:rPr>
        <w:t xml:space="preserve"> </w:t>
      </w:r>
      <w:r w:rsidRPr="00C6336E">
        <w:rPr>
          <w:sz w:val="20"/>
          <w:szCs w:val="20"/>
        </w:rPr>
        <w:t>to</w:t>
      </w:r>
      <w:r w:rsidR="00A13736" w:rsidRPr="00C6336E">
        <w:rPr>
          <w:sz w:val="20"/>
          <w:szCs w:val="20"/>
        </w:rPr>
        <w:t xml:space="preserve"> </w:t>
      </w:r>
      <w:r w:rsidRPr="00C6336E">
        <w:rPr>
          <w:sz w:val="20"/>
          <w:szCs w:val="20"/>
        </w:rPr>
        <w:t>Soil</w:t>
      </w:r>
      <w:r w:rsidR="00A13736" w:rsidRPr="00C6336E">
        <w:rPr>
          <w:sz w:val="20"/>
          <w:szCs w:val="20"/>
        </w:rPr>
        <w:t xml:space="preserve"> </w:t>
      </w:r>
      <w:r w:rsidRPr="00C6336E">
        <w:rPr>
          <w:sz w:val="20"/>
          <w:szCs w:val="20"/>
        </w:rPr>
        <w:t>Nutrient</w:t>
      </w:r>
      <w:r w:rsidR="00A13736" w:rsidRPr="00C6336E">
        <w:rPr>
          <w:sz w:val="20"/>
          <w:szCs w:val="20"/>
        </w:rPr>
        <w:t xml:space="preserve"> </w:t>
      </w:r>
      <w:r w:rsidRPr="00C6336E">
        <w:rPr>
          <w:sz w:val="20"/>
          <w:szCs w:val="20"/>
        </w:rPr>
        <w:t>and</w:t>
      </w:r>
      <w:r w:rsidR="00A13736" w:rsidRPr="00C6336E">
        <w:rPr>
          <w:sz w:val="20"/>
          <w:szCs w:val="20"/>
        </w:rPr>
        <w:t xml:space="preserve"> </w:t>
      </w:r>
      <w:r w:rsidRPr="00C6336E">
        <w:rPr>
          <w:sz w:val="20"/>
          <w:szCs w:val="20"/>
        </w:rPr>
        <w:t>Salinity</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Calabar</w:t>
      </w:r>
      <w:r w:rsidR="00A13736" w:rsidRPr="00C6336E">
        <w:rPr>
          <w:sz w:val="20"/>
          <w:szCs w:val="20"/>
        </w:rPr>
        <w:t xml:space="preserve"> </w:t>
      </w:r>
      <w:r w:rsidRPr="00C6336E">
        <w:rPr>
          <w:sz w:val="20"/>
          <w:szCs w:val="20"/>
        </w:rPr>
        <w:t>Mangrove</w:t>
      </w:r>
      <w:r w:rsidR="00A13736" w:rsidRPr="00C6336E">
        <w:rPr>
          <w:sz w:val="20"/>
          <w:szCs w:val="20"/>
        </w:rPr>
        <w:t xml:space="preserve"> </w:t>
      </w:r>
      <w:r w:rsidRPr="00C6336E">
        <w:rPr>
          <w:sz w:val="20"/>
          <w:szCs w:val="20"/>
        </w:rPr>
        <w:t>Swamp,</w:t>
      </w:r>
      <w:r w:rsidR="00A13736" w:rsidRPr="00C6336E">
        <w:rPr>
          <w:sz w:val="20"/>
          <w:szCs w:val="20"/>
        </w:rPr>
        <w:t xml:space="preserve"> </w:t>
      </w:r>
      <w:r w:rsidRPr="00C6336E">
        <w:rPr>
          <w:sz w:val="20"/>
          <w:szCs w:val="20"/>
        </w:rPr>
        <w:t>Nigeria.</w:t>
      </w:r>
      <w:r w:rsidR="00A13736" w:rsidRPr="00C6336E">
        <w:rPr>
          <w:sz w:val="20"/>
          <w:szCs w:val="20"/>
        </w:rPr>
        <w:t xml:space="preserve"> </w:t>
      </w:r>
      <w:r w:rsidRPr="00C6336E">
        <w:rPr>
          <w:i/>
          <w:sz w:val="20"/>
          <w:szCs w:val="20"/>
        </w:rPr>
        <w:t>Mangroves</w:t>
      </w:r>
      <w:r w:rsidR="00A13736" w:rsidRPr="00C6336E">
        <w:rPr>
          <w:i/>
          <w:sz w:val="20"/>
          <w:szCs w:val="20"/>
        </w:rPr>
        <w:t xml:space="preserve"> </w:t>
      </w:r>
      <w:r w:rsidRPr="00C6336E">
        <w:rPr>
          <w:i/>
          <w:sz w:val="20"/>
          <w:szCs w:val="20"/>
        </w:rPr>
        <w:t>Salt</w:t>
      </w:r>
      <w:r w:rsidR="00A13736" w:rsidRPr="00C6336E">
        <w:rPr>
          <w:i/>
          <w:sz w:val="20"/>
          <w:szCs w:val="20"/>
        </w:rPr>
        <w:t xml:space="preserve"> </w:t>
      </w:r>
      <w:r w:rsidRPr="00C6336E">
        <w:rPr>
          <w:i/>
          <w:sz w:val="20"/>
          <w:szCs w:val="20"/>
        </w:rPr>
        <w:t>Marshes</w:t>
      </w:r>
      <w:r w:rsidRPr="00C6336E">
        <w:rPr>
          <w:sz w:val="20"/>
          <w:szCs w:val="20"/>
        </w:rPr>
        <w:t>,</w:t>
      </w:r>
      <w:r w:rsidR="00A13736" w:rsidRPr="00C6336E">
        <w:rPr>
          <w:sz w:val="20"/>
          <w:szCs w:val="20"/>
        </w:rPr>
        <w:t xml:space="preserve"> </w:t>
      </w:r>
      <w:r w:rsidRPr="00C6336E">
        <w:rPr>
          <w:sz w:val="20"/>
          <w:szCs w:val="20"/>
        </w:rPr>
        <w:t>1:</w:t>
      </w:r>
      <w:r w:rsidR="00A13736" w:rsidRPr="00C6336E">
        <w:rPr>
          <w:sz w:val="20"/>
          <w:szCs w:val="20"/>
        </w:rPr>
        <w:t xml:space="preserve"> </w:t>
      </w:r>
      <w:r w:rsidRPr="00C6336E">
        <w:rPr>
          <w:sz w:val="20"/>
          <w:szCs w:val="20"/>
        </w:rPr>
        <w:t>211–218.</w:t>
      </w:r>
    </w:p>
    <w:p w:rsidR="00A13736" w:rsidRPr="00C6336E" w:rsidRDefault="00EE29D7" w:rsidP="00194FCD">
      <w:pPr>
        <w:pStyle w:val="ListParagraph"/>
        <w:numPr>
          <w:ilvl w:val="0"/>
          <w:numId w:val="5"/>
        </w:numPr>
        <w:suppressAutoHyphens w:val="0"/>
        <w:snapToGrid w:val="0"/>
        <w:ind w:left="425" w:hanging="425"/>
        <w:jc w:val="both"/>
        <w:rPr>
          <w:sz w:val="20"/>
          <w:szCs w:val="20"/>
        </w:rPr>
      </w:pPr>
      <w:r w:rsidRPr="00C6336E">
        <w:rPr>
          <w:sz w:val="20"/>
          <w:szCs w:val="20"/>
        </w:rPr>
        <w:t>Ukpong,</w:t>
      </w:r>
      <w:r w:rsidR="00A13736" w:rsidRPr="00C6336E">
        <w:rPr>
          <w:sz w:val="20"/>
          <w:szCs w:val="20"/>
        </w:rPr>
        <w:t xml:space="preserve"> </w:t>
      </w:r>
      <w:r w:rsidRPr="00C6336E">
        <w:rPr>
          <w:sz w:val="20"/>
          <w:szCs w:val="20"/>
        </w:rPr>
        <w:t>I.</w:t>
      </w:r>
      <w:r w:rsidR="00A13736" w:rsidRPr="00C6336E">
        <w:rPr>
          <w:sz w:val="20"/>
          <w:szCs w:val="20"/>
        </w:rPr>
        <w:t xml:space="preserve"> </w:t>
      </w:r>
      <w:r w:rsidRPr="00C6336E">
        <w:rPr>
          <w:sz w:val="20"/>
          <w:szCs w:val="20"/>
        </w:rPr>
        <w:t>E.</w:t>
      </w:r>
      <w:r w:rsidR="00A13736" w:rsidRPr="00C6336E">
        <w:rPr>
          <w:sz w:val="20"/>
          <w:szCs w:val="20"/>
        </w:rPr>
        <w:t xml:space="preserve"> </w:t>
      </w:r>
      <w:r w:rsidRPr="00C6336E">
        <w:rPr>
          <w:sz w:val="20"/>
          <w:szCs w:val="20"/>
        </w:rPr>
        <w:t>(2002)</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i/>
          <w:iCs/>
          <w:sz w:val="20"/>
          <w:szCs w:val="20"/>
        </w:rPr>
        <w:t>Nypa</w:t>
      </w:r>
      <w:r w:rsidR="00A13736" w:rsidRPr="00C6336E">
        <w:rPr>
          <w:i/>
          <w:iCs/>
          <w:sz w:val="20"/>
          <w:szCs w:val="20"/>
        </w:rPr>
        <w:t xml:space="preserve"> </w:t>
      </w:r>
      <w:r w:rsidRPr="00C6336E">
        <w:rPr>
          <w:i/>
          <w:iCs/>
          <w:sz w:val="20"/>
          <w:szCs w:val="20"/>
        </w:rPr>
        <w:t>fruticans</w:t>
      </w:r>
      <w:r w:rsidR="00A13736" w:rsidRPr="00C6336E">
        <w:rPr>
          <w:i/>
          <w:iCs/>
          <w:sz w:val="20"/>
          <w:szCs w:val="20"/>
        </w:rPr>
        <w:t xml:space="preserve"> </w:t>
      </w:r>
      <w:r w:rsidRPr="00C6336E">
        <w:rPr>
          <w:sz w:val="20"/>
          <w:szCs w:val="20"/>
        </w:rPr>
        <w:t>threat</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estuaries</w:t>
      </w:r>
      <w:r w:rsidR="00A13736" w:rsidRPr="00C6336E">
        <w:rPr>
          <w:sz w:val="20"/>
          <w:szCs w:val="20"/>
        </w:rPr>
        <w:t xml:space="preserve"> </w:t>
      </w:r>
      <w:r w:rsidRPr="00C6336E">
        <w:rPr>
          <w:sz w:val="20"/>
          <w:szCs w:val="20"/>
        </w:rPr>
        <w:t>east</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Niger</w:t>
      </w:r>
      <w:r w:rsidR="00A13736" w:rsidRPr="00C6336E">
        <w:rPr>
          <w:sz w:val="20"/>
          <w:szCs w:val="20"/>
        </w:rPr>
        <w:t xml:space="preserve"> </w:t>
      </w:r>
      <w:r w:rsidRPr="00C6336E">
        <w:rPr>
          <w:sz w:val="20"/>
          <w:szCs w:val="20"/>
        </w:rPr>
        <w:t>Delta,</w:t>
      </w:r>
      <w:r w:rsidR="00A13736" w:rsidRPr="00C6336E">
        <w:rPr>
          <w:sz w:val="20"/>
          <w:szCs w:val="20"/>
        </w:rPr>
        <w:t xml:space="preserve"> </w:t>
      </w:r>
      <w:r w:rsidRPr="00C6336E">
        <w:rPr>
          <w:sz w:val="20"/>
          <w:szCs w:val="20"/>
        </w:rPr>
        <w:t>Nigeria.</w:t>
      </w:r>
    </w:p>
    <w:p w:rsidR="00EE29D7" w:rsidRPr="00C6336E" w:rsidRDefault="00EE29D7" w:rsidP="00194FCD">
      <w:pPr>
        <w:pStyle w:val="ListParagraph"/>
        <w:numPr>
          <w:ilvl w:val="0"/>
          <w:numId w:val="5"/>
        </w:numPr>
        <w:suppressAutoHyphens w:val="0"/>
        <w:snapToGrid w:val="0"/>
        <w:ind w:left="425" w:hanging="425"/>
        <w:jc w:val="both"/>
        <w:rPr>
          <w:sz w:val="20"/>
          <w:szCs w:val="20"/>
        </w:rPr>
      </w:pPr>
      <w:r w:rsidRPr="00C6336E">
        <w:rPr>
          <w:i/>
          <w:iCs/>
          <w:sz w:val="20"/>
          <w:szCs w:val="20"/>
        </w:rPr>
        <w:t>Trans.</w:t>
      </w:r>
      <w:r w:rsidR="00A13736" w:rsidRPr="00C6336E">
        <w:rPr>
          <w:i/>
          <w:iCs/>
          <w:sz w:val="20"/>
          <w:szCs w:val="20"/>
        </w:rPr>
        <w:t xml:space="preserve"> </w:t>
      </w:r>
      <w:r w:rsidRPr="00C6336E">
        <w:rPr>
          <w:i/>
          <w:iCs/>
          <w:sz w:val="20"/>
          <w:szCs w:val="20"/>
        </w:rPr>
        <w:t>Nig.</w:t>
      </w:r>
      <w:r w:rsidR="00A13736" w:rsidRPr="00C6336E">
        <w:rPr>
          <w:i/>
          <w:iCs/>
          <w:sz w:val="20"/>
          <w:szCs w:val="20"/>
        </w:rPr>
        <w:t xml:space="preserve"> </w:t>
      </w:r>
      <w:r w:rsidRPr="00C6336E">
        <w:rPr>
          <w:i/>
          <w:iCs/>
          <w:sz w:val="20"/>
          <w:szCs w:val="20"/>
        </w:rPr>
        <w:t>Soc.</w:t>
      </w:r>
      <w:r w:rsidR="00A13736" w:rsidRPr="00C6336E">
        <w:rPr>
          <w:i/>
          <w:iCs/>
          <w:sz w:val="20"/>
          <w:szCs w:val="20"/>
        </w:rPr>
        <w:t xml:space="preserve"> </w:t>
      </w:r>
      <w:r w:rsidRPr="00C6336E">
        <w:rPr>
          <w:i/>
          <w:iCs/>
          <w:sz w:val="20"/>
          <w:szCs w:val="20"/>
        </w:rPr>
        <w:t>Biol.</w:t>
      </w:r>
      <w:r w:rsidR="00A13736" w:rsidRPr="00C6336E">
        <w:rPr>
          <w:i/>
          <w:iCs/>
          <w:sz w:val="20"/>
          <w:szCs w:val="20"/>
        </w:rPr>
        <w:t xml:space="preserve"> </w:t>
      </w:r>
      <w:r w:rsidRPr="00C6336E">
        <w:rPr>
          <w:i/>
          <w:iCs/>
          <w:sz w:val="20"/>
          <w:szCs w:val="20"/>
        </w:rPr>
        <w:t>Conserv</w:t>
      </w:r>
      <w:r w:rsidRPr="00C6336E">
        <w:rPr>
          <w:sz w:val="20"/>
          <w:szCs w:val="20"/>
        </w:rPr>
        <w:t>.</w:t>
      </w:r>
      <w:r w:rsidR="00A13736" w:rsidRPr="00C6336E">
        <w:rPr>
          <w:sz w:val="20"/>
          <w:szCs w:val="20"/>
        </w:rPr>
        <w:t xml:space="preserve"> </w:t>
      </w:r>
      <w:r w:rsidRPr="00C6336E">
        <w:rPr>
          <w:sz w:val="20"/>
          <w:szCs w:val="20"/>
        </w:rPr>
        <w:t>(Special</w:t>
      </w:r>
      <w:r w:rsidR="00A13736" w:rsidRPr="00C6336E">
        <w:rPr>
          <w:sz w:val="20"/>
          <w:szCs w:val="20"/>
        </w:rPr>
        <w:t xml:space="preserve"> </w:t>
      </w:r>
      <w:r w:rsidRPr="00C6336E">
        <w:rPr>
          <w:sz w:val="20"/>
          <w:szCs w:val="20"/>
        </w:rPr>
        <w:t>Edition).</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Status</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Conservation</w:t>
      </w:r>
      <w:r w:rsidR="00A13736" w:rsidRPr="00C6336E">
        <w:rPr>
          <w:sz w:val="20"/>
          <w:szCs w:val="20"/>
        </w:rPr>
        <w:t xml:space="preserve"> </w:t>
      </w:r>
      <w:r w:rsidRPr="00C6336E">
        <w:rPr>
          <w:sz w:val="20"/>
          <w:szCs w:val="20"/>
        </w:rPr>
        <w:t>Renewable</w:t>
      </w:r>
      <w:r w:rsidR="00E356B8" w:rsidRPr="00C6336E">
        <w:rPr>
          <w:rFonts w:hint="eastAsia"/>
          <w:sz w:val="20"/>
          <w:szCs w:val="20"/>
          <w:lang w:eastAsia="zh-CN"/>
        </w:rPr>
        <w:t xml:space="preserve"> </w:t>
      </w:r>
      <w:r w:rsidRPr="00C6336E">
        <w:rPr>
          <w:sz w:val="20"/>
          <w:szCs w:val="20"/>
        </w:rPr>
        <w:t>Natural</w:t>
      </w:r>
      <w:r w:rsidR="00A13736" w:rsidRPr="00C6336E">
        <w:rPr>
          <w:sz w:val="20"/>
          <w:szCs w:val="20"/>
        </w:rPr>
        <w:t xml:space="preserve"> </w:t>
      </w:r>
      <w:r w:rsidRPr="00C6336E">
        <w:rPr>
          <w:sz w:val="20"/>
          <w:szCs w:val="20"/>
        </w:rPr>
        <w:t>Resources</w:t>
      </w:r>
      <w:r w:rsidR="00A13736" w:rsidRPr="00C6336E">
        <w:rPr>
          <w:sz w:val="20"/>
          <w:szCs w:val="20"/>
        </w:rPr>
        <w:t xml:space="preserve"> </w:t>
      </w:r>
      <w:r w:rsidRPr="00C6336E">
        <w:rPr>
          <w:sz w:val="20"/>
          <w:szCs w:val="20"/>
        </w:rPr>
        <w:t>in</w:t>
      </w:r>
      <w:r w:rsidR="00A13736" w:rsidRPr="00C6336E">
        <w:rPr>
          <w:sz w:val="20"/>
          <w:szCs w:val="20"/>
        </w:rPr>
        <w:t xml:space="preserve"> </w:t>
      </w:r>
      <w:r w:rsidRPr="00C6336E">
        <w:rPr>
          <w:sz w:val="20"/>
          <w:szCs w:val="20"/>
        </w:rPr>
        <w:t>the</w:t>
      </w:r>
      <w:r w:rsidR="00A13736" w:rsidRPr="00C6336E">
        <w:rPr>
          <w:sz w:val="20"/>
          <w:szCs w:val="20"/>
        </w:rPr>
        <w:t xml:space="preserve"> </w:t>
      </w:r>
      <w:r w:rsidRPr="00C6336E">
        <w:rPr>
          <w:sz w:val="20"/>
          <w:szCs w:val="20"/>
        </w:rPr>
        <w:t>Niger</w:t>
      </w:r>
      <w:r w:rsidR="00A13736" w:rsidRPr="00C6336E">
        <w:rPr>
          <w:sz w:val="20"/>
          <w:szCs w:val="20"/>
        </w:rPr>
        <w:t xml:space="preserve"> </w:t>
      </w:r>
      <w:r w:rsidRPr="00C6336E">
        <w:rPr>
          <w:sz w:val="20"/>
          <w:szCs w:val="20"/>
        </w:rPr>
        <w:t>Delta</w:t>
      </w:r>
      <w:r w:rsidR="00A13736" w:rsidRPr="00C6336E">
        <w:rPr>
          <w:sz w:val="20"/>
          <w:szCs w:val="20"/>
        </w:rPr>
        <w:t xml:space="preserve"> </w:t>
      </w:r>
      <w:r w:rsidRPr="00C6336E">
        <w:rPr>
          <w:sz w:val="20"/>
          <w:szCs w:val="20"/>
        </w:rPr>
        <w:t>Area</w:t>
      </w:r>
      <w:r w:rsidR="00A13736" w:rsidRPr="00C6336E">
        <w:rPr>
          <w:sz w:val="20"/>
          <w:szCs w:val="20"/>
        </w:rPr>
        <w:t xml:space="preserve"> </w:t>
      </w:r>
      <w:r w:rsidRPr="00C6336E">
        <w:rPr>
          <w:sz w:val="20"/>
          <w:szCs w:val="20"/>
        </w:rPr>
        <w:t>of</w:t>
      </w:r>
      <w:r w:rsidR="00A13736" w:rsidRPr="00C6336E">
        <w:rPr>
          <w:sz w:val="20"/>
          <w:szCs w:val="20"/>
        </w:rPr>
        <w:t xml:space="preserve"> </w:t>
      </w:r>
      <w:r w:rsidRPr="00C6336E">
        <w:rPr>
          <w:sz w:val="20"/>
          <w:szCs w:val="20"/>
        </w:rPr>
        <w:t>Nigeria,</w:t>
      </w:r>
      <w:r w:rsidR="00A13736" w:rsidRPr="00C6336E">
        <w:rPr>
          <w:sz w:val="20"/>
          <w:szCs w:val="20"/>
        </w:rPr>
        <w:t xml:space="preserve"> </w:t>
      </w:r>
      <w:r w:rsidRPr="00C6336E">
        <w:rPr>
          <w:sz w:val="20"/>
          <w:szCs w:val="20"/>
        </w:rPr>
        <w:t>p.</w:t>
      </w:r>
      <w:r w:rsidR="00A13736" w:rsidRPr="00C6336E">
        <w:rPr>
          <w:sz w:val="20"/>
          <w:szCs w:val="20"/>
        </w:rPr>
        <w:t xml:space="preserve"> </w:t>
      </w:r>
      <w:r w:rsidRPr="00C6336E">
        <w:rPr>
          <w:sz w:val="20"/>
          <w:szCs w:val="20"/>
        </w:rPr>
        <w:t>55</w:t>
      </w:r>
      <w:r w:rsidR="00A13736" w:rsidRPr="00C6336E">
        <w:rPr>
          <w:sz w:val="20"/>
          <w:szCs w:val="20"/>
        </w:rPr>
        <w:t xml:space="preserve"> </w:t>
      </w:r>
      <w:r w:rsidRPr="00C6336E">
        <w:rPr>
          <w:sz w:val="20"/>
          <w:szCs w:val="20"/>
        </w:rPr>
        <w:t>–</w:t>
      </w:r>
      <w:r w:rsidR="00A13736" w:rsidRPr="00C6336E">
        <w:rPr>
          <w:sz w:val="20"/>
          <w:szCs w:val="20"/>
        </w:rPr>
        <w:t xml:space="preserve"> </w:t>
      </w:r>
      <w:r w:rsidRPr="00C6336E">
        <w:rPr>
          <w:sz w:val="20"/>
          <w:szCs w:val="20"/>
        </w:rPr>
        <w:t>65.</w:t>
      </w:r>
    </w:p>
    <w:p w:rsidR="00A13736" w:rsidRPr="00C6336E" w:rsidRDefault="00A13736" w:rsidP="00194FCD">
      <w:pPr>
        <w:suppressAutoHyphens w:val="0"/>
        <w:snapToGrid w:val="0"/>
        <w:ind w:left="425" w:hanging="425"/>
        <w:jc w:val="both"/>
        <w:rPr>
          <w:sz w:val="20"/>
          <w:szCs w:val="20"/>
        </w:rPr>
        <w:sectPr w:rsidR="00A13736" w:rsidRPr="00C6336E" w:rsidSect="00757E48">
          <w:footnotePr>
            <w:pos w:val="beneathText"/>
          </w:footnotePr>
          <w:type w:val="continuous"/>
          <w:pgSz w:w="12240" w:h="15840" w:code="1"/>
          <w:pgMar w:top="1440" w:right="1440" w:bottom="1440" w:left="1440" w:header="720" w:footer="720" w:gutter="0"/>
          <w:cols w:num="2" w:space="600"/>
          <w:docGrid w:linePitch="360"/>
        </w:sectPr>
      </w:pPr>
    </w:p>
    <w:p w:rsidR="004D0467" w:rsidRPr="00C6336E" w:rsidRDefault="00A13736" w:rsidP="00194FCD">
      <w:pPr>
        <w:suppressAutoHyphens w:val="0"/>
        <w:snapToGrid w:val="0"/>
        <w:ind w:left="425" w:hanging="425"/>
        <w:jc w:val="both"/>
        <w:rPr>
          <w:sz w:val="20"/>
          <w:szCs w:val="20"/>
        </w:rPr>
      </w:pPr>
      <w:r w:rsidRPr="00C6336E">
        <w:rPr>
          <w:sz w:val="20"/>
          <w:szCs w:val="20"/>
        </w:rPr>
        <w:lastRenderedPageBreak/>
        <w:cr/>
      </w:r>
    </w:p>
    <w:p w:rsidR="00757E48" w:rsidRPr="00C6336E" w:rsidRDefault="00757E48" w:rsidP="00194FCD">
      <w:pPr>
        <w:suppressAutoHyphens w:val="0"/>
        <w:snapToGrid w:val="0"/>
        <w:ind w:left="425" w:hanging="425"/>
        <w:jc w:val="both"/>
        <w:rPr>
          <w:sz w:val="20"/>
          <w:szCs w:val="20"/>
          <w:lang w:eastAsia="zh-CN"/>
        </w:rPr>
      </w:pPr>
    </w:p>
    <w:p w:rsidR="004D0467" w:rsidRPr="00C6336E" w:rsidRDefault="00A13736" w:rsidP="00194FCD">
      <w:pPr>
        <w:suppressAutoHyphens w:val="0"/>
        <w:snapToGrid w:val="0"/>
        <w:ind w:left="425" w:hanging="425"/>
        <w:jc w:val="both"/>
        <w:rPr>
          <w:sz w:val="20"/>
          <w:szCs w:val="20"/>
        </w:rPr>
      </w:pPr>
      <w:r w:rsidRPr="00C6336E">
        <w:rPr>
          <w:sz w:val="20"/>
          <w:szCs w:val="20"/>
        </w:rPr>
        <w:t>5/18/2018</w:t>
      </w:r>
    </w:p>
    <w:sectPr w:rsidR="004D0467" w:rsidRPr="00C6336E" w:rsidSect="00A1373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32" w:rsidRDefault="00104932">
      <w:r>
        <w:separator/>
      </w:r>
    </w:p>
  </w:endnote>
  <w:endnote w:type="continuationSeparator" w:id="0">
    <w:p w:rsidR="00104932" w:rsidRDefault="0010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6A" w:rsidRDefault="00680DE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57" w:rsidRPr="00E14532" w:rsidRDefault="00680DE7" w:rsidP="00E14532">
    <w:pPr>
      <w:jc w:val="center"/>
      <w:rPr>
        <w:sz w:val="20"/>
      </w:rPr>
    </w:pPr>
    <w:r w:rsidRPr="00E14532">
      <w:rPr>
        <w:sz w:val="20"/>
      </w:rPr>
      <w:fldChar w:fldCharType="begin"/>
    </w:r>
    <w:r w:rsidR="00E14532" w:rsidRPr="00E14532">
      <w:rPr>
        <w:sz w:val="20"/>
      </w:rPr>
      <w:instrText xml:space="preserve"> page </w:instrText>
    </w:r>
    <w:r w:rsidRPr="00E14532">
      <w:rPr>
        <w:sz w:val="20"/>
      </w:rPr>
      <w:fldChar w:fldCharType="separate"/>
    </w:r>
    <w:r w:rsidR="000638FF">
      <w:rPr>
        <w:noProof/>
        <w:sz w:val="20"/>
      </w:rPr>
      <w:t>60</w:t>
    </w:r>
    <w:r w:rsidRPr="00E14532">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32" w:rsidRDefault="00104932">
      <w:r>
        <w:separator/>
      </w:r>
    </w:p>
  </w:footnote>
  <w:footnote w:type="continuationSeparator" w:id="0">
    <w:p w:rsidR="00104932" w:rsidRDefault="0010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32" w:rsidRPr="00E14532" w:rsidRDefault="00E14532" w:rsidP="00E14532">
    <w:pPr>
      <w:pBdr>
        <w:bottom w:val="thinThickMediumGap" w:sz="12" w:space="1" w:color="auto"/>
      </w:pBdr>
      <w:tabs>
        <w:tab w:val="left" w:pos="851"/>
        <w:tab w:val="right" w:pos="8364"/>
      </w:tabs>
      <w:adjustRightInd w:val="0"/>
      <w:snapToGrid w:val="0"/>
      <w:jc w:val="both"/>
      <w:rPr>
        <w:iCs/>
        <w:sz w:val="20"/>
        <w:szCs w:val="20"/>
      </w:rPr>
    </w:pPr>
    <w:r w:rsidRPr="00E14532">
      <w:rPr>
        <w:rFonts w:hint="eastAsia"/>
        <w:sz w:val="20"/>
        <w:szCs w:val="20"/>
      </w:rPr>
      <w:tab/>
    </w:r>
    <w:r w:rsidRPr="00E14532">
      <w:rPr>
        <w:sz w:val="20"/>
        <w:szCs w:val="20"/>
      </w:rPr>
      <w:t>New York Science Journal 201</w:t>
    </w:r>
    <w:r w:rsidRPr="00E14532">
      <w:rPr>
        <w:rFonts w:hint="eastAsia"/>
        <w:sz w:val="20"/>
        <w:szCs w:val="20"/>
      </w:rPr>
      <w:t>8</w:t>
    </w:r>
    <w:r w:rsidRPr="00E14532">
      <w:rPr>
        <w:sz w:val="20"/>
        <w:szCs w:val="20"/>
      </w:rPr>
      <w:t>;</w:t>
    </w:r>
    <w:r w:rsidRPr="00E14532">
      <w:rPr>
        <w:rFonts w:hint="eastAsia"/>
        <w:sz w:val="20"/>
        <w:szCs w:val="20"/>
      </w:rPr>
      <w:t>11</w:t>
    </w:r>
    <w:r w:rsidRPr="00E14532">
      <w:rPr>
        <w:sz w:val="20"/>
        <w:szCs w:val="20"/>
      </w:rPr>
      <w:t>(</w:t>
    </w:r>
    <w:r w:rsidRPr="00E14532">
      <w:rPr>
        <w:rFonts w:hint="eastAsia"/>
        <w:sz w:val="20"/>
        <w:szCs w:val="20"/>
      </w:rPr>
      <w:t>5</w:t>
    </w:r>
    <w:r w:rsidRPr="00E14532">
      <w:rPr>
        <w:sz w:val="20"/>
        <w:szCs w:val="20"/>
      </w:rPr>
      <w:t>)</w:t>
    </w:r>
    <w:r w:rsidRPr="00E14532">
      <w:rPr>
        <w:iCs/>
        <w:sz w:val="20"/>
        <w:szCs w:val="20"/>
      </w:rPr>
      <w:t xml:space="preserve">     </w:t>
    </w:r>
    <w:r w:rsidRPr="00E14532">
      <w:rPr>
        <w:rFonts w:hint="eastAsia"/>
        <w:iCs/>
        <w:sz w:val="20"/>
        <w:szCs w:val="20"/>
      </w:rPr>
      <w:tab/>
    </w:r>
    <w:r w:rsidRPr="00E14532">
      <w:rPr>
        <w:iCs/>
        <w:sz w:val="20"/>
        <w:szCs w:val="20"/>
      </w:rPr>
      <w:t xml:space="preserve"> </w:t>
    </w:r>
    <w:r w:rsidRPr="00E14532">
      <w:rPr>
        <w:rFonts w:hint="eastAsia"/>
        <w:iCs/>
        <w:sz w:val="20"/>
        <w:szCs w:val="20"/>
      </w:rPr>
      <w:t xml:space="preserve"> </w:t>
    </w:r>
    <w:r w:rsidRPr="00E14532">
      <w:rPr>
        <w:iCs/>
        <w:sz w:val="20"/>
        <w:szCs w:val="20"/>
      </w:rPr>
      <w:t xml:space="preserve">   </w:t>
    </w:r>
    <w:hyperlink r:id="rId1" w:history="1">
      <w:r w:rsidRPr="00E14532">
        <w:rPr>
          <w:rStyle w:val="Hyperlink"/>
          <w:sz w:val="20"/>
          <w:szCs w:val="20"/>
        </w:rPr>
        <w:t>http://www.sciencepub.net/newyork</w:t>
      </w:r>
    </w:hyperlink>
  </w:p>
  <w:p w:rsidR="00E14532" w:rsidRPr="00E14532" w:rsidRDefault="00E14532" w:rsidP="00E14532">
    <w:pPr>
      <w:tabs>
        <w:tab w:val="left" w:pos="851"/>
        <w:tab w:val="left" w:pos="7200"/>
        <w:tab w:val="right" w:pos="8364"/>
      </w:tabs>
      <w:adjustRightInd w:val="0"/>
      <w:snapToGrid w:val="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31B5A"/>
    <w:multiLevelType w:val="hybridMultilevel"/>
    <w:tmpl w:val="E5D8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459B3"/>
    <w:rsid w:val="00000358"/>
    <w:rsid w:val="00005C8E"/>
    <w:rsid w:val="000075A2"/>
    <w:rsid w:val="00012408"/>
    <w:rsid w:val="000210F0"/>
    <w:rsid w:val="0006091F"/>
    <w:rsid w:val="000638FF"/>
    <w:rsid w:val="00080CE9"/>
    <w:rsid w:val="000827B7"/>
    <w:rsid w:val="000844D7"/>
    <w:rsid w:val="00086790"/>
    <w:rsid w:val="00090A06"/>
    <w:rsid w:val="000A0250"/>
    <w:rsid w:val="000A3F90"/>
    <w:rsid w:val="000A6D12"/>
    <w:rsid w:val="00104932"/>
    <w:rsid w:val="001817C7"/>
    <w:rsid w:val="00183764"/>
    <w:rsid w:val="00194FCD"/>
    <w:rsid w:val="001964D0"/>
    <w:rsid w:val="001A0CD7"/>
    <w:rsid w:val="001B41B8"/>
    <w:rsid w:val="001B650D"/>
    <w:rsid w:val="001C3D42"/>
    <w:rsid w:val="00205E97"/>
    <w:rsid w:val="00245C21"/>
    <w:rsid w:val="00257A7F"/>
    <w:rsid w:val="002721F1"/>
    <w:rsid w:val="00282FA1"/>
    <w:rsid w:val="002B1907"/>
    <w:rsid w:val="002B5613"/>
    <w:rsid w:val="002D3558"/>
    <w:rsid w:val="002D589A"/>
    <w:rsid w:val="002F12A7"/>
    <w:rsid w:val="002F20CD"/>
    <w:rsid w:val="002F49EF"/>
    <w:rsid w:val="00301F95"/>
    <w:rsid w:val="00314F95"/>
    <w:rsid w:val="00322FAB"/>
    <w:rsid w:val="003246A8"/>
    <w:rsid w:val="00345581"/>
    <w:rsid w:val="0034702D"/>
    <w:rsid w:val="003679A0"/>
    <w:rsid w:val="00373D8D"/>
    <w:rsid w:val="00394B65"/>
    <w:rsid w:val="003A785E"/>
    <w:rsid w:val="003B55FF"/>
    <w:rsid w:val="003B651F"/>
    <w:rsid w:val="003C0116"/>
    <w:rsid w:val="003C4C28"/>
    <w:rsid w:val="0042067C"/>
    <w:rsid w:val="0043645D"/>
    <w:rsid w:val="00454A59"/>
    <w:rsid w:val="00456753"/>
    <w:rsid w:val="00460430"/>
    <w:rsid w:val="00471E57"/>
    <w:rsid w:val="00480715"/>
    <w:rsid w:val="0049143E"/>
    <w:rsid w:val="004C7E2A"/>
    <w:rsid w:val="004D01D3"/>
    <w:rsid w:val="004D0467"/>
    <w:rsid w:val="004F4AFB"/>
    <w:rsid w:val="00520D1A"/>
    <w:rsid w:val="005213C8"/>
    <w:rsid w:val="0052512B"/>
    <w:rsid w:val="005333EA"/>
    <w:rsid w:val="00553F9B"/>
    <w:rsid w:val="00593132"/>
    <w:rsid w:val="005A21B0"/>
    <w:rsid w:val="005A5E42"/>
    <w:rsid w:val="005C2F35"/>
    <w:rsid w:val="005D1DA6"/>
    <w:rsid w:val="005E131A"/>
    <w:rsid w:val="005F5E04"/>
    <w:rsid w:val="00626603"/>
    <w:rsid w:val="0065209A"/>
    <w:rsid w:val="00654EBA"/>
    <w:rsid w:val="00657995"/>
    <w:rsid w:val="00663960"/>
    <w:rsid w:val="00680DE7"/>
    <w:rsid w:val="006965BA"/>
    <w:rsid w:val="006B0D2A"/>
    <w:rsid w:val="006B5399"/>
    <w:rsid w:val="006D5C2E"/>
    <w:rsid w:val="006E6ACB"/>
    <w:rsid w:val="006E7156"/>
    <w:rsid w:val="006F1706"/>
    <w:rsid w:val="007162E6"/>
    <w:rsid w:val="00744442"/>
    <w:rsid w:val="00757E48"/>
    <w:rsid w:val="00761E8A"/>
    <w:rsid w:val="00767A3E"/>
    <w:rsid w:val="007725E7"/>
    <w:rsid w:val="0078507E"/>
    <w:rsid w:val="00791435"/>
    <w:rsid w:val="00793A80"/>
    <w:rsid w:val="007A36D6"/>
    <w:rsid w:val="007D3D09"/>
    <w:rsid w:val="007D746F"/>
    <w:rsid w:val="007F763B"/>
    <w:rsid w:val="007F7FBC"/>
    <w:rsid w:val="00807F63"/>
    <w:rsid w:val="008131CF"/>
    <w:rsid w:val="00814FA7"/>
    <w:rsid w:val="008233D0"/>
    <w:rsid w:val="0082375D"/>
    <w:rsid w:val="008276A3"/>
    <w:rsid w:val="00834F99"/>
    <w:rsid w:val="0085007D"/>
    <w:rsid w:val="00850F84"/>
    <w:rsid w:val="00875C08"/>
    <w:rsid w:val="008A20AC"/>
    <w:rsid w:val="008A67B6"/>
    <w:rsid w:val="008B2AFD"/>
    <w:rsid w:val="0091208A"/>
    <w:rsid w:val="00914558"/>
    <w:rsid w:val="00920C5B"/>
    <w:rsid w:val="00935CF7"/>
    <w:rsid w:val="0094140D"/>
    <w:rsid w:val="009459B3"/>
    <w:rsid w:val="00952EB8"/>
    <w:rsid w:val="00997A8E"/>
    <w:rsid w:val="009A3681"/>
    <w:rsid w:val="00A13736"/>
    <w:rsid w:val="00A1557F"/>
    <w:rsid w:val="00A3476D"/>
    <w:rsid w:val="00AA2673"/>
    <w:rsid w:val="00AB355B"/>
    <w:rsid w:val="00AC5AF1"/>
    <w:rsid w:val="00AD1F50"/>
    <w:rsid w:val="00AE619A"/>
    <w:rsid w:val="00B3167C"/>
    <w:rsid w:val="00B36B45"/>
    <w:rsid w:val="00B60543"/>
    <w:rsid w:val="00B60E8D"/>
    <w:rsid w:val="00B80C0E"/>
    <w:rsid w:val="00B918AE"/>
    <w:rsid w:val="00B94E19"/>
    <w:rsid w:val="00BD2A8D"/>
    <w:rsid w:val="00BD4FCC"/>
    <w:rsid w:val="00BF6579"/>
    <w:rsid w:val="00C0761F"/>
    <w:rsid w:val="00C101C9"/>
    <w:rsid w:val="00C2402B"/>
    <w:rsid w:val="00C44596"/>
    <w:rsid w:val="00C60D61"/>
    <w:rsid w:val="00C6336E"/>
    <w:rsid w:val="00C67743"/>
    <w:rsid w:val="00C92003"/>
    <w:rsid w:val="00CC4387"/>
    <w:rsid w:val="00CC7C6D"/>
    <w:rsid w:val="00CE7B2F"/>
    <w:rsid w:val="00CF24FB"/>
    <w:rsid w:val="00CF6616"/>
    <w:rsid w:val="00D02637"/>
    <w:rsid w:val="00D04C27"/>
    <w:rsid w:val="00D13147"/>
    <w:rsid w:val="00D26F2E"/>
    <w:rsid w:val="00D3777A"/>
    <w:rsid w:val="00D56002"/>
    <w:rsid w:val="00D778C9"/>
    <w:rsid w:val="00DA60C7"/>
    <w:rsid w:val="00DD56BB"/>
    <w:rsid w:val="00DE39C1"/>
    <w:rsid w:val="00DF0D54"/>
    <w:rsid w:val="00DF6507"/>
    <w:rsid w:val="00DF7353"/>
    <w:rsid w:val="00DF7B2E"/>
    <w:rsid w:val="00E015B9"/>
    <w:rsid w:val="00E14532"/>
    <w:rsid w:val="00E34501"/>
    <w:rsid w:val="00E34DBD"/>
    <w:rsid w:val="00E356B8"/>
    <w:rsid w:val="00E52EA0"/>
    <w:rsid w:val="00E57761"/>
    <w:rsid w:val="00E617EB"/>
    <w:rsid w:val="00E73E1D"/>
    <w:rsid w:val="00E9247F"/>
    <w:rsid w:val="00EB51F4"/>
    <w:rsid w:val="00EC565A"/>
    <w:rsid w:val="00EC5C53"/>
    <w:rsid w:val="00ED4441"/>
    <w:rsid w:val="00ED4A29"/>
    <w:rsid w:val="00ED4ED9"/>
    <w:rsid w:val="00EE1CEE"/>
    <w:rsid w:val="00EE1F4B"/>
    <w:rsid w:val="00EE29D7"/>
    <w:rsid w:val="00F03305"/>
    <w:rsid w:val="00F2228B"/>
    <w:rsid w:val="00F62573"/>
    <w:rsid w:val="00F64E14"/>
    <w:rsid w:val="00F83A62"/>
    <w:rsid w:val="00FA6D77"/>
    <w:rsid w:val="00FB5B6A"/>
    <w:rsid w:val="00FC4906"/>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7D43EF-E816-478E-AC60-ECBCCD1A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citation">
    <w:name w:val="citation"/>
    <w:basedOn w:val="DefaultParagraphFont"/>
    <w:rsid w:val="006965BA"/>
  </w:style>
  <w:style w:type="table" w:styleId="TableGrid">
    <w:name w:val="Table Grid"/>
    <w:basedOn w:val="TableNormal"/>
    <w:uiPriority w:val="39"/>
    <w:rsid w:val="006965BA"/>
    <w:pPr>
      <w:jc w:val="both"/>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A80"/>
    <w:pPr>
      <w:ind w:left="720"/>
      <w:contextualSpacing/>
    </w:pPr>
  </w:style>
  <w:style w:type="paragraph" w:styleId="BalloonText">
    <w:name w:val="Balloon Text"/>
    <w:basedOn w:val="Normal"/>
    <w:link w:val="BalloonTextChar"/>
    <w:uiPriority w:val="99"/>
    <w:semiHidden/>
    <w:unhideWhenUsed/>
    <w:rsid w:val="000A6D12"/>
    <w:rPr>
      <w:rFonts w:ascii="Tahoma" w:hAnsi="Tahoma" w:cs="Tahoma"/>
      <w:sz w:val="16"/>
      <w:szCs w:val="16"/>
    </w:rPr>
  </w:style>
  <w:style w:type="character" w:customStyle="1" w:styleId="BalloonTextChar">
    <w:name w:val="Balloon Text Char"/>
    <w:basedOn w:val="DefaultParagraphFont"/>
    <w:link w:val="BalloonText"/>
    <w:uiPriority w:val="99"/>
    <w:semiHidden/>
    <w:rsid w:val="000A6D1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wetlandinfo.ehp.qld.gov.au/wetlands/ecology/aquatic-ecosystems-natural/palustrine/"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alwaizfwesh247@yahoo.com" TargetMode="Externa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tlandinfo.ehp.qld.gov.au/wetlands/ecology/aquatic-ecosystems-natural/marine.htm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tlandinfo.ehp.qld.gov.au/wetlands/ecology/aquatic-ecosystems-natural/lacustrine/" TargetMode="External"/><Relationship Id="rId23" Type="http://schemas.openxmlformats.org/officeDocument/2006/relationships/hyperlink" Target="mailto:alwaizfwesh247@yahoo.com" TargetMode="Externa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dx.doi.org/10.7537/marsnys110518.07" TargetMode="External"/><Relationship Id="rId14" Type="http://schemas.openxmlformats.org/officeDocument/2006/relationships/hyperlink" Target="https://wetlandinfo.ehp.qld.gov.au/wetlands/ecology/aquatic-ecosystems-natural/estuarine/"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28927</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FRESH</cp:lastModifiedBy>
  <cp:revision>10</cp:revision>
  <cp:lastPrinted>2008-06-25T09:46:00Z</cp:lastPrinted>
  <dcterms:created xsi:type="dcterms:W3CDTF">2018-05-20T10:52:00Z</dcterms:created>
  <dcterms:modified xsi:type="dcterms:W3CDTF">2018-06-20T05:08:00Z</dcterms:modified>
</cp:coreProperties>
</file>