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7D4" w:rsidRDefault="000B47D4" w:rsidP="003B4339">
      <w:pPr>
        <w:snapToGrid w:val="0"/>
        <w:spacing w:after="0" w:line="240" w:lineRule="auto"/>
        <w:jc w:val="center"/>
        <w:rPr>
          <w:rFonts w:ascii="Times New Roman" w:hAnsi="Times New Roman" w:cs="Times New Roman" w:hint="eastAsia"/>
          <w:b/>
          <w:bCs/>
          <w:sz w:val="20"/>
          <w:szCs w:val="20"/>
          <w:lang w:eastAsia="zh-CN"/>
        </w:rPr>
      </w:pPr>
    </w:p>
    <w:p w:rsidR="00906E5B" w:rsidRPr="000B47D4" w:rsidRDefault="00A94739" w:rsidP="003B4339">
      <w:pPr>
        <w:snapToGrid w:val="0"/>
        <w:spacing w:after="0" w:line="240" w:lineRule="auto"/>
        <w:jc w:val="center"/>
        <w:rPr>
          <w:rFonts w:ascii="Times New Roman" w:hAnsi="Times New Roman" w:cs="Times New Roman"/>
          <w:b/>
          <w:bCs/>
          <w:sz w:val="20"/>
          <w:szCs w:val="20"/>
        </w:rPr>
      </w:pPr>
      <w:r w:rsidRPr="000B47D4">
        <w:rPr>
          <w:rFonts w:ascii="Times New Roman" w:hAnsi="Times New Roman" w:cs="Times New Roman"/>
          <w:b/>
          <w:bCs/>
          <w:sz w:val="20"/>
          <w:szCs w:val="20"/>
        </w:rPr>
        <w:t xml:space="preserve">The </w:t>
      </w:r>
      <w:proofErr w:type="spellStart"/>
      <w:r w:rsidRPr="000B47D4">
        <w:rPr>
          <w:rFonts w:ascii="Times New Roman" w:hAnsi="Times New Roman" w:cs="Times New Roman"/>
          <w:b/>
          <w:bCs/>
          <w:sz w:val="20"/>
          <w:szCs w:val="20"/>
        </w:rPr>
        <w:t>Enteral</w:t>
      </w:r>
      <w:proofErr w:type="spellEnd"/>
      <w:r w:rsidRPr="000B47D4">
        <w:rPr>
          <w:rFonts w:ascii="Times New Roman" w:hAnsi="Times New Roman" w:cs="Times New Roman"/>
          <w:b/>
          <w:bCs/>
          <w:sz w:val="20"/>
          <w:szCs w:val="20"/>
        </w:rPr>
        <w:t xml:space="preserve"> Nutrition as Factor Affecting Duration of Mechanical Ventilation in Critically Ill Patients</w:t>
      </w:r>
    </w:p>
    <w:p w:rsidR="00906E5B" w:rsidRPr="000B47D4" w:rsidRDefault="00906E5B" w:rsidP="003B4339">
      <w:pPr>
        <w:snapToGrid w:val="0"/>
        <w:spacing w:after="0" w:line="240" w:lineRule="auto"/>
        <w:jc w:val="center"/>
        <w:rPr>
          <w:rFonts w:ascii="Times New Roman" w:hAnsi="Times New Roman" w:cs="Times New Roman"/>
          <w:b/>
          <w:bCs/>
          <w:sz w:val="20"/>
          <w:szCs w:val="20"/>
        </w:rPr>
      </w:pPr>
    </w:p>
    <w:p w:rsidR="00906E5B" w:rsidRPr="000B47D4" w:rsidRDefault="00D272F8" w:rsidP="003B4339">
      <w:pPr>
        <w:snapToGrid w:val="0"/>
        <w:spacing w:after="0" w:line="240" w:lineRule="auto"/>
        <w:jc w:val="center"/>
        <w:rPr>
          <w:rFonts w:ascii="Times New Roman" w:hAnsi="Times New Roman" w:cs="Times New Roman"/>
          <w:sz w:val="20"/>
          <w:szCs w:val="20"/>
          <w:vertAlign w:val="superscript"/>
          <w:lang w:eastAsia="zh-CN"/>
        </w:rPr>
      </w:pPr>
      <w:proofErr w:type="spellStart"/>
      <w:r w:rsidRPr="000B47D4">
        <w:rPr>
          <w:rFonts w:ascii="Times New Roman" w:hAnsi="Times New Roman" w:cs="Times New Roman"/>
          <w:sz w:val="20"/>
          <w:szCs w:val="20"/>
        </w:rPr>
        <w:t>Yosry</w:t>
      </w:r>
      <w:proofErr w:type="spellEnd"/>
      <w:r w:rsidR="006E1666" w:rsidRPr="000B47D4">
        <w:rPr>
          <w:rFonts w:ascii="Times New Roman" w:hAnsi="Times New Roman" w:cs="Times New Roman"/>
          <w:sz w:val="20"/>
          <w:szCs w:val="20"/>
        </w:rPr>
        <w:t xml:space="preserve"> </w:t>
      </w:r>
      <w:proofErr w:type="spellStart"/>
      <w:r w:rsidRPr="000B47D4">
        <w:rPr>
          <w:rFonts w:ascii="Times New Roman" w:hAnsi="Times New Roman" w:cs="Times New Roman"/>
          <w:sz w:val="20"/>
          <w:szCs w:val="20"/>
        </w:rPr>
        <w:t>Elsaied</w:t>
      </w:r>
      <w:proofErr w:type="spellEnd"/>
      <w:r w:rsidRPr="000B47D4">
        <w:rPr>
          <w:rFonts w:ascii="Times New Roman" w:hAnsi="Times New Roman" w:cs="Times New Roman"/>
          <w:sz w:val="20"/>
          <w:szCs w:val="20"/>
        </w:rPr>
        <w:t xml:space="preserve"> Rezk</w:t>
      </w:r>
      <w:r w:rsidRPr="000B47D4">
        <w:rPr>
          <w:rFonts w:ascii="Times New Roman" w:hAnsi="Times New Roman" w:cs="Times New Roman"/>
          <w:sz w:val="20"/>
          <w:szCs w:val="20"/>
          <w:vertAlign w:val="superscript"/>
        </w:rPr>
        <w:t>1</w:t>
      </w:r>
      <w:r w:rsidRPr="000B47D4">
        <w:rPr>
          <w:rFonts w:ascii="Times New Roman" w:hAnsi="Times New Roman" w:cs="Times New Roman"/>
          <w:sz w:val="20"/>
          <w:szCs w:val="20"/>
        </w:rPr>
        <w:t xml:space="preserve">, Ahmed </w:t>
      </w:r>
      <w:proofErr w:type="spellStart"/>
      <w:r w:rsidRPr="000B47D4">
        <w:rPr>
          <w:rFonts w:ascii="Times New Roman" w:hAnsi="Times New Roman" w:cs="Times New Roman"/>
          <w:sz w:val="20"/>
          <w:szCs w:val="20"/>
        </w:rPr>
        <w:t>Hamdy</w:t>
      </w:r>
      <w:proofErr w:type="spellEnd"/>
      <w:r w:rsidR="006E1666" w:rsidRPr="000B47D4">
        <w:rPr>
          <w:rFonts w:ascii="Times New Roman" w:hAnsi="Times New Roman" w:cs="Times New Roman"/>
          <w:sz w:val="20"/>
          <w:szCs w:val="20"/>
        </w:rPr>
        <w:t xml:space="preserve"> </w:t>
      </w:r>
      <w:proofErr w:type="spellStart"/>
      <w:r w:rsidRPr="000B47D4">
        <w:rPr>
          <w:rFonts w:ascii="Times New Roman" w:hAnsi="Times New Roman" w:cs="Times New Roman"/>
          <w:sz w:val="20"/>
          <w:szCs w:val="20"/>
        </w:rPr>
        <w:t>Abd</w:t>
      </w:r>
      <w:proofErr w:type="spellEnd"/>
      <w:r w:rsidRPr="000B47D4">
        <w:rPr>
          <w:rFonts w:ascii="Times New Roman" w:hAnsi="Times New Roman" w:cs="Times New Roman"/>
          <w:sz w:val="20"/>
          <w:szCs w:val="20"/>
        </w:rPr>
        <w:t xml:space="preserve"> El Rahman</w:t>
      </w:r>
      <w:r w:rsidR="002D228E" w:rsidRPr="000B47D4">
        <w:rPr>
          <w:rFonts w:ascii="Times New Roman" w:hAnsi="Times New Roman" w:cs="Times New Roman"/>
          <w:sz w:val="20"/>
          <w:szCs w:val="20"/>
          <w:vertAlign w:val="superscript"/>
        </w:rPr>
        <w:t>2</w:t>
      </w:r>
      <w:r w:rsidRPr="000B47D4">
        <w:rPr>
          <w:rFonts w:ascii="Times New Roman" w:hAnsi="Times New Roman" w:cs="Times New Roman"/>
          <w:sz w:val="20"/>
          <w:szCs w:val="20"/>
        </w:rPr>
        <w:t>, Mohamed Ahmed El Gazar</w:t>
      </w:r>
      <w:r w:rsidRPr="000B47D4">
        <w:rPr>
          <w:rFonts w:ascii="Times New Roman" w:hAnsi="Times New Roman" w:cs="Times New Roman"/>
          <w:sz w:val="20"/>
          <w:szCs w:val="20"/>
          <w:vertAlign w:val="superscript"/>
        </w:rPr>
        <w:t>3</w:t>
      </w:r>
      <w:r w:rsidRPr="000B47D4">
        <w:rPr>
          <w:rFonts w:ascii="Times New Roman" w:hAnsi="Times New Roman" w:cs="Times New Roman"/>
          <w:sz w:val="20"/>
          <w:szCs w:val="20"/>
        </w:rPr>
        <w:t xml:space="preserve">, </w:t>
      </w:r>
      <w:proofErr w:type="spellStart"/>
      <w:r w:rsidRPr="000B47D4">
        <w:rPr>
          <w:rFonts w:ascii="Times New Roman" w:hAnsi="Times New Roman" w:cs="Times New Roman"/>
          <w:sz w:val="20"/>
          <w:szCs w:val="20"/>
        </w:rPr>
        <w:t>Reham</w:t>
      </w:r>
      <w:proofErr w:type="spellEnd"/>
      <w:r w:rsidRPr="000B47D4">
        <w:rPr>
          <w:rFonts w:ascii="Times New Roman" w:hAnsi="Times New Roman" w:cs="Times New Roman"/>
          <w:sz w:val="20"/>
          <w:szCs w:val="20"/>
        </w:rPr>
        <w:t xml:space="preserve"> Saied Mohamed Mohamed</w:t>
      </w:r>
      <w:r w:rsidRPr="000B47D4">
        <w:rPr>
          <w:rFonts w:ascii="Times New Roman" w:hAnsi="Times New Roman" w:cs="Times New Roman"/>
          <w:sz w:val="20"/>
          <w:szCs w:val="20"/>
          <w:vertAlign w:val="superscript"/>
        </w:rPr>
        <w:t>1</w:t>
      </w:r>
    </w:p>
    <w:p w:rsidR="00906E5B" w:rsidRPr="000B47D4" w:rsidRDefault="00906E5B" w:rsidP="003B4339">
      <w:pPr>
        <w:snapToGrid w:val="0"/>
        <w:spacing w:after="0" w:line="240" w:lineRule="auto"/>
        <w:jc w:val="center"/>
        <w:rPr>
          <w:rFonts w:ascii="Times New Roman" w:hAnsi="Times New Roman" w:cs="Times New Roman"/>
          <w:sz w:val="20"/>
          <w:szCs w:val="20"/>
          <w:vertAlign w:val="superscript"/>
          <w:lang w:eastAsia="zh-CN"/>
        </w:rPr>
      </w:pPr>
    </w:p>
    <w:p w:rsidR="00D272F8" w:rsidRPr="000B47D4" w:rsidRDefault="00D272F8" w:rsidP="003B4339">
      <w:pPr>
        <w:snapToGrid w:val="0"/>
        <w:spacing w:after="0" w:line="240" w:lineRule="auto"/>
        <w:jc w:val="center"/>
        <w:rPr>
          <w:rFonts w:ascii="Times New Roman" w:hAnsi="Times New Roman" w:cs="Times New Roman"/>
          <w:sz w:val="20"/>
          <w:szCs w:val="20"/>
        </w:rPr>
      </w:pPr>
      <w:r w:rsidRPr="000B47D4">
        <w:rPr>
          <w:rFonts w:ascii="Times New Roman" w:hAnsi="Times New Roman" w:cs="Times New Roman"/>
          <w:sz w:val="20"/>
          <w:szCs w:val="20"/>
          <w:vertAlign w:val="superscript"/>
        </w:rPr>
        <w:t>1</w:t>
      </w:r>
      <w:r w:rsidR="009C78B5" w:rsidRPr="000B47D4">
        <w:rPr>
          <w:rFonts w:ascii="Times New Roman" w:hAnsi="Times New Roman" w:cs="Times New Roman"/>
          <w:sz w:val="20"/>
          <w:szCs w:val="20"/>
        </w:rPr>
        <w:t>Cardio-</w:t>
      </w:r>
      <w:r w:rsidR="006E1666" w:rsidRPr="000B47D4">
        <w:rPr>
          <w:rFonts w:ascii="Times New Roman" w:hAnsi="Times New Roman" w:cs="Times New Roman"/>
          <w:sz w:val="20"/>
          <w:szCs w:val="20"/>
        </w:rPr>
        <w:t>T</w:t>
      </w:r>
      <w:r w:rsidR="009C78B5" w:rsidRPr="000B47D4">
        <w:rPr>
          <w:rFonts w:ascii="Times New Roman" w:hAnsi="Times New Roman" w:cs="Times New Roman"/>
          <w:sz w:val="20"/>
          <w:szCs w:val="20"/>
        </w:rPr>
        <w:t>horacic Surgery</w:t>
      </w:r>
      <w:r w:rsidR="00D03E57" w:rsidRPr="000B47D4">
        <w:rPr>
          <w:rFonts w:ascii="Times New Roman" w:hAnsi="Times New Roman" w:cs="Times New Roman"/>
          <w:sz w:val="20"/>
          <w:szCs w:val="20"/>
        </w:rPr>
        <w:t xml:space="preserve"> </w:t>
      </w:r>
      <w:r w:rsidR="009C78B5" w:rsidRPr="000B47D4">
        <w:rPr>
          <w:rFonts w:ascii="Times New Roman" w:hAnsi="Times New Roman" w:cs="Times New Roman"/>
          <w:sz w:val="20"/>
          <w:szCs w:val="20"/>
        </w:rPr>
        <w:t>Department</w:t>
      </w:r>
      <w:r w:rsidRPr="000B47D4">
        <w:rPr>
          <w:rFonts w:ascii="Times New Roman" w:hAnsi="Times New Roman" w:cs="Times New Roman"/>
          <w:sz w:val="20"/>
          <w:szCs w:val="20"/>
        </w:rPr>
        <w:t xml:space="preserve">, Faculty of Medicine, </w:t>
      </w:r>
      <w:proofErr w:type="spellStart"/>
      <w:r w:rsidRPr="000B47D4">
        <w:rPr>
          <w:rFonts w:ascii="Times New Roman" w:hAnsi="Times New Roman" w:cs="Times New Roman"/>
          <w:sz w:val="20"/>
          <w:szCs w:val="20"/>
        </w:rPr>
        <w:t>Benha</w:t>
      </w:r>
      <w:proofErr w:type="spellEnd"/>
      <w:r w:rsidRPr="000B47D4">
        <w:rPr>
          <w:rFonts w:ascii="Times New Roman" w:hAnsi="Times New Roman" w:cs="Times New Roman"/>
          <w:sz w:val="20"/>
          <w:szCs w:val="20"/>
        </w:rPr>
        <w:t xml:space="preserve"> University, Egypt.</w:t>
      </w:r>
    </w:p>
    <w:p w:rsidR="00BE4CFE" w:rsidRPr="000B47D4" w:rsidRDefault="00D272F8" w:rsidP="003B4339">
      <w:pPr>
        <w:snapToGrid w:val="0"/>
        <w:spacing w:after="0" w:line="240" w:lineRule="auto"/>
        <w:jc w:val="center"/>
        <w:rPr>
          <w:rFonts w:ascii="Times New Roman" w:hAnsi="Times New Roman" w:cs="Times New Roman"/>
          <w:sz w:val="20"/>
          <w:szCs w:val="20"/>
        </w:rPr>
      </w:pPr>
      <w:r w:rsidRPr="000B47D4">
        <w:rPr>
          <w:rFonts w:ascii="Times New Roman" w:hAnsi="Times New Roman" w:cs="Times New Roman"/>
          <w:sz w:val="20"/>
          <w:szCs w:val="20"/>
          <w:vertAlign w:val="superscript"/>
        </w:rPr>
        <w:t>2</w:t>
      </w:r>
      <w:r w:rsidR="007A70D9" w:rsidRPr="000B47D4">
        <w:rPr>
          <w:rFonts w:ascii="Times New Roman" w:eastAsia="SimSun" w:hAnsi="Times New Roman" w:cs="Times New Roman"/>
          <w:sz w:val="20"/>
          <w:szCs w:val="20"/>
          <w:lang w:eastAsia="zh-CN" w:bidi="ar-EG"/>
        </w:rPr>
        <w:t xml:space="preserve">Department of </w:t>
      </w:r>
      <w:proofErr w:type="spellStart"/>
      <w:r w:rsidR="007A70D9" w:rsidRPr="000B47D4">
        <w:rPr>
          <w:rFonts w:ascii="Times New Roman" w:eastAsia="SimSun" w:hAnsi="Times New Roman" w:cs="Times New Roman"/>
          <w:sz w:val="20"/>
          <w:szCs w:val="20"/>
          <w:lang w:eastAsia="zh-CN" w:bidi="ar-EG"/>
        </w:rPr>
        <w:t>Anaesthesia</w:t>
      </w:r>
      <w:proofErr w:type="spellEnd"/>
      <w:r w:rsidR="007A70D9" w:rsidRPr="000B47D4">
        <w:rPr>
          <w:rFonts w:ascii="Times New Roman" w:eastAsia="SimSun" w:hAnsi="Times New Roman" w:cs="Times New Roman"/>
          <w:sz w:val="20"/>
          <w:szCs w:val="20"/>
          <w:lang w:eastAsia="zh-CN" w:bidi="ar-EG"/>
        </w:rPr>
        <w:t xml:space="preserve"> and </w:t>
      </w:r>
      <w:r w:rsidR="006E1666" w:rsidRPr="000B47D4">
        <w:rPr>
          <w:rFonts w:ascii="Times New Roman" w:eastAsia="SimSun" w:hAnsi="Times New Roman" w:cs="Times New Roman"/>
          <w:sz w:val="20"/>
          <w:szCs w:val="20"/>
          <w:lang w:eastAsia="zh-CN" w:bidi="ar-EG"/>
        </w:rPr>
        <w:t>I</w:t>
      </w:r>
      <w:r w:rsidR="007A70D9" w:rsidRPr="000B47D4">
        <w:rPr>
          <w:rFonts w:ascii="Times New Roman" w:eastAsia="SimSun" w:hAnsi="Times New Roman" w:cs="Times New Roman"/>
          <w:sz w:val="20"/>
          <w:szCs w:val="20"/>
          <w:lang w:eastAsia="zh-CN" w:bidi="ar-EG"/>
        </w:rPr>
        <w:t xml:space="preserve">ntensive </w:t>
      </w:r>
      <w:r w:rsidR="006E1666" w:rsidRPr="000B47D4">
        <w:rPr>
          <w:rFonts w:ascii="Times New Roman" w:eastAsia="SimSun" w:hAnsi="Times New Roman" w:cs="Times New Roman"/>
          <w:sz w:val="20"/>
          <w:szCs w:val="20"/>
          <w:lang w:eastAsia="zh-CN" w:bidi="ar-EG"/>
        </w:rPr>
        <w:t>C</w:t>
      </w:r>
      <w:r w:rsidR="007A70D9" w:rsidRPr="000B47D4">
        <w:rPr>
          <w:rFonts w:ascii="Times New Roman" w:eastAsia="SimSun" w:hAnsi="Times New Roman" w:cs="Times New Roman"/>
          <w:sz w:val="20"/>
          <w:szCs w:val="20"/>
          <w:lang w:eastAsia="zh-CN" w:bidi="ar-EG"/>
        </w:rPr>
        <w:t>are</w:t>
      </w:r>
      <w:r w:rsidR="00C30013" w:rsidRPr="000B47D4">
        <w:rPr>
          <w:rFonts w:ascii="Times New Roman" w:hAnsi="Times New Roman" w:cs="Times New Roman"/>
          <w:sz w:val="20"/>
          <w:szCs w:val="20"/>
        </w:rPr>
        <w:t>,</w:t>
      </w:r>
      <w:r w:rsidR="006E1666" w:rsidRPr="000B47D4">
        <w:rPr>
          <w:rFonts w:ascii="Times New Roman" w:hAnsi="Times New Roman" w:cs="Times New Roman"/>
          <w:sz w:val="20"/>
          <w:szCs w:val="20"/>
        </w:rPr>
        <w:t xml:space="preserve"> </w:t>
      </w:r>
      <w:r w:rsidR="00BE4CFE" w:rsidRPr="000B47D4">
        <w:rPr>
          <w:rFonts w:ascii="Times New Roman" w:hAnsi="Times New Roman" w:cs="Times New Roman"/>
          <w:sz w:val="20"/>
          <w:szCs w:val="20"/>
        </w:rPr>
        <w:t xml:space="preserve">Faculty of Medicine, </w:t>
      </w:r>
      <w:proofErr w:type="spellStart"/>
      <w:r w:rsidR="00BE4CFE" w:rsidRPr="000B47D4">
        <w:rPr>
          <w:rFonts w:ascii="Times New Roman" w:hAnsi="Times New Roman" w:cs="Times New Roman"/>
          <w:sz w:val="20"/>
          <w:szCs w:val="20"/>
        </w:rPr>
        <w:t>Benha</w:t>
      </w:r>
      <w:proofErr w:type="spellEnd"/>
      <w:r w:rsidR="00BE4CFE" w:rsidRPr="000B47D4">
        <w:rPr>
          <w:rFonts w:ascii="Times New Roman" w:hAnsi="Times New Roman" w:cs="Times New Roman"/>
          <w:sz w:val="20"/>
          <w:szCs w:val="20"/>
        </w:rPr>
        <w:t xml:space="preserve"> University, Egypt</w:t>
      </w:r>
    </w:p>
    <w:p w:rsidR="00D272F8" w:rsidRPr="000B47D4" w:rsidRDefault="00BE4CFE" w:rsidP="003B4339">
      <w:pPr>
        <w:snapToGrid w:val="0"/>
        <w:spacing w:after="0" w:line="240" w:lineRule="auto"/>
        <w:jc w:val="center"/>
        <w:rPr>
          <w:rFonts w:ascii="Times New Roman" w:hAnsi="Times New Roman" w:cs="Times New Roman"/>
          <w:sz w:val="20"/>
          <w:szCs w:val="20"/>
        </w:rPr>
      </w:pPr>
      <w:r w:rsidRPr="000B47D4">
        <w:rPr>
          <w:rFonts w:ascii="Times New Roman" w:hAnsi="Times New Roman" w:cs="Times New Roman"/>
          <w:sz w:val="20"/>
          <w:szCs w:val="20"/>
        </w:rPr>
        <w:t>3</w:t>
      </w:r>
      <w:r w:rsidR="00D272F8" w:rsidRPr="000B47D4">
        <w:rPr>
          <w:rFonts w:ascii="Times New Roman" w:hAnsi="Times New Roman" w:cs="Times New Roman"/>
          <w:sz w:val="20"/>
          <w:szCs w:val="20"/>
        </w:rPr>
        <w:t>Cardio-thoracic Surgery</w:t>
      </w:r>
      <w:r w:rsidR="00D03E57" w:rsidRPr="000B47D4">
        <w:rPr>
          <w:rFonts w:ascii="Times New Roman" w:hAnsi="Times New Roman" w:cs="Times New Roman"/>
          <w:sz w:val="20"/>
          <w:szCs w:val="20"/>
        </w:rPr>
        <w:t xml:space="preserve"> </w:t>
      </w:r>
      <w:r w:rsidR="00D272F8" w:rsidRPr="000B47D4">
        <w:rPr>
          <w:rFonts w:ascii="Times New Roman" w:hAnsi="Times New Roman" w:cs="Times New Roman"/>
          <w:sz w:val="20"/>
          <w:szCs w:val="20"/>
        </w:rPr>
        <w:t xml:space="preserve">Department, Faculty of Medicine, </w:t>
      </w:r>
      <w:proofErr w:type="spellStart"/>
      <w:r w:rsidR="00D272F8" w:rsidRPr="000B47D4">
        <w:rPr>
          <w:rFonts w:ascii="Times New Roman" w:hAnsi="Times New Roman" w:cs="Times New Roman"/>
          <w:sz w:val="20"/>
          <w:szCs w:val="20"/>
        </w:rPr>
        <w:t>Benha</w:t>
      </w:r>
      <w:proofErr w:type="spellEnd"/>
      <w:r w:rsidR="00D272F8" w:rsidRPr="000B47D4">
        <w:rPr>
          <w:rFonts w:ascii="Times New Roman" w:hAnsi="Times New Roman" w:cs="Times New Roman"/>
          <w:sz w:val="20"/>
          <w:szCs w:val="20"/>
        </w:rPr>
        <w:t xml:space="preserve"> University, Egypt.</w:t>
      </w:r>
    </w:p>
    <w:p w:rsidR="00906E5B" w:rsidRPr="000B47D4" w:rsidRDefault="009C682A" w:rsidP="003B4339">
      <w:pPr>
        <w:snapToGrid w:val="0"/>
        <w:spacing w:after="0" w:line="240" w:lineRule="auto"/>
        <w:jc w:val="center"/>
        <w:rPr>
          <w:rFonts w:ascii="Times New Roman" w:hAnsi="Times New Roman" w:cs="Times New Roman"/>
          <w:sz w:val="20"/>
          <w:szCs w:val="20"/>
        </w:rPr>
      </w:pPr>
      <w:hyperlink r:id="rId8" w:history="1">
        <w:r w:rsidR="002D228E" w:rsidRPr="000B47D4">
          <w:rPr>
            <w:rStyle w:val="Hyperlink"/>
            <w:rFonts w:ascii="Times New Roman" w:hAnsi="Times New Roman" w:cs="Times New Roman"/>
            <w:sz w:val="20"/>
            <w:szCs w:val="20"/>
          </w:rPr>
          <w:t>Drrihamsaid129@gmail.com</w:t>
        </w:r>
      </w:hyperlink>
    </w:p>
    <w:p w:rsidR="00906E5B" w:rsidRPr="000B47D4" w:rsidRDefault="00906E5B" w:rsidP="003B4339">
      <w:pPr>
        <w:snapToGrid w:val="0"/>
        <w:spacing w:after="0" w:line="240" w:lineRule="auto"/>
        <w:jc w:val="center"/>
        <w:rPr>
          <w:rFonts w:ascii="Times New Roman" w:hAnsi="Times New Roman" w:cs="Times New Roman"/>
          <w:sz w:val="20"/>
          <w:szCs w:val="20"/>
        </w:rPr>
      </w:pPr>
    </w:p>
    <w:p w:rsidR="00DD2561" w:rsidRPr="000B47D4" w:rsidRDefault="00E601E2" w:rsidP="003B4339">
      <w:pPr>
        <w:snapToGrid w:val="0"/>
        <w:spacing w:after="0" w:line="240" w:lineRule="auto"/>
        <w:jc w:val="both"/>
        <w:rPr>
          <w:rFonts w:ascii="Times New Roman" w:hAnsi="Times New Roman" w:cs="Times New Roman"/>
          <w:sz w:val="20"/>
          <w:szCs w:val="20"/>
        </w:rPr>
      </w:pPr>
      <w:r w:rsidRPr="000B47D4">
        <w:rPr>
          <w:rFonts w:ascii="Times New Roman" w:hAnsi="Times New Roman" w:cs="Times New Roman"/>
          <w:b/>
          <w:bCs/>
          <w:sz w:val="20"/>
          <w:szCs w:val="20"/>
        </w:rPr>
        <w:t>Abstract</w:t>
      </w:r>
      <w:r w:rsidR="00ED6751" w:rsidRPr="000B47D4">
        <w:rPr>
          <w:rFonts w:ascii="Times New Roman" w:hAnsi="Times New Roman" w:cs="Times New Roman"/>
          <w:sz w:val="20"/>
          <w:szCs w:val="20"/>
        </w:rPr>
        <w:t>:</w:t>
      </w:r>
      <w:r w:rsidR="00D03E57" w:rsidRPr="000B47D4">
        <w:rPr>
          <w:rFonts w:ascii="Times New Roman" w:hAnsi="Times New Roman" w:cs="Times New Roman"/>
          <w:b/>
          <w:bCs/>
          <w:sz w:val="20"/>
          <w:szCs w:val="20"/>
        </w:rPr>
        <w:t xml:space="preserve"> Background</w:t>
      </w:r>
      <w:r w:rsidR="00D03E57" w:rsidRPr="000B47D4">
        <w:rPr>
          <w:rFonts w:ascii="Times New Roman" w:hAnsi="Times New Roman" w:cs="Times New Roman"/>
          <w:sz w:val="20"/>
          <w:szCs w:val="20"/>
        </w:rPr>
        <w:t xml:space="preserve">: A growing body of evidence suggest \s that higher fat content diet may be more beneficial for ventilator-dependent patients. Therefore, the aim of the present prospective study was to assess whether the high-fat low-carbohydrate diet has an advantage role over the usual </w:t>
      </w:r>
      <w:proofErr w:type="spellStart"/>
      <w:r w:rsidR="00D03E57" w:rsidRPr="000B47D4">
        <w:rPr>
          <w:rFonts w:ascii="Times New Roman" w:hAnsi="Times New Roman" w:cs="Times New Roman"/>
          <w:sz w:val="20"/>
          <w:szCs w:val="20"/>
        </w:rPr>
        <w:t>enteral</w:t>
      </w:r>
      <w:proofErr w:type="spellEnd"/>
      <w:r w:rsidR="00D03E57" w:rsidRPr="000B47D4">
        <w:rPr>
          <w:rFonts w:ascii="Times New Roman" w:hAnsi="Times New Roman" w:cs="Times New Roman"/>
          <w:sz w:val="20"/>
          <w:szCs w:val="20"/>
        </w:rPr>
        <w:t xml:space="preserve"> nutrition (EN) diet.</w:t>
      </w:r>
      <w:r w:rsidR="00D03E57" w:rsidRPr="000B47D4">
        <w:rPr>
          <w:rFonts w:ascii="Times New Roman" w:hAnsi="Times New Roman" w:cs="Times New Roman"/>
          <w:b/>
          <w:bCs/>
          <w:sz w:val="20"/>
          <w:szCs w:val="20"/>
        </w:rPr>
        <w:t xml:space="preserve"> Methods</w:t>
      </w:r>
      <w:r w:rsidR="00D03E57" w:rsidRPr="000B47D4">
        <w:rPr>
          <w:rFonts w:ascii="Times New Roman" w:hAnsi="Times New Roman" w:cs="Times New Roman"/>
          <w:sz w:val="20"/>
          <w:szCs w:val="20"/>
        </w:rPr>
        <w:t xml:space="preserve">: The study was conducted on 40 patients with repertory failure who were admitted to the critical care unit of </w:t>
      </w:r>
      <w:proofErr w:type="spellStart"/>
      <w:r w:rsidR="00D03E57" w:rsidRPr="000B47D4">
        <w:rPr>
          <w:rFonts w:ascii="Times New Roman" w:hAnsi="Times New Roman" w:cs="Times New Roman"/>
          <w:sz w:val="20"/>
          <w:szCs w:val="20"/>
        </w:rPr>
        <w:t>Benha</w:t>
      </w:r>
      <w:proofErr w:type="spellEnd"/>
      <w:r w:rsidR="00D03E57" w:rsidRPr="000B47D4">
        <w:rPr>
          <w:rFonts w:ascii="Times New Roman" w:hAnsi="Times New Roman" w:cs="Times New Roman"/>
          <w:sz w:val="20"/>
          <w:szCs w:val="20"/>
        </w:rPr>
        <w:t xml:space="preserve"> University and required mechanical ventilation. Patients were divided into two groups: group A which received the usual high-fat low-carbohydrate diet; and group B which received ready regular EN. The statistical analysis was conducted using SPSS version 21.</w:t>
      </w:r>
      <w:r w:rsidR="00D03E57" w:rsidRPr="000B47D4">
        <w:rPr>
          <w:rFonts w:ascii="Times New Roman" w:hAnsi="Times New Roman" w:cs="Times New Roman"/>
          <w:b/>
          <w:bCs/>
          <w:sz w:val="20"/>
          <w:szCs w:val="20"/>
        </w:rPr>
        <w:t xml:space="preserve"> Results</w:t>
      </w:r>
      <w:r w:rsidR="00D03E57" w:rsidRPr="000B47D4">
        <w:rPr>
          <w:rFonts w:ascii="Times New Roman" w:hAnsi="Times New Roman" w:cs="Times New Roman"/>
          <w:sz w:val="20"/>
          <w:szCs w:val="20"/>
        </w:rPr>
        <w:t>: Twenty patients were included in group A and similar number of patients were included in group B. The mean mechanical ventilation duration in group A was 8.5 ± 4.7 days and in group B 4.4 ± 1.6 days, the difference between both group was statistically significant (p &lt;0.001). Similarly, there was a statistically significant difference between the two groups regarding the mean of the length of stay in ICU (group A = 10.6 ± 3.7 days, and group B = 6.1 ±1.2 days; p &lt;0.001). Almost 30% of patients in the group A and B complicated with diarrhea. There is no significant statistical difference between the two groups regarding any of the observed complications.</w:t>
      </w:r>
      <w:r w:rsidR="00D03E57" w:rsidRPr="000B47D4">
        <w:rPr>
          <w:rFonts w:ascii="Times New Roman" w:hAnsi="Times New Roman" w:cs="Times New Roman"/>
          <w:b/>
          <w:bCs/>
          <w:sz w:val="20"/>
          <w:szCs w:val="20"/>
        </w:rPr>
        <w:t xml:space="preserve"> Conclusions</w:t>
      </w:r>
      <w:r w:rsidR="00D03E57" w:rsidRPr="000B47D4">
        <w:rPr>
          <w:rFonts w:ascii="Times New Roman" w:hAnsi="Times New Roman" w:cs="Times New Roman"/>
          <w:sz w:val="20"/>
          <w:szCs w:val="20"/>
        </w:rPr>
        <w:t>: In conclusion, high fat, low carbohydrates diet seems to be associated with shorter duration of mechanical ventilation and length of hospital stay compared to usual PN.</w:t>
      </w:r>
    </w:p>
    <w:p w:rsidR="003B4339" w:rsidRPr="000B47D4" w:rsidRDefault="003B4339" w:rsidP="003B4339">
      <w:pPr>
        <w:snapToGrid w:val="0"/>
        <w:spacing w:after="0" w:line="240" w:lineRule="auto"/>
        <w:jc w:val="both"/>
        <w:rPr>
          <w:rFonts w:ascii="Times New Roman" w:hAnsi="Times New Roman" w:cs="Times New Roman"/>
          <w:b/>
          <w:bCs/>
          <w:sz w:val="20"/>
          <w:szCs w:val="20"/>
        </w:rPr>
      </w:pPr>
      <w:r w:rsidRPr="000B47D4">
        <w:rPr>
          <w:rFonts w:ascii="Times New Roman" w:hAnsi="Times New Roman" w:cs="Times New Roman"/>
          <w:bCs/>
          <w:sz w:val="20"/>
          <w:szCs w:val="20"/>
        </w:rPr>
        <w:t>[</w:t>
      </w:r>
      <w:proofErr w:type="spellStart"/>
      <w:r w:rsidRPr="000B47D4">
        <w:rPr>
          <w:rFonts w:ascii="Times New Roman" w:hAnsi="Times New Roman" w:cs="Times New Roman"/>
          <w:sz w:val="20"/>
          <w:szCs w:val="20"/>
        </w:rPr>
        <w:t>Yosry</w:t>
      </w:r>
      <w:proofErr w:type="spellEnd"/>
      <w:r w:rsidRPr="000B47D4">
        <w:rPr>
          <w:rFonts w:ascii="Times New Roman" w:hAnsi="Times New Roman" w:cs="Times New Roman"/>
          <w:sz w:val="20"/>
          <w:szCs w:val="20"/>
        </w:rPr>
        <w:t xml:space="preserve"> </w:t>
      </w:r>
      <w:proofErr w:type="spellStart"/>
      <w:r w:rsidRPr="000B47D4">
        <w:rPr>
          <w:rFonts w:ascii="Times New Roman" w:hAnsi="Times New Roman" w:cs="Times New Roman"/>
          <w:sz w:val="20"/>
          <w:szCs w:val="20"/>
        </w:rPr>
        <w:t>Elsaied</w:t>
      </w:r>
      <w:proofErr w:type="spellEnd"/>
      <w:r w:rsidRPr="000B47D4">
        <w:rPr>
          <w:rFonts w:ascii="Times New Roman" w:hAnsi="Times New Roman" w:cs="Times New Roman"/>
          <w:sz w:val="20"/>
          <w:szCs w:val="20"/>
        </w:rPr>
        <w:t xml:space="preserve"> </w:t>
      </w:r>
      <w:proofErr w:type="spellStart"/>
      <w:r w:rsidRPr="000B47D4">
        <w:rPr>
          <w:rFonts w:ascii="Times New Roman" w:hAnsi="Times New Roman" w:cs="Times New Roman"/>
          <w:sz w:val="20"/>
          <w:szCs w:val="20"/>
        </w:rPr>
        <w:t>Rezk</w:t>
      </w:r>
      <w:proofErr w:type="spellEnd"/>
      <w:r w:rsidRPr="000B47D4">
        <w:rPr>
          <w:rFonts w:ascii="Times New Roman" w:hAnsi="Times New Roman" w:cs="Times New Roman"/>
          <w:sz w:val="20"/>
          <w:szCs w:val="20"/>
        </w:rPr>
        <w:t xml:space="preserve">, Ahmed </w:t>
      </w:r>
      <w:proofErr w:type="spellStart"/>
      <w:r w:rsidRPr="000B47D4">
        <w:rPr>
          <w:rFonts w:ascii="Times New Roman" w:hAnsi="Times New Roman" w:cs="Times New Roman"/>
          <w:sz w:val="20"/>
          <w:szCs w:val="20"/>
        </w:rPr>
        <w:t>Hamdy</w:t>
      </w:r>
      <w:proofErr w:type="spellEnd"/>
      <w:r w:rsidRPr="000B47D4">
        <w:rPr>
          <w:rFonts w:ascii="Times New Roman" w:hAnsi="Times New Roman" w:cs="Times New Roman"/>
          <w:sz w:val="20"/>
          <w:szCs w:val="20"/>
        </w:rPr>
        <w:t xml:space="preserve"> </w:t>
      </w:r>
      <w:proofErr w:type="spellStart"/>
      <w:r w:rsidRPr="000B47D4">
        <w:rPr>
          <w:rFonts w:ascii="Times New Roman" w:hAnsi="Times New Roman" w:cs="Times New Roman"/>
          <w:sz w:val="20"/>
          <w:szCs w:val="20"/>
        </w:rPr>
        <w:t>Abd</w:t>
      </w:r>
      <w:proofErr w:type="spellEnd"/>
      <w:r w:rsidRPr="000B47D4">
        <w:rPr>
          <w:rFonts w:ascii="Times New Roman" w:hAnsi="Times New Roman" w:cs="Times New Roman"/>
          <w:sz w:val="20"/>
          <w:szCs w:val="20"/>
        </w:rPr>
        <w:t xml:space="preserve"> El </w:t>
      </w:r>
      <w:proofErr w:type="spellStart"/>
      <w:r w:rsidRPr="000B47D4">
        <w:rPr>
          <w:rFonts w:ascii="Times New Roman" w:hAnsi="Times New Roman" w:cs="Times New Roman"/>
          <w:sz w:val="20"/>
          <w:szCs w:val="20"/>
        </w:rPr>
        <w:t>Rahman</w:t>
      </w:r>
      <w:proofErr w:type="spellEnd"/>
      <w:r w:rsidRPr="000B47D4">
        <w:rPr>
          <w:rFonts w:ascii="Times New Roman" w:hAnsi="Times New Roman" w:cs="Times New Roman"/>
          <w:sz w:val="20"/>
          <w:szCs w:val="20"/>
        </w:rPr>
        <w:t xml:space="preserve">, Mohamed Ahmed El </w:t>
      </w:r>
      <w:proofErr w:type="spellStart"/>
      <w:r w:rsidRPr="000B47D4">
        <w:rPr>
          <w:rFonts w:ascii="Times New Roman" w:hAnsi="Times New Roman" w:cs="Times New Roman"/>
          <w:sz w:val="20"/>
          <w:szCs w:val="20"/>
        </w:rPr>
        <w:t>Gazar</w:t>
      </w:r>
      <w:proofErr w:type="spellEnd"/>
      <w:r w:rsidRPr="000B47D4">
        <w:rPr>
          <w:rFonts w:ascii="Times New Roman" w:hAnsi="Times New Roman" w:cs="Times New Roman"/>
          <w:sz w:val="20"/>
          <w:szCs w:val="20"/>
        </w:rPr>
        <w:t xml:space="preserve">, </w:t>
      </w:r>
      <w:proofErr w:type="spellStart"/>
      <w:r w:rsidRPr="000B47D4">
        <w:rPr>
          <w:rFonts w:ascii="Times New Roman" w:hAnsi="Times New Roman" w:cs="Times New Roman"/>
          <w:sz w:val="20"/>
          <w:szCs w:val="20"/>
        </w:rPr>
        <w:t>Reham</w:t>
      </w:r>
      <w:proofErr w:type="spellEnd"/>
      <w:r w:rsidRPr="000B47D4">
        <w:rPr>
          <w:rFonts w:ascii="Times New Roman" w:hAnsi="Times New Roman" w:cs="Times New Roman"/>
          <w:sz w:val="20"/>
          <w:szCs w:val="20"/>
        </w:rPr>
        <w:t xml:space="preserve"> Saied Mohamed </w:t>
      </w:r>
      <w:proofErr w:type="spellStart"/>
      <w:r w:rsidRPr="000B47D4">
        <w:rPr>
          <w:rFonts w:ascii="Times New Roman" w:hAnsi="Times New Roman" w:cs="Times New Roman"/>
          <w:sz w:val="20"/>
          <w:szCs w:val="20"/>
        </w:rPr>
        <w:t>Mohamed</w:t>
      </w:r>
      <w:proofErr w:type="spellEnd"/>
      <w:r w:rsidRPr="000B47D4">
        <w:rPr>
          <w:rFonts w:ascii="Times New Roman" w:hAnsi="Times New Roman" w:cs="Times New Roman"/>
          <w:sz w:val="20"/>
          <w:szCs w:val="20"/>
        </w:rPr>
        <w:t>.</w:t>
      </w:r>
      <w:r w:rsidRPr="000B47D4">
        <w:rPr>
          <w:rFonts w:ascii="Times New Roman" w:hAnsi="Times New Roman" w:cs="Times New Roman" w:hint="eastAsia"/>
          <w:b/>
          <w:bCs/>
          <w:sz w:val="20"/>
          <w:szCs w:val="20"/>
          <w:lang w:bidi="fa-IR"/>
        </w:rPr>
        <w:t xml:space="preserve"> </w:t>
      </w:r>
      <w:r w:rsidRPr="000B47D4">
        <w:rPr>
          <w:rFonts w:ascii="Times New Roman" w:hAnsi="Times New Roman" w:cs="Times New Roman"/>
          <w:b/>
          <w:bCs/>
          <w:sz w:val="20"/>
          <w:szCs w:val="20"/>
        </w:rPr>
        <w:t xml:space="preserve">The </w:t>
      </w:r>
      <w:proofErr w:type="spellStart"/>
      <w:r w:rsidRPr="000B47D4">
        <w:rPr>
          <w:rFonts w:ascii="Times New Roman" w:hAnsi="Times New Roman" w:cs="Times New Roman"/>
          <w:b/>
          <w:bCs/>
          <w:sz w:val="20"/>
          <w:szCs w:val="20"/>
        </w:rPr>
        <w:t>Enteral</w:t>
      </w:r>
      <w:proofErr w:type="spellEnd"/>
      <w:r w:rsidRPr="000B47D4">
        <w:rPr>
          <w:rFonts w:ascii="Times New Roman" w:hAnsi="Times New Roman" w:cs="Times New Roman"/>
          <w:b/>
          <w:bCs/>
          <w:sz w:val="20"/>
          <w:szCs w:val="20"/>
        </w:rPr>
        <w:t xml:space="preserve"> Nutrition as Factor Affecting Duration of Mechanical Ventilation in Critically Ill Patients</w:t>
      </w:r>
      <w:r w:rsidRPr="000B47D4">
        <w:rPr>
          <w:rFonts w:ascii="Times New Roman" w:eastAsia="Times New Roman" w:hAnsi="Times New Roman" w:cs="Times New Roman"/>
          <w:b/>
          <w:bCs/>
          <w:sz w:val="20"/>
          <w:szCs w:val="20"/>
          <w:lang w:bidi="fa-IR"/>
        </w:rPr>
        <w:t>.</w:t>
      </w:r>
      <w:r w:rsidRPr="000B47D4">
        <w:rPr>
          <w:rFonts w:ascii="Times New Roman" w:hAnsi="Times New Roman" w:cs="Times New Roman"/>
          <w:bCs/>
          <w:i/>
          <w:sz w:val="20"/>
          <w:szCs w:val="20"/>
        </w:rPr>
        <w:t xml:space="preserve"> N Y </w:t>
      </w:r>
      <w:proofErr w:type="spellStart"/>
      <w:r w:rsidRPr="000B47D4">
        <w:rPr>
          <w:rFonts w:ascii="Times New Roman" w:hAnsi="Times New Roman" w:cs="Times New Roman"/>
          <w:bCs/>
          <w:i/>
          <w:sz w:val="20"/>
          <w:szCs w:val="20"/>
        </w:rPr>
        <w:t>Sci</w:t>
      </w:r>
      <w:proofErr w:type="spellEnd"/>
      <w:r w:rsidRPr="000B47D4">
        <w:rPr>
          <w:rFonts w:ascii="Times New Roman" w:hAnsi="Times New Roman" w:cs="Times New Roman"/>
          <w:bCs/>
          <w:i/>
          <w:sz w:val="20"/>
          <w:szCs w:val="20"/>
        </w:rPr>
        <w:t xml:space="preserve"> J</w:t>
      </w:r>
      <w:r w:rsidRPr="000B47D4">
        <w:rPr>
          <w:rFonts w:ascii="Times New Roman" w:hAnsi="Times New Roman" w:cs="Times New Roman"/>
          <w:bCs/>
          <w:sz w:val="20"/>
          <w:szCs w:val="20"/>
        </w:rPr>
        <w:t xml:space="preserve"> </w:t>
      </w:r>
      <w:r w:rsidRPr="000B47D4">
        <w:rPr>
          <w:rFonts w:ascii="Times New Roman" w:hAnsi="Times New Roman" w:cs="Times New Roman"/>
          <w:sz w:val="20"/>
          <w:szCs w:val="20"/>
        </w:rPr>
        <w:t>201</w:t>
      </w:r>
      <w:r w:rsidRPr="000B47D4">
        <w:rPr>
          <w:rFonts w:ascii="Times New Roman" w:hAnsi="Times New Roman" w:cs="Times New Roman" w:hint="eastAsia"/>
          <w:sz w:val="20"/>
          <w:szCs w:val="20"/>
        </w:rPr>
        <w:t>8</w:t>
      </w:r>
      <w:r w:rsidRPr="000B47D4">
        <w:rPr>
          <w:rFonts w:ascii="Times New Roman" w:hAnsi="Times New Roman" w:cs="Times New Roman"/>
          <w:sz w:val="20"/>
          <w:szCs w:val="20"/>
        </w:rPr>
        <w:t>;</w:t>
      </w:r>
      <w:r w:rsidRPr="000B47D4">
        <w:rPr>
          <w:rFonts w:ascii="Times New Roman" w:hAnsi="Times New Roman" w:cs="Times New Roman" w:hint="eastAsia"/>
          <w:sz w:val="20"/>
          <w:szCs w:val="20"/>
        </w:rPr>
        <w:t>11</w:t>
      </w:r>
      <w:r w:rsidRPr="000B47D4">
        <w:rPr>
          <w:rFonts w:ascii="Times New Roman" w:hAnsi="Times New Roman" w:cs="Times New Roman"/>
          <w:sz w:val="20"/>
          <w:szCs w:val="20"/>
        </w:rPr>
        <w:t>(</w:t>
      </w:r>
      <w:r w:rsidRPr="000B47D4">
        <w:rPr>
          <w:rFonts w:ascii="Times New Roman" w:hAnsi="Times New Roman" w:cs="Times New Roman" w:hint="eastAsia"/>
          <w:sz w:val="20"/>
          <w:szCs w:val="20"/>
        </w:rPr>
        <w:t>6</w:t>
      </w:r>
      <w:r w:rsidRPr="000B47D4">
        <w:rPr>
          <w:rFonts w:ascii="Times New Roman" w:hAnsi="Times New Roman" w:cs="Times New Roman"/>
          <w:sz w:val="20"/>
          <w:szCs w:val="20"/>
        </w:rPr>
        <w:t>):</w:t>
      </w:r>
      <w:r w:rsidR="00146F44" w:rsidRPr="000B47D4">
        <w:rPr>
          <w:rFonts w:ascii="Times New Roman" w:hAnsi="Times New Roman" w:cs="Times New Roman"/>
          <w:noProof/>
          <w:color w:val="000000"/>
          <w:sz w:val="20"/>
          <w:szCs w:val="20"/>
        </w:rPr>
        <w:t>53-5</w:t>
      </w:r>
      <w:r w:rsidR="000B47D4">
        <w:rPr>
          <w:rFonts w:ascii="Times New Roman" w:hAnsi="Times New Roman" w:cs="Times New Roman" w:hint="eastAsia"/>
          <w:noProof/>
          <w:color w:val="000000"/>
          <w:sz w:val="20"/>
          <w:szCs w:val="20"/>
          <w:lang w:eastAsia="zh-CN"/>
        </w:rPr>
        <w:t>9</w:t>
      </w:r>
      <w:r w:rsidRPr="000B47D4">
        <w:rPr>
          <w:rFonts w:ascii="Times New Roman" w:hAnsi="Times New Roman" w:cs="Times New Roman"/>
          <w:sz w:val="20"/>
          <w:szCs w:val="20"/>
        </w:rPr>
        <w:t xml:space="preserve">]. </w:t>
      </w:r>
      <w:r w:rsidRPr="000B47D4">
        <w:rPr>
          <w:rFonts w:ascii="Times New Roman" w:hAnsi="Times New Roman" w:cs="Times New Roman"/>
          <w:iCs/>
          <w:color w:val="000000"/>
          <w:sz w:val="20"/>
          <w:szCs w:val="20"/>
        </w:rPr>
        <w:t>ISSN 1554-0200 (print); ISSN 2375-723X (online)</w:t>
      </w:r>
      <w:r w:rsidRPr="000B47D4">
        <w:rPr>
          <w:rFonts w:ascii="Times New Roman" w:hAnsi="Times New Roman" w:cs="Times New Roman"/>
          <w:sz w:val="20"/>
          <w:szCs w:val="20"/>
        </w:rPr>
        <w:t xml:space="preserve">. </w:t>
      </w:r>
      <w:hyperlink r:id="rId9" w:history="1">
        <w:r w:rsidRPr="000B47D4">
          <w:rPr>
            <w:rStyle w:val="Hyperlink"/>
            <w:rFonts w:ascii="Times New Roman" w:hAnsi="Times New Roman" w:cs="Times New Roman"/>
            <w:color w:val="0000FF"/>
            <w:sz w:val="20"/>
            <w:szCs w:val="20"/>
          </w:rPr>
          <w:t>http://www.sciencepub.net/newyork</w:t>
        </w:r>
      </w:hyperlink>
      <w:r w:rsidRPr="000B47D4">
        <w:rPr>
          <w:rFonts w:ascii="Times New Roman" w:hAnsi="Times New Roman" w:cs="Times New Roman"/>
          <w:sz w:val="20"/>
          <w:szCs w:val="20"/>
        </w:rPr>
        <w:t xml:space="preserve">. </w:t>
      </w:r>
      <w:r w:rsidRPr="000B47D4">
        <w:rPr>
          <w:rFonts w:ascii="Times New Roman" w:hAnsi="Times New Roman" w:cs="Times New Roman" w:hint="eastAsia"/>
          <w:sz w:val="20"/>
          <w:szCs w:val="20"/>
          <w:lang w:eastAsia="zh-CN"/>
        </w:rPr>
        <w:t>8</w:t>
      </w:r>
      <w:r w:rsidRPr="000B47D4">
        <w:rPr>
          <w:rFonts w:ascii="Times New Roman" w:hAnsi="Times New Roman" w:cs="Times New Roman" w:hint="eastAsia"/>
          <w:sz w:val="20"/>
          <w:szCs w:val="20"/>
        </w:rPr>
        <w:t xml:space="preserve">. </w:t>
      </w:r>
      <w:r w:rsidRPr="000B47D4">
        <w:rPr>
          <w:rFonts w:ascii="Times New Roman" w:hAnsi="Times New Roman" w:cs="Times New Roman"/>
          <w:color w:val="000000"/>
          <w:sz w:val="20"/>
          <w:szCs w:val="20"/>
          <w:shd w:val="clear" w:color="auto" w:fill="FFFFFF"/>
        </w:rPr>
        <w:t>doi:</w:t>
      </w:r>
      <w:hyperlink r:id="rId10" w:history="1">
        <w:r w:rsidRPr="000B47D4">
          <w:rPr>
            <w:rStyle w:val="Hyperlink"/>
            <w:rFonts w:ascii="Times New Roman" w:hAnsi="Times New Roman" w:cs="Times New Roman"/>
            <w:color w:val="0000FF"/>
            <w:sz w:val="20"/>
            <w:szCs w:val="20"/>
            <w:shd w:val="clear" w:color="auto" w:fill="FFFFFF"/>
          </w:rPr>
          <w:t>10.7537/mars</w:t>
        </w:r>
        <w:r w:rsidRPr="000B47D4">
          <w:rPr>
            <w:rStyle w:val="Hyperlink"/>
            <w:rFonts w:ascii="Times New Roman" w:hAnsi="Times New Roman" w:cs="Times New Roman" w:hint="eastAsia"/>
            <w:color w:val="0000FF"/>
            <w:sz w:val="20"/>
            <w:szCs w:val="20"/>
            <w:shd w:val="clear" w:color="auto" w:fill="FFFFFF"/>
          </w:rPr>
          <w:t>nys110618.</w:t>
        </w:r>
        <w:r w:rsidRPr="000B47D4">
          <w:rPr>
            <w:rStyle w:val="Hyperlink"/>
            <w:rFonts w:ascii="Times New Roman" w:hAnsi="Times New Roman" w:cs="Times New Roman"/>
            <w:color w:val="0000FF"/>
            <w:sz w:val="20"/>
            <w:szCs w:val="20"/>
            <w:shd w:val="clear" w:color="auto" w:fill="FFFFFF"/>
          </w:rPr>
          <w:t>0</w:t>
        </w:r>
        <w:r w:rsidRPr="000B47D4">
          <w:rPr>
            <w:rStyle w:val="Hyperlink"/>
            <w:rFonts w:ascii="Times New Roman" w:hAnsi="Times New Roman" w:cs="Times New Roman" w:hint="eastAsia"/>
            <w:color w:val="0000FF"/>
            <w:sz w:val="20"/>
            <w:szCs w:val="20"/>
            <w:shd w:val="clear" w:color="auto" w:fill="FFFFFF"/>
            <w:lang w:eastAsia="zh-CN"/>
          </w:rPr>
          <w:t>8</w:t>
        </w:r>
      </w:hyperlink>
      <w:r w:rsidRPr="000B47D4">
        <w:rPr>
          <w:rFonts w:ascii="Times New Roman" w:hAnsi="Times New Roman" w:cs="Times New Roman"/>
          <w:color w:val="000000"/>
          <w:sz w:val="20"/>
          <w:szCs w:val="20"/>
          <w:shd w:val="clear" w:color="auto" w:fill="FFFFFF"/>
        </w:rPr>
        <w:t>.</w:t>
      </w:r>
    </w:p>
    <w:p w:rsidR="003B4339" w:rsidRPr="000B47D4" w:rsidRDefault="003B4339" w:rsidP="003B4339">
      <w:pPr>
        <w:snapToGrid w:val="0"/>
        <w:spacing w:after="0" w:line="240" w:lineRule="auto"/>
        <w:jc w:val="both"/>
        <w:rPr>
          <w:rFonts w:ascii="Times New Roman" w:hAnsi="Times New Roman" w:cs="Times New Roman"/>
          <w:color w:val="0000FF"/>
          <w:sz w:val="20"/>
          <w:szCs w:val="20"/>
          <w:u w:val="single"/>
          <w:lang w:eastAsia="zh-CN"/>
        </w:rPr>
      </w:pPr>
    </w:p>
    <w:p w:rsidR="00D03E57" w:rsidRPr="000B47D4" w:rsidRDefault="00D03E57" w:rsidP="003B4339">
      <w:pPr>
        <w:snapToGrid w:val="0"/>
        <w:spacing w:after="0" w:line="240" w:lineRule="auto"/>
        <w:jc w:val="both"/>
        <w:rPr>
          <w:rFonts w:ascii="Times New Roman" w:hAnsi="Times New Roman" w:cs="Times New Roman"/>
          <w:sz w:val="20"/>
          <w:szCs w:val="20"/>
        </w:rPr>
      </w:pPr>
      <w:r w:rsidRPr="000B47D4">
        <w:rPr>
          <w:rFonts w:ascii="Times New Roman" w:hAnsi="Times New Roman" w:cs="Times New Roman"/>
          <w:b/>
          <w:bCs/>
          <w:sz w:val="20"/>
          <w:szCs w:val="20"/>
        </w:rPr>
        <w:t>Keywords</w:t>
      </w:r>
      <w:r w:rsidRPr="000B47D4">
        <w:rPr>
          <w:rFonts w:ascii="Times New Roman" w:hAnsi="Times New Roman" w:cs="Times New Roman"/>
          <w:sz w:val="20"/>
          <w:szCs w:val="20"/>
        </w:rPr>
        <w:t xml:space="preserve">: </w:t>
      </w:r>
      <w:proofErr w:type="spellStart"/>
      <w:r w:rsidRPr="000B47D4">
        <w:rPr>
          <w:rFonts w:ascii="Times New Roman" w:hAnsi="Times New Roman" w:cs="Times New Roman"/>
          <w:sz w:val="20"/>
          <w:szCs w:val="20"/>
        </w:rPr>
        <w:t>Enteral</w:t>
      </w:r>
      <w:proofErr w:type="spellEnd"/>
      <w:r w:rsidRPr="000B47D4">
        <w:rPr>
          <w:rFonts w:ascii="Times New Roman" w:hAnsi="Times New Roman" w:cs="Times New Roman"/>
          <w:sz w:val="20"/>
          <w:szCs w:val="20"/>
        </w:rPr>
        <w:t xml:space="preserve"> feeding; Mechanical ventilation; high-fat diet; ICU.</w:t>
      </w:r>
    </w:p>
    <w:p w:rsidR="003B4339" w:rsidRDefault="003B4339" w:rsidP="003B4339">
      <w:pPr>
        <w:snapToGrid w:val="0"/>
        <w:spacing w:after="0" w:line="240" w:lineRule="auto"/>
        <w:ind w:firstLine="425"/>
        <w:jc w:val="both"/>
        <w:rPr>
          <w:rFonts w:ascii="Times New Roman" w:hAnsi="Times New Roman" w:cs="Times New Roman" w:hint="eastAsia"/>
          <w:b/>
          <w:bCs/>
          <w:sz w:val="20"/>
          <w:szCs w:val="20"/>
          <w:lang w:eastAsia="zh-CN"/>
        </w:rPr>
      </w:pPr>
    </w:p>
    <w:p w:rsidR="000B47D4" w:rsidRPr="000B47D4" w:rsidRDefault="000B47D4" w:rsidP="003B4339">
      <w:pPr>
        <w:snapToGrid w:val="0"/>
        <w:spacing w:after="0" w:line="240" w:lineRule="auto"/>
        <w:ind w:firstLine="425"/>
        <w:jc w:val="both"/>
        <w:rPr>
          <w:rFonts w:ascii="Times New Roman" w:hAnsi="Times New Roman" w:cs="Times New Roman" w:hint="eastAsia"/>
          <w:b/>
          <w:bCs/>
          <w:sz w:val="20"/>
          <w:szCs w:val="20"/>
          <w:lang w:eastAsia="zh-CN"/>
        </w:rPr>
      </w:pPr>
    </w:p>
    <w:p w:rsidR="000B47D4" w:rsidRPr="000B47D4" w:rsidRDefault="000B47D4" w:rsidP="003B4339">
      <w:pPr>
        <w:snapToGrid w:val="0"/>
        <w:spacing w:after="0" w:line="240" w:lineRule="auto"/>
        <w:ind w:firstLine="425"/>
        <w:jc w:val="both"/>
        <w:rPr>
          <w:rFonts w:ascii="Times New Roman" w:hAnsi="Times New Roman" w:cs="Times New Roman" w:hint="eastAsia"/>
          <w:b/>
          <w:bCs/>
          <w:sz w:val="20"/>
          <w:szCs w:val="20"/>
          <w:lang w:eastAsia="zh-CN"/>
        </w:rPr>
        <w:sectPr w:rsidR="000B47D4" w:rsidRPr="000B47D4" w:rsidSect="00146F44">
          <w:headerReference w:type="default" r:id="rId11"/>
          <w:footerReference w:type="default" r:id="rId12"/>
          <w:type w:val="continuous"/>
          <w:pgSz w:w="12240" w:h="15840" w:code="1"/>
          <w:pgMar w:top="1440" w:right="1440" w:bottom="1440" w:left="1440" w:header="720" w:footer="720" w:gutter="0"/>
          <w:pgNumType w:start="53"/>
          <w:cols w:space="720"/>
          <w:docGrid w:linePitch="360"/>
        </w:sectPr>
      </w:pPr>
    </w:p>
    <w:p w:rsidR="00E601E2" w:rsidRPr="000B47D4" w:rsidRDefault="00DD2561" w:rsidP="003B4339">
      <w:pPr>
        <w:snapToGrid w:val="0"/>
        <w:spacing w:after="0" w:line="240" w:lineRule="auto"/>
        <w:jc w:val="both"/>
        <w:rPr>
          <w:rFonts w:ascii="Times New Roman" w:hAnsi="Times New Roman" w:cs="Times New Roman"/>
          <w:sz w:val="20"/>
          <w:szCs w:val="20"/>
        </w:rPr>
      </w:pPr>
      <w:r w:rsidRPr="000B47D4">
        <w:rPr>
          <w:rFonts w:ascii="Times New Roman" w:hAnsi="Times New Roman" w:cs="Times New Roman"/>
          <w:b/>
          <w:bCs/>
          <w:sz w:val="20"/>
          <w:szCs w:val="20"/>
        </w:rPr>
        <w:lastRenderedPageBreak/>
        <w:t xml:space="preserve">1. </w:t>
      </w:r>
      <w:r w:rsidR="00E601E2" w:rsidRPr="000B47D4">
        <w:rPr>
          <w:rFonts w:ascii="Times New Roman" w:hAnsi="Times New Roman" w:cs="Times New Roman"/>
          <w:b/>
          <w:bCs/>
          <w:sz w:val="20"/>
          <w:szCs w:val="20"/>
        </w:rPr>
        <w:t>Introduction</w:t>
      </w:r>
      <w:r w:rsidR="00E601E2" w:rsidRPr="000B47D4">
        <w:rPr>
          <w:rFonts w:ascii="Times New Roman" w:hAnsi="Times New Roman" w:cs="Times New Roman"/>
          <w:sz w:val="20"/>
          <w:szCs w:val="20"/>
        </w:rPr>
        <w:t>:</w:t>
      </w:r>
    </w:p>
    <w:p w:rsidR="00E601E2" w:rsidRPr="000B47D4" w:rsidRDefault="00705F03" w:rsidP="003B4339">
      <w:pPr>
        <w:snapToGrid w:val="0"/>
        <w:spacing w:after="0" w:line="240" w:lineRule="auto"/>
        <w:ind w:firstLine="425"/>
        <w:jc w:val="both"/>
        <w:rPr>
          <w:rFonts w:ascii="Times New Roman" w:hAnsi="Times New Roman" w:cs="Times New Roman"/>
          <w:sz w:val="20"/>
          <w:szCs w:val="20"/>
        </w:rPr>
      </w:pPr>
      <w:r w:rsidRPr="000B47D4">
        <w:rPr>
          <w:rFonts w:ascii="Times New Roman" w:hAnsi="Times New Roman" w:cs="Times New Roman"/>
          <w:sz w:val="20"/>
          <w:szCs w:val="20"/>
        </w:rPr>
        <w:t>Adequate nutrition is an important prognostic factor in critically ill patients</w:t>
      </w:r>
      <w:r w:rsidR="001368C2" w:rsidRPr="000B47D4">
        <w:rPr>
          <w:rFonts w:ascii="Times New Roman" w:hAnsi="Times New Roman" w:cs="Times New Roman"/>
          <w:sz w:val="20"/>
          <w:szCs w:val="20"/>
        </w:rPr>
        <w:t xml:space="preserve"> an</w:t>
      </w:r>
      <w:r w:rsidR="00906E5B" w:rsidRPr="000B47D4">
        <w:rPr>
          <w:rFonts w:ascii="Times New Roman" w:hAnsi="Times New Roman" w:cs="Times New Roman"/>
          <w:sz w:val="20"/>
          <w:szCs w:val="20"/>
        </w:rPr>
        <w:t>d (</w:t>
      </w:r>
      <w:r w:rsidR="00220662" w:rsidRPr="000B47D4">
        <w:rPr>
          <w:rFonts w:ascii="Times New Roman" w:hAnsi="Times New Roman" w:cs="Times New Roman"/>
          <w:sz w:val="20"/>
          <w:szCs w:val="20"/>
        </w:rPr>
        <w:t>post CABG)</w:t>
      </w:r>
      <w:r w:rsidRPr="000B47D4">
        <w:rPr>
          <w:rFonts w:ascii="Times New Roman" w:hAnsi="Times New Roman" w:cs="Times New Roman"/>
          <w:sz w:val="20"/>
          <w:szCs w:val="20"/>
        </w:rPr>
        <w:t>, the current body of evidence shows that malnutrition is associated with increased risk of mortality in this type of patients</w:t>
      </w:r>
      <w:r w:rsidR="009C682A" w:rsidRPr="000B47D4">
        <w:rPr>
          <w:rFonts w:ascii="Times New Roman" w:hAnsi="Times New Roman" w:cs="Times New Roman"/>
          <w:sz w:val="20"/>
          <w:szCs w:val="20"/>
        </w:rPr>
        <w:fldChar w:fldCharType="begin" w:fldLock="1"/>
      </w:r>
      <w:r w:rsidRPr="000B47D4">
        <w:rPr>
          <w:rFonts w:ascii="Times New Roman" w:hAnsi="Times New Roman" w:cs="Times New Roman"/>
          <w:sz w:val="20"/>
          <w:szCs w:val="20"/>
        </w:rPr>
        <w:instrText>ADDIN CSL_CITATION { "citationItems" : [ { "id" : "ITEM-1", "itemData" : { "ISSN" : "0253-0716 (Print)", "PMID" : "27217600", "abstract" : "BACKGROUND: Malnutrition is an important factor in the survival of critically ill patients. The purpose of the present study was to assess the nutritional status of patients in the intensive care unit (ICU) on the days of admission and discharge via a detailed nutritional assessment. METHODS: Totally, 125 patients were followed up from admission to discharge at 8ICUs in Shiraz, Iran. The patients' nutritional status was assessed using subjective global assessment (SGA), anthropometric measurements, biochemical indices, and body composition indicators. Diet prescription and intake was also evaluated. RESULTS: Malnutrition prevalence significantly increased on the day of discharge (58.62%) compared to the day of admission (28.8%) according to SGA (P&lt;0.001). The patients' weight, mid-upper-arm circumference, mid-arm muscle circumference, triceps skinfold thickness, and calf circumference decreased significantly as well (P&lt;0.001). Lean mass weight and body cell mass also decreased significantly (P&lt;0.001). Biochemical indices showed no notable changes except for magnesium, which decreased significantly (P=0.013). A negative significant correlation was observed between malnutrition on discharge day and anthropometric measurements. Positive and significant correlations were observed between the number of days without enteral feeding, days delayed from ICU admission to the commencement of enteral feeding, and the length of ICU stay and malnutrition on discharge day. Energy and protein intakes were significantly less than the prescribed diet (26.26% and 26.48%, respectively). CONCLUSION: Malnutrition on discharge day increased in the patients in the ICU according to SGA. Anthropometric measurements were better predictors of the nutritional outcome of our critically ill patients than were biochemical tests.", "author" : [ { "dropping-particle" : "", "family" : "Hejazi", "given" : "Najmeh PhD", "non-dropping-particle" : "", "parse-names" : false, "suffix" : "" }, { "dropping-particle" : "", "family" : "Mazloom", "given" : "Zohreh PhD", "non-dropping-particle" : "", "parse-names" : false, "suffix" : "" }, { "dropping-particle" : "", "family" : "Zand", "given" : "Farid Md", "non-dropping-particle" : "", "parse-names" : false, "suffix" : "" }, { "dropping-particle" : "", "family" : "Rezaianzadeh", "given" : "Abbas Md Mph PhD", "non-dropping-particle" : "", "parse-names" : false, "suffix" : "" }, { "dropping-particle" : "", "family" : "Amini", "given" : "Afshin Md", "non-dropping-particle" : "", "parse-names" : false, "suffix" : "" } ], "container-title" : "Iranian journal of medical sciences", "id" : "ITEM-1", "issue" : "3", "issued" : { "date-parts" : [ [ "2016" ] ] }, "page" : "171-179", "title" : "Nutritional Assessment in Critically Ill Patients.", "type" : "article-journal", "volume" : "41" }, "uris" : [ "http://www.mendeley.com/documents/?uuid=e4df55d2-327c-4126-99d4-5b64cf45849f" ] } ], "mendeley" : { "formattedCitation" : "[1]", "plainTextFormattedCitation" : "[1]", "previouslyFormattedCitation" : "[1]" }, "properties" : {  }, "schema" : "https://github.com/citation-style-language/schema/raw/master/csl-citation.json" }</w:instrText>
      </w:r>
      <w:r w:rsidR="009C682A" w:rsidRPr="000B47D4">
        <w:rPr>
          <w:rFonts w:ascii="Times New Roman" w:hAnsi="Times New Roman" w:cs="Times New Roman"/>
          <w:sz w:val="20"/>
          <w:szCs w:val="20"/>
        </w:rPr>
        <w:fldChar w:fldCharType="separate"/>
      </w:r>
      <w:r w:rsidRPr="000B47D4">
        <w:rPr>
          <w:rFonts w:ascii="Times New Roman" w:hAnsi="Times New Roman" w:cs="Times New Roman"/>
          <w:noProof/>
          <w:sz w:val="20"/>
          <w:szCs w:val="20"/>
        </w:rPr>
        <w:t>[1]</w:t>
      </w:r>
      <w:r w:rsidR="009C682A" w:rsidRPr="000B47D4">
        <w:rPr>
          <w:rFonts w:ascii="Times New Roman" w:hAnsi="Times New Roman" w:cs="Times New Roman"/>
          <w:sz w:val="20"/>
          <w:szCs w:val="20"/>
        </w:rPr>
        <w:fldChar w:fldCharType="end"/>
      </w:r>
      <w:r w:rsidRPr="000B47D4">
        <w:rPr>
          <w:rFonts w:ascii="Times New Roman" w:hAnsi="Times New Roman" w:cs="Times New Roman"/>
          <w:sz w:val="20"/>
          <w:szCs w:val="20"/>
        </w:rPr>
        <w:t xml:space="preserve">. Despite this, the prevalence of malnutrition, including marked reduction in essential micronutrients and body mass, was reported to be as high as 40% in </w:t>
      </w:r>
      <w:proofErr w:type="spellStart"/>
      <w:r w:rsidRPr="000B47D4">
        <w:rPr>
          <w:rFonts w:ascii="Times New Roman" w:hAnsi="Times New Roman" w:cs="Times New Roman"/>
          <w:sz w:val="20"/>
          <w:szCs w:val="20"/>
        </w:rPr>
        <w:t>in</w:t>
      </w:r>
      <w:proofErr w:type="spellEnd"/>
      <w:r w:rsidRPr="000B47D4">
        <w:rPr>
          <w:rFonts w:ascii="Times New Roman" w:hAnsi="Times New Roman" w:cs="Times New Roman"/>
          <w:sz w:val="20"/>
          <w:szCs w:val="20"/>
        </w:rPr>
        <w:t xml:space="preserve"> critically ill patients admitted to the intensive care units (ICUs)</w:t>
      </w:r>
      <w:r w:rsidR="009C682A" w:rsidRPr="000B47D4">
        <w:rPr>
          <w:rFonts w:ascii="Times New Roman" w:hAnsi="Times New Roman" w:cs="Times New Roman"/>
          <w:sz w:val="20"/>
          <w:szCs w:val="20"/>
        </w:rPr>
        <w:fldChar w:fldCharType="begin" w:fldLock="1"/>
      </w:r>
      <w:r w:rsidRPr="000B47D4">
        <w:rPr>
          <w:rFonts w:ascii="Times New Roman" w:hAnsi="Times New Roman" w:cs="Times New Roman"/>
          <w:sz w:val="20"/>
          <w:szCs w:val="20"/>
        </w:rPr>
        <w:instrText>ADDIN CSL_CITATION { "citationItems" : [ { "id" : "ITEM-1", "itemData" : { "DOI" : "10.1177/0148607115621863", "ISBN" : "0148-6071 (Print)\\n0148-6071 (Linking)", "ISSN" : "19412444", "PMID" : "19398613", "abstract" : "10.1177/0148607109335234", "author" : [ { "dropping-particle" : "", "family" : "McClave", "given" : "Stephen A.", "non-dropping-particle" : "", "parse-names" : false, "suffix" : "" }, { "dropping-particle" : "", "family" : "Taylor", "given" : "Beth E.", "non-dropping-particle" : "", "parse-names" : false, "suffix" : "" }, { "dropping-particle" : "", "family" : "Martindale", "given" : "Robert G.", "non-dropping-particle" : "", "parse-names" : false, "suffix" : "" }, { "dropping-particle" : "", "family" : "Warren", "given" : "Malissa M.", "non-dropping-particle" : "", "parse-names" : false, "suffix" : "" }, { "dropping-particle" : "", "family" : "Johnson", "given" : "Debbie R.", "non-dropping-particle" : "", "parse-names" : false, "suffix" : "" }, { "dropping-particle" : "", "family" : "Braunschweig", "given" : "Carol", "non-dropping-particle" : "", "parse-names" : false, "suffix" : "" }, { "dropping-particle" : "", "family" : "McCarthy", "given" : "Mary S.", "non-dropping-particle" : "", "parse-names" : false, "suffix" : "" }, { "dropping-particle" : "", "family" : "Davanos", "given" : "Evangelia", "non-dropping-particle" : "", "parse-names" : false, "suffix" : "" }, { "dropping-particle" : "", "family" : "Rice", "given" : "Todd W.", "non-dropping-particle" : "", "parse-names" : false, "suffix" : "" }, { "dropping-particle" : "", "family" : "Cresci", "given" : "Gail A.", "non-dropping-particle" : "", "parse-names" : false, "suffix" : "" }, { "dropping-particle" : "", "family" : "Gervasio", "given" : "Jane M.", "non-dropping-particle" : "", "parse-names" : false, "suffix" : "" }, { "dropping-particle" : "", "family" : "Sacks", "given" : "Gordon S.", "non-dropping-particle" : "", "parse-names" : false, "suffix" : "" }, { "dropping-particle" : "", "family" : "Roberts", "given" : "Pamela R.", "non-dropping-particle" : "", "parse-names" : false, "suffix" : "" }, { "dropping-particle" : "", "family" : "Compher", "given" : "Charlene", "non-dropping-particle" : "", "parse-names" : false, "suffix" : "" } ], "container-title" : "Journal of Parenteral and Enteral Nutrition", "id" : "ITEM-1", "issue" : "2", "issued" : { "date-parts" : [ [ "2016" ] ] }, "page" : "159-211", "title" : "Guidelines for the Provision and Assessment of Nutrition Support Therapy in the Adult Critically Ill Patient: Society of Critical Care Medicine (SCCM) and American Society for Parenteral and Enteral Nutrition (A.S.P.E.N.)", "type" : "article-journal", "volume" : "40" }, "uris" : [ "http://www.mendeley.com/documents/?uuid=ab422756-4286-46a0-b663-d2a0c5fe9103" ] } ], "mendeley" : { "formattedCitation" : "[2]", "plainTextFormattedCitation" : "[2]", "previouslyFormattedCitation" : "[2]" }, "properties" : {  }, "schema" : "https://github.com/citation-style-language/schema/raw/master/csl-citation.json" }</w:instrText>
      </w:r>
      <w:r w:rsidR="009C682A" w:rsidRPr="000B47D4">
        <w:rPr>
          <w:rFonts w:ascii="Times New Roman" w:hAnsi="Times New Roman" w:cs="Times New Roman"/>
          <w:sz w:val="20"/>
          <w:szCs w:val="20"/>
        </w:rPr>
        <w:fldChar w:fldCharType="separate"/>
      </w:r>
      <w:r w:rsidRPr="000B47D4">
        <w:rPr>
          <w:rFonts w:ascii="Times New Roman" w:hAnsi="Times New Roman" w:cs="Times New Roman"/>
          <w:noProof/>
          <w:sz w:val="20"/>
          <w:szCs w:val="20"/>
        </w:rPr>
        <w:t>[2]</w:t>
      </w:r>
      <w:r w:rsidR="009C682A" w:rsidRPr="000B47D4">
        <w:rPr>
          <w:rFonts w:ascii="Times New Roman" w:hAnsi="Times New Roman" w:cs="Times New Roman"/>
          <w:sz w:val="20"/>
          <w:szCs w:val="20"/>
        </w:rPr>
        <w:fldChar w:fldCharType="end"/>
      </w:r>
      <w:r w:rsidR="009F7D3F" w:rsidRPr="000B47D4">
        <w:rPr>
          <w:rFonts w:ascii="Times New Roman" w:hAnsi="Times New Roman" w:cs="Times New Roman"/>
          <w:sz w:val="20"/>
          <w:szCs w:val="20"/>
        </w:rPr>
        <w:t>; the incidence of malnutrition was reported to be even higher among patients with long</w:t>
      </w:r>
      <w:r w:rsidR="00574248" w:rsidRPr="000B47D4">
        <w:rPr>
          <w:rFonts w:ascii="Times New Roman" w:hAnsi="Times New Roman" w:cs="Times New Roman"/>
          <w:sz w:val="20"/>
          <w:szCs w:val="20"/>
        </w:rPr>
        <w:t>er</w:t>
      </w:r>
      <w:r w:rsidR="009F7D3F" w:rsidRPr="000B47D4">
        <w:rPr>
          <w:rFonts w:ascii="Times New Roman" w:hAnsi="Times New Roman" w:cs="Times New Roman"/>
          <w:sz w:val="20"/>
          <w:szCs w:val="20"/>
        </w:rPr>
        <w:t xml:space="preserve"> hospital stay</w:t>
      </w:r>
      <w:r w:rsidR="009C682A" w:rsidRPr="000B47D4">
        <w:rPr>
          <w:rFonts w:ascii="Times New Roman" w:hAnsi="Times New Roman" w:cs="Times New Roman"/>
          <w:sz w:val="20"/>
          <w:szCs w:val="20"/>
        </w:rPr>
        <w:fldChar w:fldCharType="begin" w:fldLock="1"/>
      </w:r>
      <w:r w:rsidR="009F7D3F" w:rsidRPr="000B47D4">
        <w:rPr>
          <w:rFonts w:ascii="Times New Roman" w:hAnsi="Times New Roman" w:cs="Times New Roman"/>
          <w:sz w:val="20"/>
          <w:szCs w:val="20"/>
        </w:rPr>
        <w:instrText>ADDIN CSL_CITATION { "citationItems" : [ { "id" : "ITEM-1", "itemData" : { "DOI" : "10.1016/S0140-6736(06)68307-4", "ISBN" : "0140-6736", "ISSN" : "01406736", "PMID" : "16581410", "abstract" : "Malnutrition is a common comorbidity that places inpatients at risk of complications, infections, long length of stay, higher costs, and increased mortality. Thus, nutrition support has become an important therapeutic adjunctive to the care of these patients. For patients unable to feed themselves, nutrition can be delivered via the parenteral or enteral routes. The formulations used to deliver nutrients and the route of nutrient delivery, absorption, and processing differ substantially between parenteral and enteral nutrition. Over the past two decades, many randomised clinical trials have assessed the effects of parenteral versus enteral nutrition on outcomes (ie, complications, infections, length of stay, costs, mortality) in diverse inpatient populations. From a search of medical publications, studies were selected that assessed important clinical outcomes of parenteral versus enteral feeding or intravenous fluids in patients with trauma/burn injuries, surgery, cancer, pancreatic disease, inflammatory bowel disease, critical illness, liver failure, acute renal failure, and organ transplantation. Our goal was to determine the optimum route of feeding in these patient groups. The available evidence lends support to the use of enteral over parenteral feeding in inpatients with functioning gastrointestinal tracts. \u00a9 2006 Elsevier Ltd. All rights reserved.", "author" : [ { "dropping-particle" : "", "family" : "Zaloga", "given" : "Gary P.", "non-dropping-particle" : "", "parse-names" : false, "suffix" : "" } ], "container-title" : "Lancet", "id" : "ITEM-1", "issue" : "9516", "issued" : { "date-parts" : [ [ "2006" ] ] }, "page" : "1101-1111", "title" : "Parenteral nutrition in adult inpatients with functioning gastrointestinal tracts: assessment of outcomes", "type" : "article", "volume" : "367" }, "uris" : [ "http://www.mendeley.com/documents/?uuid=b52e213e-7138-4ced-a421-1fc203498104" ] } ], "mendeley" : { "formattedCitation" : "[3]", "plainTextFormattedCitation" : "[3]", "previouslyFormattedCitation" : "[3]" }, "properties" : {  }, "schema" : "https://github.com/citation-style-language/schema/raw/master/csl-citation.json" }</w:instrText>
      </w:r>
      <w:r w:rsidR="009C682A" w:rsidRPr="000B47D4">
        <w:rPr>
          <w:rFonts w:ascii="Times New Roman" w:hAnsi="Times New Roman" w:cs="Times New Roman"/>
          <w:sz w:val="20"/>
          <w:szCs w:val="20"/>
        </w:rPr>
        <w:fldChar w:fldCharType="separate"/>
      </w:r>
      <w:r w:rsidR="009F7D3F" w:rsidRPr="000B47D4">
        <w:rPr>
          <w:rFonts w:ascii="Times New Roman" w:hAnsi="Times New Roman" w:cs="Times New Roman"/>
          <w:noProof/>
          <w:sz w:val="20"/>
          <w:szCs w:val="20"/>
        </w:rPr>
        <w:t>[3]</w:t>
      </w:r>
      <w:r w:rsidR="009C682A" w:rsidRPr="000B47D4">
        <w:rPr>
          <w:rFonts w:ascii="Times New Roman" w:hAnsi="Times New Roman" w:cs="Times New Roman"/>
          <w:sz w:val="20"/>
          <w:szCs w:val="20"/>
        </w:rPr>
        <w:fldChar w:fldCharType="end"/>
      </w:r>
      <w:r w:rsidR="009F7D3F" w:rsidRPr="000B47D4">
        <w:rPr>
          <w:rFonts w:ascii="Times New Roman" w:hAnsi="Times New Roman" w:cs="Times New Roman"/>
          <w:sz w:val="20"/>
          <w:szCs w:val="20"/>
        </w:rPr>
        <w:t>.</w:t>
      </w:r>
      <w:r w:rsidR="00842F54" w:rsidRPr="000B47D4">
        <w:rPr>
          <w:rFonts w:ascii="Times New Roman" w:hAnsi="Times New Roman" w:cs="Times New Roman"/>
          <w:sz w:val="20"/>
          <w:szCs w:val="20"/>
        </w:rPr>
        <w:t xml:space="preserve"> This high risk of malnutrition among critically ill patient</w:t>
      </w:r>
      <w:r w:rsidR="00906E5B" w:rsidRPr="000B47D4">
        <w:rPr>
          <w:rFonts w:ascii="Times New Roman" w:hAnsi="Times New Roman" w:cs="Times New Roman"/>
          <w:sz w:val="20"/>
          <w:szCs w:val="20"/>
        </w:rPr>
        <w:t>s (</w:t>
      </w:r>
      <w:r w:rsidR="009A217C" w:rsidRPr="000B47D4">
        <w:rPr>
          <w:rFonts w:ascii="Times New Roman" w:hAnsi="Times New Roman" w:cs="Times New Roman"/>
          <w:sz w:val="20"/>
          <w:szCs w:val="20"/>
        </w:rPr>
        <w:t>post CABG)</w:t>
      </w:r>
      <w:r w:rsidR="00842F54" w:rsidRPr="000B47D4">
        <w:rPr>
          <w:rFonts w:ascii="Times New Roman" w:hAnsi="Times New Roman" w:cs="Times New Roman"/>
          <w:sz w:val="20"/>
          <w:szCs w:val="20"/>
        </w:rPr>
        <w:t xml:space="preserve"> can be subsequently associated with higher rate of complications, especially infectious diseases, and longer hospital stay with more days of mechanical ventilation</w:t>
      </w:r>
      <w:r w:rsidR="009C682A" w:rsidRPr="000B47D4">
        <w:rPr>
          <w:rFonts w:ascii="Times New Roman" w:hAnsi="Times New Roman" w:cs="Times New Roman"/>
          <w:sz w:val="20"/>
          <w:szCs w:val="20"/>
        </w:rPr>
        <w:fldChar w:fldCharType="begin" w:fldLock="1"/>
      </w:r>
      <w:r w:rsidR="00842F54" w:rsidRPr="000B47D4">
        <w:rPr>
          <w:rFonts w:ascii="Times New Roman" w:hAnsi="Times New Roman" w:cs="Times New Roman"/>
          <w:sz w:val="20"/>
          <w:szCs w:val="20"/>
        </w:rPr>
        <w:instrText>ADDIN CSL_CITATION { "citationItems" : [ { "id" : "ITEM-1", "itemData" : { "DOI" : "10.1016/j.clnu.2005.03.006", "ISBN" : "0261-5614", "ISSN" : "02615614", "PMID" : "15899538", "abstract" : "Background &amp; aims: Critically ill patients with complicated evolution are frequently hypermetabolic, catabolic, and at risk of underfeeding. The study aimed at assessing the relationship between energy balance and outcome in critically ill patients. Methods: Prospective observational study conducted in consecutive patients staying\u22655 days in the surgical ICU of a University hospital. Demographic data, time to feeding, route, energy delivery, and outcome were recorded. Energy balance was calculated as energy delivery minus target. Data in means\u00b1SD, linear regressions between energy balance and outcome variables. Results: Forty eight patients aged 57\u00b116 years were investigated; complete data are available in 669 days. Mechanical ventilation lasted 11\u00b18 days, ICU stay 15\u00b19 was days, and 30-days mortality was 38%. Time to feeding was 3.1\u00b12.2 days. Enteral nutrition was the most frequent route with 433 days. Mean daily energy delivery was 1090\u00b1930 kcal. Combining enteral and parenteral nutrition achieved highest energy delivery. Cumulated energy balance was between -12,600\u00b110,520 kcal, and correlated with complications (P &lt; 0.0001), already after 1 week. Conclusion: Negative energy balances were correlated with increasing number of complications, particularly infections. Energy debt appears as a promising tool for nutritional follow-up, which should be further tested. Delaying initiation of nutritional support exposes the patients to energy deficits that cannot be compensated later on. \u00a9 2005 Elsevier Ltd. All rights reserved.", "author" : [ { "dropping-particle" : "", "family" : "Villet", "given" : "St\u00e9phane", "non-dropping-particle" : "", "parse-names" : false, "suffix" : "" }, { "dropping-particle" : "", "family" : "Chiolero", "given" : "Ren\u00e9 L.", "non-dropping-particle" : "", "parse-names" : false, "suffix" : "" }, { "dropping-particle" : "", "family" : "Bollmann", "given" : "Marc D.", "non-dropping-particle" : "", "parse-names" : false, "suffix" : "" }, { "dropping-particle" : "", "family" : "Revelly", "given" : "Jean Pierre", "non-dropping-particle" : "", "parse-names" : false, "suffix" : "" }, { "dropping-particle" : "", "family" : "Cayeux RN", "given" : "Marie Christine", "non-dropping-particle" : "", "parse-names" : false, "suffix" : "" }, { "dropping-particle" : "", "family" : "Delarue", "given" : "Jacques", "non-dropping-particle" : "", "parse-names" : false, "suffix" : "" }, { "dropping-particle" : "", "family" : "Berger", "given" : "Mette M.", "non-dropping-particle" : "", "parse-names" : false, "suffix" : "" } ], "container-title" : "Clinical Nutrition", "id" : "ITEM-1", "issue" : "4", "issued" : { "date-parts" : [ [ "2005" ] ] }, "page" : "502-509", "title" : "Negative impact of hypocaloric feeding and energy balance on clinical outcome in ICU patients", "type" : "article-journal", "volume" : "24" }, "uris" : [ "http://www.mendeley.com/documents/?uuid=ac28ad64-cbb9-4a51-b969-7436aac06f36" ] } ], "mendeley" : { "formattedCitation" : "[4]", "plainTextFormattedCitation" : "[4]", "previouslyFormattedCitation" : "[4]" }, "properties" : {  }, "schema" : "https://github.com/citation-style-language/schema/raw/master/csl-citation.json" }</w:instrText>
      </w:r>
      <w:r w:rsidR="009C682A" w:rsidRPr="000B47D4">
        <w:rPr>
          <w:rFonts w:ascii="Times New Roman" w:hAnsi="Times New Roman" w:cs="Times New Roman"/>
          <w:sz w:val="20"/>
          <w:szCs w:val="20"/>
        </w:rPr>
        <w:fldChar w:fldCharType="separate"/>
      </w:r>
      <w:r w:rsidR="00842F54" w:rsidRPr="000B47D4">
        <w:rPr>
          <w:rFonts w:ascii="Times New Roman" w:hAnsi="Times New Roman" w:cs="Times New Roman"/>
          <w:noProof/>
          <w:sz w:val="20"/>
          <w:szCs w:val="20"/>
        </w:rPr>
        <w:t>[4]</w:t>
      </w:r>
      <w:r w:rsidR="009C682A" w:rsidRPr="000B47D4">
        <w:rPr>
          <w:rFonts w:ascii="Times New Roman" w:hAnsi="Times New Roman" w:cs="Times New Roman"/>
          <w:sz w:val="20"/>
          <w:szCs w:val="20"/>
        </w:rPr>
        <w:fldChar w:fldCharType="end"/>
      </w:r>
      <w:r w:rsidR="00842F54" w:rsidRPr="000B47D4">
        <w:rPr>
          <w:rFonts w:ascii="Times New Roman" w:hAnsi="Times New Roman" w:cs="Times New Roman"/>
          <w:sz w:val="20"/>
          <w:szCs w:val="20"/>
        </w:rPr>
        <w:t>. Therefore, nutritional support is an essential element during the management of ICU patients who admitted with malnutrition or at increased risk of malnutrition during their hospital stay</w:t>
      </w:r>
      <w:r w:rsidR="009C682A" w:rsidRPr="000B47D4">
        <w:rPr>
          <w:rFonts w:ascii="Times New Roman" w:hAnsi="Times New Roman" w:cs="Times New Roman"/>
          <w:sz w:val="20"/>
          <w:szCs w:val="20"/>
        </w:rPr>
        <w:fldChar w:fldCharType="begin" w:fldLock="1"/>
      </w:r>
      <w:r w:rsidR="00842F54" w:rsidRPr="000B47D4">
        <w:rPr>
          <w:rFonts w:ascii="Times New Roman" w:hAnsi="Times New Roman" w:cs="Times New Roman"/>
          <w:sz w:val="20"/>
          <w:szCs w:val="20"/>
        </w:rPr>
        <w:instrText>ADDIN CSL_CITATION { "citationItems" : [ { "id" : "ITEM-1", "itemData" : { "DOI" : "10.4021/jocmr1210w", "ISBN" : "1918-3003\\r1918-3011", "ISSN" : "1918-3003", "PMID" : "23390469", "abstract" : "There is a consensus that nutritional support, which must be pro-vided to patients in intensive care, influences their clinical outcome. Malnutrition is associated in critically ill patients with impaired im-mune function and impaired ventilator drive, leading to prolonged ventilator dependence and increased infectious morbidity and mor-tality. Enteral nutrition is an active therapy that attenuates the meta-bolic response of the organism to stress and favorably modulates the immune system. It is less expensive than parenteral nutrition and is preferred in most cases because of less severe complications and better patient outcomes, including infections, and hospital cost and length of stay. The aim of this work was to perform a review of the use of enteral nutrition in critically ill patients.", "author" : [ { "dropping-particle" : "", "family" : "Seron-Arbeloa", "given" : "Carlos", "non-dropping-particle" : "", "parse-names" : false, "suffix" : "" }, { "dropping-particle" : "", "family" : "Zamora-Elson", "given" : "Monica", "non-dropping-particle" : "", "parse-names" : false, "suffix" : "" }, { "dropping-particle" : "", "family" : "Labarta-Monzon", "given" : "Lorenzo", "non-dropping-particle" : "", "parse-names" : false, "suffix" : "" }, { "dropping-particle" : "", "family" : "Mallor-Bonet", "given" : "Tomas", "non-dropping-particle" : "", "parse-names" : false, "suffix" : "" } ], "container-title" : "J Clin Med Res @BULLET", "id" : "ITEM-1", "issue" : "1", "issued" : { "date-parts" : [ [ "2013" ] ] }, "page" : "1-11", "title" : "Enteral Nutrition in Critical Care", "type" : "article-journal", "volume" : "5" }, "uris" : [ "http://www.mendeley.com/documents/?uuid=9fb30593-37c1-413b-91b0-73c5606df784" ] } ], "mendeley" : { "formattedCitation" : "[5]", "plainTextFormattedCitation" : "[5]", "previouslyFormattedCitation" : "[5]" }, "properties" : {  }, "schema" : "https://github.com/citation-style-language/schema/raw/master/csl-citation.json" }</w:instrText>
      </w:r>
      <w:r w:rsidR="009C682A" w:rsidRPr="000B47D4">
        <w:rPr>
          <w:rFonts w:ascii="Times New Roman" w:hAnsi="Times New Roman" w:cs="Times New Roman"/>
          <w:sz w:val="20"/>
          <w:szCs w:val="20"/>
        </w:rPr>
        <w:fldChar w:fldCharType="separate"/>
      </w:r>
      <w:r w:rsidR="00842F54" w:rsidRPr="000B47D4">
        <w:rPr>
          <w:rFonts w:ascii="Times New Roman" w:hAnsi="Times New Roman" w:cs="Times New Roman"/>
          <w:noProof/>
          <w:sz w:val="20"/>
          <w:szCs w:val="20"/>
        </w:rPr>
        <w:t>[5]</w:t>
      </w:r>
      <w:r w:rsidR="009C682A" w:rsidRPr="000B47D4">
        <w:rPr>
          <w:rFonts w:ascii="Times New Roman" w:hAnsi="Times New Roman" w:cs="Times New Roman"/>
          <w:sz w:val="20"/>
          <w:szCs w:val="20"/>
        </w:rPr>
        <w:fldChar w:fldCharType="end"/>
      </w:r>
      <w:r w:rsidR="00842F54" w:rsidRPr="000B47D4">
        <w:rPr>
          <w:rFonts w:ascii="Times New Roman" w:hAnsi="Times New Roman" w:cs="Times New Roman"/>
          <w:sz w:val="20"/>
          <w:szCs w:val="20"/>
        </w:rPr>
        <w:t>.</w:t>
      </w:r>
    </w:p>
    <w:p w:rsidR="002F4DDE" w:rsidRPr="000B47D4" w:rsidRDefault="00754BEF" w:rsidP="003B4339">
      <w:pPr>
        <w:snapToGrid w:val="0"/>
        <w:spacing w:after="0" w:line="240" w:lineRule="auto"/>
        <w:ind w:firstLine="425"/>
        <w:jc w:val="both"/>
        <w:rPr>
          <w:rFonts w:ascii="Times New Roman" w:hAnsi="Times New Roman" w:cs="Times New Roman"/>
          <w:sz w:val="20"/>
          <w:szCs w:val="20"/>
        </w:rPr>
      </w:pPr>
      <w:proofErr w:type="spellStart"/>
      <w:r w:rsidRPr="000B47D4">
        <w:rPr>
          <w:rFonts w:ascii="Times New Roman" w:hAnsi="Times New Roman" w:cs="Times New Roman"/>
          <w:sz w:val="20"/>
          <w:szCs w:val="20"/>
        </w:rPr>
        <w:t>Par</w:t>
      </w:r>
      <w:r w:rsidR="00C1466A" w:rsidRPr="000B47D4">
        <w:rPr>
          <w:rFonts w:ascii="Times New Roman" w:hAnsi="Times New Roman" w:cs="Times New Roman"/>
          <w:sz w:val="20"/>
          <w:szCs w:val="20"/>
        </w:rPr>
        <w:t>entral</w:t>
      </w:r>
      <w:proofErr w:type="spellEnd"/>
      <w:r w:rsidR="00C1466A" w:rsidRPr="000B47D4">
        <w:rPr>
          <w:rFonts w:ascii="Times New Roman" w:hAnsi="Times New Roman" w:cs="Times New Roman"/>
          <w:sz w:val="20"/>
          <w:szCs w:val="20"/>
        </w:rPr>
        <w:t xml:space="preserve"> nutrition (PN) is the standard nutritional support for critically ill patients with non-</w:t>
      </w:r>
      <w:r w:rsidR="00C1466A" w:rsidRPr="000B47D4">
        <w:rPr>
          <w:rFonts w:ascii="Times New Roman" w:hAnsi="Times New Roman" w:cs="Times New Roman"/>
          <w:sz w:val="20"/>
          <w:szCs w:val="20"/>
        </w:rPr>
        <w:lastRenderedPageBreak/>
        <w:t>functioning gastro-intestinal tract</w:t>
      </w:r>
      <w:r w:rsidR="009C682A" w:rsidRPr="000B47D4">
        <w:rPr>
          <w:rFonts w:ascii="Times New Roman" w:hAnsi="Times New Roman" w:cs="Times New Roman"/>
          <w:sz w:val="20"/>
          <w:szCs w:val="20"/>
        </w:rPr>
        <w:fldChar w:fldCharType="begin" w:fldLock="1"/>
      </w:r>
      <w:r w:rsidR="00C1466A" w:rsidRPr="000B47D4">
        <w:rPr>
          <w:rFonts w:ascii="Times New Roman" w:hAnsi="Times New Roman" w:cs="Times New Roman"/>
          <w:sz w:val="20"/>
          <w:szCs w:val="20"/>
        </w:rPr>
        <w:instrText>ADDIN CSL_CITATION { "citationItems" : [ { "id" : "ITEM-1", "itemData" : { "DOI" : "10.1177/0148607103027004291", "ISBN" : "0148-6071", "ISSN" : "01486071", "PMID" : "12903895", "abstract" : "BACKGROUND: This article recounts the conditions and status of surgical nutrition support in the 1960s and the antecedent basic and clinical investigational work leading to the development of a practical and efficacious method of adequate nourishment entirely by vein in Beagle puppies; describes the subsequent clinical application of the knowledge, techniques, and technology to the first successful long-term total parenteral nutrition (TPN) support of critically ill pediatric and adult patients; and admonishes nutritionists of all backgrounds that some need for parenteral nutrition will likely always exist and that it is incumbent upon everyone to continue endeavors to advance the germinal methodology to perfection. METHODS: The relevant indications, limitations, hindrances, motivational factors, and studies regarding the development of TPN are reviewed, and the fundamental investigational work culminating in the first successful growth and development of Beagle puppies and a human infant fed entirely by vein are described firsthand. The details of the orderly and logical scientific development of the principles and components of the techniques in animals, infants, and adults are related. RESULTS: Knowledge, techniques, and technologic constituents of the first successful long-term TPN system were developed in the basic biochemical and animal laboratories initially in 6 puppies and subsequently adapted clinically for the efficacious long-term i.v. support of 6 critically ill surgical adult patients and a newborn infant before its widespread clinical application. CONCLUSIONS: Long-term TPN was inaugurated successfully as a safe and effective i.v. feeding technique nearly 4 decades ago. However, basic and clinical investigations must continue to be encouraged, supported, and carried out in the quest to perfect the current rudimentary technology, methodology, and outcomes.", "author" : [ { "dropping-particle" : "", "family" : "Dudrick", "given" : "Stanley J.", "non-dropping-particle" : "", "parse-names" : false, "suffix" : "" } ], "container-title" : "Journal of Parenteral and Enteral Nutrition", "id" : "ITEM-1", "issue" : "4", "issued" : { "date-parts" : [ [ "2003" ] ] }, "page" : "291-299", "title" : "Early developments and clinical applications of total parenteral nutrition", "type" : "paper-conference", "volume" : "27" }, "uris" : [ "http://www.mendeley.com/documents/?uuid=f049fc87-ebe4-4520-be20-c37dff1daddc" ] } ], "mendeley" : { "formattedCitation" : "[6]", "plainTextFormattedCitation" : "[6]", "previouslyFormattedCitation" : "[6]" }, "properties" : {  }, "schema" : "https://github.com/citation-style-language/schema/raw/master/csl-citation.json" }</w:instrText>
      </w:r>
      <w:r w:rsidR="009C682A" w:rsidRPr="000B47D4">
        <w:rPr>
          <w:rFonts w:ascii="Times New Roman" w:hAnsi="Times New Roman" w:cs="Times New Roman"/>
          <w:sz w:val="20"/>
          <w:szCs w:val="20"/>
        </w:rPr>
        <w:fldChar w:fldCharType="separate"/>
      </w:r>
      <w:r w:rsidR="00C1466A" w:rsidRPr="000B47D4">
        <w:rPr>
          <w:rFonts w:ascii="Times New Roman" w:hAnsi="Times New Roman" w:cs="Times New Roman"/>
          <w:noProof/>
          <w:sz w:val="20"/>
          <w:szCs w:val="20"/>
        </w:rPr>
        <w:t>[6]</w:t>
      </w:r>
      <w:r w:rsidR="009C682A" w:rsidRPr="000B47D4">
        <w:rPr>
          <w:rFonts w:ascii="Times New Roman" w:hAnsi="Times New Roman" w:cs="Times New Roman"/>
          <w:sz w:val="20"/>
          <w:szCs w:val="20"/>
        </w:rPr>
        <w:fldChar w:fldCharType="end"/>
      </w:r>
      <w:r w:rsidR="00C1466A" w:rsidRPr="000B47D4">
        <w:rPr>
          <w:rFonts w:ascii="Times New Roman" w:hAnsi="Times New Roman" w:cs="Times New Roman"/>
          <w:sz w:val="20"/>
          <w:szCs w:val="20"/>
        </w:rPr>
        <w:t xml:space="preserve">. However, the optimal use of PN in ICU setting is still a subject of controversy within the published literature; PN was reported to be associated with increased risk </w:t>
      </w:r>
      <w:r w:rsidR="00482B9C" w:rsidRPr="000B47D4">
        <w:rPr>
          <w:rFonts w:ascii="Times New Roman" w:hAnsi="Times New Roman" w:cs="Times New Roman"/>
          <w:sz w:val="20"/>
          <w:szCs w:val="20"/>
        </w:rPr>
        <w:t>of infectious and metabolic complications, and improper preservation of gut functional barriers</w:t>
      </w:r>
      <w:r w:rsidR="009C682A" w:rsidRPr="000B47D4">
        <w:rPr>
          <w:rFonts w:ascii="Times New Roman" w:hAnsi="Times New Roman" w:cs="Times New Roman"/>
          <w:sz w:val="20"/>
          <w:szCs w:val="20"/>
        </w:rPr>
        <w:fldChar w:fldCharType="begin" w:fldLock="1"/>
      </w:r>
      <w:r w:rsidR="00482B9C" w:rsidRPr="000B47D4">
        <w:rPr>
          <w:rFonts w:ascii="Times New Roman" w:hAnsi="Times New Roman" w:cs="Times New Roman"/>
          <w:sz w:val="20"/>
          <w:szCs w:val="20"/>
        </w:rPr>
        <w:instrText>ADDIN CSL_CITATION { "citationItems" : [ { "id" : "ITEM-1", "itemData" : { "DOI" : "10.1016/j.ccc.2010.04.002", "ISBN" : "1557-8232 (Electronic)\\r0749-0704 (Linking)", "ISSN" : "07490704", "PMID" : "20643300", "abstract" : "Total parenteral nutrition was developed in the 1960s and has since been implemented commonly in the intensive care unit (ICU). Studies published in the 1980s and early 1990s indicate that the use of total parenteral nutrition is associated with increased mortality and infectious morbidity. These detrimental effects were related to hyperglycemia and overnutrition at a period when parenteral nutrition was not administered according to the all-in-one principle. Because of its beneficial effects on the gastrointestinal tract, enteral nutrition alone replaced parenteral nutrition as the gold standard of nutritional care in the ICU in the 1980s. However, enteral nutrition alone is frequently associated with insufficient coverage of the energy requirements, and subsequent protein-energy deficit is correlated with a worse clinical outcome. Recent evidence suggests that all-in-one parenteral nutrition has no significant effect on mortality and infectious morbidity in patients in the ICU if a glycemic control is obtained and hyperalimentation avoided. Thus, the time has come to reconsider the use of parenteral nutrition in the ICU. Supplemental parenteral nutrition could prevent onset of nutritional deficiencies when enteral nutrition is insufficient in meeting energy requirements. Clinical studies are warranted to show that the combination of parenteral and enteral nutrition could improve the clinical outcome of patients in the ICU. \u00a9 2010 Elsevier Inc.", "author" : [ { "dropping-particle" : "", "family" : "Thibault", "given" : "Ronan", "non-dropping-particle" : "", "parse-names" : false, "suffix" : "" }, { "dropping-particle" : "", "family" : "Pichard", "given" : "Claude", "non-dropping-particle" : "", "parse-names" : false, "suffix" : "" } ], "container-title" : "Critical Care Clinics", "id" : "ITEM-1", "issue" : "3", "issued" : { "date-parts" : [ [ "2010" ] ] }, "page" : "467-480", "title" : "Parenteral nutrition in critical illness: Can it safely improve outcomes?", "type" : "article", "volume" : "26" }, "uris" : [ "http://www.mendeley.com/documents/?uuid=7c56fb35-c8ad-4ce3-9c27-1c46c81ab7ba" ] } ], "mendeley" : { "formattedCitation" : "[7]", "plainTextFormattedCitation" : "[7]", "previouslyFormattedCitation" : "[7]" }, "properties" : {  }, "schema" : "https://github.com/citation-style-language/schema/raw/master/csl-citation.json" }</w:instrText>
      </w:r>
      <w:r w:rsidR="009C682A" w:rsidRPr="000B47D4">
        <w:rPr>
          <w:rFonts w:ascii="Times New Roman" w:hAnsi="Times New Roman" w:cs="Times New Roman"/>
          <w:sz w:val="20"/>
          <w:szCs w:val="20"/>
        </w:rPr>
        <w:fldChar w:fldCharType="separate"/>
      </w:r>
      <w:r w:rsidR="00482B9C" w:rsidRPr="000B47D4">
        <w:rPr>
          <w:rFonts w:ascii="Times New Roman" w:hAnsi="Times New Roman" w:cs="Times New Roman"/>
          <w:noProof/>
          <w:sz w:val="20"/>
          <w:szCs w:val="20"/>
        </w:rPr>
        <w:t>[7]</w:t>
      </w:r>
      <w:r w:rsidR="009C682A" w:rsidRPr="000B47D4">
        <w:rPr>
          <w:rFonts w:ascii="Times New Roman" w:hAnsi="Times New Roman" w:cs="Times New Roman"/>
          <w:sz w:val="20"/>
          <w:szCs w:val="20"/>
        </w:rPr>
        <w:fldChar w:fldCharType="end"/>
      </w:r>
      <w:r w:rsidR="00482B9C" w:rsidRPr="000B47D4">
        <w:rPr>
          <w:rFonts w:ascii="Times New Roman" w:hAnsi="Times New Roman" w:cs="Times New Roman"/>
          <w:sz w:val="20"/>
          <w:szCs w:val="20"/>
        </w:rPr>
        <w:t xml:space="preserve">. Over the past 30 years, </w:t>
      </w:r>
      <w:proofErr w:type="spellStart"/>
      <w:r w:rsidR="00482B9C" w:rsidRPr="000B47D4">
        <w:rPr>
          <w:rFonts w:ascii="Times New Roman" w:hAnsi="Times New Roman" w:cs="Times New Roman"/>
          <w:sz w:val="20"/>
          <w:szCs w:val="20"/>
        </w:rPr>
        <w:t>enteral</w:t>
      </w:r>
      <w:proofErr w:type="spellEnd"/>
      <w:r w:rsidR="00482B9C" w:rsidRPr="000B47D4">
        <w:rPr>
          <w:rFonts w:ascii="Times New Roman" w:hAnsi="Times New Roman" w:cs="Times New Roman"/>
          <w:sz w:val="20"/>
          <w:szCs w:val="20"/>
        </w:rPr>
        <w:t xml:space="preserve"> nutrition (EN) has emerged as the </w:t>
      </w:r>
      <w:proofErr w:type="spellStart"/>
      <w:r w:rsidR="00482B9C" w:rsidRPr="000B47D4">
        <w:rPr>
          <w:rFonts w:ascii="Times New Roman" w:hAnsi="Times New Roman" w:cs="Times New Roman"/>
          <w:sz w:val="20"/>
          <w:szCs w:val="20"/>
        </w:rPr>
        <w:t>favourable</w:t>
      </w:r>
      <w:proofErr w:type="spellEnd"/>
      <w:r w:rsidR="00482B9C" w:rsidRPr="000B47D4">
        <w:rPr>
          <w:rFonts w:ascii="Times New Roman" w:hAnsi="Times New Roman" w:cs="Times New Roman"/>
          <w:sz w:val="20"/>
          <w:szCs w:val="20"/>
        </w:rPr>
        <w:t xml:space="preserve"> nutritional support technique in malnourished patients with functioning gut system</w:t>
      </w:r>
      <w:r w:rsidR="009C682A" w:rsidRPr="000B47D4">
        <w:rPr>
          <w:rFonts w:ascii="Times New Roman" w:hAnsi="Times New Roman" w:cs="Times New Roman"/>
          <w:sz w:val="20"/>
          <w:szCs w:val="20"/>
        </w:rPr>
        <w:fldChar w:fldCharType="begin" w:fldLock="1"/>
      </w:r>
      <w:r w:rsidR="00482B9C" w:rsidRPr="000B47D4">
        <w:rPr>
          <w:rFonts w:ascii="Times New Roman" w:hAnsi="Times New Roman" w:cs="Times New Roman"/>
          <w:sz w:val="20"/>
          <w:szCs w:val="20"/>
        </w:rPr>
        <w:instrText>ADDIN CSL_CITATION { "citationItems" : [ { "id" : "ITEM-1", "itemData" : { "DOI" : "10.4021/jocmr1210w", "ISBN" : "1918-3003\\r1918-3011", "ISSN" : "1918-3003", "PMID" : "23390469", "abstract" : "There is a consensus that nutritional support, which must be pro-vided to patients in intensive care, influences their clinical outcome. Malnutrition is associated in critically ill patients with impaired im-mune function and impaired ventilator drive, leading to prolonged ventilator dependence and increased infectious morbidity and mor-tality. Enteral nutrition is an active therapy that attenuates the meta-bolic response of the organism to stress and favorably modulates the immune system. It is less expensive than parenteral nutrition and is preferred in most cases because of less severe complications and better patient outcomes, including infections, and hospital cost and length of stay. The aim of this work was to perform a review of the use of enteral nutrition in critically ill patients.", "author" : [ { "dropping-particle" : "", "family" : "Seron-Arbeloa", "given" : "Carlos", "non-dropping-particle" : "", "parse-names" : false, "suffix" : "" }, { "dropping-particle" : "", "family" : "Zamora-Elson", "given" : "Monica", "non-dropping-particle" : "", "parse-names" : false, "suffix" : "" }, { "dropping-particle" : "", "family" : "Labarta-Monzon", "given" : "Lorenzo", "non-dropping-particle" : "", "parse-names" : false, "suffix" : "" }, { "dropping-particle" : "", "family" : "Mallor-Bonet", "given" : "Tomas", "non-dropping-particle" : "", "parse-names" : false, "suffix" : "" } ], "container-title" : "J Clin Med Res @BULLET", "id" : "ITEM-1", "issue" : "1", "issued" : { "date-parts" : [ [ "2013" ] ] }, "page" : "1-11", "title" : "Enteral Nutrition in Critical Care", "type" : "article-journal", "volume" : "5" }, "uris" : [ "http://www.mendeley.com/documents/?uuid=9fb30593-37c1-413b-91b0-73c5606df784" ] } ], "mendeley" : { "formattedCitation" : "[5]", "plainTextFormattedCitation" : "[5]", "previouslyFormattedCitation" : "[5]" }, "properties" : {  }, "schema" : "https://github.com/citation-style-language/schema/raw/master/csl-citation.json" }</w:instrText>
      </w:r>
      <w:r w:rsidR="009C682A" w:rsidRPr="000B47D4">
        <w:rPr>
          <w:rFonts w:ascii="Times New Roman" w:hAnsi="Times New Roman" w:cs="Times New Roman"/>
          <w:sz w:val="20"/>
          <w:szCs w:val="20"/>
        </w:rPr>
        <w:fldChar w:fldCharType="separate"/>
      </w:r>
      <w:r w:rsidR="00482B9C" w:rsidRPr="000B47D4">
        <w:rPr>
          <w:rFonts w:ascii="Times New Roman" w:hAnsi="Times New Roman" w:cs="Times New Roman"/>
          <w:noProof/>
          <w:sz w:val="20"/>
          <w:szCs w:val="20"/>
        </w:rPr>
        <w:t>[5]</w:t>
      </w:r>
      <w:r w:rsidR="009C682A" w:rsidRPr="000B47D4">
        <w:rPr>
          <w:rFonts w:ascii="Times New Roman" w:hAnsi="Times New Roman" w:cs="Times New Roman"/>
          <w:sz w:val="20"/>
          <w:szCs w:val="20"/>
        </w:rPr>
        <w:fldChar w:fldCharType="end"/>
      </w:r>
      <w:r w:rsidR="00482B9C" w:rsidRPr="000B47D4">
        <w:rPr>
          <w:rFonts w:ascii="Times New Roman" w:hAnsi="Times New Roman" w:cs="Times New Roman"/>
          <w:sz w:val="20"/>
          <w:szCs w:val="20"/>
        </w:rPr>
        <w:t>. EN was reported to significantly reduce mortality, infectious complications, number of days with mechanical ventilation, and length of hospital stay</w:t>
      </w:r>
      <w:r w:rsidR="009C682A" w:rsidRPr="000B47D4">
        <w:rPr>
          <w:rFonts w:ascii="Times New Roman" w:hAnsi="Times New Roman" w:cs="Times New Roman"/>
          <w:sz w:val="20"/>
          <w:szCs w:val="20"/>
        </w:rPr>
        <w:fldChar w:fldCharType="begin" w:fldLock="1"/>
      </w:r>
      <w:r w:rsidR="00482B9C" w:rsidRPr="000B47D4">
        <w:rPr>
          <w:rFonts w:ascii="Times New Roman" w:hAnsi="Times New Roman" w:cs="Times New Roman"/>
          <w:sz w:val="20"/>
          <w:szCs w:val="20"/>
        </w:rPr>
        <w:instrText>ADDIN CSL_CITATION { "citationItems" : [ { "id" : "ITEM-1", "itemData" : { "DOI" : "10.1177/0148607103027005355", "ISBN" : "0148-6071", "ISSN" : "0148-6071", "PMID" : "12971736", "abstract" : "OBJECTIVE: This study was conducted to develop evidence-based clinical practice guidelines for nutrition support (ie, enteral and parenteral nutrition) in mechanically ventilated critically ill adults. OPTIONS: The following interventions were systematically reviewed for inclusion in the guidelines: enteral nutrition (EN) versus parenteral nutrition (PN), early versus late EN, dose of EN, composition of EN (protein, carbohydrates, lipids, immune-enhancing additives), strategies to optimize delivery of EN and minimize risks (ie, rate of advancement, checking residuals, use of bedside algorithms, motility agents, small bowel versus gastric feedings, elevation of the head of the bed, closed delivery systems, probiotics, bolus administration), enteral nutrition in combination with supplemental PN, use of PN versus standard care in patients with an intact gastrointestinal tract, dose of PN and composition of PN (protein, carbohydrates, IV lipids, additives, vitamins, trace elements, immune enhancing substances), and the use of intensive insulin therapy. OUTCOMES: The outcomes considered were mortality (intensive care unit [ICU], hospital, and long-term), length of stay (ICU and hospital), quality of life, and specific complications. EVIDENCE: We systematically searched MEDLINE and CINAHL (cumulative index to nursing and allied health), EMBASE, and the Cochrane Library for randomized controlled trials and meta-analyses of randomized controlled trials that evaluated any form of nutrition support in critically ill adults. We also searched reference lists and personal files, considering all articles published or unpublished available by August 2002. Each included study was critically appraised in duplicate using a standard scoring system. VALUES: For each intervention, we considered the validity of the randomized trials or meta-analyses, the effect size and its associated confidence intervals, the homogeneity of trial results, safety, feasibility, and the economic consequences. The context for discussion was mechanically ventilated patients in Canadian ICUs. BENEFITS, HARMS, AND COSTS: The major potential benefit from implementing these guidelines is improved clinical outcomes of critically ill patients (reduced mortality and ICU stay). Potential harms of implementing these guidelines include increased complications and costs related to the suggested interventions. SUMMARIES OF EVIDENCE AND RECOMMENDATIONS: When considering nutrition support in critically ill pa\u2026", "author" : [ { "dropping-particle" : "", "family" : "Heyland", "given" : "D.", "non-dropping-particle" : "", "parse-names" : false, "suffix" : "" }, { "dropping-particle" : "", "family" : "Dhaliwal", "given" : "R", "non-dropping-particle" : "", "parse-names" : false, "suffix" : "" }, { "dropping-particle" : "", "family" : "Drover", "given" : "J.", "non-dropping-particle" : "", "parse-names" : false, "suffix" : "" }, { "dropping-particle" : "", "family" : "Gramlich", "given" : "L", "non-dropping-particle" : "", "parse-names" : false, "suffix" : "" }, { "dropping-particle" : "", "family" : "Dodek", "given" : "P", "non-dropping-particle" : "", "parse-names" : false, "suffix" : "" } ], "container-title" : "Journal of Parenteral and Enteral Nutrition", "id" : "ITEM-1", "issue" : "5", "issued" : { "date-parts" : [ [ "2003" ] ] }, "page" : "355-373", "title" : "Canadian clinical practice guidelines for nutrition support in mechanically ventilated, critically ill adult patients", "type" : "article-journal", "volume" : "27" }, "uris" : [ "http://www.mendeley.com/documents/?uuid=4d17359a-df92-4858-8f23-5d2e9b8ddecd" ] } ], "mendeley" : { "formattedCitation" : "[8]", "plainTextFormattedCitation" : "[8]", "previouslyFormattedCitation" : "[8]" }, "properties" : {  }, "schema" : "https://github.com/citation-style-language/schema/raw/master/csl-citation.json" }</w:instrText>
      </w:r>
      <w:r w:rsidR="009C682A" w:rsidRPr="000B47D4">
        <w:rPr>
          <w:rFonts w:ascii="Times New Roman" w:hAnsi="Times New Roman" w:cs="Times New Roman"/>
          <w:sz w:val="20"/>
          <w:szCs w:val="20"/>
        </w:rPr>
        <w:fldChar w:fldCharType="separate"/>
      </w:r>
      <w:r w:rsidR="00482B9C" w:rsidRPr="000B47D4">
        <w:rPr>
          <w:rFonts w:ascii="Times New Roman" w:hAnsi="Times New Roman" w:cs="Times New Roman"/>
          <w:noProof/>
          <w:sz w:val="20"/>
          <w:szCs w:val="20"/>
        </w:rPr>
        <w:t>[8]</w:t>
      </w:r>
      <w:r w:rsidR="009C682A" w:rsidRPr="000B47D4">
        <w:rPr>
          <w:rFonts w:ascii="Times New Roman" w:hAnsi="Times New Roman" w:cs="Times New Roman"/>
          <w:sz w:val="20"/>
          <w:szCs w:val="20"/>
        </w:rPr>
        <w:fldChar w:fldCharType="end"/>
      </w:r>
      <w:r w:rsidR="00482B9C" w:rsidRPr="000B47D4">
        <w:rPr>
          <w:rFonts w:ascii="Times New Roman" w:hAnsi="Times New Roman" w:cs="Times New Roman"/>
          <w:sz w:val="20"/>
          <w:szCs w:val="20"/>
        </w:rPr>
        <w:t xml:space="preserve">. Moreover, previous systematic reviews and meta-analyzes reported that </w:t>
      </w:r>
      <w:r w:rsidR="002F4DDE" w:rsidRPr="000B47D4">
        <w:rPr>
          <w:rFonts w:ascii="Times New Roman" w:hAnsi="Times New Roman" w:cs="Times New Roman"/>
          <w:sz w:val="20"/>
          <w:szCs w:val="20"/>
        </w:rPr>
        <w:t>EN is superior to PN in terms of mortality rate and complications among critically ill patients</w:t>
      </w:r>
      <w:r w:rsidR="009C682A" w:rsidRPr="000B47D4">
        <w:rPr>
          <w:rFonts w:ascii="Times New Roman" w:hAnsi="Times New Roman" w:cs="Times New Roman"/>
          <w:sz w:val="20"/>
          <w:szCs w:val="20"/>
        </w:rPr>
        <w:fldChar w:fldCharType="begin" w:fldLock="1"/>
      </w:r>
      <w:r w:rsidR="002F4DDE" w:rsidRPr="000B47D4">
        <w:rPr>
          <w:rFonts w:ascii="Times New Roman" w:hAnsi="Times New Roman" w:cs="Times New Roman"/>
          <w:sz w:val="20"/>
          <w:szCs w:val="20"/>
        </w:rPr>
        <w:instrText>ADDIN CSL_CITATION { "citationItems" : [ { "id" : "ITEM-1", "itemData" : { "DOI" : "10.1007/s00134-004-2511-2", "ISBN" : "0342-4642 (Print)", "ISSN" : "03424642", "PMID" : "15592814", "abstract" : "OBJECTIVE: Controversy surrounds the use of parenteral nutrition in critical illness. Previous overviews used composite scales to identify high-quality trials, which may mask important differences in true methodological quality. Using a component-based approach this meta-analysis investigated the effect of trial quality on overall conclusions reached when standard enteral nutrition is compared to standard parenteral nutrition in critically ill patients. METHODS: An extensive literature search was undertaken to identify all eligible trials. We retrieved 465 publications, and 11 qualified for inclusion. Nine trials presented complete follow-up, allowing the conduct of an intention to treat analysis. RESULTS: Aggregation revealed a mortality benefit in favour of parenteral nutrition, with no heterogeneity. A priori specified subgroup analysis demonstrated the presence of a potentially important treatment-subgroup interaction between studies of parenteral vs. early enteral nutrition compared to parenteral vs. late enteral. Six trials with complete follow-up reported infectious complications. Infectious complications were increased with parenteral use. The I(2) measure of heterogeneity was 37.7%. CONCLUSIONS: Intention to treat trials demonstrated reduced mortality associated with parenteral nutrition use. A priori subgroup analysis attributed this reduction to trials comparing parenteral to delayed enteral nutrition. Despite an association with increased infectious complications, a grade B+ evidence-based recommendation (level II trials, no heterogeneity) can be generated for parenteral nutrition use in patients in whom enteral nutrition cannot be initiated within 24 h of ICU admission or injury.", "author" : [ { "dropping-particle" : "", "family" : "Simpson", "given" : "Fiona", "non-dropping-particle" : "", "parse-names" : false, "suffix" : "" }, { "dropping-particle" : "", "family" : "Doig", "given" : "Gordon Stuart", "non-dropping-particle" : "", "parse-names" : false, "suffix" : "" } ], "container-title" : "Intensive Care Medicine", "id" : "ITEM-1", "issue" : "1", "issued" : { "date-parts" : [ [ "2005" ] ] }, "page" : "12-23", "title" : "Parenteral vs. enteral nutrition in the critically ill patient: A meta-analysis of trials using the intention to treat principle", "type" : "article", "volume" : "31" }, "uris" : [ "http://www.mendeley.com/documents/?uuid=7d4165be-a78a-4a47-9a24-5af7e32d3abe" ] }, { "id" : "ITEM-2", "itemData" : { "DOI" : "10.1186/s13054-016-1298-1", "ISBN" : "1364-8535", "ISSN" : "1364-8535", "PMID" : "27129307", "abstract" : "Enteral nutrition (EN) is recommended as the preferred route for early nutrition therapy in critically ill adults over parenteral nutrition (PN). A recent large randomized controlled trial (RCT) showed no outcome differences between the two routes. The objective of this systematic review was to evaluate the effect of the route of nutrition (EN versus PN) on clinical outcomes of critically ill patients.", "author" : [ { "dropping-particle" : "", "family" : "Elke", "given" : "Gunnar", "non-dropping-particle" : "", "parse-names" : false, "suffix" : "" }, { "dropping-particle" : "", "family" : "Zanten", "given" : "Arthur R. H.", "non-dropping-particle" : "van", "parse-names" : false, "suffix" : "" }, { "dropping-particle" : "", "family" : "Lemieux", "given" : "Margot", "non-dropping-particle" : "", "parse-names" : false, "suffix" : "" }, { "dropping-particle" : "", "family" : "McCall", "given" : "Michele", "non-dropping-particle" : "", "parse-names" : false, "suffix" : "" }, { "dropping-particle" : "", "family" : "Jeejeebhoy", "given" : "Khursheed N.", "non-dropping-particle" : "", "parse-names" : false, "suffix" : "" }, { "dropping-particle" : "", "family" : "Kott", "given" : "Matthias", "non-dropping-particle" : "", "parse-names" : false, "suffix" : "" }, { "dropping-particle" : "", "family" : "Jiang", "given" : "Xuran", "non-dropping-particle" : "", "parse-names" : false, "suffix" : "" }, { "dropping-particle" : "", "family" : "Day", "given" : "Andrew G.", "non-dropping-particle" : "", "parse-names" : false, "suffix" : "" }, { "dropping-particle" : "", "family" : "Heyland", "given" : "Daren K.", "non-dropping-particle" : "", "parse-names" : false, "suffix" : "" } ], "container-title" : "Critical Care", "id" : "ITEM-2", "issue" : "1", "issued" : { "date-parts" : [ [ "2016" ] ] }, "page" : "117", "title" : "Enteral versus parenteral nutrition in critically ill patients: an updated systematic review and meta-analysis of randomized controlled trials", "type" : "article-journal", "volume" : "20" }, "uris" : [ "http://www.mendeley.com/documents/?uuid=0a7ec564-f3a8-4b3b-a865-d27640a7f49e" ] } ], "mendeley" : { "formattedCitation" : "[9,10]", "plainTextFormattedCitation" : "[9,10]", "previouslyFormattedCitation" : "[9,10]" }, "properties" : {  }, "schema" : "https://github.com/citation-style-language/schema/raw/master/csl-citation.json" }</w:instrText>
      </w:r>
      <w:r w:rsidR="009C682A" w:rsidRPr="000B47D4">
        <w:rPr>
          <w:rFonts w:ascii="Times New Roman" w:hAnsi="Times New Roman" w:cs="Times New Roman"/>
          <w:sz w:val="20"/>
          <w:szCs w:val="20"/>
        </w:rPr>
        <w:fldChar w:fldCharType="separate"/>
      </w:r>
      <w:r w:rsidR="002F4DDE" w:rsidRPr="000B47D4">
        <w:rPr>
          <w:rFonts w:ascii="Times New Roman" w:hAnsi="Times New Roman" w:cs="Times New Roman"/>
          <w:noProof/>
          <w:sz w:val="20"/>
          <w:szCs w:val="20"/>
        </w:rPr>
        <w:t>[9,10]</w:t>
      </w:r>
      <w:r w:rsidR="009C682A" w:rsidRPr="000B47D4">
        <w:rPr>
          <w:rFonts w:ascii="Times New Roman" w:hAnsi="Times New Roman" w:cs="Times New Roman"/>
          <w:sz w:val="20"/>
          <w:szCs w:val="20"/>
        </w:rPr>
        <w:fldChar w:fldCharType="end"/>
      </w:r>
      <w:r w:rsidR="002F4DDE" w:rsidRPr="000B47D4">
        <w:rPr>
          <w:rFonts w:ascii="Times New Roman" w:hAnsi="Times New Roman" w:cs="Times New Roman"/>
          <w:sz w:val="20"/>
          <w:szCs w:val="20"/>
        </w:rPr>
        <w:t>. Thus, the current body of evidence recommended the use of EN, as in patients in the ICU who have a functional gastrointestinal tract</w:t>
      </w:r>
      <w:r w:rsidR="009C682A" w:rsidRPr="000B47D4">
        <w:rPr>
          <w:rFonts w:ascii="Times New Roman" w:hAnsi="Times New Roman" w:cs="Times New Roman"/>
          <w:sz w:val="20"/>
          <w:szCs w:val="20"/>
        </w:rPr>
        <w:fldChar w:fldCharType="begin" w:fldLock="1"/>
      </w:r>
      <w:r w:rsidR="002F4DDE" w:rsidRPr="000B47D4">
        <w:rPr>
          <w:rFonts w:ascii="Times New Roman" w:hAnsi="Times New Roman" w:cs="Times New Roman"/>
          <w:sz w:val="20"/>
          <w:szCs w:val="20"/>
        </w:rPr>
        <w:instrText>ADDIN CSL_CITATION { "citationItems" : [ { "id" : "ITEM-1", "itemData" : { "DOI" : "10.1097/TA.0b013e31815b83e9", "ISBN" : "1529-8809", "ISSN" : "00225282", "PMID" : "18212641", "abstract" : "BACKGROUND: Total parenteral nutrition (TPN) is associated with known costs, including the use of invasive procedures, which may be necessary to optimize care. Our purpose was to document TPN use in trauma patients over time as well as concurrent changes in TPN-associated complications. METHODS: Retrospective analysis of all consecutive trauma patients admitted to the surgical intensive care unit during a period of 6 years from a Level I trauma center. Comparative cohorts and the matched case-control approaches were used to analyze the difference in outcomes between patients with and without TPN during hospitalization. Logistic regression model was used to compare the outcomes of the two groups of patients adjusting for significant risk factors. The McNemar's test was used to assess the differences in outcomes between the cases and their matched controls. RESULTS: There were 2,964 patients admitted to the surgical intensive care unit during the 6-year period and 464 patients received TPN during their hospital course. TPN use decreased significantly from 26% in the year 2000 to 3% in 2005 (p &lt; 0.0001). Excluding those who died in the first 72 hours, the mortality rate was significantly lower (5.4% no TPN vs. 10.2% TPN, p = 0.001) in patients who were managed without TPN. Complication rates (wound infection, dehiscence, line sepsis, bacteremia, sepsis, pneumonia, renal failure, acute respiratory distress syndrome, multiple organ dysfunction syndrome, deep venous thrombosis, pulmonary embolism) were significantly higher in patients that were managed with TPN. Multivariate analysis adjusting for abbreviated injury score, injury severity score, mechanism, admission year, dialysis, ventilator use, hollow viscous injury, and solid organ injury found that TPN use was still an independent risk factor for increased complications but not death. The matched case-control approach confirmed this finding. TPN use was also associated with increase intensive care unit and hospital length of stay. CONCLUSIONS: The rate of TPN use has declined significantly from 26% to 3% during the 6-year period. The change in practice of minimizing TPN was concurrent with decreased complications and less hospital resource utilization without negatively impacting mortality.", "author" : [ { "dropping-particle" : "", "family" : "Rhee", "given" : "Peter", "non-dropping-particle" : "", "parse-names" : false, "suffix" : "" }, { "dropping-particle" : "", "family" : "Hadjizacharia", "given" : "Pantelis", "non-dropping-particle" : "", "parse-names" : false, "suffix" : "" }, { "dropping-particle" : "", "family" : "Trankiem", "given" : "Christine", "non-dropping-particle" : "", "parse-names" : false, "suffix" : "" }, { "dropping-particle" : "", "family" : "Chan", "given" : "Linda", "non-dropping-particle" : "", "parse-names" : false, "suffix" : "" }, { "dropping-particle" : "", "family" : "Salim", "given" : "Ali", "non-dropping-particle" : "", "parse-names" : false, "suffix" : "" }, { "dropping-particle" : "", "family" : "Brown", "given" : "Carlos", "non-dropping-particle" : "", "parse-names" : false, "suffix" : "" }, { "dropping-particle" : "", "family" : "Green", "given" : "Donald", "non-dropping-particle" : "", "parse-names" : false, "suffix" : "" }, { "dropping-particle" : "", "family" : "Inaba", "given" : "Kenji", "non-dropping-particle" : "", "parse-names" : false, "suffix" : "" }, { "dropping-particle" : "", "family" : "Law", "given" : "Jenifer", "non-dropping-particle" : "", "parse-names" : false, "suffix" : "" }, { "dropping-particle" : "", "family" : "Demetriades", "given" : "Demetrios", "non-dropping-particle" : "", "parse-names" : false, "suffix" : "" } ], "container-title" : "Journal of Trauma", "id" : "ITEM-1", "issue" : "6", "issued" : { "date-parts" : [ [ "2007" ] ] }, "page" : "1215-1222", "title" : "What happened to total parenteral nutrition? the disappearance of its use in a trauma intensive care unit", "type" : "article-journal", "volume" : "63" }, "uris" : [ "http://www.mendeley.com/documents/?uuid=66a0c81a-4fd2-4917-8cf0-dc3befa1ebbb" ] } ], "mendeley" : { "formattedCitation" : "[11]", "plainTextFormattedCitation" : "[11]", "previouslyFormattedCitation" : "[11]" }, "properties" : {  }, "schema" : "https://github.com/citation-style-language/schema/raw/master/csl-citation.json" }</w:instrText>
      </w:r>
      <w:r w:rsidR="009C682A" w:rsidRPr="000B47D4">
        <w:rPr>
          <w:rFonts w:ascii="Times New Roman" w:hAnsi="Times New Roman" w:cs="Times New Roman"/>
          <w:sz w:val="20"/>
          <w:szCs w:val="20"/>
        </w:rPr>
        <w:fldChar w:fldCharType="separate"/>
      </w:r>
      <w:r w:rsidR="002F4DDE" w:rsidRPr="000B47D4">
        <w:rPr>
          <w:rFonts w:ascii="Times New Roman" w:hAnsi="Times New Roman" w:cs="Times New Roman"/>
          <w:noProof/>
          <w:sz w:val="20"/>
          <w:szCs w:val="20"/>
        </w:rPr>
        <w:t>[11]</w:t>
      </w:r>
      <w:r w:rsidR="009C682A" w:rsidRPr="000B47D4">
        <w:rPr>
          <w:rFonts w:ascii="Times New Roman" w:hAnsi="Times New Roman" w:cs="Times New Roman"/>
          <w:sz w:val="20"/>
          <w:szCs w:val="20"/>
        </w:rPr>
        <w:fldChar w:fldCharType="end"/>
      </w:r>
      <w:r w:rsidR="002F4DDE" w:rsidRPr="000B47D4">
        <w:rPr>
          <w:rFonts w:ascii="Times New Roman" w:hAnsi="Times New Roman" w:cs="Times New Roman"/>
          <w:sz w:val="20"/>
          <w:szCs w:val="20"/>
        </w:rPr>
        <w:t>.</w:t>
      </w:r>
    </w:p>
    <w:p w:rsidR="00E3396E" w:rsidRPr="000B47D4" w:rsidRDefault="00E3396E" w:rsidP="003B4339">
      <w:pPr>
        <w:snapToGrid w:val="0"/>
        <w:spacing w:after="0" w:line="240" w:lineRule="auto"/>
        <w:ind w:firstLine="425"/>
        <w:jc w:val="both"/>
        <w:rPr>
          <w:rFonts w:ascii="Times New Roman" w:hAnsi="Times New Roman" w:cs="Times New Roman"/>
          <w:sz w:val="20"/>
          <w:szCs w:val="20"/>
        </w:rPr>
      </w:pPr>
      <w:r w:rsidRPr="000B47D4">
        <w:rPr>
          <w:rFonts w:ascii="Times New Roman" w:hAnsi="Times New Roman" w:cs="Times New Roman"/>
          <w:sz w:val="20"/>
          <w:szCs w:val="20"/>
        </w:rPr>
        <w:t>On the other hand, patients admitted to ICU with respiratory failure are usu</w:t>
      </w:r>
      <w:r w:rsidR="00214CD1" w:rsidRPr="000B47D4">
        <w:rPr>
          <w:rFonts w:ascii="Times New Roman" w:hAnsi="Times New Roman" w:cs="Times New Roman"/>
          <w:sz w:val="20"/>
          <w:szCs w:val="20"/>
        </w:rPr>
        <w:t xml:space="preserve">ally suffered from </w:t>
      </w:r>
      <w:proofErr w:type="spellStart"/>
      <w:r w:rsidR="00214CD1" w:rsidRPr="000B47D4">
        <w:rPr>
          <w:rFonts w:ascii="Times New Roman" w:hAnsi="Times New Roman" w:cs="Times New Roman"/>
          <w:sz w:val="20"/>
          <w:szCs w:val="20"/>
        </w:rPr>
        <w:t>hypercapnia</w:t>
      </w:r>
      <w:proofErr w:type="spellEnd"/>
      <w:r w:rsidR="003B4339" w:rsidRPr="000B47D4">
        <w:rPr>
          <w:rFonts w:ascii="Times New Roman" w:hAnsi="Times New Roman" w:cs="Times New Roman"/>
          <w:sz w:val="20"/>
          <w:szCs w:val="20"/>
        </w:rPr>
        <w:t>; m</w:t>
      </w:r>
      <w:r w:rsidR="00214CD1" w:rsidRPr="000B47D4">
        <w:rPr>
          <w:rFonts w:ascii="Times New Roman" w:hAnsi="Times New Roman" w:cs="Times New Roman"/>
          <w:sz w:val="20"/>
          <w:szCs w:val="20"/>
        </w:rPr>
        <w:t xml:space="preserve">oreover, </w:t>
      </w:r>
      <w:proofErr w:type="spellStart"/>
      <w:r w:rsidR="00214CD1" w:rsidRPr="000B47D4">
        <w:rPr>
          <w:rFonts w:ascii="Times New Roman" w:hAnsi="Times New Roman" w:cs="Times New Roman"/>
          <w:sz w:val="20"/>
          <w:szCs w:val="20"/>
        </w:rPr>
        <w:t>enteral</w:t>
      </w:r>
      <w:proofErr w:type="spellEnd"/>
      <w:r w:rsidR="00214CD1" w:rsidRPr="000B47D4">
        <w:rPr>
          <w:rFonts w:ascii="Times New Roman" w:hAnsi="Times New Roman" w:cs="Times New Roman"/>
          <w:sz w:val="20"/>
          <w:szCs w:val="20"/>
        </w:rPr>
        <w:t xml:space="preserve"> formulas which contain varying levels of carbohydrates was reported to significantly increased carbon dioxide (CO2) </w:t>
      </w:r>
      <w:r w:rsidR="00214CD1" w:rsidRPr="000B47D4">
        <w:rPr>
          <w:rFonts w:ascii="Times New Roman" w:hAnsi="Times New Roman" w:cs="Times New Roman"/>
          <w:sz w:val="20"/>
          <w:szCs w:val="20"/>
        </w:rPr>
        <w:lastRenderedPageBreak/>
        <w:t>level</w:t>
      </w:r>
      <w:r w:rsidR="009C682A" w:rsidRPr="000B47D4">
        <w:rPr>
          <w:rFonts w:ascii="Times New Roman" w:hAnsi="Times New Roman" w:cs="Times New Roman"/>
          <w:sz w:val="20"/>
          <w:szCs w:val="20"/>
        </w:rPr>
        <w:fldChar w:fldCharType="begin" w:fldLock="1"/>
      </w:r>
      <w:r w:rsidR="00214CD1" w:rsidRPr="000B47D4">
        <w:rPr>
          <w:rFonts w:ascii="Times New Roman" w:hAnsi="Times New Roman" w:cs="Times New Roman"/>
          <w:sz w:val="20"/>
          <w:szCs w:val="20"/>
        </w:rPr>
        <w:instrText>ADDIN CSL_CITATION { "citationItems" : [ { "id" : "ITEM-1", "itemData" : { "DOI" : "10.1016/j.jfma.2015.10.008", "ISBN" : "0003-0805", "ISSN" : "09296646", "PMID" : "3579004", "abstract" : "Malnutrition in patients with chronic obstructive pulmonary disease (COPD) is associated with cachexia, sarcopenia, and weight loss, and may result in poorer pulmonary function, decreased exercise capacity, and increased risk of exacerbations. Providing nutritional supple-mentation is an important therapeutic intervention, particularly for severely ill COPD patients with malnutrition. Higher calorie intake through nutritional supplementation significantly in-creases body weight and muscle strength, and improves quality of life in malnourished COPD patients. Difficulties may be experienced by these COPD patients, who are struggling to breathe and eliminate CO 2 from the lungs, resulting in dyspnea, hypercapnia, hypoxia, and res-piratory acidosis, which exacerbates muscle loss through oxidative stress and inflammatory re-sponses. To overcome these problems, nutritional supplements should aim to reduce metabolic CO 2 production, lower respiratory quotient, and improve lung function. Several studies have shown that high-fat supplements produce less CO 2 and have lower respiratory quotient value than high-carbohydrate supplements. In addition, high-fat supplements may be the most effi-cient means of providing a low-volume, calorie-dense supplement to COPD patients, and may be most beneficial to patients with prolonged mechanical ventilation where hypercapnia and malnutrition are most pronounced. Further studies are required to investigate the optimal nutritional supplements for COPD patients according to their disease severity.", "author" : [ { "dropping-particle" : "", "family" : "Hsieh", "given" : "Meng-Jer", "non-dropping-particle" : "", "parse-names" : false, "suffix" : "" }, { "dropping-particle" : "", "family" : "Yang", "given" : "Tsung-Ming", "non-dropping-particle" : "", "parse-names" : false, "suffix" : "" }, { "dropping-particle" : "", "family" : "Tsai", "given" : "Ying-Huang", "non-dropping-particle" : "", "parse-names" : false, "suffix" : "" } ], "container-title" : "Journal of the Formosan Medical Association", "id" : "ITEM-1", "issue" : "8", "issued" : { "date-parts" : [ [ "2016" ] ] }, "page" : "595-601", "title" : "Nutritional supplementation in patients with chronic obstructive pulmonary disease", "type" : "article-journal", "volume" : "115" }, "uris" : [ "http://www.mendeley.com/documents/?uuid=0ae76430-76fa-4f7b-85bc-7f58ded798b7" ] } ], "mendeley" : { "formattedCitation" : "[12]", "plainTextFormattedCitation" : "[12]", "previouslyFormattedCitation" : "[12]" }, "properties" : {  }, "schema" : "https://github.com/citation-style-language/schema/raw/master/csl-citation.json" }</w:instrText>
      </w:r>
      <w:r w:rsidR="009C682A" w:rsidRPr="000B47D4">
        <w:rPr>
          <w:rFonts w:ascii="Times New Roman" w:hAnsi="Times New Roman" w:cs="Times New Roman"/>
          <w:sz w:val="20"/>
          <w:szCs w:val="20"/>
        </w:rPr>
        <w:fldChar w:fldCharType="separate"/>
      </w:r>
      <w:r w:rsidR="00214CD1" w:rsidRPr="000B47D4">
        <w:rPr>
          <w:rFonts w:ascii="Times New Roman" w:hAnsi="Times New Roman" w:cs="Times New Roman"/>
          <w:noProof/>
          <w:sz w:val="20"/>
          <w:szCs w:val="20"/>
        </w:rPr>
        <w:t>[12]</w:t>
      </w:r>
      <w:r w:rsidR="009C682A" w:rsidRPr="000B47D4">
        <w:rPr>
          <w:rFonts w:ascii="Times New Roman" w:hAnsi="Times New Roman" w:cs="Times New Roman"/>
          <w:sz w:val="20"/>
          <w:szCs w:val="20"/>
        </w:rPr>
        <w:fldChar w:fldCharType="end"/>
      </w:r>
      <w:r w:rsidR="00214CD1" w:rsidRPr="000B47D4">
        <w:rPr>
          <w:rFonts w:ascii="Times New Roman" w:hAnsi="Times New Roman" w:cs="Times New Roman"/>
          <w:sz w:val="20"/>
          <w:szCs w:val="20"/>
        </w:rPr>
        <w:t>. This high level of CO2 can compromise the weaning of the mechanically ventilated patients and increase the duration of the ventilation</w:t>
      </w:r>
      <w:r w:rsidR="009C682A" w:rsidRPr="000B47D4">
        <w:rPr>
          <w:rFonts w:ascii="Times New Roman" w:hAnsi="Times New Roman" w:cs="Times New Roman"/>
          <w:sz w:val="20"/>
          <w:szCs w:val="20"/>
        </w:rPr>
        <w:fldChar w:fldCharType="begin" w:fldLock="1"/>
      </w:r>
      <w:r w:rsidR="00214CD1" w:rsidRPr="000B47D4">
        <w:rPr>
          <w:rFonts w:ascii="Times New Roman" w:hAnsi="Times New Roman" w:cs="Times New Roman"/>
          <w:sz w:val="20"/>
          <w:szCs w:val="20"/>
        </w:rPr>
        <w:instrText>ADDIN CSL_CITATION { "citationItems" : [ { "id" : "ITEM-1", "itemData" : { "DOI" : "10.1016/j.ejcdt.2014.07.004", "ISSN" : "04227638", "abstract" : "Introduction: Diet can affect the outcome of mechanical ventilation in patients with chronic respiratory failure. Aim of the work: To compare the effect of a high fat, low carbohydrate enteral feeding to a stan-dard iso-caloric enteral feeding on arterial carbon dioxide tension and ventilation time in patients with type II respiratory failure secondary to pulmonary disease requiring mechanical ventilation. Subjects and methods: One hundred patients with type II respiratory failure secondary to pulmonary disease requiring mechanical ventilation who could be enterally fed in the respiratory intensive care unit of Ain Shams University Hospitals were enrolled in this study. They were divided randomly into: Group A: included fifty patients who received standard iso-caloric feeding with carbohydrates (53.3%), fats (30%) and proteins (16.7%). Group B: included fifty patients who received iso-caloric high fat low carbohydrate feeding with carbohydrates (28.1%), fats (55.2%) and proteins (16.7%) also through the Ryle tube. Results: Group B had 16% decrease in arterial carbon dioxide tension, 8% decrease in the minute volume at weaning, and spent on average 62 h less on mechanical ventilation. Conclusion: A nutritional regimen with a high fat content may reduce ventilatory requirements and therefore reduce the duration of mechanical ventilation.", "author" : [ { "dropping-particle" : "", "family" : "Abd El Sabour Faramawy", "given" : "M.", "non-dropping-particle" : "", "parse-names" : false, "suffix" : "" }, { "dropping-particle" : "", "family" : "Abd Allah", "given" : "A.", "non-dropping-particle" : "", "parse-names" : false, "suffix" : "" }, { "dropping-particle" : "", "family" : "Batrawy", "given" : "S.", "non-dropping-particle" : "El", "parse-names" : false, "suffix" : "" }, { "dropping-particle" : "", "family" : "Amer", "given" : "H.", "non-dropping-particle" : "", "parse-names" : false, "suffix" : "" } ], "container-title" : "Egyptian Journal of Chest Diseases and Tuberculosis", "id" : "ITEM-1", "issue" : "4", "issued" : { "date-parts" : [ [ "2014" ] ] }, "page" : "931-938", "title" : "Impact of high fat low carbohydrate enteral feeding on weaning from mechanical ventilation", "type" : "article-journal", "volume" : "63" }, "uris" : [ "http://www.mendeley.com/documents/?uuid=6e0a3b4e-5862-48d2-85b8-4d8e01e0e95a" ] } ], "mendeley" : { "formattedCitation" : "[13]", "plainTextFormattedCitation" : "[13]", "previouslyFormattedCitation" : "[13]" }, "properties" : {  }, "schema" : "https://github.com/citation-style-language/schema/raw/master/csl-citation.json" }</w:instrText>
      </w:r>
      <w:r w:rsidR="009C682A" w:rsidRPr="000B47D4">
        <w:rPr>
          <w:rFonts w:ascii="Times New Roman" w:hAnsi="Times New Roman" w:cs="Times New Roman"/>
          <w:sz w:val="20"/>
          <w:szCs w:val="20"/>
        </w:rPr>
        <w:fldChar w:fldCharType="separate"/>
      </w:r>
      <w:r w:rsidR="00214CD1" w:rsidRPr="000B47D4">
        <w:rPr>
          <w:rFonts w:ascii="Times New Roman" w:hAnsi="Times New Roman" w:cs="Times New Roman"/>
          <w:noProof/>
          <w:sz w:val="20"/>
          <w:szCs w:val="20"/>
        </w:rPr>
        <w:t>[13]</w:t>
      </w:r>
      <w:r w:rsidR="009C682A" w:rsidRPr="000B47D4">
        <w:rPr>
          <w:rFonts w:ascii="Times New Roman" w:hAnsi="Times New Roman" w:cs="Times New Roman"/>
          <w:sz w:val="20"/>
          <w:szCs w:val="20"/>
        </w:rPr>
        <w:fldChar w:fldCharType="end"/>
      </w:r>
      <w:r w:rsidR="00214CD1" w:rsidRPr="000B47D4">
        <w:rPr>
          <w:rFonts w:ascii="Times New Roman" w:hAnsi="Times New Roman" w:cs="Times New Roman"/>
          <w:sz w:val="20"/>
          <w:szCs w:val="20"/>
        </w:rPr>
        <w:t xml:space="preserve">. In contrary, higher fat content diet may be more beneficial for ventilator-dependent patients; </w:t>
      </w:r>
      <w:r w:rsidR="008039EC" w:rsidRPr="000B47D4">
        <w:rPr>
          <w:rFonts w:ascii="Times New Roman" w:hAnsi="Times New Roman" w:cs="Times New Roman"/>
          <w:sz w:val="20"/>
          <w:szCs w:val="20"/>
        </w:rPr>
        <w:t xml:space="preserve">fat produces less metabolic CO2 than carbohydrates and in return may ameliorate the </w:t>
      </w:r>
      <w:proofErr w:type="spellStart"/>
      <w:r w:rsidR="008039EC" w:rsidRPr="000B47D4">
        <w:rPr>
          <w:rFonts w:ascii="Times New Roman" w:hAnsi="Times New Roman" w:cs="Times New Roman"/>
          <w:sz w:val="20"/>
          <w:szCs w:val="20"/>
        </w:rPr>
        <w:t>hypercapnic</w:t>
      </w:r>
      <w:proofErr w:type="spellEnd"/>
      <w:r w:rsidR="008039EC" w:rsidRPr="000B47D4">
        <w:rPr>
          <w:rFonts w:ascii="Times New Roman" w:hAnsi="Times New Roman" w:cs="Times New Roman"/>
          <w:sz w:val="20"/>
          <w:szCs w:val="20"/>
        </w:rPr>
        <w:t xml:space="preserve"> condition of respiratory failure patients</w:t>
      </w:r>
      <w:r w:rsidR="009C682A" w:rsidRPr="000B47D4">
        <w:rPr>
          <w:rFonts w:ascii="Times New Roman" w:hAnsi="Times New Roman" w:cs="Times New Roman"/>
          <w:sz w:val="20"/>
          <w:szCs w:val="20"/>
        </w:rPr>
        <w:fldChar w:fldCharType="begin" w:fldLock="1"/>
      </w:r>
      <w:r w:rsidR="00173F94" w:rsidRPr="000B47D4">
        <w:rPr>
          <w:rFonts w:ascii="Times New Roman" w:hAnsi="Times New Roman" w:cs="Times New Roman"/>
          <w:sz w:val="20"/>
          <w:szCs w:val="20"/>
        </w:rPr>
        <w:instrText>ADDIN CSL_CITATION { "citationItems" : [ { "id" : "ITEM-1", "itemData" : { "DOI" : "10.1007/BF01711897", "ISBN" : "0342-4642", "ISSN" : "03424642", "PMID" : "7995861", "abstract" : "Objective: To study whether high fat, low carbohydrate enteral nutrition could reduce VCO2 in patients during ventilator support and weaning from the ventilator in order to facilitate the weaning process. Design: prospective, randomized controlled study. Setting: Medical ICU of a university hospital. Patients: 32 ventilator-dependent patients with a prospect of weaning from mechanical ventilation. Interventions: high fat feeding administered to 15 patients and standard isocaloric feeding administered to 17 patients, both in a dosage of 1.5 times basal metabolic rate. Measurements and results: Respiratory and metabolic measurements were obtained both during mechanical ventilation and weaning procedures. High fat feeding was associated with significantly lower RQ values compared with standard feeding; the mean ((plus or minus)SEM) RQ values during mechanical ventilation amounted to 0.91 (plus or minus) 0.01 and 1.00 (plus or minus) 0.02 and during weaning to 0.72 (plus or minus) 0.02 and 0.86 (plus or minus) 0.02 for high fat and standard nutrition respectively (both p-values &lt; 0.001). High fat feeding reduced the CO2-excretion both during mechanical ventilation and weaning, but only the decrease during weaning proved to be significant; the mean ((plus or minus)SEM) CO2-excretion amounted to 0.177 (plus or minus) 0.010 and 0.231 (plus or minus) 0.011 l/min STPD for the high fat and standard feeding respectively (p &lt; 0.01). No significant differences were found in the PaCO2 during weaning between the two feeding groups. Conclusion: High fat, low carbohydrate enteral feeding significantly reduced the RQ values in ventilated patients with decreases in VCO2, but in this study failed to reduce PaCO2 during weaning from the ventilator.", "author" : [ { "dropping-particle" : "", "family" : "Berg", "given" : "B.", "non-dropping-particle" : "van den", "parse-names" : false, "suffix" : "" }, { "dropping-particle" : "", "family" : "Bogaard", "given" : "J. M.", "non-dropping-particle" : "", "parse-names" : false, "suffix" : "" }, { "dropping-particle" : "", "family" : "Hop", "given" : "W. C J", "non-dropping-particle" : "", "parse-names" : false, "suffix" : "" } ], "container-title" : "Intensive Care Medicine", "id" : "ITEM-1", "issue" : "7", "issued" : { "date-parts" : [ [ "1994" ] ] }, "page" : "470-475", "title" : "High fat, low carbohydrate, enteral feeding in patients weaning from the ventilator", "type" : "article-journal", "volume" : "20" }, "uris" : [ "http://www.mendeley.com/documents/?uuid=97a45ccc-92aa-4459-85a9-290cf68c5df1" ] } ], "mendeley" : { "formattedCitation" : "[14]", "plainTextFormattedCitation" : "[14]", "previouslyFormattedCitation" : "[14]" }, "properties" : {  }, "schema" : "https://github.com/citation-style-language/schema/raw/master/csl-citation.json" }</w:instrText>
      </w:r>
      <w:r w:rsidR="009C682A" w:rsidRPr="000B47D4">
        <w:rPr>
          <w:rFonts w:ascii="Times New Roman" w:hAnsi="Times New Roman" w:cs="Times New Roman"/>
          <w:sz w:val="20"/>
          <w:szCs w:val="20"/>
        </w:rPr>
        <w:fldChar w:fldCharType="separate"/>
      </w:r>
      <w:r w:rsidR="00173F94" w:rsidRPr="000B47D4">
        <w:rPr>
          <w:rFonts w:ascii="Times New Roman" w:hAnsi="Times New Roman" w:cs="Times New Roman"/>
          <w:noProof/>
          <w:sz w:val="20"/>
          <w:szCs w:val="20"/>
        </w:rPr>
        <w:t>[14]</w:t>
      </w:r>
      <w:r w:rsidR="009C682A" w:rsidRPr="000B47D4">
        <w:rPr>
          <w:rFonts w:ascii="Times New Roman" w:hAnsi="Times New Roman" w:cs="Times New Roman"/>
          <w:sz w:val="20"/>
          <w:szCs w:val="20"/>
        </w:rPr>
        <w:fldChar w:fldCharType="end"/>
      </w:r>
      <w:r w:rsidR="008039EC" w:rsidRPr="000B47D4">
        <w:rPr>
          <w:rFonts w:ascii="Times New Roman" w:hAnsi="Times New Roman" w:cs="Times New Roman"/>
          <w:sz w:val="20"/>
          <w:szCs w:val="20"/>
        </w:rPr>
        <w:t>.</w:t>
      </w:r>
    </w:p>
    <w:p w:rsidR="00D826CA" w:rsidRPr="000B47D4" w:rsidRDefault="00B92288" w:rsidP="003B4339">
      <w:pPr>
        <w:snapToGrid w:val="0"/>
        <w:spacing w:after="0" w:line="240" w:lineRule="auto"/>
        <w:ind w:firstLine="425"/>
        <w:jc w:val="both"/>
        <w:rPr>
          <w:rFonts w:ascii="Times New Roman" w:hAnsi="Times New Roman" w:cs="Times New Roman"/>
          <w:sz w:val="20"/>
          <w:szCs w:val="20"/>
        </w:rPr>
      </w:pPr>
      <w:r w:rsidRPr="000B47D4">
        <w:rPr>
          <w:rFonts w:ascii="Times New Roman" w:hAnsi="Times New Roman" w:cs="Times New Roman"/>
          <w:sz w:val="20"/>
          <w:szCs w:val="20"/>
        </w:rPr>
        <w:t>The</w:t>
      </w:r>
      <w:r w:rsidR="00173F94" w:rsidRPr="000B47D4">
        <w:rPr>
          <w:rFonts w:ascii="Times New Roman" w:hAnsi="Times New Roman" w:cs="Times New Roman"/>
          <w:sz w:val="20"/>
          <w:szCs w:val="20"/>
        </w:rPr>
        <w:t>refore, the</w:t>
      </w:r>
      <w:r w:rsidRPr="000B47D4">
        <w:rPr>
          <w:rFonts w:ascii="Times New Roman" w:hAnsi="Times New Roman" w:cs="Times New Roman"/>
          <w:sz w:val="20"/>
          <w:szCs w:val="20"/>
        </w:rPr>
        <w:t xml:space="preserve"> aim of the present prospective study was to evaluate the effect of EN on duration of mechanical ventilation in patient with respiratory failure</w:t>
      </w:r>
      <w:r w:rsidR="00173F94" w:rsidRPr="000B47D4">
        <w:rPr>
          <w:rFonts w:ascii="Times New Roman" w:hAnsi="Times New Roman" w:cs="Times New Roman"/>
          <w:sz w:val="20"/>
          <w:szCs w:val="20"/>
        </w:rPr>
        <w:t xml:space="preserve"> admitted to ICU, and to assess whether the high-fat low-carbohydrate diet has an</w:t>
      </w:r>
      <w:r w:rsidR="00AF22C7" w:rsidRPr="000B47D4">
        <w:rPr>
          <w:rFonts w:ascii="Times New Roman" w:hAnsi="Times New Roman" w:cs="Times New Roman"/>
          <w:sz w:val="20"/>
          <w:szCs w:val="20"/>
        </w:rPr>
        <w:t xml:space="preserve"> advantage role over the usual E</w:t>
      </w:r>
      <w:r w:rsidR="00173F94" w:rsidRPr="000B47D4">
        <w:rPr>
          <w:rFonts w:ascii="Times New Roman" w:hAnsi="Times New Roman" w:cs="Times New Roman"/>
          <w:sz w:val="20"/>
          <w:szCs w:val="20"/>
        </w:rPr>
        <w:t>N diet.</w:t>
      </w:r>
    </w:p>
    <w:p w:rsidR="00E601E2" w:rsidRPr="000B47D4" w:rsidRDefault="00E601E2" w:rsidP="003B4339">
      <w:pPr>
        <w:snapToGrid w:val="0"/>
        <w:spacing w:after="0" w:line="240" w:lineRule="auto"/>
        <w:ind w:firstLine="425"/>
        <w:jc w:val="both"/>
        <w:rPr>
          <w:rFonts w:ascii="Times New Roman" w:hAnsi="Times New Roman" w:cs="Times New Roman"/>
          <w:sz w:val="20"/>
          <w:szCs w:val="20"/>
        </w:rPr>
      </w:pPr>
    </w:p>
    <w:p w:rsidR="00E601E2" w:rsidRPr="000B47D4" w:rsidRDefault="00DD2561" w:rsidP="003B4339">
      <w:pPr>
        <w:snapToGrid w:val="0"/>
        <w:spacing w:after="0" w:line="240" w:lineRule="auto"/>
        <w:jc w:val="both"/>
        <w:rPr>
          <w:rFonts w:ascii="Times New Roman" w:hAnsi="Times New Roman" w:cs="Times New Roman"/>
          <w:sz w:val="20"/>
          <w:szCs w:val="20"/>
        </w:rPr>
      </w:pPr>
      <w:r w:rsidRPr="000B47D4">
        <w:rPr>
          <w:rFonts w:ascii="Times New Roman" w:hAnsi="Times New Roman" w:cs="Times New Roman"/>
          <w:b/>
          <w:bCs/>
          <w:sz w:val="20"/>
          <w:szCs w:val="20"/>
        </w:rPr>
        <w:t xml:space="preserve">2. </w:t>
      </w:r>
      <w:r w:rsidR="00E601E2" w:rsidRPr="000B47D4">
        <w:rPr>
          <w:rFonts w:ascii="Times New Roman" w:hAnsi="Times New Roman" w:cs="Times New Roman"/>
          <w:b/>
          <w:bCs/>
          <w:sz w:val="20"/>
          <w:szCs w:val="20"/>
        </w:rPr>
        <w:t>Material and Methods</w:t>
      </w:r>
      <w:r w:rsidR="00E601E2" w:rsidRPr="000B47D4">
        <w:rPr>
          <w:rFonts w:ascii="Times New Roman" w:hAnsi="Times New Roman" w:cs="Times New Roman"/>
          <w:sz w:val="20"/>
          <w:szCs w:val="20"/>
        </w:rPr>
        <w:t>:</w:t>
      </w:r>
    </w:p>
    <w:p w:rsidR="00E601E2" w:rsidRPr="000B47D4" w:rsidRDefault="000641E1" w:rsidP="003B4339">
      <w:pPr>
        <w:snapToGrid w:val="0"/>
        <w:spacing w:after="0" w:line="240" w:lineRule="auto"/>
        <w:ind w:firstLine="425"/>
        <w:jc w:val="both"/>
        <w:rPr>
          <w:rFonts w:ascii="Times New Roman" w:hAnsi="Times New Roman" w:cs="Times New Roman"/>
          <w:sz w:val="20"/>
          <w:szCs w:val="20"/>
        </w:rPr>
      </w:pPr>
      <w:r w:rsidRPr="000B47D4">
        <w:rPr>
          <w:rFonts w:ascii="Times New Roman" w:hAnsi="Times New Roman" w:cs="Times New Roman"/>
          <w:sz w:val="20"/>
          <w:szCs w:val="20"/>
        </w:rPr>
        <w:t>We followed the Strengthening The Reporting of OB</w:t>
      </w:r>
      <w:r w:rsidR="000B47D4" w:rsidRPr="000B47D4">
        <w:rPr>
          <w:rFonts w:ascii="Times New Roman" w:hAnsi="Times New Roman" w:cs="Times New Roman" w:hint="eastAsia"/>
          <w:sz w:val="20"/>
          <w:szCs w:val="20"/>
          <w:lang w:eastAsia="zh-CN"/>
        </w:rPr>
        <w:t xml:space="preserve"> </w:t>
      </w:r>
      <w:proofErr w:type="spellStart"/>
      <w:r w:rsidRPr="000B47D4">
        <w:rPr>
          <w:rFonts w:ascii="Times New Roman" w:hAnsi="Times New Roman" w:cs="Times New Roman"/>
          <w:sz w:val="20"/>
          <w:szCs w:val="20"/>
        </w:rPr>
        <w:t>servational</w:t>
      </w:r>
      <w:proofErr w:type="spellEnd"/>
      <w:r w:rsidRPr="000B47D4">
        <w:rPr>
          <w:rFonts w:ascii="Times New Roman" w:hAnsi="Times New Roman" w:cs="Times New Roman"/>
          <w:sz w:val="20"/>
          <w:szCs w:val="20"/>
        </w:rPr>
        <w:t xml:space="preserve"> Studies in Epidemiology</w:t>
      </w:r>
      <w:r w:rsidR="00DF1737" w:rsidRPr="000B47D4">
        <w:rPr>
          <w:rFonts w:ascii="Times New Roman" w:hAnsi="Times New Roman" w:cs="Times New Roman"/>
          <w:sz w:val="20"/>
          <w:szCs w:val="20"/>
        </w:rPr>
        <w:t xml:space="preserve"> (STROBE) guidelines during the preparation of the present study</w:t>
      </w:r>
      <w:r w:rsidR="009C682A" w:rsidRPr="000B47D4">
        <w:rPr>
          <w:rFonts w:ascii="Times New Roman" w:hAnsi="Times New Roman" w:cs="Times New Roman"/>
          <w:sz w:val="20"/>
          <w:szCs w:val="20"/>
        </w:rPr>
        <w:fldChar w:fldCharType="begin" w:fldLock="1"/>
      </w:r>
      <w:r w:rsidR="00173F94" w:rsidRPr="000B47D4">
        <w:rPr>
          <w:rFonts w:ascii="Times New Roman" w:hAnsi="Times New Roman" w:cs="Times New Roman"/>
          <w:sz w:val="20"/>
          <w:szCs w:val="20"/>
        </w:rPr>
        <w:instrText>ADDIN CSL_CITATION { "citationItems" : [ { "id" : "ITEM-1", "itemData" : { "DOI" : "10.1016/j.ijsu.2014.07.013", "ISSN" : "1743-9191", "author" : [ { "dropping-particle" : "Von", "family" : "Elm", "given" : "Erik", "non-dropping-particle" : "", "parse-names" : false, "suffix" : "" }, { "dropping-particle" : "", "family" : "Altman", "given" : "Douglas G", "non-dropping-particle" : "", "parse-names" : false, "suffix" : "" }, { "dropping-particle" : "", "family" : "Egger", "given" : "Matthias", "non-dropping-particle" : "", "parse-names" : false, "suffix" : "" }, { "dropping-particle" : "", "family" : "Pocock", "given" : "Stuart J", "non-dropping-particle" : "", "parse-names" : false, "suffix" : "" }, { "dropping-particle" : "", "family" : "G\u00f8tzsche", "given" : "Peter C", "non-dropping-particle" : "", "parse-names" : false, "suffix" : "" }, { "dropping-particle" : "", "family" : "Vandenbroucke", "given" : "Jan P", "non-dropping-particle" : "", "parse-names" : false, "suffix" : "" }, { "dropping-particle" : "", "family" : "Initiative", "given" : "Strobe", "non-dropping-particle" : "", "parse-names" : false, "suffix" : "" } ], "container-title" : "International Journal of Surgery", "id" : "ITEM-1", "issue" : "12", "issued" : { "date-parts" : [ [ "2014" ] ] }, "page" : "1495-1499", "publisher" : "Elsevier Ltd", "title" : "The Strengthening the Reporting of Observational Studies in Epidemiology ( STROBE ) Statement : Guidelines for reporting observational studies *", "type" : "article-journal", "volume" : "12" }, "uris" : [ "http://www.mendeley.com/documents/?uuid=54de8c33-37ef-478a-b800-ad61ebbd66cc" ] } ], "mendeley" : { "formattedCitation" : "[15]", "plainTextFormattedCitation" : "[15]", "previouslyFormattedCitation" : "[15]" }, "properties" : {  }, "schema" : "https://github.com/citation-style-language/schema/raw/master/csl-citation.json" }</w:instrText>
      </w:r>
      <w:r w:rsidR="009C682A" w:rsidRPr="000B47D4">
        <w:rPr>
          <w:rFonts w:ascii="Times New Roman" w:hAnsi="Times New Roman" w:cs="Times New Roman"/>
          <w:sz w:val="20"/>
          <w:szCs w:val="20"/>
        </w:rPr>
        <w:fldChar w:fldCharType="separate"/>
      </w:r>
      <w:r w:rsidR="00173F94" w:rsidRPr="000B47D4">
        <w:rPr>
          <w:rFonts w:ascii="Times New Roman" w:hAnsi="Times New Roman" w:cs="Times New Roman"/>
          <w:noProof/>
          <w:sz w:val="20"/>
          <w:szCs w:val="20"/>
        </w:rPr>
        <w:t>[15]</w:t>
      </w:r>
      <w:r w:rsidR="009C682A" w:rsidRPr="000B47D4">
        <w:rPr>
          <w:rFonts w:ascii="Times New Roman" w:hAnsi="Times New Roman" w:cs="Times New Roman"/>
          <w:sz w:val="20"/>
          <w:szCs w:val="20"/>
        </w:rPr>
        <w:fldChar w:fldCharType="end"/>
      </w:r>
      <w:r w:rsidR="00E601E2" w:rsidRPr="000B47D4">
        <w:rPr>
          <w:rFonts w:ascii="Times New Roman" w:hAnsi="Times New Roman" w:cs="Times New Roman"/>
          <w:sz w:val="20"/>
          <w:szCs w:val="20"/>
        </w:rPr>
        <w:t>.</w:t>
      </w:r>
      <w:r w:rsidR="00FE5343" w:rsidRPr="000B47D4">
        <w:rPr>
          <w:rFonts w:ascii="Times New Roman" w:hAnsi="Times New Roman" w:cs="Times New Roman"/>
          <w:sz w:val="20"/>
          <w:szCs w:val="20"/>
        </w:rPr>
        <w:t xml:space="preserve"> </w:t>
      </w:r>
      <w:r w:rsidR="00404302" w:rsidRPr="000B47D4">
        <w:rPr>
          <w:rFonts w:ascii="Times New Roman" w:hAnsi="Times New Roman" w:cs="Times New Roman"/>
          <w:sz w:val="20"/>
          <w:szCs w:val="20"/>
        </w:rPr>
        <w:t xml:space="preserve">The study gained the approval of the local ethics and research committee of </w:t>
      </w:r>
      <w:proofErr w:type="spellStart"/>
      <w:r w:rsidR="00404302" w:rsidRPr="000B47D4">
        <w:rPr>
          <w:rFonts w:ascii="Times New Roman" w:hAnsi="Times New Roman" w:cs="Times New Roman"/>
          <w:sz w:val="20"/>
          <w:szCs w:val="20"/>
        </w:rPr>
        <w:t>Benha</w:t>
      </w:r>
      <w:proofErr w:type="spellEnd"/>
      <w:r w:rsidR="00FE5343" w:rsidRPr="000B47D4">
        <w:rPr>
          <w:rFonts w:ascii="Times New Roman" w:hAnsi="Times New Roman" w:cs="Times New Roman"/>
          <w:sz w:val="20"/>
          <w:szCs w:val="20"/>
        </w:rPr>
        <w:t xml:space="preserve"> </w:t>
      </w:r>
      <w:r w:rsidR="00404302" w:rsidRPr="000B47D4">
        <w:rPr>
          <w:rFonts w:ascii="Times New Roman" w:hAnsi="Times New Roman" w:cs="Times New Roman"/>
          <w:sz w:val="20"/>
          <w:szCs w:val="20"/>
        </w:rPr>
        <w:t>University.</w:t>
      </w:r>
    </w:p>
    <w:p w:rsidR="00404302" w:rsidRPr="000B47D4" w:rsidRDefault="00404302" w:rsidP="003B4339">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0B47D4">
        <w:rPr>
          <w:rFonts w:ascii="Times New Roman" w:hAnsi="Times New Roman" w:cs="Times New Roman"/>
          <w:b/>
          <w:bCs/>
          <w:sz w:val="20"/>
          <w:szCs w:val="20"/>
        </w:rPr>
        <w:t>Study Design and Setting</w:t>
      </w:r>
    </w:p>
    <w:p w:rsidR="00404302" w:rsidRPr="000B47D4" w:rsidRDefault="00404302" w:rsidP="003B4339">
      <w:pPr>
        <w:snapToGrid w:val="0"/>
        <w:spacing w:after="0" w:line="240" w:lineRule="auto"/>
        <w:ind w:firstLine="425"/>
        <w:jc w:val="both"/>
        <w:rPr>
          <w:rFonts w:ascii="Times New Roman" w:hAnsi="Times New Roman" w:cs="Times New Roman"/>
          <w:sz w:val="20"/>
          <w:szCs w:val="20"/>
        </w:rPr>
      </w:pPr>
      <w:r w:rsidRPr="000B47D4">
        <w:rPr>
          <w:rFonts w:ascii="Times New Roman" w:hAnsi="Times New Roman" w:cs="Times New Roman"/>
          <w:sz w:val="20"/>
          <w:szCs w:val="20"/>
        </w:rPr>
        <w:t xml:space="preserve">The present </w:t>
      </w:r>
      <w:r w:rsidR="00A538C9" w:rsidRPr="000B47D4">
        <w:rPr>
          <w:rFonts w:ascii="Times New Roman" w:hAnsi="Times New Roman" w:cs="Times New Roman"/>
          <w:sz w:val="20"/>
          <w:szCs w:val="20"/>
        </w:rPr>
        <w:t xml:space="preserve">prospective </w:t>
      </w:r>
      <w:r w:rsidRPr="000B47D4">
        <w:rPr>
          <w:rFonts w:ascii="Times New Roman" w:hAnsi="Times New Roman" w:cs="Times New Roman"/>
          <w:sz w:val="20"/>
          <w:szCs w:val="20"/>
        </w:rPr>
        <w:t xml:space="preserve">study was carried from </w:t>
      </w:r>
      <w:r w:rsidR="00A538C9" w:rsidRPr="000B47D4">
        <w:rPr>
          <w:rFonts w:ascii="Times New Roman" w:hAnsi="Times New Roman" w:cs="Times New Roman"/>
          <w:sz w:val="20"/>
          <w:szCs w:val="20"/>
        </w:rPr>
        <w:t>April 2017 to March 2018</w:t>
      </w:r>
      <w:r w:rsidRPr="000B47D4">
        <w:rPr>
          <w:rFonts w:ascii="Times New Roman" w:hAnsi="Times New Roman" w:cs="Times New Roman"/>
          <w:sz w:val="20"/>
          <w:szCs w:val="20"/>
        </w:rPr>
        <w:t>. The study</w:t>
      </w:r>
      <w:r w:rsidR="00A538C9" w:rsidRPr="000B47D4">
        <w:rPr>
          <w:rFonts w:ascii="Times New Roman" w:hAnsi="Times New Roman" w:cs="Times New Roman"/>
          <w:sz w:val="20"/>
          <w:szCs w:val="20"/>
        </w:rPr>
        <w:t xml:space="preserve"> was conducted on 40 patients with repertory failure</w:t>
      </w:r>
      <w:r w:rsidR="000B47D4" w:rsidRPr="000B47D4">
        <w:rPr>
          <w:rFonts w:ascii="Times New Roman" w:hAnsi="Times New Roman" w:cs="Times New Roman" w:hint="eastAsia"/>
          <w:sz w:val="20"/>
          <w:szCs w:val="20"/>
          <w:lang w:eastAsia="zh-CN"/>
        </w:rPr>
        <w:t xml:space="preserve"> </w:t>
      </w:r>
      <w:r w:rsidR="0025510A" w:rsidRPr="000B47D4">
        <w:rPr>
          <w:rFonts w:ascii="Times New Roman" w:hAnsi="Times New Roman" w:cs="Times New Roman"/>
          <w:sz w:val="20"/>
          <w:szCs w:val="20"/>
        </w:rPr>
        <w:t>an</w:t>
      </w:r>
      <w:r w:rsidR="00906E5B" w:rsidRPr="000B47D4">
        <w:rPr>
          <w:rFonts w:ascii="Times New Roman" w:hAnsi="Times New Roman" w:cs="Times New Roman"/>
          <w:sz w:val="20"/>
          <w:szCs w:val="20"/>
        </w:rPr>
        <w:t>d (</w:t>
      </w:r>
      <w:r w:rsidR="0025510A" w:rsidRPr="000B47D4">
        <w:rPr>
          <w:rFonts w:ascii="Times New Roman" w:hAnsi="Times New Roman" w:cs="Times New Roman"/>
          <w:sz w:val="20"/>
          <w:szCs w:val="20"/>
        </w:rPr>
        <w:t>post CABG</w:t>
      </w:r>
      <w:r w:rsidR="003B4339" w:rsidRPr="000B47D4">
        <w:rPr>
          <w:rFonts w:ascii="Times New Roman" w:hAnsi="Times New Roman" w:cs="Times New Roman"/>
          <w:sz w:val="20"/>
          <w:szCs w:val="20"/>
        </w:rPr>
        <w:t>) p</w:t>
      </w:r>
      <w:r w:rsidR="0094767C" w:rsidRPr="000B47D4">
        <w:rPr>
          <w:rFonts w:ascii="Times New Roman" w:hAnsi="Times New Roman" w:cs="Times New Roman"/>
          <w:sz w:val="20"/>
          <w:szCs w:val="20"/>
        </w:rPr>
        <w:t>atients</w:t>
      </w:r>
      <w:r w:rsidR="00972AF7" w:rsidRPr="000B47D4">
        <w:rPr>
          <w:rFonts w:ascii="Times New Roman" w:hAnsi="Times New Roman" w:cs="Times New Roman"/>
          <w:sz w:val="20"/>
          <w:szCs w:val="20"/>
        </w:rPr>
        <w:t>,</w:t>
      </w:r>
      <w:r w:rsidR="00A538C9" w:rsidRPr="000B47D4">
        <w:rPr>
          <w:rFonts w:ascii="Times New Roman" w:hAnsi="Times New Roman" w:cs="Times New Roman"/>
          <w:sz w:val="20"/>
          <w:szCs w:val="20"/>
        </w:rPr>
        <w:t xml:space="preserve"> who were admitted to the critical care unit of </w:t>
      </w:r>
      <w:proofErr w:type="spellStart"/>
      <w:r w:rsidR="00A538C9" w:rsidRPr="000B47D4">
        <w:rPr>
          <w:rFonts w:ascii="Times New Roman" w:hAnsi="Times New Roman" w:cs="Times New Roman"/>
          <w:sz w:val="20"/>
          <w:szCs w:val="20"/>
        </w:rPr>
        <w:t>Benha</w:t>
      </w:r>
      <w:proofErr w:type="spellEnd"/>
      <w:r w:rsidR="00A538C9" w:rsidRPr="000B47D4">
        <w:rPr>
          <w:rFonts w:ascii="Times New Roman" w:hAnsi="Times New Roman" w:cs="Times New Roman"/>
          <w:sz w:val="20"/>
          <w:szCs w:val="20"/>
        </w:rPr>
        <w:t xml:space="preserve"> University and required mechanical ventilation. Patients were divided into two groups: group </w:t>
      </w:r>
      <w:r w:rsidR="00ED283B" w:rsidRPr="000B47D4">
        <w:rPr>
          <w:rFonts w:ascii="Times New Roman" w:hAnsi="Times New Roman" w:cs="Times New Roman"/>
          <w:sz w:val="20"/>
          <w:szCs w:val="20"/>
        </w:rPr>
        <w:t xml:space="preserve">A which received the standard </w:t>
      </w:r>
      <w:proofErr w:type="spellStart"/>
      <w:r w:rsidR="00ED283B" w:rsidRPr="000B47D4">
        <w:rPr>
          <w:rFonts w:ascii="Times New Roman" w:hAnsi="Times New Roman" w:cs="Times New Roman"/>
          <w:sz w:val="20"/>
          <w:szCs w:val="20"/>
        </w:rPr>
        <w:t>iso</w:t>
      </w:r>
      <w:proofErr w:type="spellEnd"/>
      <w:r w:rsidR="00ED283B" w:rsidRPr="000B47D4">
        <w:rPr>
          <w:rFonts w:ascii="Times New Roman" w:hAnsi="Times New Roman" w:cs="Times New Roman"/>
          <w:sz w:val="20"/>
          <w:szCs w:val="20"/>
        </w:rPr>
        <w:t xml:space="preserve"> caloric feeding</w:t>
      </w:r>
      <w:r w:rsidR="00A538C9" w:rsidRPr="000B47D4">
        <w:rPr>
          <w:rFonts w:ascii="Times New Roman" w:hAnsi="Times New Roman" w:cs="Times New Roman"/>
          <w:sz w:val="20"/>
          <w:szCs w:val="20"/>
        </w:rPr>
        <w:t>; and group B which rece</w:t>
      </w:r>
      <w:r w:rsidR="00FE5440" w:rsidRPr="000B47D4">
        <w:rPr>
          <w:rFonts w:ascii="Times New Roman" w:hAnsi="Times New Roman" w:cs="Times New Roman"/>
          <w:sz w:val="20"/>
          <w:szCs w:val="20"/>
        </w:rPr>
        <w:t xml:space="preserve">ived </w:t>
      </w:r>
      <w:proofErr w:type="spellStart"/>
      <w:r w:rsidR="003D47BF" w:rsidRPr="000B47D4">
        <w:rPr>
          <w:rFonts w:ascii="Times New Roman" w:hAnsi="Times New Roman" w:cs="Times New Roman"/>
          <w:sz w:val="20"/>
          <w:szCs w:val="20"/>
        </w:rPr>
        <w:t>iso</w:t>
      </w:r>
      <w:proofErr w:type="spellEnd"/>
      <w:r w:rsidR="003D47BF" w:rsidRPr="000B47D4">
        <w:rPr>
          <w:rFonts w:ascii="Times New Roman" w:hAnsi="Times New Roman" w:cs="Times New Roman"/>
          <w:sz w:val="20"/>
          <w:szCs w:val="20"/>
        </w:rPr>
        <w:t xml:space="preserve"> caloric high fat</w:t>
      </w:r>
      <w:r w:rsidR="003B4339" w:rsidRPr="000B47D4">
        <w:rPr>
          <w:rFonts w:ascii="Times New Roman" w:hAnsi="Times New Roman" w:cs="Times New Roman"/>
          <w:sz w:val="20"/>
          <w:szCs w:val="20"/>
        </w:rPr>
        <w:t>, l</w:t>
      </w:r>
      <w:r w:rsidR="003D47BF" w:rsidRPr="000B47D4">
        <w:rPr>
          <w:rFonts w:ascii="Times New Roman" w:hAnsi="Times New Roman" w:cs="Times New Roman"/>
          <w:sz w:val="20"/>
          <w:szCs w:val="20"/>
        </w:rPr>
        <w:t>ow carbohydrate</w:t>
      </w:r>
      <w:r w:rsidR="00E07C2C" w:rsidRPr="000B47D4">
        <w:rPr>
          <w:rFonts w:ascii="Times New Roman" w:hAnsi="Times New Roman" w:cs="Times New Roman"/>
          <w:sz w:val="20"/>
          <w:szCs w:val="20"/>
        </w:rPr>
        <w:t xml:space="preserve"> feeding</w:t>
      </w:r>
      <w:r w:rsidR="00A538C9" w:rsidRPr="000B47D4">
        <w:rPr>
          <w:rFonts w:ascii="Times New Roman" w:hAnsi="Times New Roman" w:cs="Times New Roman"/>
          <w:sz w:val="20"/>
          <w:szCs w:val="20"/>
        </w:rPr>
        <w:t>.</w:t>
      </w:r>
    </w:p>
    <w:p w:rsidR="00404302" w:rsidRPr="000B47D4" w:rsidRDefault="00404302" w:rsidP="003B4339">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0B47D4">
        <w:rPr>
          <w:rFonts w:ascii="Times New Roman" w:hAnsi="Times New Roman" w:cs="Times New Roman"/>
          <w:b/>
          <w:bCs/>
          <w:sz w:val="20"/>
          <w:szCs w:val="20"/>
        </w:rPr>
        <w:t xml:space="preserve">Inclusion and Exclusion Criteria </w:t>
      </w:r>
    </w:p>
    <w:p w:rsidR="00404302" w:rsidRPr="000B47D4" w:rsidRDefault="00A538C9" w:rsidP="003B4339">
      <w:pPr>
        <w:snapToGrid w:val="0"/>
        <w:spacing w:after="0" w:line="240" w:lineRule="auto"/>
        <w:ind w:firstLine="425"/>
        <w:jc w:val="both"/>
        <w:rPr>
          <w:rFonts w:ascii="Times New Roman" w:hAnsi="Times New Roman" w:cs="Times New Roman"/>
          <w:noProof/>
          <w:sz w:val="20"/>
          <w:szCs w:val="20"/>
        </w:rPr>
      </w:pPr>
      <w:r w:rsidRPr="000B47D4">
        <w:rPr>
          <w:rFonts w:ascii="Times New Roman" w:hAnsi="Times New Roman" w:cs="Times New Roman"/>
          <w:sz w:val="20"/>
          <w:szCs w:val="20"/>
        </w:rPr>
        <w:t>Adults p</w:t>
      </w:r>
      <w:r w:rsidR="00404302" w:rsidRPr="000B47D4">
        <w:rPr>
          <w:rFonts w:ascii="Times New Roman" w:hAnsi="Times New Roman" w:cs="Times New Roman"/>
          <w:sz w:val="20"/>
          <w:szCs w:val="20"/>
        </w:rPr>
        <w:t xml:space="preserve">atients with </w:t>
      </w:r>
      <w:r w:rsidRPr="000B47D4">
        <w:rPr>
          <w:rFonts w:ascii="Times New Roman" w:hAnsi="Times New Roman" w:cs="Times New Roman"/>
          <w:sz w:val="20"/>
          <w:szCs w:val="20"/>
        </w:rPr>
        <w:t>respiratory failure</w:t>
      </w:r>
      <w:r w:rsidR="00404302" w:rsidRPr="000B47D4">
        <w:rPr>
          <w:rFonts w:ascii="Times New Roman" w:hAnsi="Times New Roman" w:cs="Times New Roman"/>
          <w:sz w:val="20"/>
          <w:szCs w:val="20"/>
        </w:rPr>
        <w:t xml:space="preserve"> were included if they</w:t>
      </w:r>
      <w:r w:rsidRPr="000B47D4">
        <w:rPr>
          <w:rFonts w:ascii="Times New Roman" w:hAnsi="Times New Roman" w:cs="Times New Roman"/>
          <w:sz w:val="20"/>
          <w:szCs w:val="20"/>
        </w:rPr>
        <w:t xml:space="preserve"> required hospital stay and mechanical ventilation for more than 24 hours</w:t>
      </w:r>
      <w:r w:rsidR="00404302" w:rsidRPr="000B47D4">
        <w:rPr>
          <w:rFonts w:ascii="Times New Roman" w:hAnsi="Times New Roman" w:cs="Times New Roman"/>
          <w:sz w:val="20"/>
          <w:szCs w:val="20"/>
        </w:rPr>
        <w:t xml:space="preserve">. Patients were excluded if they </w:t>
      </w:r>
      <w:r w:rsidR="007D55C8" w:rsidRPr="000B47D4">
        <w:rPr>
          <w:rFonts w:ascii="Times New Roman" w:hAnsi="Times New Roman" w:cs="Times New Roman"/>
          <w:noProof/>
          <w:sz w:val="20"/>
          <w:szCs w:val="20"/>
        </w:rPr>
        <w:t>received PN or had</w:t>
      </w:r>
      <w:r w:rsidRPr="000B47D4">
        <w:rPr>
          <w:rFonts w:ascii="Times New Roman" w:hAnsi="Times New Roman" w:cs="Times New Roman"/>
          <w:noProof/>
          <w:sz w:val="20"/>
          <w:szCs w:val="20"/>
        </w:rPr>
        <w:t xml:space="preserve"> conditions that result in a life expectancy shorter than 48 h.</w:t>
      </w:r>
    </w:p>
    <w:p w:rsidR="00404302" w:rsidRPr="000B47D4" w:rsidRDefault="00404302" w:rsidP="003B4339">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0B47D4">
        <w:rPr>
          <w:rFonts w:ascii="Times New Roman" w:hAnsi="Times New Roman" w:cs="Times New Roman"/>
          <w:b/>
          <w:bCs/>
          <w:sz w:val="20"/>
          <w:szCs w:val="20"/>
        </w:rPr>
        <w:t>Data collection</w:t>
      </w:r>
    </w:p>
    <w:p w:rsidR="00404302" w:rsidRPr="000B47D4" w:rsidRDefault="00404302" w:rsidP="003B4339">
      <w:pPr>
        <w:snapToGrid w:val="0"/>
        <w:spacing w:after="0" w:line="240" w:lineRule="auto"/>
        <w:ind w:firstLine="425"/>
        <w:jc w:val="both"/>
        <w:rPr>
          <w:rFonts w:ascii="Times New Roman" w:hAnsi="Times New Roman" w:cs="Times New Roman"/>
          <w:sz w:val="20"/>
          <w:szCs w:val="20"/>
        </w:rPr>
      </w:pPr>
      <w:r w:rsidRPr="000B47D4">
        <w:rPr>
          <w:rFonts w:ascii="Times New Roman" w:hAnsi="Times New Roman" w:cs="Times New Roman"/>
          <w:sz w:val="20"/>
          <w:szCs w:val="20"/>
        </w:rPr>
        <w:t xml:space="preserve">The following </w:t>
      </w:r>
      <w:r w:rsidR="00E30E01" w:rsidRPr="000B47D4">
        <w:rPr>
          <w:rFonts w:ascii="Times New Roman" w:hAnsi="Times New Roman" w:cs="Times New Roman"/>
          <w:sz w:val="20"/>
          <w:szCs w:val="20"/>
        </w:rPr>
        <w:t xml:space="preserve">demographic and clinical </w:t>
      </w:r>
      <w:r w:rsidRPr="000B47D4">
        <w:rPr>
          <w:rFonts w:ascii="Times New Roman" w:hAnsi="Times New Roman" w:cs="Times New Roman"/>
          <w:sz w:val="20"/>
          <w:szCs w:val="20"/>
        </w:rPr>
        <w:t xml:space="preserve">data </w:t>
      </w:r>
      <w:r w:rsidR="00E30E01" w:rsidRPr="000B47D4">
        <w:rPr>
          <w:rFonts w:ascii="Times New Roman" w:hAnsi="Times New Roman" w:cs="Times New Roman"/>
          <w:sz w:val="20"/>
          <w:szCs w:val="20"/>
        </w:rPr>
        <w:t>were</w:t>
      </w:r>
      <w:r w:rsidRPr="000B47D4">
        <w:rPr>
          <w:rFonts w:ascii="Times New Roman" w:hAnsi="Times New Roman" w:cs="Times New Roman"/>
          <w:sz w:val="20"/>
          <w:szCs w:val="20"/>
        </w:rPr>
        <w:t xml:space="preserve"> collected from every participants: history, </w:t>
      </w:r>
      <w:r w:rsidR="00E30E01" w:rsidRPr="000B47D4">
        <w:rPr>
          <w:rFonts w:ascii="Times New Roman" w:hAnsi="Times New Roman" w:cs="Times New Roman"/>
          <w:sz w:val="20"/>
          <w:szCs w:val="20"/>
        </w:rPr>
        <w:t>clinical</w:t>
      </w:r>
      <w:r w:rsidRPr="000B47D4">
        <w:rPr>
          <w:rFonts w:ascii="Times New Roman" w:hAnsi="Times New Roman" w:cs="Times New Roman"/>
          <w:sz w:val="20"/>
          <w:szCs w:val="20"/>
        </w:rPr>
        <w:t xml:space="preserve"> examination, anthropometric measures,</w:t>
      </w:r>
      <w:r w:rsidR="00E30E01" w:rsidRPr="000B47D4">
        <w:rPr>
          <w:rFonts w:ascii="Times New Roman" w:hAnsi="Times New Roman" w:cs="Times New Roman"/>
          <w:sz w:val="20"/>
          <w:szCs w:val="20"/>
        </w:rPr>
        <w:t xml:space="preserve"> Glasgow Coma Scale (GCS), Acute Physiology and Chronic Health Evaluation II (APACHE II) score, Sequential Organ Failure Assessment (SOFA) score, serum electrolytes, serum glucose level, liver function tests (serum </w:t>
      </w:r>
      <w:proofErr w:type="spellStart"/>
      <w:r w:rsidR="00E30E01" w:rsidRPr="000B47D4">
        <w:rPr>
          <w:rFonts w:ascii="Times New Roman" w:hAnsi="Times New Roman" w:cs="Times New Roman"/>
          <w:sz w:val="20"/>
          <w:szCs w:val="20"/>
        </w:rPr>
        <w:t>aspartate</w:t>
      </w:r>
      <w:proofErr w:type="spellEnd"/>
      <w:r w:rsidR="00E30E01" w:rsidRPr="000B47D4">
        <w:rPr>
          <w:rFonts w:ascii="Times New Roman" w:hAnsi="Times New Roman" w:cs="Times New Roman"/>
          <w:sz w:val="20"/>
          <w:szCs w:val="20"/>
        </w:rPr>
        <w:t xml:space="preserve"> </w:t>
      </w:r>
      <w:proofErr w:type="spellStart"/>
      <w:r w:rsidR="00E30E01" w:rsidRPr="000B47D4">
        <w:rPr>
          <w:rFonts w:ascii="Times New Roman" w:hAnsi="Times New Roman" w:cs="Times New Roman"/>
          <w:sz w:val="20"/>
          <w:szCs w:val="20"/>
        </w:rPr>
        <w:t>aminotransferase</w:t>
      </w:r>
      <w:proofErr w:type="spellEnd"/>
      <w:r w:rsidR="00E30E01" w:rsidRPr="000B47D4">
        <w:rPr>
          <w:rFonts w:ascii="Times New Roman" w:hAnsi="Times New Roman" w:cs="Times New Roman"/>
          <w:sz w:val="20"/>
          <w:szCs w:val="20"/>
        </w:rPr>
        <w:t xml:space="preserve">, </w:t>
      </w:r>
      <w:proofErr w:type="spellStart"/>
      <w:r w:rsidR="00E30E01" w:rsidRPr="000B47D4">
        <w:rPr>
          <w:rFonts w:ascii="Times New Roman" w:hAnsi="Times New Roman" w:cs="Times New Roman"/>
          <w:sz w:val="20"/>
          <w:szCs w:val="20"/>
        </w:rPr>
        <w:t>alanine</w:t>
      </w:r>
      <w:proofErr w:type="spellEnd"/>
      <w:r w:rsidR="00E30E01" w:rsidRPr="000B47D4">
        <w:rPr>
          <w:rFonts w:ascii="Times New Roman" w:hAnsi="Times New Roman" w:cs="Times New Roman"/>
          <w:sz w:val="20"/>
          <w:szCs w:val="20"/>
        </w:rPr>
        <w:t xml:space="preserve"> </w:t>
      </w:r>
      <w:proofErr w:type="spellStart"/>
      <w:r w:rsidR="00E30E01" w:rsidRPr="000B47D4">
        <w:rPr>
          <w:rFonts w:ascii="Times New Roman" w:hAnsi="Times New Roman" w:cs="Times New Roman"/>
          <w:sz w:val="20"/>
          <w:szCs w:val="20"/>
        </w:rPr>
        <w:t>aminotransferase</w:t>
      </w:r>
      <w:proofErr w:type="spellEnd"/>
      <w:r w:rsidR="00E30E01" w:rsidRPr="000B47D4">
        <w:rPr>
          <w:rFonts w:ascii="Times New Roman" w:hAnsi="Times New Roman" w:cs="Times New Roman"/>
          <w:sz w:val="20"/>
          <w:szCs w:val="20"/>
        </w:rPr>
        <w:t>, γ-</w:t>
      </w:r>
      <w:proofErr w:type="spellStart"/>
      <w:r w:rsidR="00E30E01" w:rsidRPr="000B47D4">
        <w:rPr>
          <w:rFonts w:ascii="Times New Roman" w:hAnsi="Times New Roman" w:cs="Times New Roman"/>
          <w:sz w:val="20"/>
          <w:szCs w:val="20"/>
        </w:rPr>
        <w:t>glutamyl</w:t>
      </w:r>
      <w:proofErr w:type="spellEnd"/>
      <w:r w:rsidR="00E30E01" w:rsidRPr="000B47D4">
        <w:rPr>
          <w:rFonts w:ascii="Times New Roman" w:hAnsi="Times New Roman" w:cs="Times New Roman"/>
          <w:sz w:val="20"/>
          <w:szCs w:val="20"/>
        </w:rPr>
        <w:t xml:space="preserve"> </w:t>
      </w:r>
      <w:proofErr w:type="spellStart"/>
      <w:r w:rsidR="00E30E01" w:rsidRPr="000B47D4">
        <w:rPr>
          <w:rFonts w:ascii="Times New Roman" w:hAnsi="Times New Roman" w:cs="Times New Roman"/>
          <w:sz w:val="20"/>
          <w:szCs w:val="20"/>
        </w:rPr>
        <w:t>transferase</w:t>
      </w:r>
      <w:proofErr w:type="spellEnd"/>
      <w:r w:rsidR="00E30E01" w:rsidRPr="000B47D4">
        <w:rPr>
          <w:rFonts w:ascii="Times New Roman" w:hAnsi="Times New Roman" w:cs="Times New Roman"/>
          <w:sz w:val="20"/>
          <w:szCs w:val="20"/>
        </w:rPr>
        <w:t xml:space="preserve">, alkaline </w:t>
      </w:r>
      <w:proofErr w:type="spellStart"/>
      <w:r w:rsidR="00E30E01" w:rsidRPr="000B47D4">
        <w:rPr>
          <w:rFonts w:ascii="Times New Roman" w:hAnsi="Times New Roman" w:cs="Times New Roman"/>
          <w:sz w:val="20"/>
          <w:szCs w:val="20"/>
        </w:rPr>
        <w:t>phosphatase</w:t>
      </w:r>
      <w:proofErr w:type="spellEnd"/>
      <w:r w:rsidR="00E30E01" w:rsidRPr="000B47D4">
        <w:rPr>
          <w:rFonts w:ascii="Times New Roman" w:hAnsi="Times New Roman" w:cs="Times New Roman"/>
          <w:sz w:val="20"/>
          <w:szCs w:val="20"/>
        </w:rPr>
        <w:t xml:space="preserve">, total and direct </w:t>
      </w:r>
      <w:proofErr w:type="spellStart"/>
      <w:r w:rsidR="00E30E01" w:rsidRPr="000B47D4">
        <w:rPr>
          <w:rFonts w:ascii="Times New Roman" w:hAnsi="Times New Roman" w:cs="Times New Roman"/>
          <w:sz w:val="20"/>
          <w:szCs w:val="20"/>
        </w:rPr>
        <w:t>bilirubin</w:t>
      </w:r>
      <w:proofErr w:type="spellEnd"/>
      <w:r w:rsidR="00E30E01" w:rsidRPr="000B47D4">
        <w:rPr>
          <w:rFonts w:ascii="Times New Roman" w:hAnsi="Times New Roman" w:cs="Times New Roman"/>
          <w:sz w:val="20"/>
          <w:szCs w:val="20"/>
        </w:rPr>
        <w:t xml:space="preserve"> levels), kidney function tests (blood urea nitrogen, </w:t>
      </w:r>
      <w:proofErr w:type="spellStart"/>
      <w:r w:rsidR="00E30E01" w:rsidRPr="000B47D4">
        <w:rPr>
          <w:rFonts w:ascii="Times New Roman" w:hAnsi="Times New Roman" w:cs="Times New Roman"/>
          <w:sz w:val="20"/>
          <w:szCs w:val="20"/>
        </w:rPr>
        <w:t>creatinine</w:t>
      </w:r>
      <w:proofErr w:type="spellEnd"/>
      <w:r w:rsidR="00E30E01" w:rsidRPr="000B47D4">
        <w:rPr>
          <w:rFonts w:ascii="Times New Roman" w:hAnsi="Times New Roman" w:cs="Times New Roman"/>
          <w:sz w:val="20"/>
          <w:szCs w:val="20"/>
        </w:rPr>
        <w:t>), duration of mechanical ventilation, length of hospital stay, and complications.</w:t>
      </w:r>
    </w:p>
    <w:p w:rsidR="00E30E01" w:rsidRPr="000B47D4" w:rsidRDefault="00E30E01" w:rsidP="003B4339">
      <w:pPr>
        <w:snapToGrid w:val="0"/>
        <w:spacing w:after="0" w:line="240" w:lineRule="auto"/>
        <w:ind w:firstLine="425"/>
        <w:jc w:val="both"/>
        <w:rPr>
          <w:rFonts w:ascii="Times New Roman" w:hAnsi="Times New Roman" w:cs="Times New Roman"/>
          <w:sz w:val="20"/>
          <w:szCs w:val="20"/>
        </w:rPr>
      </w:pPr>
      <w:r w:rsidRPr="000B47D4">
        <w:rPr>
          <w:rFonts w:ascii="Times New Roman" w:hAnsi="Times New Roman" w:cs="Times New Roman"/>
          <w:sz w:val="20"/>
          <w:szCs w:val="20"/>
        </w:rPr>
        <w:t>The primary outcome measures in the present study were the duration of mechanical ventilation and length of hospital stay. Seco</w:t>
      </w:r>
      <w:r w:rsidR="00C840C7" w:rsidRPr="000B47D4">
        <w:rPr>
          <w:rFonts w:ascii="Times New Roman" w:hAnsi="Times New Roman" w:cs="Times New Roman"/>
          <w:sz w:val="20"/>
          <w:szCs w:val="20"/>
        </w:rPr>
        <w:t xml:space="preserve">ndary outcome measures included </w:t>
      </w:r>
      <w:r w:rsidRPr="000B47D4">
        <w:rPr>
          <w:rFonts w:ascii="Times New Roman" w:hAnsi="Times New Roman" w:cs="Times New Roman"/>
          <w:sz w:val="20"/>
          <w:szCs w:val="20"/>
        </w:rPr>
        <w:t>complications during feeding and biochemical parameters.</w:t>
      </w:r>
    </w:p>
    <w:p w:rsidR="00434497" w:rsidRPr="000B47D4" w:rsidRDefault="00434497" w:rsidP="003B4339">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0B47D4">
        <w:rPr>
          <w:rFonts w:ascii="Times New Roman" w:hAnsi="Times New Roman" w:cs="Times New Roman"/>
          <w:b/>
          <w:bCs/>
          <w:sz w:val="20"/>
          <w:szCs w:val="20"/>
        </w:rPr>
        <w:lastRenderedPageBreak/>
        <w:t>Nutritional Support</w:t>
      </w:r>
    </w:p>
    <w:p w:rsidR="00434497" w:rsidRPr="000B47D4" w:rsidRDefault="00434497" w:rsidP="003B4339">
      <w:pPr>
        <w:snapToGrid w:val="0"/>
        <w:spacing w:after="0" w:line="240" w:lineRule="auto"/>
        <w:ind w:firstLine="425"/>
        <w:jc w:val="both"/>
        <w:rPr>
          <w:rFonts w:ascii="Times New Roman" w:hAnsi="Times New Roman" w:cs="Times New Roman"/>
          <w:sz w:val="20"/>
          <w:szCs w:val="20"/>
        </w:rPr>
      </w:pPr>
      <w:r w:rsidRPr="000B47D4">
        <w:rPr>
          <w:rFonts w:ascii="Times New Roman" w:hAnsi="Times New Roman" w:cs="Times New Roman"/>
          <w:sz w:val="20"/>
          <w:szCs w:val="20"/>
        </w:rPr>
        <w:t xml:space="preserve">Patients received either a high fat, low carbohydrate feed or a standard </w:t>
      </w:r>
      <w:proofErr w:type="spellStart"/>
      <w:r w:rsidRPr="000B47D4">
        <w:rPr>
          <w:rFonts w:ascii="Times New Roman" w:hAnsi="Times New Roman" w:cs="Times New Roman"/>
          <w:sz w:val="20"/>
          <w:szCs w:val="20"/>
        </w:rPr>
        <w:t>enteral</w:t>
      </w:r>
      <w:proofErr w:type="spellEnd"/>
      <w:r w:rsidRPr="000B47D4">
        <w:rPr>
          <w:rFonts w:ascii="Times New Roman" w:hAnsi="Times New Roman" w:cs="Times New Roman"/>
          <w:sz w:val="20"/>
          <w:szCs w:val="20"/>
        </w:rPr>
        <w:t xml:space="preserve"> feed. The dosage prescribed was 1.5 times basal metabolic rate calculated from the tables of Harris and Benedict and was kept constant during the study.</w:t>
      </w:r>
    </w:p>
    <w:p w:rsidR="00434497" w:rsidRPr="000B47D4" w:rsidRDefault="00434497" w:rsidP="003B4339">
      <w:pPr>
        <w:snapToGrid w:val="0"/>
        <w:spacing w:after="0" w:line="240" w:lineRule="auto"/>
        <w:ind w:firstLine="425"/>
        <w:jc w:val="both"/>
        <w:rPr>
          <w:rFonts w:ascii="Times New Roman" w:hAnsi="Times New Roman" w:cs="Times New Roman"/>
          <w:sz w:val="20"/>
          <w:szCs w:val="20"/>
        </w:rPr>
      </w:pPr>
      <w:r w:rsidRPr="000B47D4">
        <w:rPr>
          <w:rFonts w:ascii="Times New Roman" w:hAnsi="Times New Roman" w:cs="Times New Roman"/>
          <w:sz w:val="20"/>
          <w:szCs w:val="20"/>
        </w:rPr>
        <w:t xml:space="preserve">The EN was given through a </w:t>
      </w:r>
      <w:proofErr w:type="spellStart"/>
      <w:r w:rsidRPr="000B47D4">
        <w:rPr>
          <w:rFonts w:ascii="Times New Roman" w:hAnsi="Times New Roman" w:cs="Times New Roman"/>
          <w:sz w:val="20"/>
          <w:szCs w:val="20"/>
        </w:rPr>
        <w:t>nasogastric</w:t>
      </w:r>
      <w:proofErr w:type="spellEnd"/>
      <w:r w:rsidRPr="000B47D4">
        <w:rPr>
          <w:rFonts w:ascii="Times New Roman" w:hAnsi="Times New Roman" w:cs="Times New Roman"/>
          <w:sz w:val="20"/>
          <w:szCs w:val="20"/>
        </w:rPr>
        <w:t xml:space="preserve"> tube by continuous flow for 24 h per day using a </w:t>
      </w:r>
      <w:proofErr w:type="spellStart"/>
      <w:r w:rsidRPr="000B47D4">
        <w:rPr>
          <w:rFonts w:ascii="Times New Roman" w:hAnsi="Times New Roman" w:cs="Times New Roman"/>
          <w:sz w:val="20"/>
          <w:szCs w:val="20"/>
        </w:rPr>
        <w:t>Flexiflo</w:t>
      </w:r>
      <w:proofErr w:type="spellEnd"/>
      <w:r w:rsidRPr="000B47D4">
        <w:rPr>
          <w:rFonts w:ascii="Times New Roman" w:hAnsi="Times New Roman" w:cs="Times New Roman"/>
          <w:sz w:val="20"/>
          <w:szCs w:val="20"/>
        </w:rPr>
        <w:t xml:space="preserve"> II </w:t>
      </w:r>
      <w:proofErr w:type="spellStart"/>
      <w:r w:rsidRPr="000B47D4">
        <w:rPr>
          <w:rFonts w:ascii="Times New Roman" w:hAnsi="Times New Roman" w:cs="Times New Roman"/>
          <w:sz w:val="20"/>
          <w:szCs w:val="20"/>
        </w:rPr>
        <w:t>enteral</w:t>
      </w:r>
      <w:proofErr w:type="spellEnd"/>
      <w:r w:rsidRPr="000B47D4">
        <w:rPr>
          <w:rFonts w:ascii="Times New Roman" w:hAnsi="Times New Roman" w:cs="Times New Roman"/>
          <w:sz w:val="20"/>
          <w:szCs w:val="20"/>
        </w:rPr>
        <w:t xml:space="preserve"> feeding pump</w:t>
      </w:r>
      <w:r w:rsidR="003B4339" w:rsidRPr="000B47D4">
        <w:rPr>
          <w:rFonts w:ascii="Times New Roman" w:hAnsi="Times New Roman" w:cs="Times New Roman"/>
          <w:sz w:val="20"/>
          <w:szCs w:val="20"/>
        </w:rPr>
        <w:t>. A</w:t>
      </w:r>
      <w:r w:rsidRPr="000B47D4">
        <w:rPr>
          <w:rFonts w:ascii="Times New Roman" w:hAnsi="Times New Roman" w:cs="Times New Roman"/>
          <w:sz w:val="20"/>
          <w:szCs w:val="20"/>
        </w:rPr>
        <w:t xml:space="preserve">s high fat, low carbohydrate </w:t>
      </w:r>
      <w:proofErr w:type="spellStart"/>
      <w:r w:rsidRPr="000B47D4">
        <w:rPr>
          <w:rFonts w:ascii="Times New Roman" w:hAnsi="Times New Roman" w:cs="Times New Roman"/>
          <w:sz w:val="20"/>
          <w:szCs w:val="20"/>
        </w:rPr>
        <w:t>enteral</w:t>
      </w:r>
      <w:proofErr w:type="spellEnd"/>
      <w:r w:rsidRPr="000B47D4">
        <w:rPr>
          <w:rFonts w:ascii="Times New Roman" w:hAnsi="Times New Roman" w:cs="Times New Roman"/>
          <w:sz w:val="20"/>
          <w:szCs w:val="20"/>
        </w:rPr>
        <w:t xml:space="preserve"> feed, a diet consisting of 16.7~ protein, 55.2% fat and 28.1% carbohydrates, was used. As standard </w:t>
      </w:r>
      <w:proofErr w:type="spellStart"/>
      <w:r w:rsidRPr="000B47D4">
        <w:rPr>
          <w:rFonts w:ascii="Times New Roman" w:hAnsi="Times New Roman" w:cs="Times New Roman"/>
          <w:sz w:val="20"/>
          <w:szCs w:val="20"/>
        </w:rPr>
        <w:t>enteral</w:t>
      </w:r>
      <w:proofErr w:type="spellEnd"/>
      <w:r w:rsidRPr="000B47D4">
        <w:rPr>
          <w:rFonts w:ascii="Times New Roman" w:hAnsi="Times New Roman" w:cs="Times New Roman"/>
          <w:sz w:val="20"/>
          <w:szCs w:val="20"/>
        </w:rPr>
        <w:t xml:space="preserve"> nutrition, a diet consisting of 16.7% protein, 30% fat and 53.3% carbohydrates, was used.</w:t>
      </w:r>
    </w:p>
    <w:p w:rsidR="00404302" w:rsidRPr="000B47D4" w:rsidRDefault="00404302" w:rsidP="003B4339">
      <w:pPr>
        <w:pStyle w:val="ListParagraph"/>
        <w:numPr>
          <w:ilvl w:val="0"/>
          <w:numId w:val="1"/>
        </w:numPr>
        <w:snapToGrid w:val="0"/>
        <w:spacing w:after="0" w:line="240" w:lineRule="auto"/>
        <w:ind w:left="0" w:firstLine="0"/>
        <w:jc w:val="both"/>
        <w:rPr>
          <w:rFonts w:ascii="Times New Roman" w:hAnsi="Times New Roman" w:cs="Times New Roman"/>
          <w:b/>
          <w:bCs/>
          <w:sz w:val="20"/>
          <w:szCs w:val="20"/>
        </w:rPr>
      </w:pPr>
      <w:r w:rsidRPr="000B47D4">
        <w:rPr>
          <w:rFonts w:ascii="Times New Roman" w:hAnsi="Times New Roman" w:cs="Times New Roman"/>
          <w:b/>
          <w:bCs/>
          <w:sz w:val="20"/>
          <w:szCs w:val="20"/>
        </w:rPr>
        <w:t>Statistical Analysis</w:t>
      </w:r>
    </w:p>
    <w:p w:rsidR="00DF1737" w:rsidRPr="000B47D4" w:rsidRDefault="00F9346F" w:rsidP="003B4339">
      <w:pPr>
        <w:snapToGrid w:val="0"/>
        <w:spacing w:after="0" w:line="240" w:lineRule="auto"/>
        <w:ind w:firstLine="425"/>
        <w:jc w:val="both"/>
        <w:rPr>
          <w:rFonts w:ascii="Times New Roman" w:hAnsi="Times New Roman" w:cs="Times New Roman"/>
          <w:sz w:val="20"/>
          <w:szCs w:val="20"/>
        </w:rPr>
      </w:pPr>
      <w:r w:rsidRPr="000B47D4">
        <w:rPr>
          <w:rFonts w:ascii="Times New Roman" w:hAnsi="Times New Roman" w:cs="Times New Roman"/>
          <w:sz w:val="20"/>
          <w:szCs w:val="20"/>
        </w:rPr>
        <w:t xml:space="preserve">The collected data were summarized in terms of mean ± Standard Deviation (SD) and range (minimum - maximum) for quantitative data and frequency and percentage for qualitative data. Comparisons between the different study groups were carried out using the Chi-square test (χ2) and the Fisher Exact Test to compare proportions as appropriate, the Independent t-test (t) was used to detect difference between parametric quantitative data, while the Mann-Whitney U test was used to </w:t>
      </w:r>
      <w:r w:rsidR="00BD0FDF" w:rsidRPr="000B47D4">
        <w:rPr>
          <w:rFonts w:ascii="Times New Roman" w:hAnsi="Times New Roman" w:cs="Times New Roman"/>
          <w:sz w:val="20"/>
          <w:szCs w:val="20"/>
        </w:rPr>
        <w:t>compare non</w:t>
      </w:r>
      <w:r w:rsidRPr="000B47D4">
        <w:rPr>
          <w:rFonts w:ascii="Times New Roman" w:hAnsi="Times New Roman" w:cs="Times New Roman"/>
          <w:sz w:val="20"/>
          <w:szCs w:val="20"/>
        </w:rPr>
        <w:t xml:space="preserve">-parametric data. </w:t>
      </w:r>
      <w:r w:rsidR="00BD0FDF" w:rsidRPr="000B47D4">
        <w:rPr>
          <w:rFonts w:ascii="Times New Roman" w:hAnsi="Times New Roman" w:cs="Times New Roman"/>
          <w:sz w:val="20"/>
          <w:szCs w:val="20"/>
        </w:rPr>
        <w:t>Pearson’</w:t>
      </w:r>
      <w:r w:rsidR="003B4339" w:rsidRPr="000B47D4">
        <w:rPr>
          <w:rFonts w:ascii="Times New Roman" w:hAnsi="Times New Roman" w:cs="Times New Roman"/>
          <w:sz w:val="20"/>
          <w:szCs w:val="20"/>
        </w:rPr>
        <w:t>s C</w:t>
      </w:r>
      <w:r w:rsidRPr="000B47D4">
        <w:rPr>
          <w:rFonts w:ascii="Times New Roman" w:hAnsi="Times New Roman" w:cs="Times New Roman"/>
          <w:sz w:val="20"/>
          <w:szCs w:val="20"/>
        </w:rPr>
        <w:t>orrelation coefficient was used to test for the correlation between mecha</w:t>
      </w:r>
      <w:r w:rsidR="00BD0FDF" w:rsidRPr="000B47D4">
        <w:rPr>
          <w:rFonts w:ascii="Times New Roman" w:hAnsi="Times New Roman" w:cs="Times New Roman"/>
          <w:sz w:val="20"/>
          <w:szCs w:val="20"/>
        </w:rPr>
        <w:t xml:space="preserve">nical ventilation duration and </w:t>
      </w:r>
      <w:r w:rsidRPr="000B47D4">
        <w:rPr>
          <w:rFonts w:ascii="Times New Roman" w:hAnsi="Times New Roman" w:cs="Times New Roman"/>
          <w:sz w:val="20"/>
          <w:szCs w:val="20"/>
        </w:rPr>
        <w:t xml:space="preserve">length of stay in the </w:t>
      </w:r>
      <w:r w:rsidR="00BD0FDF" w:rsidRPr="000B47D4">
        <w:rPr>
          <w:rFonts w:ascii="Times New Roman" w:hAnsi="Times New Roman" w:cs="Times New Roman"/>
          <w:sz w:val="20"/>
          <w:szCs w:val="20"/>
        </w:rPr>
        <w:t>ICU with</w:t>
      </w:r>
      <w:r w:rsidRPr="000B47D4">
        <w:rPr>
          <w:rFonts w:ascii="Times New Roman" w:hAnsi="Times New Roman" w:cs="Times New Roman"/>
          <w:sz w:val="20"/>
          <w:szCs w:val="20"/>
        </w:rPr>
        <w:t xml:space="preserve"> the studied variables.</w:t>
      </w:r>
      <w:r w:rsidR="00BD0FDF" w:rsidRPr="000B47D4">
        <w:rPr>
          <w:rFonts w:ascii="Times New Roman" w:hAnsi="Times New Roman" w:cs="Times New Roman"/>
          <w:sz w:val="20"/>
          <w:szCs w:val="20"/>
        </w:rPr>
        <w:t xml:space="preserve"> A P value &lt;0.05</w:t>
      </w:r>
      <w:r w:rsidRPr="000B47D4">
        <w:rPr>
          <w:rFonts w:ascii="Times New Roman" w:hAnsi="Times New Roman" w:cs="Times New Roman"/>
          <w:sz w:val="20"/>
          <w:szCs w:val="20"/>
        </w:rPr>
        <w:t xml:space="preserve"> was considered </w:t>
      </w:r>
      <w:r w:rsidR="00BD0FDF" w:rsidRPr="000B47D4">
        <w:rPr>
          <w:rFonts w:ascii="Times New Roman" w:hAnsi="Times New Roman" w:cs="Times New Roman"/>
          <w:sz w:val="20"/>
          <w:szCs w:val="20"/>
        </w:rPr>
        <w:t xml:space="preserve">statistically significant. </w:t>
      </w:r>
      <w:r w:rsidRPr="000B47D4">
        <w:rPr>
          <w:rFonts w:ascii="Times New Roman" w:hAnsi="Times New Roman" w:cs="Times New Roman"/>
          <w:sz w:val="20"/>
          <w:szCs w:val="20"/>
        </w:rPr>
        <w:t>The statistical analysis was conducted using SPSS version 21</w:t>
      </w:r>
      <w:r w:rsidR="00404302" w:rsidRPr="000B47D4">
        <w:rPr>
          <w:rFonts w:ascii="Times New Roman" w:hAnsi="Times New Roman" w:cs="Times New Roman"/>
          <w:sz w:val="20"/>
          <w:szCs w:val="20"/>
        </w:rPr>
        <w:t>.</w:t>
      </w:r>
    </w:p>
    <w:p w:rsidR="00E601E2" w:rsidRPr="000B47D4" w:rsidRDefault="00E601E2" w:rsidP="003B4339">
      <w:pPr>
        <w:snapToGrid w:val="0"/>
        <w:spacing w:after="0" w:line="240" w:lineRule="auto"/>
        <w:ind w:firstLine="425"/>
        <w:jc w:val="both"/>
        <w:rPr>
          <w:rFonts w:ascii="Times New Roman" w:hAnsi="Times New Roman" w:cs="Times New Roman"/>
          <w:sz w:val="20"/>
          <w:szCs w:val="20"/>
        </w:rPr>
      </w:pPr>
    </w:p>
    <w:p w:rsidR="00E601E2" w:rsidRPr="000B47D4" w:rsidRDefault="00DD2561" w:rsidP="003B4339">
      <w:pPr>
        <w:snapToGrid w:val="0"/>
        <w:spacing w:after="0" w:line="240" w:lineRule="auto"/>
        <w:jc w:val="both"/>
        <w:rPr>
          <w:rFonts w:ascii="Times New Roman" w:hAnsi="Times New Roman" w:cs="Times New Roman"/>
          <w:sz w:val="20"/>
          <w:szCs w:val="20"/>
        </w:rPr>
      </w:pPr>
      <w:r w:rsidRPr="000B47D4">
        <w:rPr>
          <w:rFonts w:ascii="Times New Roman" w:hAnsi="Times New Roman" w:cs="Times New Roman"/>
          <w:b/>
          <w:bCs/>
          <w:sz w:val="20"/>
          <w:szCs w:val="20"/>
        </w:rPr>
        <w:t xml:space="preserve">3. </w:t>
      </w:r>
      <w:r w:rsidR="00E601E2" w:rsidRPr="000B47D4">
        <w:rPr>
          <w:rFonts w:ascii="Times New Roman" w:hAnsi="Times New Roman" w:cs="Times New Roman"/>
          <w:b/>
          <w:bCs/>
          <w:sz w:val="20"/>
          <w:szCs w:val="20"/>
        </w:rPr>
        <w:t>Results</w:t>
      </w:r>
      <w:r w:rsidR="00E601E2" w:rsidRPr="000B47D4">
        <w:rPr>
          <w:rFonts w:ascii="Times New Roman" w:hAnsi="Times New Roman" w:cs="Times New Roman"/>
          <w:sz w:val="20"/>
          <w:szCs w:val="20"/>
        </w:rPr>
        <w:t>:</w:t>
      </w:r>
    </w:p>
    <w:p w:rsidR="003B4339" w:rsidRDefault="003B4339" w:rsidP="003B4339">
      <w:pPr>
        <w:snapToGrid w:val="0"/>
        <w:spacing w:after="0" w:line="240" w:lineRule="auto"/>
        <w:ind w:firstLine="425"/>
        <w:jc w:val="both"/>
        <w:rPr>
          <w:rFonts w:ascii="Times New Roman" w:hAnsi="Times New Roman" w:cs="Times New Roman" w:hint="eastAsia"/>
          <w:sz w:val="20"/>
          <w:szCs w:val="20"/>
          <w:lang w:eastAsia="zh-CN"/>
        </w:rPr>
      </w:pPr>
      <w:r w:rsidRPr="000B47D4">
        <w:rPr>
          <w:rFonts w:ascii="Times New Roman" w:hAnsi="Times New Roman" w:cs="Times New Roman"/>
          <w:sz w:val="20"/>
          <w:szCs w:val="20"/>
        </w:rPr>
        <w:t xml:space="preserve">The mean mechanical ventilation duration in group A was 8.5 ± 4.7days and in group B 4.4 ± 1.6 days, the difference between both group was statistically significant (p &lt;0.001; </w:t>
      </w:r>
      <w:r w:rsidRPr="000B47D4">
        <w:rPr>
          <w:rFonts w:ascii="Times New Roman" w:hAnsi="Times New Roman" w:cs="Times New Roman"/>
          <w:b/>
          <w:bCs/>
          <w:sz w:val="20"/>
          <w:szCs w:val="20"/>
        </w:rPr>
        <w:t>Figure</w:t>
      </w:r>
      <w:r w:rsidR="000B47D4">
        <w:rPr>
          <w:rFonts w:ascii="Times New Roman" w:hAnsi="Times New Roman" w:cs="Times New Roman" w:hint="eastAsia"/>
          <w:b/>
          <w:bCs/>
          <w:sz w:val="20"/>
          <w:szCs w:val="20"/>
          <w:lang w:eastAsia="zh-CN"/>
        </w:rPr>
        <w:t xml:space="preserve"> </w:t>
      </w:r>
      <w:r w:rsidRPr="000B47D4">
        <w:rPr>
          <w:rFonts w:ascii="Times New Roman" w:hAnsi="Times New Roman" w:cs="Times New Roman"/>
          <w:b/>
          <w:bCs/>
          <w:sz w:val="20"/>
          <w:szCs w:val="20"/>
        </w:rPr>
        <w:t>1</w:t>
      </w:r>
      <w:r w:rsidRPr="000B47D4">
        <w:rPr>
          <w:rFonts w:ascii="Times New Roman" w:hAnsi="Times New Roman" w:cs="Times New Roman"/>
          <w:sz w:val="20"/>
          <w:szCs w:val="20"/>
        </w:rPr>
        <w:t>).</w:t>
      </w:r>
    </w:p>
    <w:p w:rsidR="000B47D4" w:rsidRPr="000B47D4" w:rsidRDefault="000B47D4" w:rsidP="003B4339">
      <w:pPr>
        <w:snapToGrid w:val="0"/>
        <w:spacing w:after="0" w:line="240" w:lineRule="auto"/>
        <w:ind w:firstLine="425"/>
        <w:jc w:val="both"/>
        <w:rPr>
          <w:rFonts w:ascii="Times New Roman" w:hAnsi="Times New Roman" w:cs="Times New Roman" w:hint="eastAsia"/>
          <w:sz w:val="20"/>
          <w:szCs w:val="20"/>
          <w:lang w:eastAsia="zh-CN"/>
        </w:rPr>
      </w:pPr>
    </w:p>
    <w:p w:rsidR="003B4339" w:rsidRPr="000B47D4" w:rsidRDefault="003B4339" w:rsidP="003B4339">
      <w:pPr>
        <w:snapToGrid w:val="0"/>
        <w:spacing w:after="0" w:line="240" w:lineRule="auto"/>
        <w:ind w:firstLine="425"/>
        <w:jc w:val="both"/>
        <w:rPr>
          <w:rFonts w:ascii="Times New Roman" w:hAnsi="Times New Roman" w:cs="Times New Roman"/>
          <w:sz w:val="20"/>
          <w:szCs w:val="20"/>
          <w:lang w:eastAsia="zh-CN"/>
        </w:rPr>
      </w:pPr>
    </w:p>
    <w:p w:rsidR="003B4339" w:rsidRPr="000B47D4" w:rsidRDefault="003B4339" w:rsidP="003B4339">
      <w:pPr>
        <w:snapToGrid w:val="0"/>
        <w:spacing w:after="0" w:line="240" w:lineRule="auto"/>
        <w:jc w:val="center"/>
        <w:rPr>
          <w:rFonts w:ascii="Times New Roman" w:hAnsi="Times New Roman" w:cs="Times New Roman"/>
          <w:sz w:val="20"/>
          <w:szCs w:val="20"/>
        </w:rPr>
      </w:pPr>
      <w:r w:rsidRPr="000B47D4">
        <w:rPr>
          <w:rFonts w:ascii="Times New Roman" w:hAnsi="Times New Roman" w:cs="Times New Roman"/>
          <w:noProof/>
          <w:sz w:val="20"/>
          <w:szCs w:val="20"/>
          <w:lang w:eastAsia="zh-CN"/>
        </w:rPr>
        <w:drawing>
          <wp:inline distT="0" distB="0" distL="0" distR="0">
            <wp:extent cx="2814920" cy="1693628"/>
            <wp:effectExtent l="19050" t="0" r="448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821781" cy="1697756"/>
                    </a:xfrm>
                    <a:prstGeom prst="rect">
                      <a:avLst/>
                    </a:prstGeom>
                    <a:noFill/>
                    <a:ln w="9525">
                      <a:noFill/>
                      <a:miter lim="800000"/>
                      <a:headEnd/>
                      <a:tailEnd/>
                    </a:ln>
                  </pic:spPr>
                </pic:pic>
              </a:graphicData>
            </a:graphic>
          </wp:inline>
        </w:drawing>
      </w:r>
    </w:p>
    <w:p w:rsidR="003B4339" w:rsidRDefault="000B47D4" w:rsidP="000B47D4">
      <w:pPr>
        <w:snapToGrid w:val="0"/>
        <w:spacing w:after="0" w:line="240" w:lineRule="auto"/>
        <w:jc w:val="both"/>
        <w:rPr>
          <w:rFonts w:ascii="Times New Roman" w:hAnsi="Times New Roman" w:cs="Times New Roman" w:hint="eastAsia"/>
          <w:sz w:val="20"/>
          <w:szCs w:val="20"/>
          <w:lang w:eastAsia="zh-CN"/>
        </w:rPr>
      </w:pPr>
      <w:r w:rsidRPr="000B47D4">
        <w:rPr>
          <w:rFonts w:ascii="Times New Roman" w:hAnsi="Times New Roman" w:cs="Times New Roman"/>
          <w:b/>
          <w:bCs/>
          <w:sz w:val="20"/>
          <w:szCs w:val="20"/>
        </w:rPr>
        <w:t>Figure</w:t>
      </w:r>
      <w:r>
        <w:rPr>
          <w:rFonts w:ascii="Times New Roman" w:hAnsi="Times New Roman" w:cs="Times New Roman" w:hint="eastAsia"/>
          <w:b/>
          <w:bCs/>
          <w:sz w:val="20"/>
          <w:szCs w:val="20"/>
          <w:lang w:eastAsia="zh-CN"/>
        </w:rPr>
        <w:t xml:space="preserve"> </w:t>
      </w:r>
      <w:r w:rsidRPr="000B47D4">
        <w:rPr>
          <w:rFonts w:ascii="Times New Roman" w:hAnsi="Times New Roman" w:cs="Times New Roman"/>
          <w:b/>
          <w:bCs/>
          <w:sz w:val="20"/>
          <w:szCs w:val="20"/>
        </w:rPr>
        <w:t>1</w:t>
      </w:r>
      <w:r>
        <w:rPr>
          <w:rFonts w:ascii="Times New Roman" w:hAnsi="Times New Roman" w:cs="Times New Roman" w:hint="eastAsia"/>
          <w:b/>
          <w:bCs/>
          <w:sz w:val="20"/>
          <w:szCs w:val="20"/>
          <w:lang w:eastAsia="zh-CN"/>
        </w:rPr>
        <w:t>．</w:t>
      </w:r>
      <w:r>
        <w:rPr>
          <w:rFonts w:ascii="Times New Roman" w:hAnsi="Times New Roman" w:cs="Times New Roman" w:hint="eastAsia"/>
          <w:b/>
          <w:bCs/>
          <w:sz w:val="20"/>
          <w:szCs w:val="20"/>
          <w:lang w:eastAsia="zh-CN"/>
        </w:rPr>
        <w:t xml:space="preserve"> </w:t>
      </w:r>
      <w:r w:rsidRPr="000B47D4">
        <w:rPr>
          <w:rFonts w:ascii="Times New Roman" w:hAnsi="Times New Roman" w:cs="Times New Roman"/>
          <w:sz w:val="20"/>
          <w:szCs w:val="20"/>
        </w:rPr>
        <w:t>The mean mechanical ventilation duration in group A was 8.5 ± 4.7days and in group B 4.4 ± 1.6 days, the difference between both group was statistically significant (p &lt;0.001)</w:t>
      </w:r>
    </w:p>
    <w:p w:rsidR="000B47D4" w:rsidRPr="000B47D4" w:rsidRDefault="000B47D4" w:rsidP="003B4339">
      <w:pPr>
        <w:snapToGrid w:val="0"/>
        <w:spacing w:after="0" w:line="240" w:lineRule="auto"/>
        <w:ind w:firstLine="425"/>
        <w:jc w:val="both"/>
        <w:rPr>
          <w:rFonts w:ascii="Times New Roman" w:hAnsi="Times New Roman" w:cs="Times New Roman" w:hint="eastAsia"/>
          <w:sz w:val="20"/>
          <w:szCs w:val="20"/>
          <w:lang w:eastAsia="zh-CN"/>
        </w:rPr>
      </w:pPr>
    </w:p>
    <w:p w:rsidR="00E601E2" w:rsidRPr="000B47D4" w:rsidRDefault="00F47042" w:rsidP="003B4339">
      <w:pPr>
        <w:snapToGrid w:val="0"/>
        <w:spacing w:after="0" w:line="240" w:lineRule="auto"/>
        <w:ind w:firstLine="425"/>
        <w:jc w:val="both"/>
        <w:rPr>
          <w:rFonts w:ascii="Times New Roman" w:hAnsi="Times New Roman" w:cs="Times New Roman"/>
          <w:sz w:val="20"/>
          <w:szCs w:val="20"/>
        </w:rPr>
      </w:pPr>
      <w:r w:rsidRPr="000B47D4">
        <w:rPr>
          <w:rFonts w:ascii="Times New Roman" w:hAnsi="Times New Roman" w:cs="Times New Roman"/>
          <w:sz w:val="20"/>
          <w:szCs w:val="20"/>
        </w:rPr>
        <w:lastRenderedPageBreak/>
        <w:t>Twenty patients were included in group A and similar number of patients were included in group B</w:t>
      </w:r>
      <w:r w:rsidR="003B4339" w:rsidRPr="000B47D4">
        <w:rPr>
          <w:rFonts w:ascii="Times New Roman" w:hAnsi="Times New Roman" w:cs="Times New Roman"/>
          <w:sz w:val="20"/>
          <w:szCs w:val="20"/>
        </w:rPr>
        <w:t>. T</w:t>
      </w:r>
      <w:r w:rsidR="004F6C02" w:rsidRPr="000B47D4">
        <w:rPr>
          <w:rFonts w:ascii="Times New Roman" w:hAnsi="Times New Roman" w:cs="Times New Roman"/>
          <w:sz w:val="20"/>
          <w:szCs w:val="20"/>
        </w:rPr>
        <w:t xml:space="preserve">he mean age in group A was 58.5 ±9.94 years, while the mean age in group B was 57.35±7.66 years. Almost half of the included patients were smokers, hypertensive, and diabetic. Only 4 patients (20%) in group A and 3 patients (15%) in group B had interstitial pulmonary fibrosis (IPF). </w:t>
      </w:r>
      <w:r w:rsidR="004214AA" w:rsidRPr="000B47D4">
        <w:rPr>
          <w:rFonts w:ascii="Times New Roman" w:hAnsi="Times New Roman" w:cs="Times New Roman"/>
          <w:sz w:val="20"/>
          <w:szCs w:val="20"/>
        </w:rPr>
        <w:t xml:space="preserve">The mean BMI in group A was 35.5 ±11.5 and 38.7 ± 10.5 in group B. There was no statistically significant difference </w:t>
      </w:r>
      <w:r w:rsidR="004214AA" w:rsidRPr="000B47D4">
        <w:rPr>
          <w:rFonts w:ascii="Times New Roman" w:hAnsi="Times New Roman" w:cs="Times New Roman"/>
          <w:sz w:val="20"/>
          <w:szCs w:val="20"/>
        </w:rPr>
        <w:lastRenderedPageBreak/>
        <w:t xml:space="preserve">between both groups in any of the demographic characteristics or vital signs (p &gt;0.05). Moreover, </w:t>
      </w:r>
      <w:r w:rsidR="00173FD4" w:rsidRPr="000B47D4">
        <w:rPr>
          <w:rFonts w:ascii="Times New Roman" w:hAnsi="Times New Roman" w:cs="Times New Roman"/>
          <w:sz w:val="20"/>
          <w:szCs w:val="20"/>
        </w:rPr>
        <w:t>there was no significant difference between the two groups in terms o</w:t>
      </w:r>
      <w:r w:rsidR="003B4339" w:rsidRPr="000B47D4">
        <w:rPr>
          <w:rFonts w:ascii="Times New Roman" w:hAnsi="Times New Roman" w:cs="Times New Roman"/>
          <w:sz w:val="20"/>
          <w:szCs w:val="20"/>
        </w:rPr>
        <w:t>f G</w:t>
      </w:r>
      <w:r w:rsidR="00173FD4" w:rsidRPr="000B47D4">
        <w:rPr>
          <w:rFonts w:ascii="Times New Roman" w:hAnsi="Times New Roman" w:cs="Times New Roman"/>
          <w:sz w:val="20"/>
          <w:szCs w:val="20"/>
        </w:rPr>
        <w:t>CS, APACHE II score, or SOFA score (p =0.16, 0.54, and 0.13, respectively</w:t>
      </w:r>
      <w:r w:rsidR="001D058C" w:rsidRPr="000B47D4">
        <w:rPr>
          <w:rFonts w:ascii="Times New Roman" w:hAnsi="Times New Roman" w:cs="Times New Roman"/>
          <w:sz w:val="20"/>
          <w:szCs w:val="20"/>
        </w:rPr>
        <w:t>). Notably, the serum potassium, phosphorus, and magnesium levels were significantly higher in group B than group A (p &lt;0.001), however, there was no significant difference between the two groups in terms of the other laboratory findings (</w:t>
      </w:r>
      <w:r w:rsidR="001D058C" w:rsidRPr="000B47D4">
        <w:rPr>
          <w:rFonts w:ascii="Times New Roman" w:hAnsi="Times New Roman" w:cs="Times New Roman"/>
          <w:b/>
          <w:bCs/>
          <w:sz w:val="20"/>
          <w:szCs w:val="20"/>
        </w:rPr>
        <w:t>Table</w:t>
      </w:r>
      <w:r w:rsidR="000B47D4">
        <w:rPr>
          <w:rFonts w:ascii="Times New Roman" w:hAnsi="Times New Roman" w:cs="Times New Roman" w:hint="eastAsia"/>
          <w:b/>
          <w:bCs/>
          <w:sz w:val="20"/>
          <w:szCs w:val="20"/>
          <w:lang w:eastAsia="zh-CN"/>
        </w:rPr>
        <w:t xml:space="preserve"> </w:t>
      </w:r>
      <w:r w:rsidR="001D058C" w:rsidRPr="000B47D4">
        <w:rPr>
          <w:rFonts w:ascii="Times New Roman" w:hAnsi="Times New Roman" w:cs="Times New Roman"/>
          <w:b/>
          <w:bCs/>
          <w:sz w:val="20"/>
          <w:szCs w:val="20"/>
        </w:rPr>
        <w:t>1</w:t>
      </w:r>
      <w:r w:rsidR="001D058C" w:rsidRPr="000B47D4">
        <w:rPr>
          <w:rFonts w:ascii="Times New Roman" w:hAnsi="Times New Roman" w:cs="Times New Roman"/>
          <w:sz w:val="20"/>
          <w:szCs w:val="20"/>
        </w:rPr>
        <w:t>).</w:t>
      </w:r>
    </w:p>
    <w:p w:rsidR="003B4339" w:rsidRPr="000B47D4" w:rsidRDefault="003B4339" w:rsidP="003B4339">
      <w:pPr>
        <w:pStyle w:val="ListParagraph"/>
        <w:snapToGrid w:val="0"/>
        <w:spacing w:after="0" w:line="240" w:lineRule="auto"/>
        <w:ind w:left="0"/>
        <w:jc w:val="both"/>
        <w:rPr>
          <w:rFonts w:ascii="Times New Roman" w:hAnsi="Times New Roman" w:cs="Times New Roman"/>
          <w:b/>
          <w:bCs/>
          <w:i/>
          <w:iCs/>
          <w:sz w:val="20"/>
          <w:szCs w:val="20"/>
          <w:u w:val="single"/>
          <w:lang w:bidi="ar-EG"/>
        </w:rPr>
        <w:sectPr w:rsidR="003B4339" w:rsidRPr="000B47D4" w:rsidSect="003B4339">
          <w:type w:val="continuous"/>
          <w:pgSz w:w="12240" w:h="15840" w:code="1"/>
          <w:pgMar w:top="1440" w:right="1440" w:bottom="1440" w:left="1440" w:header="720" w:footer="720" w:gutter="0"/>
          <w:cols w:num="2" w:space="550"/>
          <w:docGrid w:linePitch="360"/>
        </w:sectPr>
      </w:pPr>
    </w:p>
    <w:p w:rsidR="00906E5B" w:rsidRDefault="00906E5B" w:rsidP="003B4339">
      <w:pPr>
        <w:pStyle w:val="ListParagraph"/>
        <w:snapToGrid w:val="0"/>
        <w:spacing w:after="0" w:line="240" w:lineRule="auto"/>
        <w:ind w:left="0"/>
        <w:jc w:val="both"/>
        <w:rPr>
          <w:rFonts w:ascii="Times New Roman" w:hAnsi="Times New Roman" w:cs="Times New Roman" w:hint="eastAsia"/>
          <w:b/>
          <w:bCs/>
          <w:i/>
          <w:iCs/>
          <w:sz w:val="20"/>
          <w:szCs w:val="20"/>
          <w:u w:val="single"/>
          <w:lang w:eastAsia="zh-CN" w:bidi="ar-EG"/>
        </w:rPr>
      </w:pPr>
    </w:p>
    <w:p w:rsidR="000B47D4" w:rsidRDefault="000B47D4" w:rsidP="003B4339">
      <w:pPr>
        <w:pStyle w:val="ListParagraph"/>
        <w:snapToGrid w:val="0"/>
        <w:spacing w:after="0" w:line="240" w:lineRule="auto"/>
        <w:ind w:left="0"/>
        <w:jc w:val="both"/>
        <w:rPr>
          <w:rFonts w:ascii="Times New Roman" w:hAnsi="Times New Roman" w:cs="Times New Roman" w:hint="eastAsia"/>
          <w:b/>
          <w:bCs/>
          <w:sz w:val="20"/>
          <w:szCs w:val="20"/>
          <w:lang w:eastAsia="zh-CN"/>
        </w:rPr>
      </w:pPr>
    </w:p>
    <w:p w:rsidR="000B47D4" w:rsidRPr="000B47D4" w:rsidRDefault="000B47D4" w:rsidP="003B4339">
      <w:pPr>
        <w:pStyle w:val="ListParagraph"/>
        <w:snapToGrid w:val="0"/>
        <w:spacing w:after="0" w:line="240" w:lineRule="auto"/>
        <w:ind w:left="0"/>
        <w:jc w:val="both"/>
        <w:rPr>
          <w:rFonts w:ascii="Times New Roman" w:hAnsi="Times New Roman" w:cs="Times New Roman" w:hint="eastAsia"/>
          <w:b/>
          <w:bCs/>
          <w:i/>
          <w:iCs/>
          <w:sz w:val="20"/>
          <w:szCs w:val="20"/>
          <w:u w:val="single"/>
          <w:lang w:eastAsia="zh-CN" w:bidi="ar-EG"/>
        </w:rPr>
      </w:pPr>
      <w:r w:rsidRPr="000B47D4">
        <w:rPr>
          <w:rFonts w:ascii="Times New Roman" w:hAnsi="Times New Roman" w:cs="Times New Roman"/>
          <w:b/>
          <w:bCs/>
          <w:sz w:val="20"/>
          <w:szCs w:val="20"/>
        </w:rPr>
        <w:t>Table</w:t>
      </w:r>
      <w:r>
        <w:rPr>
          <w:rFonts w:ascii="Times New Roman" w:hAnsi="Times New Roman" w:cs="Times New Roman" w:hint="eastAsia"/>
          <w:b/>
          <w:bCs/>
          <w:sz w:val="20"/>
          <w:szCs w:val="20"/>
          <w:lang w:eastAsia="zh-CN"/>
        </w:rPr>
        <w:t xml:space="preserve"> </w:t>
      </w:r>
      <w:r w:rsidRPr="000B47D4">
        <w:rPr>
          <w:rFonts w:ascii="Times New Roman" w:hAnsi="Times New Roman" w:cs="Times New Roman"/>
          <w:b/>
          <w:bCs/>
          <w:sz w:val="20"/>
          <w:szCs w:val="20"/>
        </w:rPr>
        <w:t>1</w:t>
      </w:r>
      <w:r>
        <w:rPr>
          <w:rFonts w:ascii="Times New Roman" w:hAnsi="Times New Roman" w:cs="Times New Roman" w:hint="eastAsia"/>
          <w:sz w:val="20"/>
          <w:szCs w:val="20"/>
          <w:lang w:eastAsia="zh-CN"/>
        </w:rPr>
        <w:t>. T</w:t>
      </w:r>
      <w:r w:rsidRPr="000B47D4">
        <w:rPr>
          <w:rFonts w:ascii="Times New Roman" w:hAnsi="Times New Roman" w:cs="Times New Roman"/>
          <w:sz w:val="20"/>
          <w:szCs w:val="20"/>
        </w:rPr>
        <w:t>he serum potassium, phosphorus, and magnesium levels were significantly higher in group B than group A (p &lt;0.001), however, there was no significant difference between the two groups in terms of the other laboratory findings</w:t>
      </w:r>
    </w:p>
    <w:tbl>
      <w:tblPr>
        <w:tblStyle w:val="MediumGrid3-Accent1"/>
        <w:tblW w:w="5000" w:type="pct"/>
        <w:jc w:val="center"/>
        <w:tblCellMar>
          <w:left w:w="57" w:type="dxa"/>
          <w:right w:w="57" w:type="dxa"/>
        </w:tblCellMar>
        <w:tblLook w:val="04A0"/>
      </w:tblPr>
      <w:tblGrid>
        <w:gridCol w:w="2124"/>
        <w:gridCol w:w="2346"/>
        <w:gridCol w:w="1491"/>
        <w:gridCol w:w="1249"/>
        <w:gridCol w:w="2264"/>
      </w:tblGrid>
      <w:tr w:rsidR="00906E5B" w:rsidRPr="000B47D4" w:rsidTr="00906E5B">
        <w:trPr>
          <w:cnfStyle w:val="100000000000"/>
          <w:jc w:val="center"/>
        </w:trPr>
        <w:tc>
          <w:tcPr>
            <w:cnfStyle w:val="001000000000"/>
            <w:tcW w:w="2359" w:type="pct"/>
            <w:gridSpan w:val="2"/>
            <w:vAlign w:val="center"/>
          </w:tcPr>
          <w:p w:rsidR="003B0DEF" w:rsidRPr="000B47D4" w:rsidRDefault="003B0DEF" w:rsidP="003B4339">
            <w:pPr>
              <w:snapToGrid w:val="0"/>
              <w:jc w:val="both"/>
              <w:rPr>
                <w:rFonts w:ascii="Times New Roman" w:hAnsi="Times New Roman" w:cs="Times New Roman"/>
                <w:sz w:val="20"/>
                <w:szCs w:val="20"/>
                <w:lang w:bidi="ar-EG"/>
              </w:rPr>
            </w:pPr>
            <w:r w:rsidRPr="000B47D4">
              <w:rPr>
                <w:rFonts w:ascii="Times New Roman" w:hAnsi="Times New Roman" w:cs="Times New Roman"/>
                <w:sz w:val="20"/>
                <w:szCs w:val="20"/>
                <w:lang w:bidi="ar-EG"/>
              </w:rPr>
              <w:t>Variable</w:t>
            </w:r>
          </w:p>
        </w:tc>
        <w:tc>
          <w:tcPr>
            <w:tcW w:w="787" w:type="pct"/>
            <w:vAlign w:val="center"/>
          </w:tcPr>
          <w:p w:rsidR="003B0DEF" w:rsidRPr="000B47D4" w:rsidRDefault="003B0DEF" w:rsidP="003B4339">
            <w:pPr>
              <w:snapToGrid w:val="0"/>
              <w:jc w:val="both"/>
              <w:cnfStyle w:val="1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Group A</w:t>
            </w:r>
          </w:p>
          <w:p w:rsidR="003B0DEF" w:rsidRPr="000B47D4" w:rsidRDefault="003B0DEF" w:rsidP="003B4339">
            <w:pPr>
              <w:snapToGrid w:val="0"/>
              <w:jc w:val="both"/>
              <w:cnfStyle w:val="1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(n =20)</w:t>
            </w:r>
          </w:p>
        </w:tc>
        <w:tc>
          <w:tcPr>
            <w:tcW w:w="659" w:type="pct"/>
            <w:vAlign w:val="center"/>
          </w:tcPr>
          <w:p w:rsidR="003B0DEF" w:rsidRPr="000B47D4" w:rsidRDefault="003B0DEF" w:rsidP="003B4339">
            <w:pPr>
              <w:snapToGrid w:val="0"/>
              <w:jc w:val="both"/>
              <w:cnfStyle w:val="1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Group B</w:t>
            </w:r>
          </w:p>
          <w:p w:rsidR="003B0DEF" w:rsidRPr="000B47D4" w:rsidRDefault="003B0DEF" w:rsidP="003B4339">
            <w:pPr>
              <w:snapToGrid w:val="0"/>
              <w:jc w:val="both"/>
              <w:cnfStyle w:val="1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(n =20)</w:t>
            </w:r>
          </w:p>
        </w:tc>
        <w:tc>
          <w:tcPr>
            <w:tcW w:w="1195" w:type="pct"/>
            <w:vAlign w:val="center"/>
          </w:tcPr>
          <w:p w:rsidR="003B0DEF" w:rsidRPr="000B47D4" w:rsidRDefault="003B0DEF" w:rsidP="003B4339">
            <w:pPr>
              <w:snapToGrid w:val="0"/>
              <w:jc w:val="both"/>
              <w:cnfStyle w:val="1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Test</w:t>
            </w:r>
          </w:p>
        </w:tc>
      </w:tr>
      <w:tr w:rsidR="00906E5B" w:rsidRPr="000B47D4" w:rsidTr="00906E5B">
        <w:trPr>
          <w:cnfStyle w:val="000000100000"/>
          <w:jc w:val="center"/>
        </w:trPr>
        <w:tc>
          <w:tcPr>
            <w:cnfStyle w:val="001000000000"/>
            <w:tcW w:w="1121" w:type="pct"/>
            <w:vMerge w:val="restart"/>
            <w:vAlign w:val="center"/>
          </w:tcPr>
          <w:p w:rsidR="003B0DEF" w:rsidRPr="000B47D4" w:rsidRDefault="003B0DEF" w:rsidP="003B4339">
            <w:pPr>
              <w:snapToGrid w:val="0"/>
              <w:jc w:val="both"/>
              <w:rPr>
                <w:rFonts w:ascii="Times New Roman" w:hAnsi="Times New Roman" w:cs="Times New Roman"/>
                <w:sz w:val="20"/>
                <w:szCs w:val="20"/>
                <w:lang w:bidi="ar-EG"/>
              </w:rPr>
            </w:pPr>
            <w:r w:rsidRPr="000B47D4">
              <w:rPr>
                <w:rFonts w:ascii="Times New Roman" w:hAnsi="Times New Roman" w:cs="Times New Roman"/>
                <w:sz w:val="20"/>
                <w:szCs w:val="20"/>
                <w:lang w:bidi="ar-EG"/>
              </w:rPr>
              <w:t>Serum K</w:t>
            </w:r>
            <w:r w:rsidRPr="000B47D4">
              <w:rPr>
                <w:rFonts w:ascii="Times New Roman" w:hAnsi="Times New Roman" w:cs="Times New Roman"/>
                <w:sz w:val="20"/>
                <w:szCs w:val="20"/>
                <w:vertAlign w:val="superscript"/>
                <w:lang w:bidi="ar-EG"/>
              </w:rPr>
              <w:t>+</w:t>
            </w:r>
          </w:p>
        </w:tc>
        <w:tc>
          <w:tcPr>
            <w:tcW w:w="1238" w:type="pct"/>
            <w:vAlign w:val="center"/>
          </w:tcPr>
          <w:p w:rsidR="003B0DEF" w:rsidRPr="000B47D4" w:rsidRDefault="003B0DEF" w:rsidP="003B4339">
            <w:pPr>
              <w:snapToGrid w:val="0"/>
              <w:jc w:val="both"/>
              <w:cnfStyle w:val="0000001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Mean ±SD</w:t>
            </w:r>
          </w:p>
        </w:tc>
        <w:tc>
          <w:tcPr>
            <w:tcW w:w="787" w:type="pc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3.4 ± 0.5</w:t>
            </w:r>
          </w:p>
        </w:tc>
        <w:tc>
          <w:tcPr>
            <w:tcW w:w="659" w:type="pc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4.2</w:t>
            </w:r>
            <w:r w:rsidR="00906E5B" w:rsidRPr="000B47D4">
              <w:rPr>
                <w:rFonts w:ascii="Times New Roman" w:hAnsi="Times New Roman" w:cs="Times New Roman"/>
                <w:sz w:val="20"/>
                <w:szCs w:val="20"/>
                <w:lang w:bidi="ar-EG"/>
              </w:rPr>
              <w:t xml:space="preserve"> </w:t>
            </w:r>
            <w:r w:rsidRPr="000B47D4">
              <w:rPr>
                <w:rFonts w:ascii="Times New Roman" w:hAnsi="Times New Roman" w:cs="Times New Roman"/>
                <w:sz w:val="20"/>
                <w:szCs w:val="20"/>
                <w:lang w:bidi="ar-EG"/>
              </w:rPr>
              <w:t>± 0.5</w:t>
            </w:r>
          </w:p>
        </w:tc>
        <w:tc>
          <w:tcPr>
            <w:tcW w:w="1195" w:type="pct"/>
            <w:vMerge w:val="restar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Independent</w:t>
            </w:r>
            <w:r w:rsidR="00906E5B" w:rsidRPr="000B47D4">
              <w:rPr>
                <w:rFonts w:ascii="Times New Roman" w:hAnsi="Times New Roman" w:cs="Times New Roman"/>
                <w:sz w:val="20"/>
                <w:szCs w:val="20"/>
                <w:lang w:bidi="ar-EG"/>
              </w:rPr>
              <w:t xml:space="preserve"> </w:t>
            </w:r>
            <w:r w:rsidRPr="000B47D4">
              <w:rPr>
                <w:rFonts w:ascii="Times New Roman" w:hAnsi="Times New Roman" w:cs="Times New Roman"/>
                <w:sz w:val="20"/>
                <w:szCs w:val="20"/>
                <w:lang w:bidi="ar-EG"/>
              </w:rPr>
              <w:t xml:space="preserve">t- test </w:t>
            </w:r>
          </w:p>
          <w:p w:rsidR="003B0DEF" w:rsidRPr="000B47D4" w:rsidRDefault="003B0DEF" w:rsidP="003B4339">
            <w:pPr>
              <w:snapToGrid w:val="0"/>
              <w:jc w:val="both"/>
              <w:cnfStyle w:val="000000100000"/>
              <w:rPr>
                <w:rFonts w:ascii="Times New Roman" w:hAnsi="Times New Roman" w:cs="Times New Roman"/>
                <w:b/>
                <w:bCs/>
                <w:sz w:val="20"/>
                <w:szCs w:val="20"/>
                <w:lang w:bidi="ar-EG"/>
              </w:rPr>
            </w:pPr>
            <w:r w:rsidRPr="000B47D4">
              <w:rPr>
                <w:rFonts w:ascii="Times New Roman" w:hAnsi="Times New Roman" w:cs="Times New Roman"/>
                <w:b/>
                <w:bCs/>
                <w:sz w:val="20"/>
                <w:szCs w:val="20"/>
                <w:lang w:bidi="ar-EG"/>
              </w:rPr>
              <w:t>P &lt;0.001 (HS)</w:t>
            </w:r>
          </w:p>
        </w:tc>
      </w:tr>
      <w:tr w:rsidR="00906E5B" w:rsidRPr="000B47D4" w:rsidTr="00906E5B">
        <w:trPr>
          <w:jc w:val="center"/>
        </w:trPr>
        <w:tc>
          <w:tcPr>
            <w:cnfStyle w:val="001000000000"/>
            <w:tcW w:w="1121" w:type="pct"/>
            <w:vMerge/>
            <w:vAlign w:val="center"/>
          </w:tcPr>
          <w:p w:rsidR="003B0DEF" w:rsidRPr="000B47D4" w:rsidRDefault="003B0DEF" w:rsidP="003B4339">
            <w:pPr>
              <w:snapToGrid w:val="0"/>
              <w:jc w:val="both"/>
              <w:rPr>
                <w:rFonts w:ascii="Times New Roman" w:hAnsi="Times New Roman" w:cs="Times New Roman"/>
                <w:sz w:val="20"/>
                <w:szCs w:val="20"/>
                <w:lang w:bidi="ar-EG"/>
              </w:rPr>
            </w:pPr>
          </w:p>
        </w:tc>
        <w:tc>
          <w:tcPr>
            <w:tcW w:w="1238" w:type="pct"/>
            <w:vAlign w:val="center"/>
          </w:tcPr>
          <w:p w:rsidR="003B0DEF" w:rsidRPr="000B47D4" w:rsidRDefault="003B0DEF" w:rsidP="003B4339">
            <w:pPr>
              <w:snapToGrid w:val="0"/>
              <w:jc w:val="both"/>
              <w:cnfStyle w:val="0000000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Minimum-Maximum</w:t>
            </w:r>
          </w:p>
        </w:tc>
        <w:tc>
          <w:tcPr>
            <w:tcW w:w="787" w:type="pct"/>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2.5 - 4.9</w:t>
            </w:r>
          </w:p>
        </w:tc>
        <w:tc>
          <w:tcPr>
            <w:tcW w:w="659" w:type="pct"/>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3.5 - 5.5</w:t>
            </w:r>
          </w:p>
        </w:tc>
        <w:tc>
          <w:tcPr>
            <w:tcW w:w="1195" w:type="pct"/>
            <w:vMerge/>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p>
        </w:tc>
      </w:tr>
      <w:tr w:rsidR="00906E5B" w:rsidRPr="000B47D4" w:rsidTr="00906E5B">
        <w:trPr>
          <w:cnfStyle w:val="000000100000"/>
          <w:jc w:val="center"/>
        </w:trPr>
        <w:tc>
          <w:tcPr>
            <w:cnfStyle w:val="001000000000"/>
            <w:tcW w:w="1121" w:type="pct"/>
            <w:vMerge w:val="restart"/>
            <w:vAlign w:val="center"/>
          </w:tcPr>
          <w:p w:rsidR="003B0DEF" w:rsidRPr="000B47D4" w:rsidRDefault="003B0DEF" w:rsidP="003B4339">
            <w:pPr>
              <w:snapToGrid w:val="0"/>
              <w:jc w:val="both"/>
              <w:rPr>
                <w:rFonts w:ascii="Times New Roman" w:hAnsi="Times New Roman" w:cs="Times New Roman"/>
                <w:sz w:val="20"/>
                <w:szCs w:val="20"/>
                <w:lang w:bidi="ar-EG"/>
              </w:rPr>
            </w:pPr>
            <w:r w:rsidRPr="000B47D4">
              <w:rPr>
                <w:rFonts w:ascii="Times New Roman" w:hAnsi="Times New Roman" w:cs="Times New Roman"/>
                <w:sz w:val="20"/>
                <w:szCs w:val="20"/>
                <w:lang w:bidi="ar-EG"/>
              </w:rPr>
              <w:t>Serum Na</w:t>
            </w:r>
            <w:r w:rsidRPr="000B47D4">
              <w:rPr>
                <w:rFonts w:ascii="Times New Roman" w:hAnsi="Times New Roman" w:cs="Times New Roman"/>
                <w:sz w:val="20"/>
                <w:szCs w:val="20"/>
                <w:vertAlign w:val="superscript"/>
                <w:lang w:bidi="ar-EG"/>
              </w:rPr>
              <w:t>+</w:t>
            </w:r>
          </w:p>
        </w:tc>
        <w:tc>
          <w:tcPr>
            <w:tcW w:w="1238" w:type="pct"/>
            <w:vAlign w:val="center"/>
          </w:tcPr>
          <w:p w:rsidR="003B0DEF" w:rsidRPr="000B47D4" w:rsidRDefault="003B0DEF" w:rsidP="003B4339">
            <w:pPr>
              <w:snapToGrid w:val="0"/>
              <w:jc w:val="both"/>
              <w:cnfStyle w:val="0000001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Mean ±SD</w:t>
            </w:r>
          </w:p>
        </w:tc>
        <w:tc>
          <w:tcPr>
            <w:tcW w:w="787" w:type="pc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136.4 ±7.4</w:t>
            </w:r>
          </w:p>
        </w:tc>
        <w:tc>
          <w:tcPr>
            <w:tcW w:w="659" w:type="pc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135.7 ± 4.3</w:t>
            </w:r>
          </w:p>
        </w:tc>
        <w:tc>
          <w:tcPr>
            <w:tcW w:w="1195" w:type="pct"/>
            <w:vMerge w:val="restar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Mann-Whitney U test</w:t>
            </w:r>
          </w:p>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P =0.93 (NS)</w:t>
            </w:r>
          </w:p>
        </w:tc>
      </w:tr>
      <w:tr w:rsidR="00906E5B" w:rsidRPr="000B47D4" w:rsidTr="00906E5B">
        <w:trPr>
          <w:jc w:val="center"/>
        </w:trPr>
        <w:tc>
          <w:tcPr>
            <w:cnfStyle w:val="001000000000"/>
            <w:tcW w:w="1121" w:type="pct"/>
            <w:vMerge/>
            <w:vAlign w:val="center"/>
          </w:tcPr>
          <w:p w:rsidR="003B0DEF" w:rsidRPr="000B47D4" w:rsidRDefault="003B0DEF" w:rsidP="003B4339">
            <w:pPr>
              <w:snapToGrid w:val="0"/>
              <w:jc w:val="both"/>
              <w:rPr>
                <w:rFonts w:ascii="Times New Roman" w:hAnsi="Times New Roman" w:cs="Times New Roman"/>
                <w:sz w:val="20"/>
                <w:szCs w:val="20"/>
                <w:lang w:bidi="ar-EG"/>
              </w:rPr>
            </w:pPr>
          </w:p>
        </w:tc>
        <w:tc>
          <w:tcPr>
            <w:tcW w:w="1238" w:type="pct"/>
            <w:vAlign w:val="center"/>
          </w:tcPr>
          <w:p w:rsidR="003B0DEF" w:rsidRPr="000B47D4" w:rsidRDefault="003B0DEF" w:rsidP="003B4339">
            <w:pPr>
              <w:snapToGrid w:val="0"/>
              <w:jc w:val="both"/>
              <w:cnfStyle w:val="0000000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Minimum-Maximum</w:t>
            </w:r>
          </w:p>
        </w:tc>
        <w:tc>
          <w:tcPr>
            <w:tcW w:w="787" w:type="pct"/>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127 -155</w:t>
            </w:r>
          </w:p>
        </w:tc>
        <w:tc>
          <w:tcPr>
            <w:tcW w:w="659" w:type="pct"/>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130 - 143</w:t>
            </w:r>
          </w:p>
        </w:tc>
        <w:tc>
          <w:tcPr>
            <w:tcW w:w="1195" w:type="pct"/>
            <w:vMerge/>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p>
        </w:tc>
      </w:tr>
      <w:tr w:rsidR="00906E5B" w:rsidRPr="000B47D4" w:rsidTr="00906E5B">
        <w:trPr>
          <w:cnfStyle w:val="000000100000"/>
          <w:jc w:val="center"/>
        </w:trPr>
        <w:tc>
          <w:tcPr>
            <w:cnfStyle w:val="001000000000"/>
            <w:tcW w:w="1121" w:type="pct"/>
            <w:vMerge w:val="restart"/>
            <w:vAlign w:val="center"/>
          </w:tcPr>
          <w:p w:rsidR="003B0DEF" w:rsidRPr="000B47D4" w:rsidRDefault="003B0DEF" w:rsidP="003B4339">
            <w:pPr>
              <w:snapToGrid w:val="0"/>
              <w:jc w:val="both"/>
              <w:rPr>
                <w:rFonts w:ascii="Times New Roman" w:hAnsi="Times New Roman" w:cs="Times New Roman"/>
                <w:sz w:val="20"/>
                <w:szCs w:val="20"/>
                <w:lang w:bidi="ar-EG"/>
              </w:rPr>
            </w:pPr>
            <w:r w:rsidRPr="000B47D4">
              <w:rPr>
                <w:rFonts w:ascii="Times New Roman" w:hAnsi="Times New Roman" w:cs="Times New Roman"/>
                <w:sz w:val="20"/>
                <w:szCs w:val="20"/>
                <w:lang w:bidi="ar-EG"/>
              </w:rPr>
              <w:t>Serum Phosphorus</w:t>
            </w:r>
          </w:p>
        </w:tc>
        <w:tc>
          <w:tcPr>
            <w:tcW w:w="1238" w:type="pct"/>
            <w:vAlign w:val="center"/>
          </w:tcPr>
          <w:p w:rsidR="003B0DEF" w:rsidRPr="000B47D4" w:rsidRDefault="003B0DEF" w:rsidP="003B4339">
            <w:pPr>
              <w:snapToGrid w:val="0"/>
              <w:jc w:val="both"/>
              <w:cnfStyle w:val="0000001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Mean ±SD</w:t>
            </w:r>
          </w:p>
        </w:tc>
        <w:tc>
          <w:tcPr>
            <w:tcW w:w="787" w:type="pc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2.9 ± 0.6</w:t>
            </w:r>
          </w:p>
        </w:tc>
        <w:tc>
          <w:tcPr>
            <w:tcW w:w="659" w:type="pc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3.8 ± 0.6</w:t>
            </w:r>
          </w:p>
        </w:tc>
        <w:tc>
          <w:tcPr>
            <w:tcW w:w="1195" w:type="pct"/>
            <w:vMerge w:val="restar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Independent</w:t>
            </w:r>
            <w:r w:rsidR="00906E5B" w:rsidRPr="000B47D4">
              <w:rPr>
                <w:rFonts w:ascii="Times New Roman" w:hAnsi="Times New Roman" w:cs="Times New Roman"/>
                <w:sz w:val="20"/>
                <w:szCs w:val="20"/>
                <w:lang w:bidi="ar-EG"/>
              </w:rPr>
              <w:t xml:space="preserve"> </w:t>
            </w:r>
            <w:r w:rsidRPr="000B47D4">
              <w:rPr>
                <w:rFonts w:ascii="Times New Roman" w:hAnsi="Times New Roman" w:cs="Times New Roman"/>
                <w:sz w:val="20"/>
                <w:szCs w:val="20"/>
                <w:lang w:bidi="ar-EG"/>
              </w:rPr>
              <w:t xml:space="preserve">t- test </w:t>
            </w:r>
          </w:p>
          <w:p w:rsidR="003B0DEF" w:rsidRPr="000B47D4" w:rsidRDefault="003B0DEF" w:rsidP="003B4339">
            <w:pPr>
              <w:snapToGrid w:val="0"/>
              <w:jc w:val="both"/>
              <w:cnfStyle w:val="000000100000"/>
              <w:rPr>
                <w:rFonts w:ascii="Times New Roman" w:hAnsi="Times New Roman" w:cs="Times New Roman"/>
                <w:b/>
                <w:bCs/>
                <w:sz w:val="20"/>
                <w:szCs w:val="20"/>
                <w:lang w:bidi="ar-EG"/>
              </w:rPr>
            </w:pPr>
            <w:r w:rsidRPr="000B47D4">
              <w:rPr>
                <w:rFonts w:ascii="Times New Roman" w:hAnsi="Times New Roman" w:cs="Times New Roman"/>
                <w:b/>
                <w:bCs/>
                <w:sz w:val="20"/>
                <w:szCs w:val="20"/>
                <w:lang w:bidi="ar-EG"/>
              </w:rPr>
              <w:t>P &lt; 0.001 (HS)</w:t>
            </w:r>
          </w:p>
        </w:tc>
      </w:tr>
      <w:tr w:rsidR="00906E5B" w:rsidRPr="000B47D4" w:rsidTr="00906E5B">
        <w:trPr>
          <w:jc w:val="center"/>
        </w:trPr>
        <w:tc>
          <w:tcPr>
            <w:cnfStyle w:val="001000000000"/>
            <w:tcW w:w="1121" w:type="pct"/>
            <w:vMerge/>
            <w:vAlign w:val="center"/>
          </w:tcPr>
          <w:p w:rsidR="003B0DEF" w:rsidRPr="000B47D4" w:rsidRDefault="003B0DEF" w:rsidP="003B4339">
            <w:pPr>
              <w:snapToGrid w:val="0"/>
              <w:jc w:val="both"/>
              <w:rPr>
                <w:rFonts w:ascii="Times New Roman" w:hAnsi="Times New Roman" w:cs="Times New Roman"/>
                <w:sz w:val="20"/>
                <w:szCs w:val="20"/>
                <w:lang w:bidi="ar-EG"/>
              </w:rPr>
            </w:pPr>
          </w:p>
        </w:tc>
        <w:tc>
          <w:tcPr>
            <w:tcW w:w="1238" w:type="pct"/>
            <w:vAlign w:val="center"/>
          </w:tcPr>
          <w:p w:rsidR="003B0DEF" w:rsidRPr="000B47D4" w:rsidRDefault="003B0DEF" w:rsidP="003B4339">
            <w:pPr>
              <w:snapToGrid w:val="0"/>
              <w:jc w:val="both"/>
              <w:cnfStyle w:val="0000000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Minimum-Maximum</w:t>
            </w:r>
          </w:p>
        </w:tc>
        <w:tc>
          <w:tcPr>
            <w:tcW w:w="787" w:type="pct"/>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2 - 4.1</w:t>
            </w:r>
          </w:p>
        </w:tc>
        <w:tc>
          <w:tcPr>
            <w:tcW w:w="659" w:type="pct"/>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3 - 5.5</w:t>
            </w:r>
          </w:p>
        </w:tc>
        <w:tc>
          <w:tcPr>
            <w:tcW w:w="1195" w:type="pct"/>
            <w:vMerge/>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p>
        </w:tc>
      </w:tr>
      <w:tr w:rsidR="00906E5B" w:rsidRPr="000B47D4" w:rsidTr="00906E5B">
        <w:trPr>
          <w:cnfStyle w:val="000000100000"/>
          <w:jc w:val="center"/>
        </w:trPr>
        <w:tc>
          <w:tcPr>
            <w:cnfStyle w:val="001000000000"/>
            <w:tcW w:w="1121" w:type="pct"/>
            <w:vMerge w:val="restart"/>
            <w:vAlign w:val="center"/>
          </w:tcPr>
          <w:p w:rsidR="003B0DEF" w:rsidRPr="000B47D4" w:rsidRDefault="003B0DEF" w:rsidP="003B4339">
            <w:pPr>
              <w:snapToGrid w:val="0"/>
              <w:jc w:val="both"/>
              <w:rPr>
                <w:rFonts w:ascii="Times New Roman" w:hAnsi="Times New Roman" w:cs="Times New Roman"/>
                <w:sz w:val="20"/>
                <w:szCs w:val="20"/>
                <w:lang w:bidi="ar-EG"/>
              </w:rPr>
            </w:pPr>
            <w:r w:rsidRPr="000B47D4">
              <w:rPr>
                <w:rFonts w:ascii="Times New Roman" w:hAnsi="Times New Roman" w:cs="Times New Roman"/>
                <w:sz w:val="20"/>
                <w:szCs w:val="20"/>
                <w:lang w:bidi="ar-EG"/>
              </w:rPr>
              <w:t>Serum Mg</w:t>
            </w:r>
            <w:r w:rsidRPr="000B47D4">
              <w:rPr>
                <w:rFonts w:ascii="Times New Roman" w:hAnsi="Times New Roman" w:cs="Times New Roman"/>
                <w:sz w:val="20"/>
                <w:szCs w:val="20"/>
                <w:vertAlign w:val="superscript"/>
                <w:lang w:bidi="ar-EG"/>
              </w:rPr>
              <w:t>+</w:t>
            </w:r>
          </w:p>
        </w:tc>
        <w:tc>
          <w:tcPr>
            <w:tcW w:w="1238" w:type="pct"/>
            <w:vAlign w:val="center"/>
          </w:tcPr>
          <w:p w:rsidR="003B0DEF" w:rsidRPr="000B47D4" w:rsidRDefault="003B0DEF" w:rsidP="003B4339">
            <w:pPr>
              <w:snapToGrid w:val="0"/>
              <w:jc w:val="both"/>
              <w:cnfStyle w:val="0000001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Mean ±SD</w:t>
            </w:r>
          </w:p>
        </w:tc>
        <w:tc>
          <w:tcPr>
            <w:tcW w:w="787" w:type="pc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1.6 ± 0.3</w:t>
            </w:r>
          </w:p>
        </w:tc>
        <w:tc>
          <w:tcPr>
            <w:tcW w:w="659" w:type="pc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2.1 ± 0.2</w:t>
            </w:r>
          </w:p>
        </w:tc>
        <w:tc>
          <w:tcPr>
            <w:tcW w:w="1195" w:type="pct"/>
            <w:vMerge w:val="restar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Independent</w:t>
            </w:r>
            <w:r w:rsidR="00906E5B" w:rsidRPr="000B47D4">
              <w:rPr>
                <w:rFonts w:ascii="Times New Roman" w:hAnsi="Times New Roman" w:cs="Times New Roman"/>
                <w:sz w:val="20"/>
                <w:szCs w:val="20"/>
                <w:lang w:bidi="ar-EG"/>
              </w:rPr>
              <w:t xml:space="preserve"> </w:t>
            </w:r>
            <w:r w:rsidRPr="000B47D4">
              <w:rPr>
                <w:rFonts w:ascii="Times New Roman" w:hAnsi="Times New Roman" w:cs="Times New Roman"/>
                <w:sz w:val="20"/>
                <w:szCs w:val="20"/>
                <w:lang w:bidi="ar-EG"/>
              </w:rPr>
              <w:t xml:space="preserve">t- test </w:t>
            </w:r>
          </w:p>
          <w:p w:rsidR="003B0DEF" w:rsidRPr="000B47D4" w:rsidRDefault="003B0DEF" w:rsidP="003B4339">
            <w:pPr>
              <w:snapToGrid w:val="0"/>
              <w:jc w:val="both"/>
              <w:cnfStyle w:val="000000100000"/>
              <w:rPr>
                <w:rFonts w:ascii="Times New Roman" w:hAnsi="Times New Roman" w:cs="Times New Roman"/>
                <w:b/>
                <w:bCs/>
                <w:sz w:val="20"/>
                <w:szCs w:val="20"/>
                <w:lang w:bidi="ar-EG"/>
              </w:rPr>
            </w:pPr>
            <w:r w:rsidRPr="000B47D4">
              <w:rPr>
                <w:rFonts w:ascii="Times New Roman" w:hAnsi="Times New Roman" w:cs="Times New Roman"/>
                <w:b/>
                <w:bCs/>
                <w:sz w:val="20"/>
                <w:szCs w:val="20"/>
                <w:lang w:bidi="ar-EG"/>
              </w:rPr>
              <w:t>P &lt; 0.001 (HS)</w:t>
            </w:r>
          </w:p>
        </w:tc>
      </w:tr>
      <w:tr w:rsidR="00906E5B" w:rsidRPr="000B47D4" w:rsidTr="00906E5B">
        <w:trPr>
          <w:jc w:val="center"/>
        </w:trPr>
        <w:tc>
          <w:tcPr>
            <w:cnfStyle w:val="001000000000"/>
            <w:tcW w:w="1121" w:type="pct"/>
            <w:vMerge/>
            <w:vAlign w:val="center"/>
          </w:tcPr>
          <w:p w:rsidR="003B0DEF" w:rsidRPr="000B47D4" w:rsidRDefault="003B0DEF" w:rsidP="003B4339">
            <w:pPr>
              <w:snapToGrid w:val="0"/>
              <w:jc w:val="both"/>
              <w:rPr>
                <w:rFonts w:ascii="Times New Roman" w:hAnsi="Times New Roman" w:cs="Times New Roman"/>
                <w:sz w:val="20"/>
                <w:szCs w:val="20"/>
                <w:lang w:bidi="ar-EG"/>
              </w:rPr>
            </w:pPr>
          </w:p>
        </w:tc>
        <w:tc>
          <w:tcPr>
            <w:tcW w:w="1238" w:type="pct"/>
            <w:vAlign w:val="center"/>
          </w:tcPr>
          <w:p w:rsidR="003B0DEF" w:rsidRPr="000B47D4" w:rsidRDefault="003B0DEF" w:rsidP="003B4339">
            <w:pPr>
              <w:snapToGrid w:val="0"/>
              <w:jc w:val="both"/>
              <w:cnfStyle w:val="0000000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Minimum-Maximum</w:t>
            </w:r>
          </w:p>
        </w:tc>
        <w:tc>
          <w:tcPr>
            <w:tcW w:w="787" w:type="pct"/>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1 - 2.1</w:t>
            </w:r>
          </w:p>
        </w:tc>
        <w:tc>
          <w:tcPr>
            <w:tcW w:w="659" w:type="pct"/>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1.7 - 2.5</w:t>
            </w:r>
          </w:p>
        </w:tc>
        <w:tc>
          <w:tcPr>
            <w:tcW w:w="1195" w:type="pct"/>
            <w:vMerge/>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p>
        </w:tc>
      </w:tr>
      <w:tr w:rsidR="00906E5B" w:rsidRPr="000B47D4" w:rsidTr="00906E5B">
        <w:trPr>
          <w:cnfStyle w:val="000000100000"/>
          <w:jc w:val="center"/>
        </w:trPr>
        <w:tc>
          <w:tcPr>
            <w:cnfStyle w:val="001000000000"/>
            <w:tcW w:w="1121" w:type="pct"/>
            <w:vMerge w:val="restart"/>
            <w:vAlign w:val="center"/>
          </w:tcPr>
          <w:p w:rsidR="003B0DEF" w:rsidRPr="000B47D4" w:rsidRDefault="003B0DEF" w:rsidP="003B4339">
            <w:pPr>
              <w:snapToGrid w:val="0"/>
              <w:jc w:val="both"/>
              <w:rPr>
                <w:rFonts w:ascii="Times New Roman" w:hAnsi="Times New Roman" w:cs="Times New Roman"/>
                <w:sz w:val="20"/>
                <w:szCs w:val="20"/>
                <w:lang w:bidi="ar-EG"/>
              </w:rPr>
            </w:pPr>
            <w:r w:rsidRPr="000B47D4">
              <w:rPr>
                <w:rFonts w:ascii="Times New Roman" w:hAnsi="Times New Roman" w:cs="Times New Roman"/>
                <w:sz w:val="20"/>
                <w:szCs w:val="20"/>
                <w:lang w:bidi="ar-EG"/>
              </w:rPr>
              <w:t xml:space="preserve">Serum </w:t>
            </w:r>
            <w:proofErr w:type="spellStart"/>
            <w:r w:rsidRPr="000B47D4">
              <w:rPr>
                <w:rFonts w:ascii="Times New Roman" w:hAnsi="Times New Roman" w:cs="Times New Roman"/>
                <w:sz w:val="20"/>
                <w:szCs w:val="20"/>
                <w:lang w:bidi="ar-EG"/>
              </w:rPr>
              <w:t>Creatinine</w:t>
            </w:r>
            <w:proofErr w:type="spellEnd"/>
          </w:p>
        </w:tc>
        <w:tc>
          <w:tcPr>
            <w:tcW w:w="1238" w:type="pct"/>
            <w:vAlign w:val="center"/>
          </w:tcPr>
          <w:p w:rsidR="003B0DEF" w:rsidRPr="000B47D4" w:rsidRDefault="003B0DEF" w:rsidP="003B4339">
            <w:pPr>
              <w:snapToGrid w:val="0"/>
              <w:jc w:val="both"/>
              <w:cnfStyle w:val="0000001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Mean ±SD</w:t>
            </w:r>
          </w:p>
        </w:tc>
        <w:tc>
          <w:tcPr>
            <w:tcW w:w="787" w:type="pc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1.7± 1.7</w:t>
            </w:r>
          </w:p>
        </w:tc>
        <w:tc>
          <w:tcPr>
            <w:tcW w:w="659" w:type="pc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1.4 ± 0.4</w:t>
            </w:r>
          </w:p>
        </w:tc>
        <w:tc>
          <w:tcPr>
            <w:tcW w:w="1195" w:type="pct"/>
            <w:vMerge w:val="restar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Mann-Whitney U test</w:t>
            </w:r>
          </w:p>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P =0.54 (NS)</w:t>
            </w:r>
          </w:p>
        </w:tc>
      </w:tr>
      <w:tr w:rsidR="00906E5B" w:rsidRPr="000B47D4" w:rsidTr="00906E5B">
        <w:trPr>
          <w:jc w:val="center"/>
        </w:trPr>
        <w:tc>
          <w:tcPr>
            <w:cnfStyle w:val="001000000000"/>
            <w:tcW w:w="1121" w:type="pct"/>
            <w:vMerge/>
            <w:vAlign w:val="center"/>
          </w:tcPr>
          <w:p w:rsidR="003B0DEF" w:rsidRPr="000B47D4" w:rsidRDefault="003B0DEF" w:rsidP="003B4339">
            <w:pPr>
              <w:snapToGrid w:val="0"/>
              <w:jc w:val="both"/>
              <w:rPr>
                <w:rFonts w:ascii="Times New Roman" w:hAnsi="Times New Roman" w:cs="Times New Roman"/>
                <w:sz w:val="20"/>
                <w:szCs w:val="20"/>
                <w:lang w:bidi="ar-EG"/>
              </w:rPr>
            </w:pPr>
          </w:p>
        </w:tc>
        <w:tc>
          <w:tcPr>
            <w:tcW w:w="1238" w:type="pct"/>
            <w:vAlign w:val="center"/>
          </w:tcPr>
          <w:p w:rsidR="003B0DEF" w:rsidRPr="000B47D4" w:rsidRDefault="003B0DEF" w:rsidP="003B4339">
            <w:pPr>
              <w:snapToGrid w:val="0"/>
              <w:jc w:val="both"/>
              <w:cnfStyle w:val="0000000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Minimum-Maximum</w:t>
            </w:r>
          </w:p>
        </w:tc>
        <w:tc>
          <w:tcPr>
            <w:tcW w:w="787" w:type="pct"/>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0.6 - 9</w:t>
            </w:r>
          </w:p>
        </w:tc>
        <w:tc>
          <w:tcPr>
            <w:tcW w:w="659" w:type="pct"/>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0.8 - 2.2</w:t>
            </w:r>
          </w:p>
        </w:tc>
        <w:tc>
          <w:tcPr>
            <w:tcW w:w="1195" w:type="pct"/>
            <w:vMerge/>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p>
        </w:tc>
      </w:tr>
      <w:tr w:rsidR="00906E5B" w:rsidRPr="000B47D4" w:rsidTr="00906E5B">
        <w:trPr>
          <w:cnfStyle w:val="000000100000"/>
          <w:jc w:val="center"/>
        </w:trPr>
        <w:tc>
          <w:tcPr>
            <w:cnfStyle w:val="001000000000"/>
            <w:tcW w:w="1121" w:type="pct"/>
            <w:vMerge w:val="restart"/>
            <w:vAlign w:val="center"/>
          </w:tcPr>
          <w:p w:rsidR="003B0DEF" w:rsidRPr="000B47D4" w:rsidRDefault="003B0DEF" w:rsidP="003B4339">
            <w:pPr>
              <w:snapToGrid w:val="0"/>
              <w:jc w:val="both"/>
              <w:rPr>
                <w:rFonts w:ascii="Times New Roman" w:hAnsi="Times New Roman" w:cs="Times New Roman"/>
                <w:sz w:val="20"/>
                <w:szCs w:val="20"/>
                <w:lang w:bidi="ar-EG"/>
              </w:rPr>
            </w:pPr>
            <w:r w:rsidRPr="000B47D4">
              <w:rPr>
                <w:rFonts w:ascii="Times New Roman" w:hAnsi="Times New Roman" w:cs="Times New Roman"/>
                <w:sz w:val="20"/>
                <w:szCs w:val="20"/>
                <w:lang w:bidi="ar-EG"/>
              </w:rPr>
              <w:t>Serum Urea</w:t>
            </w:r>
          </w:p>
        </w:tc>
        <w:tc>
          <w:tcPr>
            <w:tcW w:w="1238" w:type="pct"/>
            <w:vAlign w:val="center"/>
          </w:tcPr>
          <w:p w:rsidR="003B0DEF" w:rsidRPr="000B47D4" w:rsidRDefault="003B0DEF" w:rsidP="003B4339">
            <w:pPr>
              <w:snapToGrid w:val="0"/>
              <w:jc w:val="both"/>
              <w:cnfStyle w:val="0000001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Mean ±SD</w:t>
            </w:r>
          </w:p>
        </w:tc>
        <w:tc>
          <w:tcPr>
            <w:tcW w:w="787" w:type="pc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61.9 ± 36.5</w:t>
            </w:r>
          </w:p>
        </w:tc>
        <w:tc>
          <w:tcPr>
            <w:tcW w:w="659" w:type="pc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62.6 ± 19.2</w:t>
            </w:r>
          </w:p>
        </w:tc>
        <w:tc>
          <w:tcPr>
            <w:tcW w:w="1195" w:type="pct"/>
            <w:vMerge w:val="restar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Mann-Whitney U test</w:t>
            </w:r>
          </w:p>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P =0.46 (NS)</w:t>
            </w:r>
          </w:p>
        </w:tc>
      </w:tr>
      <w:tr w:rsidR="00906E5B" w:rsidRPr="000B47D4" w:rsidTr="00906E5B">
        <w:trPr>
          <w:jc w:val="center"/>
        </w:trPr>
        <w:tc>
          <w:tcPr>
            <w:cnfStyle w:val="001000000000"/>
            <w:tcW w:w="1121" w:type="pct"/>
            <w:vMerge/>
            <w:vAlign w:val="center"/>
          </w:tcPr>
          <w:p w:rsidR="003B0DEF" w:rsidRPr="000B47D4" w:rsidRDefault="003B0DEF" w:rsidP="003B4339">
            <w:pPr>
              <w:snapToGrid w:val="0"/>
              <w:jc w:val="both"/>
              <w:rPr>
                <w:rFonts w:ascii="Times New Roman" w:hAnsi="Times New Roman" w:cs="Times New Roman"/>
                <w:sz w:val="20"/>
                <w:szCs w:val="20"/>
                <w:lang w:bidi="ar-EG"/>
              </w:rPr>
            </w:pPr>
          </w:p>
        </w:tc>
        <w:tc>
          <w:tcPr>
            <w:tcW w:w="1238" w:type="pct"/>
            <w:vAlign w:val="center"/>
          </w:tcPr>
          <w:p w:rsidR="003B0DEF" w:rsidRPr="000B47D4" w:rsidRDefault="003B0DEF" w:rsidP="003B4339">
            <w:pPr>
              <w:snapToGrid w:val="0"/>
              <w:jc w:val="both"/>
              <w:cnfStyle w:val="0000000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Minimum-Maximum</w:t>
            </w:r>
          </w:p>
        </w:tc>
        <w:tc>
          <w:tcPr>
            <w:tcW w:w="787" w:type="pct"/>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19 -152</w:t>
            </w:r>
          </w:p>
        </w:tc>
        <w:tc>
          <w:tcPr>
            <w:tcW w:w="659" w:type="pct"/>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36 -95</w:t>
            </w:r>
          </w:p>
        </w:tc>
        <w:tc>
          <w:tcPr>
            <w:tcW w:w="1195" w:type="pct"/>
            <w:vMerge/>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p>
        </w:tc>
      </w:tr>
      <w:tr w:rsidR="00906E5B" w:rsidRPr="000B47D4" w:rsidTr="00906E5B">
        <w:trPr>
          <w:cnfStyle w:val="000000100000"/>
          <w:jc w:val="center"/>
        </w:trPr>
        <w:tc>
          <w:tcPr>
            <w:cnfStyle w:val="001000000000"/>
            <w:tcW w:w="1121" w:type="pct"/>
            <w:vMerge w:val="restart"/>
            <w:vAlign w:val="center"/>
          </w:tcPr>
          <w:p w:rsidR="003B0DEF" w:rsidRPr="000B47D4" w:rsidRDefault="003B0DEF" w:rsidP="003B4339">
            <w:pPr>
              <w:snapToGrid w:val="0"/>
              <w:jc w:val="both"/>
              <w:rPr>
                <w:rFonts w:ascii="Times New Roman" w:hAnsi="Times New Roman" w:cs="Times New Roman"/>
                <w:sz w:val="20"/>
                <w:szCs w:val="20"/>
                <w:lang w:bidi="ar-EG"/>
              </w:rPr>
            </w:pPr>
            <w:r w:rsidRPr="000B47D4">
              <w:rPr>
                <w:rFonts w:ascii="Times New Roman" w:hAnsi="Times New Roman" w:cs="Times New Roman"/>
                <w:sz w:val="20"/>
                <w:szCs w:val="20"/>
                <w:lang w:bidi="ar-EG"/>
              </w:rPr>
              <w:t>AST</w:t>
            </w:r>
          </w:p>
        </w:tc>
        <w:tc>
          <w:tcPr>
            <w:tcW w:w="1238" w:type="pct"/>
            <w:vAlign w:val="center"/>
          </w:tcPr>
          <w:p w:rsidR="003B0DEF" w:rsidRPr="000B47D4" w:rsidRDefault="003B0DEF" w:rsidP="003B4339">
            <w:pPr>
              <w:snapToGrid w:val="0"/>
              <w:jc w:val="both"/>
              <w:cnfStyle w:val="0000001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Mean ±SD</w:t>
            </w:r>
          </w:p>
        </w:tc>
        <w:tc>
          <w:tcPr>
            <w:tcW w:w="787" w:type="pc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46.6 ± 37.3</w:t>
            </w:r>
          </w:p>
        </w:tc>
        <w:tc>
          <w:tcPr>
            <w:tcW w:w="659" w:type="pc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43.3 ± 20.7</w:t>
            </w:r>
          </w:p>
        </w:tc>
        <w:tc>
          <w:tcPr>
            <w:tcW w:w="1195" w:type="pct"/>
            <w:vMerge w:val="restar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Mann-Whitney U test</w:t>
            </w:r>
          </w:p>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P =0.75 (NS)</w:t>
            </w:r>
          </w:p>
        </w:tc>
      </w:tr>
      <w:tr w:rsidR="00906E5B" w:rsidRPr="000B47D4" w:rsidTr="00906E5B">
        <w:trPr>
          <w:jc w:val="center"/>
        </w:trPr>
        <w:tc>
          <w:tcPr>
            <w:cnfStyle w:val="001000000000"/>
            <w:tcW w:w="1121" w:type="pct"/>
            <w:vMerge/>
            <w:vAlign w:val="center"/>
          </w:tcPr>
          <w:p w:rsidR="003B0DEF" w:rsidRPr="000B47D4" w:rsidRDefault="003B0DEF" w:rsidP="003B4339">
            <w:pPr>
              <w:snapToGrid w:val="0"/>
              <w:jc w:val="both"/>
              <w:rPr>
                <w:rFonts w:ascii="Times New Roman" w:hAnsi="Times New Roman" w:cs="Times New Roman"/>
                <w:sz w:val="20"/>
                <w:szCs w:val="20"/>
                <w:lang w:bidi="ar-EG"/>
              </w:rPr>
            </w:pPr>
          </w:p>
        </w:tc>
        <w:tc>
          <w:tcPr>
            <w:tcW w:w="1238" w:type="pct"/>
            <w:vAlign w:val="center"/>
          </w:tcPr>
          <w:p w:rsidR="003B0DEF" w:rsidRPr="000B47D4" w:rsidRDefault="003B0DEF" w:rsidP="003B4339">
            <w:pPr>
              <w:snapToGrid w:val="0"/>
              <w:jc w:val="both"/>
              <w:cnfStyle w:val="0000000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Minimum-Maximum</w:t>
            </w:r>
          </w:p>
        </w:tc>
        <w:tc>
          <w:tcPr>
            <w:tcW w:w="787" w:type="pct"/>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15 - 190</w:t>
            </w:r>
          </w:p>
        </w:tc>
        <w:tc>
          <w:tcPr>
            <w:tcW w:w="659" w:type="pct"/>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12 - 92</w:t>
            </w:r>
          </w:p>
        </w:tc>
        <w:tc>
          <w:tcPr>
            <w:tcW w:w="1195" w:type="pct"/>
            <w:vMerge/>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p>
        </w:tc>
      </w:tr>
      <w:tr w:rsidR="00906E5B" w:rsidRPr="000B47D4" w:rsidTr="00906E5B">
        <w:trPr>
          <w:cnfStyle w:val="000000100000"/>
          <w:jc w:val="center"/>
        </w:trPr>
        <w:tc>
          <w:tcPr>
            <w:cnfStyle w:val="001000000000"/>
            <w:tcW w:w="1121" w:type="pct"/>
            <w:vMerge w:val="restart"/>
            <w:vAlign w:val="center"/>
          </w:tcPr>
          <w:p w:rsidR="003B0DEF" w:rsidRPr="000B47D4" w:rsidRDefault="003B0DEF" w:rsidP="003B4339">
            <w:pPr>
              <w:snapToGrid w:val="0"/>
              <w:jc w:val="both"/>
              <w:rPr>
                <w:rFonts w:ascii="Times New Roman" w:hAnsi="Times New Roman" w:cs="Times New Roman"/>
                <w:sz w:val="20"/>
                <w:szCs w:val="20"/>
                <w:lang w:bidi="ar-EG"/>
              </w:rPr>
            </w:pPr>
            <w:r w:rsidRPr="000B47D4">
              <w:rPr>
                <w:rFonts w:ascii="Times New Roman" w:hAnsi="Times New Roman" w:cs="Times New Roman"/>
                <w:sz w:val="20"/>
                <w:szCs w:val="20"/>
                <w:lang w:bidi="ar-EG"/>
              </w:rPr>
              <w:t>ALT</w:t>
            </w:r>
          </w:p>
        </w:tc>
        <w:tc>
          <w:tcPr>
            <w:tcW w:w="1238" w:type="pct"/>
            <w:vAlign w:val="center"/>
          </w:tcPr>
          <w:p w:rsidR="003B0DEF" w:rsidRPr="000B47D4" w:rsidRDefault="003B0DEF" w:rsidP="003B4339">
            <w:pPr>
              <w:snapToGrid w:val="0"/>
              <w:jc w:val="both"/>
              <w:cnfStyle w:val="0000001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Mean ±SD</w:t>
            </w:r>
          </w:p>
        </w:tc>
        <w:tc>
          <w:tcPr>
            <w:tcW w:w="787" w:type="pc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44.7 ±22.9</w:t>
            </w:r>
          </w:p>
        </w:tc>
        <w:tc>
          <w:tcPr>
            <w:tcW w:w="659" w:type="pc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42.4 ± 18.3</w:t>
            </w:r>
          </w:p>
        </w:tc>
        <w:tc>
          <w:tcPr>
            <w:tcW w:w="1195" w:type="pct"/>
            <w:vMerge w:val="restar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Mann-Whitney U test</w:t>
            </w:r>
          </w:p>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P =0.73 (NS)</w:t>
            </w:r>
          </w:p>
        </w:tc>
      </w:tr>
      <w:tr w:rsidR="00906E5B" w:rsidRPr="000B47D4" w:rsidTr="00906E5B">
        <w:trPr>
          <w:jc w:val="center"/>
        </w:trPr>
        <w:tc>
          <w:tcPr>
            <w:cnfStyle w:val="001000000000"/>
            <w:tcW w:w="1121" w:type="pct"/>
            <w:vMerge/>
            <w:vAlign w:val="center"/>
          </w:tcPr>
          <w:p w:rsidR="003B0DEF" w:rsidRPr="000B47D4" w:rsidRDefault="003B0DEF" w:rsidP="003B4339">
            <w:pPr>
              <w:snapToGrid w:val="0"/>
              <w:jc w:val="both"/>
              <w:rPr>
                <w:rFonts w:ascii="Times New Roman" w:hAnsi="Times New Roman" w:cs="Times New Roman"/>
                <w:sz w:val="20"/>
                <w:szCs w:val="20"/>
                <w:lang w:bidi="ar-EG"/>
              </w:rPr>
            </w:pPr>
          </w:p>
        </w:tc>
        <w:tc>
          <w:tcPr>
            <w:tcW w:w="1238" w:type="pct"/>
            <w:vAlign w:val="center"/>
          </w:tcPr>
          <w:p w:rsidR="003B0DEF" w:rsidRPr="000B47D4" w:rsidRDefault="003B0DEF" w:rsidP="003B4339">
            <w:pPr>
              <w:snapToGrid w:val="0"/>
              <w:jc w:val="both"/>
              <w:cnfStyle w:val="0000000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Minimum-Maximum</w:t>
            </w:r>
          </w:p>
        </w:tc>
        <w:tc>
          <w:tcPr>
            <w:tcW w:w="787" w:type="pct"/>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15 - 110</w:t>
            </w:r>
          </w:p>
        </w:tc>
        <w:tc>
          <w:tcPr>
            <w:tcW w:w="659" w:type="pct"/>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10 - 86</w:t>
            </w:r>
          </w:p>
        </w:tc>
        <w:tc>
          <w:tcPr>
            <w:tcW w:w="1195" w:type="pct"/>
            <w:vMerge/>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p>
        </w:tc>
      </w:tr>
      <w:tr w:rsidR="00906E5B" w:rsidRPr="000B47D4" w:rsidTr="00906E5B">
        <w:trPr>
          <w:cnfStyle w:val="000000100000"/>
          <w:jc w:val="center"/>
        </w:trPr>
        <w:tc>
          <w:tcPr>
            <w:cnfStyle w:val="001000000000"/>
            <w:tcW w:w="1121" w:type="pct"/>
            <w:vMerge w:val="restart"/>
            <w:vAlign w:val="center"/>
          </w:tcPr>
          <w:p w:rsidR="003B0DEF" w:rsidRPr="000B47D4" w:rsidRDefault="003B0DEF" w:rsidP="003B4339">
            <w:pPr>
              <w:snapToGrid w:val="0"/>
              <w:jc w:val="both"/>
              <w:rPr>
                <w:rFonts w:ascii="Times New Roman" w:hAnsi="Times New Roman" w:cs="Times New Roman"/>
                <w:sz w:val="20"/>
                <w:szCs w:val="20"/>
                <w:lang w:bidi="ar-EG"/>
              </w:rPr>
            </w:pPr>
            <w:r w:rsidRPr="000B47D4">
              <w:rPr>
                <w:rFonts w:ascii="Times New Roman" w:hAnsi="Times New Roman" w:cs="Times New Roman"/>
                <w:sz w:val="20"/>
                <w:szCs w:val="20"/>
                <w:lang w:bidi="ar-EG"/>
              </w:rPr>
              <w:t>Serum Albumin</w:t>
            </w:r>
          </w:p>
        </w:tc>
        <w:tc>
          <w:tcPr>
            <w:tcW w:w="1238" w:type="pct"/>
            <w:vAlign w:val="center"/>
          </w:tcPr>
          <w:p w:rsidR="003B0DEF" w:rsidRPr="000B47D4" w:rsidRDefault="003B0DEF" w:rsidP="003B4339">
            <w:pPr>
              <w:snapToGrid w:val="0"/>
              <w:jc w:val="both"/>
              <w:cnfStyle w:val="0000001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Mean ±SD</w:t>
            </w:r>
          </w:p>
        </w:tc>
        <w:tc>
          <w:tcPr>
            <w:tcW w:w="787" w:type="pc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3 ± 0.5</w:t>
            </w:r>
          </w:p>
        </w:tc>
        <w:tc>
          <w:tcPr>
            <w:tcW w:w="659" w:type="pc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3.6 ± 0.3</w:t>
            </w:r>
          </w:p>
        </w:tc>
        <w:tc>
          <w:tcPr>
            <w:tcW w:w="1195" w:type="pct"/>
            <w:vMerge w:val="restar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Independent</w:t>
            </w:r>
            <w:r w:rsidR="00906E5B" w:rsidRPr="000B47D4">
              <w:rPr>
                <w:rFonts w:ascii="Times New Roman" w:hAnsi="Times New Roman" w:cs="Times New Roman"/>
                <w:sz w:val="20"/>
                <w:szCs w:val="20"/>
                <w:lang w:bidi="ar-EG"/>
              </w:rPr>
              <w:t xml:space="preserve"> </w:t>
            </w:r>
            <w:r w:rsidRPr="000B47D4">
              <w:rPr>
                <w:rFonts w:ascii="Times New Roman" w:hAnsi="Times New Roman" w:cs="Times New Roman"/>
                <w:sz w:val="20"/>
                <w:szCs w:val="20"/>
                <w:lang w:bidi="ar-EG"/>
              </w:rPr>
              <w:t xml:space="preserve">t- test </w:t>
            </w:r>
          </w:p>
          <w:p w:rsidR="003B0DEF" w:rsidRPr="000B47D4" w:rsidRDefault="003B0DEF" w:rsidP="003B4339">
            <w:pPr>
              <w:snapToGrid w:val="0"/>
              <w:jc w:val="both"/>
              <w:cnfStyle w:val="000000100000"/>
              <w:rPr>
                <w:rFonts w:ascii="Times New Roman" w:hAnsi="Times New Roman" w:cs="Times New Roman"/>
                <w:b/>
                <w:bCs/>
                <w:sz w:val="20"/>
                <w:szCs w:val="20"/>
                <w:lang w:bidi="ar-EG"/>
              </w:rPr>
            </w:pPr>
            <w:r w:rsidRPr="000B47D4">
              <w:rPr>
                <w:rFonts w:ascii="Times New Roman" w:hAnsi="Times New Roman" w:cs="Times New Roman"/>
                <w:b/>
                <w:bCs/>
                <w:sz w:val="20"/>
                <w:szCs w:val="20"/>
                <w:lang w:bidi="ar-EG"/>
              </w:rPr>
              <w:t>P &lt; 0.001 (HS)</w:t>
            </w:r>
          </w:p>
        </w:tc>
      </w:tr>
      <w:tr w:rsidR="00906E5B" w:rsidRPr="000B47D4" w:rsidTr="00906E5B">
        <w:trPr>
          <w:jc w:val="center"/>
        </w:trPr>
        <w:tc>
          <w:tcPr>
            <w:cnfStyle w:val="001000000000"/>
            <w:tcW w:w="1121" w:type="pct"/>
            <w:vMerge/>
            <w:vAlign w:val="center"/>
          </w:tcPr>
          <w:p w:rsidR="003B0DEF" w:rsidRPr="000B47D4" w:rsidRDefault="003B0DEF" w:rsidP="003B4339">
            <w:pPr>
              <w:snapToGrid w:val="0"/>
              <w:jc w:val="both"/>
              <w:rPr>
                <w:rFonts w:ascii="Times New Roman" w:hAnsi="Times New Roman" w:cs="Times New Roman"/>
                <w:sz w:val="20"/>
                <w:szCs w:val="20"/>
                <w:lang w:bidi="ar-EG"/>
              </w:rPr>
            </w:pPr>
          </w:p>
        </w:tc>
        <w:tc>
          <w:tcPr>
            <w:tcW w:w="1238" w:type="pct"/>
            <w:vAlign w:val="center"/>
          </w:tcPr>
          <w:p w:rsidR="003B0DEF" w:rsidRPr="000B47D4" w:rsidRDefault="003B0DEF" w:rsidP="003B4339">
            <w:pPr>
              <w:snapToGrid w:val="0"/>
              <w:jc w:val="both"/>
              <w:cnfStyle w:val="0000000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Minimum-Maximum</w:t>
            </w:r>
          </w:p>
        </w:tc>
        <w:tc>
          <w:tcPr>
            <w:tcW w:w="787" w:type="pct"/>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2.2 - 4.2</w:t>
            </w:r>
          </w:p>
        </w:tc>
        <w:tc>
          <w:tcPr>
            <w:tcW w:w="659" w:type="pct"/>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2.9 - 4.2</w:t>
            </w:r>
          </w:p>
        </w:tc>
        <w:tc>
          <w:tcPr>
            <w:tcW w:w="1195" w:type="pct"/>
            <w:vMerge/>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p>
        </w:tc>
      </w:tr>
      <w:tr w:rsidR="00906E5B" w:rsidRPr="000B47D4" w:rsidTr="00906E5B">
        <w:trPr>
          <w:cnfStyle w:val="000000100000"/>
          <w:jc w:val="center"/>
        </w:trPr>
        <w:tc>
          <w:tcPr>
            <w:cnfStyle w:val="001000000000"/>
            <w:tcW w:w="1121" w:type="pct"/>
            <w:vMerge w:val="restart"/>
            <w:vAlign w:val="center"/>
          </w:tcPr>
          <w:p w:rsidR="003B0DEF" w:rsidRPr="000B47D4" w:rsidRDefault="003B0DEF" w:rsidP="003B4339">
            <w:pPr>
              <w:snapToGrid w:val="0"/>
              <w:jc w:val="both"/>
              <w:rPr>
                <w:rFonts w:ascii="Times New Roman" w:hAnsi="Times New Roman" w:cs="Times New Roman"/>
                <w:sz w:val="20"/>
                <w:szCs w:val="20"/>
                <w:lang w:bidi="ar-EG"/>
              </w:rPr>
            </w:pPr>
            <w:r w:rsidRPr="000B47D4">
              <w:rPr>
                <w:rFonts w:ascii="Times New Roman" w:hAnsi="Times New Roman" w:cs="Times New Roman"/>
                <w:sz w:val="20"/>
                <w:szCs w:val="20"/>
                <w:lang w:bidi="ar-EG"/>
              </w:rPr>
              <w:t xml:space="preserve">Serum </w:t>
            </w:r>
            <w:proofErr w:type="spellStart"/>
            <w:r w:rsidRPr="000B47D4">
              <w:rPr>
                <w:rFonts w:ascii="Times New Roman" w:hAnsi="Times New Roman" w:cs="Times New Roman"/>
                <w:sz w:val="20"/>
                <w:szCs w:val="20"/>
                <w:lang w:bidi="ar-EG"/>
              </w:rPr>
              <w:t>Bilirubin</w:t>
            </w:r>
            <w:proofErr w:type="spellEnd"/>
          </w:p>
        </w:tc>
        <w:tc>
          <w:tcPr>
            <w:tcW w:w="1238" w:type="pct"/>
            <w:vAlign w:val="center"/>
          </w:tcPr>
          <w:p w:rsidR="003B0DEF" w:rsidRPr="000B47D4" w:rsidRDefault="003B0DEF" w:rsidP="003B4339">
            <w:pPr>
              <w:snapToGrid w:val="0"/>
              <w:jc w:val="both"/>
              <w:cnfStyle w:val="0000001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Mean ±SD</w:t>
            </w:r>
          </w:p>
        </w:tc>
        <w:tc>
          <w:tcPr>
            <w:tcW w:w="787" w:type="pc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1.1 ± 0.5</w:t>
            </w:r>
          </w:p>
        </w:tc>
        <w:tc>
          <w:tcPr>
            <w:tcW w:w="659" w:type="pc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1.2 ± 0.3</w:t>
            </w:r>
          </w:p>
        </w:tc>
        <w:tc>
          <w:tcPr>
            <w:tcW w:w="1195" w:type="pct"/>
            <w:vMerge w:val="restar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Independent</w:t>
            </w:r>
            <w:r w:rsidR="00906E5B" w:rsidRPr="000B47D4">
              <w:rPr>
                <w:rFonts w:ascii="Times New Roman" w:hAnsi="Times New Roman" w:cs="Times New Roman"/>
                <w:sz w:val="20"/>
                <w:szCs w:val="20"/>
                <w:lang w:bidi="ar-EG"/>
              </w:rPr>
              <w:t xml:space="preserve"> </w:t>
            </w:r>
            <w:r w:rsidRPr="000B47D4">
              <w:rPr>
                <w:rFonts w:ascii="Times New Roman" w:hAnsi="Times New Roman" w:cs="Times New Roman"/>
                <w:sz w:val="20"/>
                <w:szCs w:val="20"/>
                <w:lang w:bidi="ar-EG"/>
              </w:rPr>
              <w:t xml:space="preserve">t- test </w:t>
            </w:r>
          </w:p>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P = 0.24 (NS)</w:t>
            </w:r>
          </w:p>
        </w:tc>
      </w:tr>
      <w:tr w:rsidR="00906E5B" w:rsidRPr="000B47D4" w:rsidTr="00906E5B">
        <w:trPr>
          <w:jc w:val="center"/>
        </w:trPr>
        <w:tc>
          <w:tcPr>
            <w:cnfStyle w:val="001000000000"/>
            <w:tcW w:w="1121" w:type="pct"/>
            <w:vMerge/>
            <w:vAlign w:val="center"/>
          </w:tcPr>
          <w:p w:rsidR="003B0DEF" w:rsidRPr="000B47D4" w:rsidRDefault="003B0DEF" w:rsidP="003B4339">
            <w:pPr>
              <w:snapToGrid w:val="0"/>
              <w:jc w:val="both"/>
              <w:rPr>
                <w:rFonts w:ascii="Times New Roman" w:hAnsi="Times New Roman" w:cs="Times New Roman"/>
                <w:sz w:val="20"/>
                <w:szCs w:val="20"/>
                <w:lang w:bidi="ar-EG"/>
              </w:rPr>
            </w:pPr>
          </w:p>
        </w:tc>
        <w:tc>
          <w:tcPr>
            <w:tcW w:w="1238" w:type="pct"/>
            <w:vAlign w:val="center"/>
          </w:tcPr>
          <w:p w:rsidR="003B0DEF" w:rsidRPr="000B47D4" w:rsidRDefault="003B0DEF" w:rsidP="003B4339">
            <w:pPr>
              <w:snapToGrid w:val="0"/>
              <w:jc w:val="both"/>
              <w:cnfStyle w:val="0000000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Minimum-Maximum</w:t>
            </w:r>
          </w:p>
        </w:tc>
        <w:tc>
          <w:tcPr>
            <w:tcW w:w="787" w:type="pct"/>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0.5 -</w:t>
            </w:r>
            <w:r w:rsidR="00906E5B" w:rsidRPr="000B47D4">
              <w:rPr>
                <w:rFonts w:ascii="Times New Roman" w:hAnsi="Times New Roman" w:cs="Times New Roman"/>
                <w:sz w:val="20"/>
                <w:szCs w:val="20"/>
                <w:lang w:bidi="ar-EG"/>
              </w:rPr>
              <w:t xml:space="preserve"> </w:t>
            </w:r>
            <w:r w:rsidRPr="000B47D4">
              <w:rPr>
                <w:rFonts w:ascii="Times New Roman" w:hAnsi="Times New Roman" w:cs="Times New Roman"/>
                <w:sz w:val="20"/>
                <w:szCs w:val="20"/>
                <w:lang w:bidi="ar-EG"/>
              </w:rPr>
              <w:t>2.5</w:t>
            </w:r>
          </w:p>
        </w:tc>
        <w:tc>
          <w:tcPr>
            <w:tcW w:w="659" w:type="pct"/>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0.7 - 2</w:t>
            </w:r>
          </w:p>
        </w:tc>
        <w:tc>
          <w:tcPr>
            <w:tcW w:w="1195" w:type="pct"/>
            <w:vMerge/>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p>
        </w:tc>
      </w:tr>
      <w:tr w:rsidR="00906E5B" w:rsidRPr="000B47D4" w:rsidTr="00906E5B">
        <w:trPr>
          <w:cnfStyle w:val="000000100000"/>
          <w:jc w:val="center"/>
        </w:trPr>
        <w:tc>
          <w:tcPr>
            <w:cnfStyle w:val="001000000000"/>
            <w:tcW w:w="1121" w:type="pct"/>
            <w:vMerge w:val="restart"/>
            <w:vAlign w:val="center"/>
          </w:tcPr>
          <w:p w:rsidR="003B0DEF" w:rsidRPr="000B47D4" w:rsidRDefault="003B0DEF" w:rsidP="003B4339">
            <w:pPr>
              <w:snapToGrid w:val="0"/>
              <w:jc w:val="both"/>
              <w:rPr>
                <w:rFonts w:ascii="Times New Roman" w:hAnsi="Times New Roman" w:cs="Times New Roman"/>
                <w:sz w:val="20"/>
                <w:szCs w:val="20"/>
                <w:lang w:bidi="ar-EG"/>
              </w:rPr>
            </w:pPr>
            <w:r w:rsidRPr="000B47D4">
              <w:rPr>
                <w:rFonts w:ascii="Times New Roman" w:hAnsi="Times New Roman" w:cs="Times New Roman"/>
                <w:sz w:val="20"/>
                <w:szCs w:val="20"/>
                <w:lang w:bidi="ar-EG"/>
              </w:rPr>
              <w:t>HB</w:t>
            </w:r>
          </w:p>
        </w:tc>
        <w:tc>
          <w:tcPr>
            <w:tcW w:w="1238" w:type="pct"/>
            <w:vAlign w:val="center"/>
          </w:tcPr>
          <w:p w:rsidR="003B0DEF" w:rsidRPr="000B47D4" w:rsidRDefault="003B0DEF" w:rsidP="003B4339">
            <w:pPr>
              <w:snapToGrid w:val="0"/>
              <w:jc w:val="both"/>
              <w:cnfStyle w:val="0000001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Mean ±SD</w:t>
            </w:r>
          </w:p>
        </w:tc>
        <w:tc>
          <w:tcPr>
            <w:tcW w:w="787" w:type="pc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12.4 ± 2.6</w:t>
            </w:r>
          </w:p>
        </w:tc>
        <w:tc>
          <w:tcPr>
            <w:tcW w:w="659" w:type="pc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11.4 ± 1.6</w:t>
            </w:r>
          </w:p>
        </w:tc>
        <w:tc>
          <w:tcPr>
            <w:tcW w:w="1195" w:type="pct"/>
            <w:vMerge w:val="restar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Independent</w:t>
            </w:r>
            <w:r w:rsidR="00906E5B" w:rsidRPr="000B47D4">
              <w:rPr>
                <w:rFonts w:ascii="Times New Roman" w:hAnsi="Times New Roman" w:cs="Times New Roman"/>
                <w:sz w:val="20"/>
                <w:szCs w:val="20"/>
                <w:lang w:bidi="ar-EG"/>
              </w:rPr>
              <w:t xml:space="preserve"> </w:t>
            </w:r>
            <w:r w:rsidRPr="000B47D4">
              <w:rPr>
                <w:rFonts w:ascii="Times New Roman" w:hAnsi="Times New Roman" w:cs="Times New Roman"/>
                <w:sz w:val="20"/>
                <w:szCs w:val="20"/>
                <w:lang w:bidi="ar-EG"/>
              </w:rPr>
              <w:t xml:space="preserve">t- test </w:t>
            </w:r>
          </w:p>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P = 0.14 (NS)</w:t>
            </w:r>
          </w:p>
        </w:tc>
      </w:tr>
      <w:tr w:rsidR="00906E5B" w:rsidRPr="000B47D4" w:rsidTr="00906E5B">
        <w:trPr>
          <w:jc w:val="center"/>
        </w:trPr>
        <w:tc>
          <w:tcPr>
            <w:cnfStyle w:val="001000000000"/>
            <w:tcW w:w="1121" w:type="pct"/>
            <w:vMerge/>
            <w:vAlign w:val="center"/>
          </w:tcPr>
          <w:p w:rsidR="003B0DEF" w:rsidRPr="000B47D4" w:rsidRDefault="003B0DEF" w:rsidP="003B4339">
            <w:pPr>
              <w:snapToGrid w:val="0"/>
              <w:jc w:val="both"/>
              <w:rPr>
                <w:rFonts w:ascii="Times New Roman" w:hAnsi="Times New Roman" w:cs="Times New Roman"/>
                <w:sz w:val="20"/>
                <w:szCs w:val="20"/>
                <w:lang w:bidi="ar-EG"/>
              </w:rPr>
            </w:pPr>
          </w:p>
        </w:tc>
        <w:tc>
          <w:tcPr>
            <w:tcW w:w="1238" w:type="pct"/>
            <w:vAlign w:val="center"/>
          </w:tcPr>
          <w:p w:rsidR="003B0DEF" w:rsidRPr="000B47D4" w:rsidRDefault="003B0DEF" w:rsidP="003B4339">
            <w:pPr>
              <w:snapToGrid w:val="0"/>
              <w:jc w:val="both"/>
              <w:cnfStyle w:val="0000000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Minimum-Maximum</w:t>
            </w:r>
          </w:p>
        </w:tc>
        <w:tc>
          <w:tcPr>
            <w:tcW w:w="787" w:type="pct"/>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8 - 16</w:t>
            </w:r>
          </w:p>
        </w:tc>
        <w:tc>
          <w:tcPr>
            <w:tcW w:w="659" w:type="pct"/>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8.3 - 14.2</w:t>
            </w:r>
          </w:p>
        </w:tc>
        <w:tc>
          <w:tcPr>
            <w:tcW w:w="1195" w:type="pct"/>
            <w:vMerge/>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p>
        </w:tc>
      </w:tr>
      <w:tr w:rsidR="00906E5B" w:rsidRPr="000B47D4" w:rsidTr="00906E5B">
        <w:trPr>
          <w:cnfStyle w:val="000000100000"/>
          <w:jc w:val="center"/>
        </w:trPr>
        <w:tc>
          <w:tcPr>
            <w:cnfStyle w:val="001000000000"/>
            <w:tcW w:w="1121" w:type="pct"/>
            <w:vMerge w:val="restart"/>
            <w:vAlign w:val="center"/>
          </w:tcPr>
          <w:p w:rsidR="003B0DEF" w:rsidRPr="000B47D4" w:rsidRDefault="003B0DEF" w:rsidP="003B4339">
            <w:pPr>
              <w:snapToGrid w:val="0"/>
              <w:jc w:val="both"/>
              <w:rPr>
                <w:rFonts w:ascii="Times New Roman" w:hAnsi="Times New Roman" w:cs="Times New Roman"/>
                <w:sz w:val="20"/>
                <w:szCs w:val="20"/>
                <w:lang w:bidi="ar-EG"/>
              </w:rPr>
            </w:pPr>
            <w:r w:rsidRPr="000B47D4">
              <w:rPr>
                <w:rFonts w:ascii="Times New Roman" w:hAnsi="Times New Roman" w:cs="Times New Roman"/>
                <w:sz w:val="20"/>
                <w:szCs w:val="20"/>
                <w:lang w:bidi="ar-EG"/>
              </w:rPr>
              <w:t>HCT</w:t>
            </w:r>
          </w:p>
        </w:tc>
        <w:tc>
          <w:tcPr>
            <w:tcW w:w="1238" w:type="pct"/>
            <w:vAlign w:val="center"/>
          </w:tcPr>
          <w:p w:rsidR="003B0DEF" w:rsidRPr="000B47D4" w:rsidRDefault="003B0DEF" w:rsidP="003B4339">
            <w:pPr>
              <w:snapToGrid w:val="0"/>
              <w:jc w:val="both"/>
              <w:cnfStyle w:val="0000001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Mean ±SD</w:t>
            </w:r>
          </w:p>
        </w:tc>
        <w:tc>
          <w:tcPr>
            <w:tcW w:w="787" w:type="pc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37.8 ± 7.8</w:t>
            </w:r>
          </w:p>
        </w:tc>
        <w:tc>
          <w:tcPr>
            <w:tcW w:w="659" w:type="pc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36.1 ± 7.5</w:t>
            </w:r>
          </w:p>
        </w:tc>
        <w:tc>
          <w:tcPr>
            <w:tcW w:w="1195" w:type="pct"/>
            <w:vMerge w:val="restar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Mann-Whitney U test</w:t>
            </w:r>
          </w:p>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P =0.36 (NS)</w:t>
            </w:r>
          </w:p>
        </w:tc>
      </w:tr>
      <w:tr w:rsidR="00906E5B" w:rsidRPr="000B47D4" w:rsidTr="00906E5B">
        <w:trPr>
          <w:jc w:val="center"/>
        </w:trPr>
        <w:tc>
          <w:tcPr>
            <w:cnfStyle w:val="001000000000"/>
            <w:tcW w:w="1121" w:type="pct"/>
            <w:vMerge/>
            <w:vAlign w:val="center"/>
          </w:tcPr>
          <w:p w:rsidR="003B0DEF" w:rsidRPr="000B47D4" w:rsidRDefault="003B0DEF" w:rsidP="003B4339">
            <w:pPr>
              <w:snapToGrid w:val="0"/>
              <w:jc w:val="both"/>
              <w:rPr>
                <w:rFonts w:ascii="Times New Roman" w:hAnsi="Times New Roman" w:cs="Times New Roman"/>
                <w:sz w:val="20"/>
                <w:szCs w:val="20"/>
                <w:lang w:bidi="ar-EG"/>
              </w:rPr>
            </w:pPr>
          </w:p>
        </w:tc>
        <w:tc>
          <w:tcPr>
            <w:tcW w:w="1238" w:type="pct"/>
            <w:vAlign w:val="center"/>
          </w:tcPr>
          <w:p w:rsidR="003B0DEF" w:rsidRPr="000B47D4" w:rsidRDefault="003B0DEF" w:rsidP="003B4339">
            <w:pPr>
              <w:snapToGrid w:val="0"/>
              <w:jc w:val="both"/>
              <w:cnfStyle w:val="0000000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Minimum-Maximum</w:t>
            </w:r>
          </w:p>
        </w:tc>
        <w:tc>
          <w:tcPr>
            <w:tcW w:w="787" w:type="pct"/>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23 - 55</w:t>
            </w:r>
          </w:p>
        </w:tc>
        <w:tc>
          <w:tcPr>
            <w:tcW w:w="659" w:type="pct"/>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22 - 52</w:t>
            </w:r>
          </w:p>
        </w:tc>
        <w:tc>
          <w:tcPr>
            <w:tcW w:w="1195" w:type="pct"/>
            <w:vMerge/>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p>
        </w:tc>
      </w:tr>
      <w:tr w:rsidR="00906E5B" w:rsidRPr="000B47D4" w:rsidTr="00906E5B">
        <w:trPr>
          <w:cnfStyle w:val="000000100000"/>
          <w:jc w:val="center"/>
        </w:trPr>
        <w:tc>
          <w:tcPr>
            <w:cnfStyle w:val="001000000000"/>
            <w:tcW w:w="1121" w:type="pct"/>
            <w:vMerge w:val="restart"/>
            <w:vAlign w:val="center"/>
          </w:tcPr>
          <w:p w:rsidR="003B0DEF" w:rsidRPr="000B47D4" w:rsidRDefault="003B0DEF" w:rsidP="003B4339">
            <w:pPr>
              <w:snapToGrid w:val="0"/>
              <w:jc w:val="both"/>
              <w:rPr>
                <w:rFonts w:ascii="Times New Roman" w:hAnsi="Times New Roman" w:cs="Times New Roman"/>
                <w:sz w:val="20"/>
                <w:szCs w:val="20"/>
                <w:lang w:bidi="ar-EG"/>
              </w:rPr>
            </w:pPr>
            <w:r w:rsidRPr="000B47D4">
              <w:rPr>
                <w:rFonts w:ascii="Times New Roman" w:hAnsi="Times New Roman" w:cs="Times New Roman"/>
                <w:sz w:val="20"/>
                <w:szCs w:val="20"/>
                <w:lang w:bidi="ar-EG"/>
              </w:rPr>
              <w:t>PLT</w:t>
            </w:r>
          </w:p>
        </w:tc>
        <w:tc>
          <w:tcPr>
            <w:tcW w:w="1238" w:type="pct"/>
            <w:vAlign w:val="center"/>
          </w:tcPr>
          <w:p w:rsidR="003B0DEF" w:rsidRPr="000B47D4" w:rsidRDefault="003B0DEF" w:rsidP="003B4339">
            <w:pPr>
              <w:snapToGrid w:val="0"/>
              <w:jc w:val="both"/>
              <w:cnfStyle w:val="0000001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Mean ±SD</w:t>
            </w:r>
          </w:p>
        </w:tc>
        <w:tc>
          <w:tcPr>
            <w:tcW w:w="787" w:type="pc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233.4</w:t>
            </w:r>
            <w:r w:rsidR="00906E5B" w:rsidRPr="000B47D4">
              <w:rPr>
                <w:rFonts w:ascii="Times New Roman" w:hAnsi="Times New Roman" w:cs="Times New Roman"/>
                <w:sz w:val="20"/>
                <w:szCs w:val="20"/>
                <w:lang w:bidi="ar-EG"/>
              </w:rPr>
              <w:t xml:space="preserve"> </w:t>
            </w:r>
            <w:r w:rsidRPr="000B47D4">
              <w:rPr>
                <w:rFonts w:ascii="Times New Roman" w:hAnsi="Times New Roman" w:cs="Times New Roman"/>
                <w:sz w:val="20"/>
                <w:szCs w:val="20"/>
                <w:lang w:bidi="ar-EG"/>
              </w:rPr>
              <w:t>± 105.7</w:t>
            </w:r>
          </w:p>
        </w:tc>
        <w:tc>
          <w:tcPr>
            <w:tcW w:w="659" w:type="pc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221 ± 74</w:t>
            </w:r>
          </w:p>
        </w:tc>
        <w:tc>
          <w:tcPr>
            <w:tcW w:w="1195" w:type="pct"/>
            <w:vMerge w:val="restar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Mann-Whitney U test</w:t>
            </w:r>
          </w:p>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P = 0.93 (NS)</w:t>
            </w:r>
          </w:p>
        </w:tc>
      </w:tr>
      <w:tr w:rsidR="00906E5B" w:rsidRPr="000B47D4" w:rsidTr="00906E5B">
        <w:trPr>
          <w:jc w:val="center"/>
        </w:trPr>
        <w:tc>
          <w:tcPr>
            <w:cnfStyle w:val="001000000000"/>
            <w:tcW w:w="1121" w:type="pct"/>
            <w:vMerge/>
            <w:vAlign w:val="center"/>
          </w:tcPr>
          <w:p w:rsidR="003B0DEF" w:rsidRPr="000B47D4" w:rsidRDefault="003B0DEF" w:rsidP="003B4339">
            <w:pPr>
              <w:snapToGrid w:val="0"/>
              <w:jc w:val="both"/>
              <w:rPr>
                <w:rFonts w:ascii="Times New Roman" w:hAnsi="Times New Roman" w:cs="Times New Roman"/>
                <w:sz w:val="20"/>
                <w:szCs w:val="20"/>
                <w:lang w:bidi="ar-EG"/>
              </w:rPr>
            </w:pPr>
          </w:p>
        </w:tc>
        <w:tc>
          <w:tcPr>
            <w:tcW w:w="1238" w:type="pct"/>
            <w:vAlign w:val="center"/>
          </w:tcPr>
          <w:p w:rsidR="003B0DEF" w:rsidRPr="000B47D4" w:rsidRDefault="003B0DEF" w:rsidP="003B4339">
            <w:pPr>
              <w:snapToGrid w:val="0"/>
              <w:jc w:val="both"/>
              <w:cnfStyle w:val="0000000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Minimum-Maximum</w:t>
            </w:r>
          </w:p>
        </w:tc>
        <w:tc>
          <w:tcPr>
            <w:tcW w:w="787" w:type="pct"/>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90 - 433</w:t>
            </w:r>
          </w:p>
        </w:tc>
        <w:tc>
          <w:tcPr>
            <w:tcW w:w="659" w:type="pct"/>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100 - 400</w:t>
            </w:r>
          </w:p>
        </w:tc>
        <w:tc>
          <w:tcPr>
            <w:tcW w:w="1195" w:type="pct"/>
            <w:vMerge/>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p>
        </w:tc>
      </w:tr>
      <w:tr w:rsidR="00906E5B" w:rsidRPr="000B47D4" w:rsidTr="00906E5B">
        <w:trPr>
          <w:cnfStyle w:val="000000100000"/>
          <w:jc w:val="center"/>
        </w:trPr>
        <w:tc>
          <w:tcPr>
            <w:cnfStyle w:val="001000000000"/>
            <w:tcW w:w="1121" w:type="pct"/>
            <w:vMerge w:val="restart"/>
            <w:vAlign w:val="center"/>
          </w:tcPr>
          <w:p w:rsidR="003B0DEF" w:rsidRPr="000B47D4" w:rsidRDefault="003B0DEF" w:rsidP="003B4339">
            <w:pPr>
              <w:snapToGrid w:val="0"/>
              <w:jc w:val="both"/>
              <w:rPr>
                <w:rFonts w:ascii="Times New Roman" w:hAnsi="Times New Roman" w:cs="Times New Roman"/>
                <w:sz w:val="20"/>
                <w:szCs w:val="20"/>
                <w:lang w:bidi="ar-EG"/>
              </w:rPr>
            </w:pPr>
            <w:r w:rsidRPr="000B47D4">
              <w:rPr>
                <w:rFonts w:ascii="Times New Roman" w:hAnsi="Times New Roman" w:cs="Times New Roman"/>
                <w:sz w:val="20"/>
                <w:szCs w:val="20"/>
                <w:lang w:bidi="ar-EG"/>
              </w:rPr>
              <w:t>TLC</w:t>
            </w:r>
          </w:p>
        </w:tc>
        <w:tc>
          <w:tcPr>
            <w:tcW w:w="1238" w:type="pct"/>
            <w:vAlign w:val="center"/>
          </w:tcPr>
          <w:p w:rsidR="003B0DEF" w:rsidRPr="000B47D4" w:rsidRDefault="003B0DEF" w:rsidP="003B4339">
            <w:pPr>
              <w:snapToGrid w:val="0"/>
              <w:jc w:val="both"/>
              <w:cnfStyle w:val="0000001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Mean ±SD</w:t>
            </w:r>
          </w:p>
        </w:tc>
        <w:tc>
          <w:tcPr>
            <w:tcW w:w="787" w:type="pc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15.1 ± 5.9</w:t>
            </w:r>
          </w:p>
        </w:tc>
        <w:tc>
          <w:tcPr>
            <w:tcW w:w="659" w:type="pc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14.1 ± 8.2</w:t>
            </w:r>
          </w:p>
        </w:tc>
        <w:tc>
          <w:tcPr>
            <w:tcW w:w="1195" w:type="pct"/>
            <w:vMerge w:val="restart"/>
            <w:vAlign w:val="center"/>
          </w:tcPr>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Independent</w:t>
            </w:r>
            <w:r w:rsidR="00906E5B" w:rsidRPr="000B47D4">
              <w:rPr>
                <w:rFonts w:ascii="Times New Roman" w:hAnsi="Times New Roman" w:cs="Times New Roman"/>
                <w:sz w:val="20"/>
                <w:szCs w:val="20"/>
                <w:lang w:bidi="ar-EG"/>
              </w:rPr>
              <w:t xml:space="preserve"> </w:t>
            </w:r>
            <w:r w:rsidRPr="000B47D4">
              <w:rPr>
                <w:rFonts w:ascii="Times New Roman" w:hAnsi="Times New Roman" w:cs="Times New Roman"/>
                <w:sz w:val="20"/>
                <w:szCs w:val="20"/>
                <w:lang w:bidi="ar-EG"/>
              </w:rPr>
              <w:t xml:space="preserve">t- test </w:t>
            </w:r>
          </w:p>
          <w:p w:rsidR="003B0DEF" w:rsidRPr="000B47D4" w:rsidRDefault="003B0DEF"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P = 0.65 (NS)</w:t>
            </w:r>
          </w:p>
        </w:tc>
      </w:tr>
      <w:tr w:rsidR="00906E5B" w:rsidRPr="000B47D4" w:rsidTr="00906E5B">
        <w:trPr>
          <w:jc w:val="center"/>
        </w:trPr>
        <w:tc>
          <w:tcPr>
            <w:cnfStyle w:val="001000000000"/>
            <w:tcW w:w="1121" w:type="pct"/>
            <w:vMerge/>
            <w:vAlign w:val="center"/>
          </w:tcPr>
          <w:p w:rsidR="003B0DEF" w:rsidRPr="000B47D4" w:rsidRDefault="003B0DEF" w:rsidP="003B4339">
            <w:pPr>
              <w:snapToGrid w:val="0"/>
              <w:jc w:val="both"/>
              <w:rPr>
                <w:rFonts w:ascii="Times New Roman" w:hAnsi="Times New Roman" w:cs="Times New Roman"/>
                <w:sz w:val="20"/>
                <w:szCs w:val="20"/>
                <w:lang w:bidi="ar-EG"/>
              </w:rPr>
            </w:pPr>
          </w:p>
        </w:tc>
        <w:tc>
          <w:tcPr>
            <w:tcW w:w="1238" w:type="pct"/>
            <w:vAlign w:val="center"/>
          </w:tcPr>
          <w:p w:rsidR="003B0DEF" w:rsidRPr="000B47D4" w:rsidRDefault="003B0DEF" w:rsidP="003B4339">
            <w:pPr>
              <w:snapToGrid w:val="0"/>
              <w:jc w:val="both"/>
              <w:cnfStyle w:val="0000000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Minimum-Maximum</w:t>
            </w:r>
          </w:p>
        </w:tc>
        <w:tc>
          <w:tcPr>
            <w:tcW w:w="787" w:type="pct"/>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5 - 26</w:t>
            </w:r>
          </w:p>
        </w:tc>
        <w:tc>
          <w:tcPr>
            <w:tcW w:w="659" w:type="pct"/>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4 - 32</w:t>
            </w:r>
          </w:p>
        </w:tc>
        <w:tc>
          <w:tcPr>
            <w:tcW w:w="1195" w:type="pct"/>
            <w:vMerge/>
            <w:vAlign w:val="center"/>
          </w:tcPr>
          <w:p w:rsidR="003B0DEF" w:rsidRPr="000B47D4" w:rsidRDefault="003B0DEF" w:rsidP="003B4339">
            <w:pPr>
              <w:snapToGrid w:val="0"/>
              <w:jc w:val="both"/>
              <w:cnfStyle w:val="000000000000"/>
              <w:rPr>
                <w:rFonts w:ascii="Times New Roman" w:hAnsi="Times New Roman" w:cs="Times New Roman"/>
                <w:sz w:val="20"/>
                <w:szCs w:val="20"/>
                <w:lang w:bidi="ar-EG"/>
              </w:rPr>
            </w:pPr>
          </w:p>
        </w:tc>
      </w:tr>
    </w:tbl>
    <w:p w:rsidR="00DD2561" w:rsidRPr="000B47D4" w:rsidRDefault="00DD2561" w:rsidP="003B4339">
      <w:pPr>
        <w:snapToGrid w:val="0"/>
        <w:spacing w:after="0" w:line="240" w:lineRule="auto"/>
        <w:ind w:firstLine="425"/>
        <w:jc w:val="both"/>
        <w:rPr>
          <w:rFonts w:ascii="Times New Roman" w:hAnsi="Times New Roman" w:cs="Times New Roman"/>
          <w:sz w:val="20"/>
          <w:szCs w:val="20"/>
        </w:rPr>
      </w:pPr>
    </w:p>
    <w:p w:rsidR="00BE3500" w:rsidRDefault="00BE3500" w:rsidP="003B4339">
      <w:pPr>
        <w:snapToGrid w:val="0"/>
        <w:spacing w:after="0" w:line="240" w:lineRule="auto"/>
        <w:ind w:firstLine="425"/>
        <w:jc w:val="both"/>
        <w:rPr>
          <w:rFonts w:ascii="Times New Roman" w:hAnsi="Times New Roman" w:cs="Times New Roman" w:hint="eastAsia"/>
          <w:sz w:val="20"/>
          <w:szCs w:val="20"/>
          <w:lang w:eastAsia="zh-CN"/>
        </w:rPr>
      </w:pPr>
      <w:r w:rsidRPr="000B47D4">
        <w:rPr>
          <w:rFonts w:ascii="Times New Roman" w:hAnsi="Times New Roman" w:cs="Times New Roman"/>
          <w:sz w:val="20"/>
          <w:szCs w:val="20"/>
        </w:rPr>
        <w:t>Similarly, there was a statistically significant difference between the two groups regarding the mean of the length of stay in ICU (group A = 10.6 ± 3.7 days</w:t>
      </w:r>
      <w:r w:rsidR="003B4339" w:rsidRPr="000B47D4">
        <w:rPr>
          <w:rFonts w:ascii="Times New Roman" w:hAnsi="Times New Roman" w:cs="Times New Roman"/>
          <w:sz w:val="20"/>
          <w:szCs w:val="20"/>
        </w:rPr>
        <w:t>, a</w:t>
      </w:r>
      <w:r w:rsidRPr="000B47D4">
        <w:rPr>
          <w:rFonts w:ascii="Times New Roman" w:hAnsi="Times New Roman" w:cs="Times New Roman"/>
          <w:sz w:val="20"/>
          <w:szCs w:val="20"/>
        </w:rPr>
        <w:t xml:space="preserve">nd group B = 6.1 ±1.2 days; p &lt;0.001; </w:t>
      </w:r>
      <w:r w:rsidRPr="000B47D4">
        <w:rPr>
          <w:rFonts w:ascii="Times New Roman" w:hAnsi="Times New Roman" w:cs="Times New Roman"/>
          <w:b/>
          <w:bCs/>
          <w:sz w:val="20"/>
          <w:szCs w:val="20"/>
        </w:rPr>
        <w:t>Figure</w:t>
      </w:r>
      <w:r w:rsidR="000B47D4">
        <w:rPr>
          <w:rFonts w:ascii="Times New Roman" w:hAnsi="Times New Roman" w:cs="Times New Roman" w:hint="eastAsia"/>
          <w:b/>
          <w:bCs/>
          <w:sz w:val="20"/>
          <w:szCs w:val="20"/>
          <w:lang w:eastAsia="zh-CN"/>
        </w:rPr>
        <w:t xml:space="preserve"> </w:t>
      </w:r>
      <w:r w:rsidRPr="000B47D4">
        <w:rPr>
          <w:rFonts w:ascii="Times New Roman" w:hAnsi="Times New Roman" w:cs="Times New Roman"/>
          <w:b/>
          <w:bCs/>
          <w:sz w:val="20"/>
          <w:szCs w:val="20"/>
        </w:rPr>
        <w:t>2</w:t>
      </w:r>
      <w:r w:rsidRPr="000B47D4">
        <w:rPr>
          <w:rFonts w:ascii="Times New Roman" w:hAnsi="Times New Roman" w:cs="Times New Roman"/>
          <w:sz w:val="20"/>
          <w:szCs w:val="20"/>
        </w:rPr>
        <w:t xml:space="preserve">). </w:t>
      </w:r>
    </w:p>
    <w:p w:rsidR="000B47D4" w:rsidRDefault="000B47D4" w:rsidP="003B4339">
      <w:pPr>
        <w:snapToGrid w:val="0"/>
        <w:spacing w:after="0" w:line="240" w:lineRule="auto"/>
        <w:ind w:firstLine="425"/>
        <w:jc w:val="both"/>
        <w:rPr>
          <w:rFonts w:ascii="Times New Roman" w:hAnsi="Times New Roman" w:cs="Times New Roman" w:hint="eastAsia"/>
          <w:sz w:val="20"/>
          <w:szCs w:val="20"/>
          <w:lang w:eastAsia="zh-CN"/>
        </w:rPr>
      </w:pPr>
    </w:p>
    <w:p w:rsidR="000B47D4" w:rsidRDefault="000B47D4" w:rsidP="003B4339">
      <w:pPr>
        <w:snapToGrid w:val="0"/>
        <w:spacing w:after="0" w:line="240" w:lineRule="auto"/>
        <w:ind w:firstLine="425"/>
        <w:jc w:val="both"/>
        <w:rPr>
          <w:rFonts w:ascii="Times New Roman" w:hAnsi="Times New Roman" w:cs="Times New Roman" w:hint="eastAsia"/>
          <w:sz w:val="20"/>
          <w:szCs w:val="20"/>
          <w:lang w:eastAsia="zh-CN"/>
        </w:rPr>
      </w:pPr>
    </w:p>
    <w:p w:rsidR="000B47D4" w:rsidRDefault="000B47D4" w:rsidP="003B4339">
      <w:pPr>
        <w:snapToGrid w:val="0"/>
        <w:spacing w:after="0" w:line="240" w:lineRule="auto"/>
        <w:ind w:firstLine="425"/>
        <w:jc w:val="both"/>
        <w:rPr>
          <w:rFonts w:ascii="Times New Roman" w:hAnsi="Times New Roman" w:cs="Times New Roman" w:hint="eastAsia"/>
          <w:sz w:val="20"/>
          <w:szCs w:val="20"/>
          <w:lang w:eastAsia="zh-CN"/>
        </w:rPr>
      </w:pPr>
    </w:p>
    <w:p w:rsidR="000B47D4" w:rsidRDefault="000B47D4" w:rsidP="003B4339">
      <w:pPr>
        <w:snapToGrid w:val="0"/>
        <w:spacing w:after="0" w:line="240" w:lineRule="auto"/>
        <w:ind w:firstLine="425"/>
        <w:jc w:val="both"/>
        <w:rPr>
          <w:rFonts w:ascii="Times New Roman" w:hAnsi="Times New Roman" w:cs="Times New Roman" w:hint="eastAsia"/>
          <w:sz w:val="20"/>
          <w:szCs w:val="20"/>
          <w:lang w:eastAsia="zh-CN"/>
        </w:rPr>
      </w:pPr>
    </w:p>
    <w:p w:rsidR="000B47D4" w:rsidRDefault="000B47D4" w:rsidP="003B4339">
      <w:pPr>
        <w:snapToGrid w:val="0"/>
        <w:spacing w:after="0" w:line="240" w:lineRule="auto"/>
        <w:ind w:firstLine="425"/>
        <w:jc w:val="both"/>
        <w:rPr>
          <w:rFonts w:ascii="Times New Roman" w:hAnsi="Times New Roman" w:cs="Times New Roman" w:hint="eastAsia"/>
          <w:sz w:val="20"/>
          <w:szCs w:val="20"/>
          <w:lang w:eastAsia="zh-CN"/>
        </w:rPr>
      </w:pPr>
    </w:p>
    <w:p w:rsidR="000B47D4" w:rsidRDefault="000B47D4" w:rsidP="003B4339">
      <w:pPr>
        <w:snapToGrid w:val="0"/>
        <w:spacing w:after="0" w:line="240" w:lineRule="auto"/>
        <w:ind w:firstLine="425"/>
        <w:jc w:val="both"/>
        <w:rPr>
          <w:rFonts w:ascii="Times New Roman" w:hAnsi="Times New Roman" w:cs="Times New Roman" w:hint="eastAsia"/>
          <w:sz w:val="20"/>
          <w:szCs w:val="20"/>
          <w:lang w:eastAsia="zh-CN"/>
        </w:rPr>
      </w:pPr>
    </w:p>
    <w:p w:rsidR="003B4339" w:rsidRPr="000B47D4" w:rsidRDefault="000B47D4" w:rsidP="000B47D4">
      <w:pPr>
        <w:snapToGrid w:val="0"/>
        <w:spacing w:after="0" w:line="240" w:lineRule="auto"/>
        <w:jc w:val="both"/>
        <w:rPr>
          <w:rFonts w:ascii="Times New Roman" w:hAnsi="Times New Roman" w:cs="Times New Roman"/>
          <w:sz w:val="20"/>
          <w:szCs w:val="20"/>
          <w:lang w:eastAsia="zh-CN"/>
        </w:rPr>
      </w:pPr>
      <w:r w:rsidRPr="000B47D4">
        <w:rPr>
          <w:rFonts w:ascii="Times New Roman" w:hAnsi="Times New Roman" w:cs="Times New Roman"/>
          <w:b/>
          <w:bCs/>
          <w:sz w:val="20"/>
          <w:szCs w:val="20"/>
        </w:rPr>
        <w:t>Table</w:t>
      </w:r>
      <w:r>
        <w:rPr>
          <w:rFonts w:ascii="Times New Roman" w:hAnsi="Times New Roman" w:cs="Times New Roman" w:hint="eastAsia"/>
          <w:b/>
          <w:bCs/>
          <w:sz w:val="20"/>
          <w:szCs w:val="20"/>
          <w:lang w:eastAsia="zh-CN"/>
        </w:rPr>
        <w:t xml:space="preserve"> </w:t>
      </w:r>
      <w:r w:rsidRPr="000B47D4">
        <w:rPr>
          <w:rFonts w:ascii="Times New Roman" w:hAnsi="Times New Roman" w:cs="Times New Roman"/>
          <w:b/>
          <w:bCs/>
          <w:sz w:val="20"/>
          <w:szCs w:val="20"/>
        </w:rPr>
        <w:t>2</w:t>
      </w:r>
      <w:r>
        <w:rPr>
          <w:rFonts w:ascii="Times New Roman" w:hAnsi="Times New Roman" w:cs="Times New Roman" w:hint="eastAsia"/>
          <w:b/>
          <w:bCs/>
          <w:sz w:val="20"/>
          <w:szCs w:val="20"/>
          <w:lang w:eastAsia="zh-CN"/>
        </w:rPr>
        <w:t xml:space="preserve">. </w:t>
      </w:r>
      <w:r w:rsidRPr="000B47D4">
        <w:rPr>
          <w:rFonts w:ascii="Times New Roman" w:hAnsi="Times New Roman" w:cs="Times New Roman"/>
          <w:sz w:val="20"/>
          <w:szCs w:val="20"/>
        </w:rPr>
        <w:t>At the time of weaning, there was statistically significant difference between both groups in terms of RR, average TV, PEEP, and PIP</w:t>
      </w:r>
    </w:p>
    <w:tbl>
      <w:tblPr>
        <w:tblStyle w:val="MediumGrid3-Accent1"/>
        <w:tblW w:w="5000" w:type="pct"/>
        <w:jc w:val="center"/>
        <w:tblCellMar>
          <w:left w:w="57" w:type="dxa"/>
          <w:right w:w="57" w:type="dxa"/>
        </w:tblCellMar>
        <w:tblLook w:val="04A0"/>
      </w:tblPr>
      <w:tblGrid>
        <w:gridCol w:w="2173"/>
        <w:gridCol w:w="2306"/>
        <w:gridCol w:w="1287"/>
        <w:gridCol w:w="1347"/>
        <w:gridCol w:w="2361"/>
      </w:tblGrid>
      <w:tr w:rsidR="00DD2561" w:rsidRPr="000B47D4" w:rsidTr="00906E5B">
        <w:trPr>
          <w:cnfStyle w:val="100000000000"/>
          <w:jc w:val="center"/>
        </w:trPr>
        <w:tc>
          <w:tcPr>
            <w:cnfStyle w:val="001000000000"/>
            <w:tcW w:w="2364" w:type="pct"/>
            <w:gridSpan w:val="2"/>
            <w:vAlign w:val="center"/>
          </w:tcPr>
          <w:p w:rsidR="00DD2561" w:rsidRPr="000B47D4" w:rsidRDefault="00DD2561" w:rsidP="003B4339">
            <w:pPr>
              <w:snapToGrid w:val="0"/>
              <w:jc w:val="both"/>
              <w:rPr>
                <w:rFonts w:ascii="Times New Roman" w:hAnsi="Times New Roman" w:cs="Times New Roman"/>
                <w:sz w:val="20"/>
                <w:szCs w:val="20"/>
                <w:lang w:bidi="ar-EG"/>
              </w:rPr>
            </w:pPr>
            <w:r w:rsidRPr="000B47D4">
              <w:rPr>
                <w:rFonts w:ascii="Times New Roman" w:hAnsi="Times New Roman" w:cs="Times New Roman"/>
                <w:sz w:val="20"/>
                <w:szCs w:val="20"/>
                <w:lang w:bidi="ar-EG"/>
              </w:rPr>
              <w:t>Variable</w:t>
            </w:r>
          </w:p>
        </w:tc>
        <w:tc>
          <w:tcPr>
            <w:tcW w:w="679" w:type="pct"/>
            <w:vAlign w:val="center"/>
          </w:tcPr>
          <w:p w:rsidR="00DD2561" w:rsidRPr="000B47D4" w:rsidRDefault="00DD2561" w:rsidP="003B4339">
            <w:pPr>
              <w:snapToGrid w:val="0"/>
              <w:jc w:val="both"/>
              <w:cnfStyle w:val="1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Group A</w:t>
            </w:r>
          </w:p>
          <w:p w:rsidR="00DD2561" w:rsidRPr="000B47D4" w:rsidRDefault="00DD2561" w:rsidP="003B4339">
            <w:pPr>
              <w:snapToGrid w:val="0"/>
              <w:jc w:val="both"/>
              <w:cnfStyle w:val="1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(n =20)</w:t>
            </w:r>
          </w:p>
        </w:tc>
        <w:tc>
          <w:tcPr>
            <w:tcW w:w="711" w:type="pct"/>
            <w:vAlign w:val="center"/>
          </w:tcPr>
          <w:p w:rsidR="00DD2561" w:rsidRPr="000B47D4" w:rsidRDefault="00DD2561" w:rsidP="003B4339">
            <w:pPr>
              <w:snapToGrid w:val="0"/>
              <w:jc w:val="both"/>
              <w:cnfStyle w:val="1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Group B</w:t>
            </w:r>
          </w:p>
          <w:p w:rsidR="00DD2561" w:rsidRPr="000B47D4" w:rsidRDefault="00DD2561" w:rsidP="003B4339">
            <w:pPr>
              <w:snapToGrid w:val="0"/>
              <w:jc w:val="both"/>
              <w:cnfStyle w:val="1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(n =20)</w:t>
            </w:r>
          </w:p>
        </w:tc>
        <w:tc>
          <w:tcPr>
            <w:tcW w:w="1246" w:type="pct"/>
            <w:vAlign w:val="center"/>
          </w:tcPr>
          <w:p w:rsidR="00DD2561" w:rsidRPr="000B47D4" w:rsidRDefault="00DD2561" w:rsidP="003B4339">
            <w:pPr>
              <w:snapToGrid w:val="0"/>
              <w:jc w:val="both"/>
              <w:cnfStyle w:val="1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Test</w:t>
            </w:r>
          </w:p>
        </w:tc>
      </w:tr>
      <w:tr w:rsidR="00906E5B" w:rsidRPr="000B47D4" w:rsidTr="00906E5B">
        <w:trPr>
          <w:cnfStyle w:val="000000100000"/>
          <w:jc w:val="center"/>
        </w:trPr>
        <w:tc>
          <w:tcPr>
            <w:cnfStyle w:val="001000000000"/>
            <w:tcW w:w="1147" w:type="pct"/>
            <w:vMerge w:val="restart"/>
            <w:vAlign w:val="center"/>
          </w:tcPr>
          <w:p w:rsidR="00DD2561" w:rsidRPr="000B47D4" w:rsidRDefault="00DD2561" w:rsidP="003B4339">
            <w:pPr>
              <w:snapToGrid w:val="0"/>
              <w:jc w:val="both"/>
              <w:rPr>
                <w:rFonts w:ascii="Times New Roman" w:hAnsi="Times New Roman" w:cs="Times New Roman"/>
                <w:sz w:val="20"/>
                <w:szCs w:val="20"/>
                <w:lang w:bidi="ar-EG"/>
              </w:rPr>
            </w:pPr>
            <w:r w:rsidRPr="000B47D4">
              <w:rPr>
                <w:rFonts w:ascii="Times New Roman" w:hAnsi="Times New Roman" w:cs="Times New Roman"/>
                <w:sz w:val="20"/>
                <w:szCs w:val="20"/>
                <w:lang w:bidi="ar-EG"/>
              </w:rPr>
              <w:t>RSBI</w:t>
            </w:r>
          </w:p>
        </w:tc>
        <w:tc>
          <w:tcPr>
            <w:tcW w:w="1217" w:type="pct"/>
            <w:vAlign w:val="center"/>
          </w:tcPr>
          <w:p w:rsidR="00DD2561" w:rsidRPr="000B47D4" w:rsidRDefault="00DD2561" w:rsidP="003B4339">
            <w:pPr>
              <w:snapToGrid w:val="0"/>
              <w:jc w:val="both"/>
              <w:cnfStyle w:val="0000001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Mean ±SD</w:t>
            </w:r>
          </w:p>
        </w:tc>
        <w:tc>
          <w:tcPr>
            <w:tcW w:w="679" w:type="pct"/>
            <w:vAlign w:val="center"/>
          </w:tcPr>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88.8 ± 21.7</w:t>
            </w:r>
          </w:p>
        </w:tc>
        <w:tc>
          <w:tcPr>
            <w:tcW w:w="711" w:type="pct"/>
            <w:vAlign w:val="center"/>
          </w:tcPr>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61.8 ± 18.5</w:t>
            </w:r>
          </w:p>
        </w:tc>
        <w:tc>
          <w:tcPr>
            <w:tcW w:w="1246" w:type="pct"/>
            <w:vMerge w:val="restart"/>
            <w:vAlign w:val="center"/>
          </w:tcPr>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Mann-Whitney</w:t>
            </w:r>
            <w:r w:rsidR="00906E5B" w:rsidRPr="000B47D4">
              <w:rPr>
                <w:rFonts w:ascii="Times New Roman" w:hAnsi="Times New Roman" w:cs="Times New Roman"/>
                <w:sz w:val="20"/>
                <w:szCs w:val="20"/>
                <w:lang w:bidi="ar-EG"/>
              </w:rPr>
              <w:t xml:space="preserve"> </w:t>
            </w:r>
            <w:r w:rsidRPr="000B47D4">
              <w:rPr>
                <w:rFonts w:ascii="Times New Roman" w:hAnsi="Times New Roman" w:cs="Times New Roman"/>
                <w:sz w:val="20"/>
                <w:szCs w:val="20"/>
                <w:lang w:bidi="ar-EG"/>
              </w:rPr>
              <w:t>U test</w:t>
            </w:r>
          </w:p>
          <w:p w:rsidR="00DD2561" w:rsidRPr="000B47D4" w:rsidRDefault="00DD2561" w:rsidP="003B4339">
            <w:pPr>
              <w:snapToGrid w:val="0"/>
              <w:jc w:val="both"/>
              <w:cnfStyle w:val="000000100000"/>
              <w:rPr>
                <w:rFonts w:ascii="Times New Roman" w:hAnsi="Times New Roman" w:cs="Times New Roman"/>
                <w:b/>
                <w:bCs/>
                <w:sz w:val="20"/>
                <w:szCs w:val="20"/>
                <w:lang w:bidi="ar-EG"/>
              </w:rPr>
            </w:pPr>
            <w:r w:rsidRPr="000B47D4">
              <w:rPr>
                <w:rFonts w:ascii="Times New Roman" w:hAnsi="Times New Roman" w:cs="Times New Roman"/>
                <w:b/>
                <w:bCs/>
                <w:sz w:val="20"/>
                <w:szCs w:val="20"/>
                <w:lang w:bidi="ar-EG"/>
              </w:rPr>
              <w:t>P &lt;0.001 (HS)</w:t>
            </w:r>
          </w:p>
        </w:tc>
      </w:tr>
      <w:tr w:rsidR="00906E5B" w:rsidRPr="000B47D4" w:rsidTr="00906E5B">
        <w:trPr>
          <w:jc w:val="center"/>
        </w:trPr>
        <w:tc>
          <w:tcPr>
            <w:cnfStyle w:val="001000000000"/>
            <w:tcW w:w="1147" w:type="pct"/>
            <w:vMerge/>
            <w:vAlign w:val="center"/>
          </w:tcPr>
          <w:p w:rsidR="00DD2561" w:rsidRPr="000B47D4" w:rsidRDefault="00DD2561" w:rsidP="003B4339">
            <w:pPr>
              <w:snapToGrid w:val="0"/>
              <w:jc w:val="both"/>
              <w:rPr>
                <w:rFonts w:ascii="Times New Roman" w:hAnsi="Times New Roman" w:cs="Times New Roman"/>
                <w:sz w:val="20"/>
                <w:szCs w:val="20"/>
                <w:lang w:bidi="ar-EG"/>
              </w:rPr>
            </w:pPr>
          </w:p>
        </w:tc>
        <w:tc>
          <w:tcPr>
            <w:tcW w:w="1217" w:type="pct"/>
            <w:vAlign w:val="center"/>
          </w:tcPr>
          <w:p w:rsidR="00DD2561" w:rsidRPr="000B47D4" w:rsidRDefault="00DD2561" w:rsidP="003B4339">
            <w:pPr>
              <w:snapToGrid w:val="0"/>
              <w:jc w:val="both"/>
              <w:cnfStyle w:val="0000000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Minimum-Maximum</w:t>
            </w:r>
          </w:p>
        </w:tc>
        <w:tc>
          <w:tcPr>
            <w:tcW w:w="679" w:type="pct"/>
            <w:vAlign w:val="center"/>
          </w:tcPr>
          <w:p w:rsidR="00DD2561" w:rsidRPr="000B47D4" w:rsidRDefault="00DD2561"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44 - 133</w:t>
            </w:r>
          </w:p>
        </w:tc>
        <w:tc>
          <w:tcPr>
            <w:tcW w:w="711" w:type="pct"/>
            <w:vAlign w:val="center"/>
          </w:tcPr>
          <w:p w:rsidR="00DD2561" w:rsidRPr="000B47D4" w:rsidRDefault="00DD2561"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36 - 100</w:t>
            </w:r>
          </w:p>
        </w:tc>
        <w:tc>
          <w:tcPr>
            <w:tcW w:w="1246" w:type="pct"/>
            <w:vMerge/>
            <w:vAlign w:val="center"/>
          </w:tcPr>
          <w:p w:rsidR="00DD2561" w:rsidRPr="000B47D4" w:rsidRDefault="00DD2561" w:rsidP="003B4339">
            <w:pPr>
              <w:snapToGrid w:val="0"/>
              <w:jc w:val="both"/>
              <w:cnfStyle w:val="000000000000"/>
              <w:rPr>
                <w:rFonts w:ascii="Times New Roman" w:hAnsi="Times New Roman" w:cs="Times New Roman"/>
                <w:sz w:val="20"/>
                <w:szCs w:val="20"/>
                <w:lang w:bidi="ar-EG"/>
              </w:rPr>
            </w:pPr>
          </w:p>
        </w:tc>
      </w:tr>
      <w:tr w:rsidR="00906E5B" w:rsidRPr="000B47D4" w:rsidTr="00906E5B">
        <w:trPr>
          <w:cnfStyle w:val="000000100000"/>
          <w:jc w:val="center"/>
        </w:trPr>
        <w:tc>
          <w:tcPr>
            <w:cnfStyle w:val="001000000000"/>
            <w:tcW w:w="1147" w:type="pct"/>
            <w:vMerge w:val="restart"/>
            <w:vAlign w:val="center"/>
          </w:tcPr>
          <w:p w:rsidR="00DD2561" w:rsidRPr="000B47D4" w:rsidRDefault="00DD2561" w:rsidP="003B4339">
            <w:pPr>
              <w:snapToGrid w:val="0"/>
              <w:jc w:val="both"/>
              <w:rPr>
                <w:rFonts w:ascii="Times New Roman" w:hAnsi="Times New Roman" w:cs="Times New Roman"/>
                <w:sz w:val="20"/>
                <w:szCs w:val="20"/>
                <w:lang w:bidi="ar-EG"/>
              </w:rPr>
            </w:pPr>
            <w:r w:rsidRPr="000B47D4">
              <w:rPr>
                <w:rFonts w:ascii="Times New Roman" w:hAnsi="Times New Roman" w:cs="Times New Roman"/>
                <w:sz w:val="20"/>
                <w:szCs w:val="20"/>
                <w:lang w:bidi="ar-EG"/>
              </w:rPr>
              <w:t>TV</w:t>
            </w:r>
          </w:p>
        </w:tc>
        <w:tc>
          <w:tcPr>
            <w:tcW w:w="1217" w:type="pct"/>
            <w:vAlign w:val="center"/>
          </w:tcPr>
          <w:p w:rsidR="00DD2561" w:rsidRPr="000B47D4" w:rsidRDefault="00DD2561" w:rsidP="003B4339">
            <w:pPr>
              <w:snapToGrid w:val="0"/>
              <w:jc w:val="both"/>
              <w:cnfStyle w:val="0000001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Mean ±SD</w:t>
            </w:r>
          </w:p>
        </w:tc>
        <w:tc>
          <w:tcPr>
            <w:tcW w:w="679" w:type="pct"/>
            <w:vAlign w:val="center"/>
          </w:tcPr>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499 ± 35.4</w:t>
            </w:r>
          </w:p>
        </w:tc>
        <w:tc>
          <w:tcPr>
            <w:tcW w:w="711" w:type="pct"/>
            <w:vAlign w:val="center"/>
          </w:tcPr>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499.5 ± 37.2</w:t>
            </w:r>
          </w:p>
        </w:tc>
        <w:tc>
          <w:tcPr>
            <w:tcW w:w="1246" w:type="pct"/>
            <w:vMerge w:val="restart"/>
            <w:vAlign w:val="center"/>
          </w:tcPr>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Mann-Whitney U test</w:t>
            </w:r>
          </w:p>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P =0.98 (NS)</w:t>
            </w:r>
          </w:p>
        </w:tc>
      </w:tr>
      <w:tr w:rsidR="00906E5B" w:rsidRPr="000B47D4" w:rsidTr="00906E5B">
        <w:trPr>
          <w:jc w:val="center"/>
        </w:trPr>
        <w:tc>
          <w:tcPr>
            <w:cnfStyle w:val="001000000000"/>
            <w:tcW w:w="1147" w:type="pct"/>
            <w:vMerge/>
            <w:vAlign w:val="center"/>
          </w:tcPr>
          <w:p w:rsidR="00DD2561" w:rsidRPr="000B47D4" w:rsidRDefault="00DD2561" w:rsidP="003B4339">
            <w:pPr>
              <w:snapToGrid w:val="0"/>
              <w:jc w:val="both"/>
              <w:rPr>
                <w:rFonts w:ascii="Times New Roman" w:hAnsi="Times New Roman" w:cs="Times New Roman"/>
                <w:sz w:val="20"/>
                <w:szCs w:val="20"/>
                <w:lang w:bidi="ar-EG"/>
              </w:rPr>
            </w:pPr>
          </w:p>
        </w:tc>
        <w:tc>
          <w:tcPr>
            <w:tcW w:w="1217" w:type="pct"/>
            <w:vAlign w:val="center"/>
          </w:tcPr>
          <w:p w:rsidR="00DD2561" w:rsidRPr="000B47D4" w:rsidRDefault="00DD2561" w:rsidP="003B4339">
            <w:pPr>
              <w:snapToGrid w:val="0"/>
              <w:jc w:val="both"/>
              <w:cnfStyle w:val="0000000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Minimum-Maximum</w:t>
            </w:r>
          </w:p>
        </w:tc>
        <w:tc>
          <w:tcPr>
            <w:tcW w:w="679" w:type="pct"/>
            <w:vAlign w:val="center"/>
          </w:tcPr>
          <w:p w:rsidR="00DD2561" w:rsidRPr="000B47D4" w:rsidRDefault="00DD2561"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450 - 550</w:t>
            </w:r>
          </w:p>
        </w:tc>
        <w:tc>
          <w:tcPr>
            <w:tcW w:w="711" w:type="pct"/>
            <w:vAlign w:val="center"/>
          </w:tcPr>
          <w:p w:rsidR="00DD2561" w:rsidRPr="000B47D4" w:rsidRDefault="00DD2561"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450 - 550</w:t>
            </w:r>
          </w:p>
        </w:tc>
        <w:tc>
          <w:tcPr>
            <w:tcW w:w="1246" w:type="pct"/>
            <w:vMerge/>
            <w:vAlign w:val="center"/>
          </w:tcPr>
          <w:p w:rsidR="00DD2561" w:rsidRPr="000B47D4" w:rsidRDefault="00DD2561" w:rsidP="003B4339">
            <w:pPr>
              <w:snapToGrid w:val="0"/>
              <w:jc w:val="both"/>
              <w:cnfStyle w:val="000000000000"/>
              <w:rPr>
                <w:rFonts w:ascii="Times New Roman" w:hAnsi="Times New Roman" w:cs="Times New Roman"/>
                <w:sz w:val="20"/>
                <w:szCs w:val="20"/>
                <w:lang w:bidi="ar-EG"/>
              </w:rPr>
            </w:pPr>
          </w:p>
        </w:tc>
      </w:tr>
      <w:tr w:rsidR="00906E5B" w:rsidRPr="000B47D4" w:rsidTr="00906E5B">
        <w:trPr>
          <w:cnfStyle w:val="000000100000"/>
          <w:jc w:val="center"/>
        </w:trPr>
        <w:tc>
          <w:tcPr>
            <w:cnfStyle w:val="001000000000"/>
            <w:tcW w:w="1147" w:type="pct"/>
            <w:vMerge w:val="restart"/>
            <w:vAlign w:val="center"/>
          </w:tcPr>
          <w:p w:rsidR="00DD2561" w:rsidRPr="000B47D4" w:rsidRDefault="00DD2561" w:rsidP="003B4339">
            <w:pPr>
              <w:snapToGrid w:val="0"/>
              <w:jc w:val="both"/>
              <w:rPr>
                <w:rFonts w:ascii="Times New Roman" w:hAnsi="Times New Roman" w:cs="Times New Roman"/>
                <w:sz w:val="20"/>
                <w:szCs w:val="20"/>
                <w:lang w:bidi="ar-EG"/>
              </w:rPr>
            </w:pPr>
            <w:r w:rsidRPr="000B47D4">
              <w:rPr>
                <w:rFonts w:ascii="Times New Roman" w:hAnsi="Times New Roman" w:cs="Times New Roman"/>
                <w:sz w:val="20"/>
                <w:szCs w:val="20"/>
                <w:lang w:bidi="ar-EG"/>
              </w:rPr>
              <w:t>RR</w:t>
            </w:r>
          </w:p>
        </w:tc>
        <w:tc>
          <w:tcPr>
            <w:tcW w:w="1217" w:type="pct"/>
            <w:vAlign w:val="center"/>
          </w:tcPr>
          <w:p w:rsidR="00DD2561" w:rsidRPr="000B47D4" w:rsidRDefault="00DD2561" w:rsidP="003B4339">
            <w:pPr>
              <w:snapToGrid w:val="0"/>
              <w:jc w:val="both"/>
              <w:cnfStyle w:val="0000001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Mean ±SD</w:t>
            </w:r>
          </w:p>
        </w:tc>
        <w:tc>
          <w:tcPr>
            <w:tcW w:w="679" w:type="pct"/>
            <w:vAlign w:val="center"/>
          </w:tcPr>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27 ± 3</w:t>
            </w:r>
          </w:p>
        </w:tc>
        <w:tc>
          <w:tcPr>
            <w:tcW w:w="711" w:type="pct"/>
            <w:vAlign w:val="center"/>
          </w:tcPr>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26 ± 3</w:t>
            </w:r>
          </w:p>
        </w:tc>
        <w:tc>
          <w:tcPr>
            <w:tcW w:w="1246" w:type="pct"/>
            <w:vMerge w:val="restart"/>
            <w:vAlign w:val="center"/>
          </w:tcPr>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Independent</w:t>
            </w:r>
            <w:r w:rsidR="00906E5B" w:rsidRPr="000B47D4">
              <w:rPr>
                <w:rFonts w:ascii="Times New Roman" w:hAnsi="Times New Roman" w:cs="Times New Roman"/>
                <w:sz w:val="20"/>
                <w:szCs w:val="20"/>
                <w:lang w:bidi="ar-EG"/>
              </w:rPr>
              <w:t xml:space="preserve"> </w:t>
            </w:r>
            <w:r w:rsidRPr="000B47D4">
              <w:rPr>
                <w:rFonts w:ascii="Times New Roman" w:hAnsi="Times New Roman" w:cs="Times New Roman"/>
                <w:sz w:val="20"/>
                <w:szCs w:val="20"/>
                <w:lang w:bidi="ar-EG"/>
              </w:rPr>
              <w:t xml:space="preserve">t- test </w:t>
            </w:r>
          </w:p>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P = 0.15 (NS)</w:t>
            </w:r>
          </w:p>
        </w:tc>
      </w:tr>
      <w:tr w:rsidR="00906E5B" w:rsidRPr="000B47D4" w:rsidTr="00906E5B">
        <w:trPr>
          <w:jc w:val="center"/>
        </w:trPr>
        <w:tc>
          <w:tcPr>
            <w:cnfStyle w:val="001000000000"/>
            <w:tcW w:w="1147" w:type="pct"/>
            <w:vMerge/>
            <w:vAlign w:val="center"/>
          </w:tcPr>
          <w:p w:rsidR="00DD2561" w:rsidRPr="000B47D4" w:rsidRDefault="00DD2561" w:rsidP="003B4339">
            <w:pPr>
              <w:snapToGrid w:val="0"/>
              <w:jc w:val="both"/>
              <w:rPr>
                <w:rFonts w:ascii="Times New Roman" w:hAnsi="Times New Roman" w:cs="Times New Roman"/>
                <w:sz w:val="20"/>
                <w:szCs w:val="20"/>
                <w:lang w:bidi="ar-EG"/>
              </w:rPr>
            </w:pPr>
          </w:p>
        </w:tc>
        <w:tc>
          <w:tcPr>
            <w:tcW w:w="1217" w:type="pct"/>
            <w:vAlign w:val="center"/>
          </w:tcPr>
          <w:p w:rsidR="00DD2561" w:rsidRPr="000B47D4" w:rsidRDefault="00DD2561" w:rsidP="003B4339">
            <w:pPr>
              <w:snapToGrid w:val="0"/>
              <w:jc w:val="both"/>
              <w:cnfStyle w:val="0000000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Minimum-Maximum</w:t>
            </w:r>
          </w:p>
        </w:tc>
        <w:tc>
          <w:tcPr>
            <w:tcW w:w="679" w:type="pct"/>
            <w:vAlign w:val="center"/>
          </w:tcPr>
          <w:p w:rsidR="00DD2561" w:rsidRPr="000B47D4" w:rsidRDefault="00DD2561"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22 - 32</w:t>
            </w:r>
          </w:p>
        </w:tc>
        <w:tc>
          <w:tcPr>
            <w:tcW w:w="711" w:type="pct"/>
            <w:vAlign w:val="center"/>
          </w:tcPr>
          <w:p w:rsidR="00DD2561" w:rsidRPr="000B47D4" w:rsidRDefault="00DD2561"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20 - 30</w:t>
            </w:r>
          </w:p>
        </w:tc>
        <w:tc>
          <w:tcPr>
            <w:tcW w:w="1246" w:type="pct"/>
            <w:vMerge/>
            <w:vAlign w:val="center"/>
          </w:tcPr>
          <w:p w:rsidR="00DD2561" w:rsidRPr="000B47D4" w:rsidRDefault="00DD2561" w:rsidP="003B4339">
            <w:pPr>
              <w:snapToGrid w:val="0"/>
              <w:jc w:val="both"/>
              <w:cnfStyle w:val="000000000000"/>
              <w:rPr>
                <w:rFonts w:ascii="Times New Roman" w:hAnsi="Times New Roman" w:cs="Times New Roman"/>
                <w:sz w:val="20"/>
                <w:szCs w:val="20"/>
                <w:lang w:bidi="ar-EG"/>
              </w:rPr>
            </w:pPr>
          </w:p>
        </w:tc>
      </w:tr>
      <w:tr w:rsidR="00906E5B" w:rsidRPr="000B47D4" w:rsidTr="00906E5B">
        <w:trPr>
          <w:cnfStyle w:val="000000100000"/>
          <w:jc w:val="center"/>
        </w:trPr>
        <w:tc>
          <w:tcPr>
            <w:cnfStyle w:val="001000000000"/>
            <w:tcW w:w="1147" w:type="pct"/>
            <w:vMerge w:val="restart"/>
            <w:vAlign w:val="center"/>
          </w:tcPr>
          <w:p w:rsidR="00DD2561" w:rsidRPr="000B47D4" w:rsidRDefault="00DD2561" w:rsidP="003B4339">
            <w:pPr>
              <w:snapToGrid w:val="0"/>
              <w:jc w:val="both"/>
              <w:rPr>
                <w:rFonts w:ascii="Times New Roman" w:hAnsi="Times New Roman" w:cs="Times New Roman"/>
                <w:sz w:val="20"/>
                <w:szCs w:val="20"/>
                <w:lang w:bidi="ar-EG"/>
              </w:rPr>
            </w:pPr>
            <w:r w:rsidRPr="000B47D4">
              <w:rPr>
                <w:rFonts w:ascii="Times New Roman" w:hAnsi="Times New Roman" w:cs="Times New Roman"/>
                <w:sz w:val="20"/>
                <w:szCs w:val="20"/>
                <w:lang w:bidi="ar-EG"/>
              </w:rPr>
              <w:t>PEEP</w:t>
            </w:r>
          </w:p>
        </w:tc>
        <w:tc>
          <w:tcPr>
            <w:tcW w:w="1217" w:type="pct"/>
            <w:vAlign w:val="center"/>
          </w:tcPr>
          <w:p w:rsidR="00DD2561" w:rsidRPr="000B47D4" w:rsidRDefault="00DD2561" w:rsidP="003B4339">
            <w:pPr>
              <w:snapToGrid w:val="0"/>
              <w:jc w:val="both"/>
              <w:cnfStyle w:val="0000001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Mean ±SD</w:t>
            </w:r>
          </w:p>
        </w:tc>
        <w:tc>
          <w:tcPr>
            <w:tcW w:w="679" w:type="pct"/>
            <w:vAlign w:val="center"/>
          </w:tcPr>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5.8 ± 0.8</w:t>
            </w:r>
          </w:p>
        </w:tc>
        <w:tc>
          <w:tcPr>
            <w:tcW w:w="711" w:type="pct"/>
            <w:vAlign w:val="center"/>
          </w:tcPr>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5.7 ± 0.7</w:t>
            </w:r>
          </w:p>
        </w:tc>
        <w:tc>
          <w:tcPr>
            <w:tcW w:w="1246" w:type="pct"/>
            <w:vMerge w:val="restart"/>
            <w:vAlign w:val="center"/>
          </w:tcPr>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Independent</w:t>
            </w:r>
            <w:r w:rsidR="00906E5B" w:rsidRPr="000B47D4">
              <w:rPr>
                <w:rFonts w:ascii="Times New Roman" w:hAnsi="Times New Roman" w:cs="Times New Roman"/>
                <w:sz w:val="20"/>
                <w:szCs w:val="20"/>
                <w:lang w:bidi="ar-EG"/>
              </w:rPr>
              <w:t xml:space="preserve"> </w:t>
            </w:r>
            <w:r w:rsidRPr="000B47D4">
              <w:rPr>
                <w:rFonts w:ascii="Times New Roman" w:hAnsi="Times New Roman" w:cs="Times New Roman"/>
                <w:sz w:val="20"/>
                <w:szCs w:val="20"/>
                <w:lang w:bidi="ar-EG"/>
              </w:rPr>
              <w:t xml:space="preserve">t- test </w:t>
            </w:r>
          </w:p>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P = 0.84 (NS)</w:t>
            </w:r>
          </w:p>
        </w:tc>
      </w:tr>
      <w:tr w:rsidR="00906E5B" w:rsidRPr="000B47D4" w:rsidTr="00906E5B">
        <w:trPr>
          <w:jc w:val="center"/>
        </w:trPr>
        <w:tc>
          <w:tcPr>
            <w:cnfStyle w:val="001000000000"/>
            <w:tcW w:w="1147" w:type="pct"/>
            <w:vMerge/>
            <w:vAlign w:val="center"/>
          </w:tcPr>
          <w:p w:rsidR="00DD2561" w:rsidRPr="000B47D4" w:rsidRDefault="00DD2561" w:rsidP="003B4339">
            <w:pPr>
              <w:snapToGrid w:val="0"/>
              <w:jc w:val="both"/>
              <w:rPr>
                <w:rFonts w:ascii="Times New Roman" w:hAnsi="Times New Roman" w:cs="Times New Roman"/>
                <w:sz w:val="20"/>
                <w:szCs w:val="20"/>
                <w:lang w:bidi="ar-EG"/>
              </w:rPr>
            </w:pPr>
          </w:p>
        </w:tc>
        <w:tc>
          <w:tcPr>
            <w:tcW w:w="1217" w:type="pct"/>
            <w:vAlign w:val="center"/>
          </w:tcPr>
          <w:p w:rsidR="00DD2561" w:rsidRPr="000B47D4" w:rsidRDefault="00DD2561" w:rsidP="003B4339">
            <w:pPr>
              <w:snapToGrid w:val="0"/>
              <w:jc w:val="both"/>
              <w:cnfStyle w:val="0000000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Minimum-Maximum</w:t>
            </w:r>
          </w:p>
        </w:tc>
        <w:tc>
          <w:tcPr>
            <w:tcW w:w="679" w:type="pct"/>
            <w:vAlign w:val="center"/>
          </w:tcPr>
          <w:p w:rsidR="00DD2561" w:rsidRPr="000B47D4" w:rsidRDefault="00DD2561"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5 -7</w:t>
            </w:r>
          </w:p>
        </w:tc>
        <w:tc>
          <w:tcPr>
            <w:tcW w:w="711" w:type="pct"/>
            <w:vAlign w:val="center"/>
          </w:tcPr>
          <w:p w:rsidR="00DD2561" w:rsidRPr="000B47D4" w:rsidRDefault="00DD2561"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5- 7</w:t>
            </w:r>
          </w:p>
        </w:tc>
        <w:tc>
          <w:tcPr>
            <w:tcW w:w="1246" w:type="pct"/>
            <w:vMerge/>
            <w:vAlign w:val="center"/>
          </w:tcPr>
          <w:p w:rsidR="00DD2561" w:rsidRPr="000B47D4" w:rsidRDefault="00DD2561" w:rsidP="003B4339">
            <w:pPr>
              <w:snapToGrid w:val="0"/>
              <w:jc w:val="both"/>
              <w:cnfStyle w:val="000000000000"/>
              <w:rPr>
                <w:rFonts w:ascii="Times New Roman" w:hAnsi="Times New Roman" w:cs="Times New Roman"/>
                <w:sz w:val="20"/>
                <w:szCs w:val="20"/>
                <w:lang w:bidi="ar-EG"/>
              </w:rPr>
            </w:pPr>
          </w:p>
        </w:tc>
      </w:tr>
      <w:tr w:rsidR="00906E5B" w:rsidRPr="000B47D4" w:rsidTr="00906E5B">
        <w:trPr>
          <w:cnfStyle w:val="000000100000"/>
          <w:jc w:val="center"/>
        </w:trPr>
        <w:tc>
          <w:tcPr>
            <w:cnfStyle w:val="001000000000"/>
            <w:tcW w:w="1147" w:type="pct"/>
            <w:vMerge w:val="restart"/>
            <w:vAlign w:val="center"/>
          </w:tcPr>
          <w:p w:rsidR="00DD2561" w:rsidRPr="000B47D4" w:rsidRDefault="00DD2561" w:rsidP="003B4339">
            <w:pPr>
              <w:snapToGrid w:val="0"/>
              <w:jc w:val="both"/>
              <w:rPr>
                <w:rFonts w:ascii="Times New Roman" w:hAnsi="Times New Roman" w:cs="Times New Roman"/>
                <w:sz w:val="20"/>
                <w:szCs w:val="20"/>
                <w:lang w:bidi="ar-EG"/>
              </w:rPr>
            </w:pPr>
            <w:r w:rsidRPr="000B47D4">
              <w:rPr>
                <w:rFonts w:ascii="Times New Roman" w:hAnsi="Times New Roman" w:cs="Times New Roman"/>
                <w:sz w:val="20"/>
                <w:szCs w:val="20"/>
                <w:lang w:bidi="ar-EG"/>
              </w:rPr>
              <w:t>PPLAT</w:t>
            </w:r>
          </w:p>
        </w:tc>
        <w:tc>
          <w:tcPr>
            <w:tcW w:w="1217" w:type="pct"/>
            <w:vAlign w:val="center"/>
          </w:tcPr>
          <w:p w:rsidR="00DD2561" w:rsidRPr="000B47D4" w:rsidRDefault="00DD2561" w:rsidP="003B4339">
            <w:pPr>
              <w:snapToGrid w:val="0"/>
              <w:jc w:val="both"/>
              <w:cnfStyle w:val="0000001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Mean ±SD</w:t>
            </w:r>
          </w:p>
        </w:tc>
        <w:tc>
          <w:tcPr>
            <w:tcW w:w="679" w:type="pct"/>
            <w:vAlign w:val="center"/>
          </w:tcPr>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27.3 ± 5.2</w:t>
            </w:r>
          </w:p>
        </w:tc>
        <w:tc>
          <w:tcPr>
            <w:tcW w:w="711" w:type="pct"/>
            <w:vAlign w:val="center"/>
          </w:tcPr>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19.7</w:t>
            </w:r>
            <w:r w:rsidR="00906E5B" w:rsidRPr="000B47D4">
              <w:rPr>
                <w:rFonts w:ascii="Times New Roman" w:hAnsi="Times New Roman" w:cs="Times New Roman"/>
                <w:sz w:val="20"/>
                <w:szCs w:val="20"/>
                <w:lang w:bidi="ar-EG"/>
              </w:rPr>
              <w:t xml:space="preserve"> </w:t>
            </w:r>
            <w:r w:rsidRPr="000B47D4">
              <w:rPr>
                <w:rFonts w:ascii="Times New Roman" w:hAnsi="Times New Roman" w:cs="Times New Roman"/>
                <w:sz w:val="20"/>
                <w:szCs w:val="20"/>
                <w:lang w:bidi="ar-EG"/>
              </w:rPr>
              <w:t>± 2.7</w:t>
            </w:r>
          </w:p>
        </w:tc>
        <w:tc>
          <w:tcPr>
            <w:tcW w:w="1246" w:type="pct"/>
            <w:vMerge w:val="restart"/>
            <w:vAlign w:val="center"/>
          </w:tcPr>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Independent</w:t>
            </w:r>
            <w:r w:rsidR="00906E5B" w:rsidRPr="000B47D4">
              <w:rPr>
                <w:rFonts w:ascii="Times New Roman" w:hAnsi="Times New Roman" w:cs="Times New Roman"/>
                <w:sz w:val="20"/>
                <w:szCs w:val="20"/>
                <w:lang w:bidi="ar-EG"/>
              </w:rPr>
              <w:t xml:space="preserve"> </w:t>
            </w:r>
            <w:r w:rsidRPr="000B47D4">
              <w:rPr>
                <w:rFonts w:ascii="Times New Roman" w:hAnsi="Times New Roman" w:cs="Times New Roman"/>
                <w:sz w:val="20"/>
                <w:szCs w:val="20"/>
                <w:lang w:bidi="ar-EG"/>
              </w:rPr>
              <w:t xml:space="preserve">t- test </w:t>
            </w:r>
          </w:p>
          <w:p w:rsidR="00DD2561" w:rsidRPr="000B47D4" w:rsidRDefault="00DD2561" w:rsidP="003B4339">
            <w:pPr>
              <w:snapToGrid w:val="0"/>
              <w:jc w:val="both"/>
              <w:cnfStyle w:val="000000100000"/>
              <w:rPr>
                <w:rFonts w:ascii="Times New Roman" w:hAnsi="Times New Roman" w:cs="Times New Roman"/>
                <w:b/>
                <w:bCs/>
                <w:sz w:val="20"/>
                <w:szCs w:val="20"/>
                <w:lang w:bidi="ar-EG"/>
              </w:rPr>
            </w:pPr>
            <w:r w:rsidRPr="000B47D4">
              <w:rPr>
                <w:rFonts w:ascii="Times New Roman" w:hAnsi="Times New Roman" w:cs="Times New Roman"/>
                <w:b/>
                <w:bCs/>
                <w:sz w:val="20"/>
                <w:szCs w:val="20"/>
                <w:lang w:bidi="ar-EG"/>
              </w:rPr>
              <w:t>P &lt; 0.001 (HS)</w:t>
            </w:r>
          </w:p>
        </w:tc>
      </w:tr>
      <w:tr w:rsidR="00906E5B" w:rsidRPr="000B47D4" w:rsidTr="00906E5B">
        <w:trPr>
          <w:jc w:val="center"/>
        </w:trPr>
        <w:tc>
          <w:tcPr>
            <w:cnfStyle w:val="001000000000"/>
            <w:tcW w:w="1147" w:type="pct"/>
            <w:vMerge/>
            <w:vAlign w:val="center"/>
          </w:tcPr>
          <w:p w:rsidR="00DD2561" w:rsidRPr="000B47D4" w:rsidRDefault="00DD2561" w:rsidP="003B4339">
            <w:pPr>
              <w:snapToGrid w:val="0"/>
              <w:jc w:val="both"/>
              <w:rPr>
                <w:rFonts w:ascii="Times New Roman" w:hAnsi="Times New Roman" w:cs="Times New Roman"/>
                <w:sz w:val="20"/>
                <w:szCs w:val="20"/>
                <w:lang w:bidi="ar-EG"/>
              </w:rPr>
            </w:pPr>
          </w:p>
        </w:tc>
        <w:tc>
          <w:tcPr>
            <w:tcW w:w="1217" w:type="pct"/>
            <w:vAlign w:val="center"/>
          </w:tcPr>
          <w:p w:rsidR="00DD2561" w:rsidRPr="000B47D4" w:rsidRDefault="00DD2561" w:rsidP="003B4339">
            <w:pPr>
              <w:snapToGrid w:val="0"/>
              <w:jc w:val="both"/>
              <w:cnfStyle w:val="0000000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Minimum-Maximum</w:t>
            </w:r>
          </w:p>
        </w:tc>
        <w:tc>
          <w:tcPr>
            <w:tcW w:w="679" w:type="pct"/>
            <w:vAlign w:val="center"/>
          </w:tcPr>
          <w:p w:rsidR="00DD2561" w:rsidRPr="000B47D4" w:rsidRDefault="00DD2561"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12 - 35</w:t>
            </w:r>
          </w:p>
        </w:tc>
        <w:tc>
          <w:tcPr>
            <w:tcW w:w="711" w:type="pct"/>
            <w:vAlign w:val="center"/>
          </w:tcPr>
          <w:p w:rsidR="00DD2561" w:rsidRPr="000B47D4" w:rsidRDefault="00DD2561"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14 - 23</w:t>
            </w:r>
          </w:p>
        </w:tc>
        <w:tc>
          <w:tcPr>
            <w:tcW w:w="1246" w:type="pct"/>
            <w:vMerge/>
            <w:vAlign w:val="center"/>
          </w:tcPr>
          <w:p w:rsidR="00DD2561" w:rsidRPr="000B47D4" w:rsidRDefault="00DD2561" w:rsidP="003B4339">
            <w:pPr>
              <w:snapToGrid w:val="0"/>
              <w:jc w:val="both"/>
              <w:cnfStyle w:val="000000000000"/>
              <w:rPr>
                <w:rFonts w:ascii="Times New Roman" w:hAnsi="Times New Roman" w:cs="Times New Roman"/>
                <w:sz w:val="20"/>
                <w:szCs w:val="20"/>
                <w:lang w:bidi="ar-EG"/>
              </w:rPr>
            </w:pPr>
          </w:p>
        </w:tc>
      </w:tr>
      <w:tr w:rsidR="00906E5B" w:rsidRPr="000B47D4" w:rsidTr="00906E5B">
        <w:trPr>
          <w:cnfStyle w:val="000000100000"/>
          <w:jc w:val="center"/>
        </w:trPr>
        <w:tc>
          <w:tcPr>
            <w:cnfStyle w:val="001000000000"/>
            <w:tcW w:w="1147" w:type="pct"/>
            <w:vMerge w:val="restart"/>
            <w:vAlign w:val="center"/>
          </w:tcPr>
          <w:p w:rsidR="00DD2561" w:rsidRPr="000B47D4" w:rsidRDefault="00DD2561" w:rsidP="003B4339">
            <w:pPr>
              <w:snapToGrid w:val="0"/>
              <w:jc w:val="both"/>
              <w:rPr>
                <w:rFonts w:ascii="Times New Roman" w:hAnsi="Times New Roman" w:cs="Times New Roman"/>
                <w:sz w:val="20"/>
                <w:szCs w:val="20"/>
                <w:lang w:bidi="ar-EG"/>
              </w:rPr>
            </w:pPr>
            <w:r w:rsidRPr="000B47D4">
              <w:rPr>
                <w:rFonts w:ascii="Times New Roman" w:hAnsi="Times New Roman" w:cs="Times New Roman"/>
                <w:sz w:val="20"/>
                <w:szCs w:val="20"/>
                <w:lang w:bidi="ar-EG"/>
              </w:rPr>
              <w:t>PPLT</w:t>
            </w:r>
          </w:p>
        </w:tc>
        <w:tc>
          <w:tcPr>
            <w:tcW w:w="1217" w:type="pct"/>
            <w:vAlign w:val="center"/>
          </w:tcPr>
          <w:p w:rsidR="00DD2561" w:rsidRPr="000B47D4" w:rsidRDefault="00DD2561" w:rsidP="003B4339">
            <w:pPr>
              <w:snapToGrid w:val="0"/>
              <w:jc w:val="both"/>
              <w:cnfStyle w:val="0000001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Mean ±SD</w:t>
            </w:r>
          </w:p>
        </w:tc>
        <w:tc>
          <w:tcPr>
            <w:tcW w:w="679" w:type="pct"/>
            <w:vAlign w:val="center"/>
          </w:tcPr>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23.6 ± 3.9</w:t>
            </w:r>
          </w:p>
        </w:tc>
        <w:tc>
          <w:tcPr>
            <w:tcW w:w="711" w:type="pct"/>
            <w:vAlign w:val="center"/>
          </w:tcPr>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23.7 ± 3.1</w:t>
            </w:r>
          </w:p>
        </w:tc>
        <w:tc>
          <w:tcPr>
            <w:tcW w:w="1246" w:type="pct"/>
            <w:vMerge w:val="restart"/>
            <w:vAlign w:val="center"/>
          </w:tcPr>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Independent</w:t>
            </w:r>
            <w:r w:rsidR="00906E5B" w:rsidRPr="000B47D4">
              <w:rPr>
                <w:rFonts w:ascii="Times New Roman" w:hAnsi="Times New Roman" w:cs="Times New Roman"/>
                <w:sz w:val="20"/>
                <w:szCs w:val="20"/>
                <w:lang w:bidi="ar-EG"/>
              </w:rPr>
              <w:t xml:space="preserve"> </w:t>
            </w:r>
            <w:r w:rsidRPr="000B47D4">
              <w:rPr>
                <w:rFonts w:ascii="Times New Roman" w:hAnsi="Times New Roman" w:cs="Times New Roman"/>
                <w:sz w:val="20"/>
                <w:szCs w:val="20"/>
                <w:lang w:bidi="ar-EG"/>
              </w:rPr>
              <w:t xml:space="preserve">t- test </w:t>
            </w:r>
          </w:p>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P = 0.96 (NS)</w:t>
            </w:r>
          </w:p>
        </w:tc>
      </w:tr>
      <w:tr w:rsidR="00906E5B" w:rsidRPr="000B47D4" w:rsidTr="00906E5B">
        <w:trPr>
          <w:jc w:val="center"/>
        </w:trPr>
        <w:tc>
          <w:tcPr>
            <w:cnfStyle w:val="001000000000"/>
            <w:tcW w:w="1147" w:type="pct"/>
            <w:vMerge/>
            <w:vAlign w:val="center"/>
          </w:tcPr>
          <w:p w:rsidR="00DD2561" w:rsidRPr="000B47D4" w:rsidRDefault="00DD2561" w:rsidP="003B4339">
            <w:pPr>
              <w:snapToGrid w:val="0"/>
              <w:jc w:val="both"/>
              <w:rPr>
                <w:rFonts w:ascii="Times New Roman" w:hAnsi="Times New Roman" w:cs="Times New Roman"/>
                <w:sz w:val="20"/>
                <w:szCs w:val="20"/>
                <w:lang w:bidi="ar-EG"/>
              </w:rPr>
            </w:pPr>
          </w:p>
        </w:tc>
        <w:tc>
          <w:tcPr>
            <w:tcW w:w="1217" w:type="pct"/>
            <w:vAlign w:val="center"/>
          </w:tcPr>
          <w:p w:rsidR="00DD2561" w:rsidRPr="000B47D4" w:rsidRDefault="00DD2561" w:rsidP="003B4339">
            <w:pPr>
              <w:snapToGrid w:val="0"/>
              <w:jc w:val="both"/>
              <w:cnfStyle w:val="0000000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Minimum-Maximum</w:t>
            </w:r>
          </w:p>
        </w:tc>
        <w:tc>
          <w:tcPr>
            <w:tcW w:w="679" w:type="pct"/>
            <w:vAlign w:val="center"/>
          </w:tcPr>
          <w:p w:rsidR="00DD2561" w:rsidRPr="000B47D4" w:rsidRDefault="00DD2561"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18 -32</w:t>
            </w:r>
          </w:p>
        </w:tc>
        <w:tc>
          <w:tcPr>
            <w:tcW w:w="711" w:type="pct"/>
            <w:vAlign w:val="center"/>
          </w:tcPr>
          <w:p w:rsidR="00DD2561" w:rsidRPr="000B47D4" w:rsidRDefault="00DD2561"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20 -29</w:t>
            </w:r>
          </w:p>
        </w:tc>
        <w:tc>
          <w:tcPr>
            <w:tcW w:w="1246" w:type="pct"/>
            <w:vMerge/>
            <w:vAlign w:val="center"/>
          </w:tcPr>
          <w:p w:rsidR="00DD2561" w:rsidRPr="000B47D4" w:rsidRDefault="00DD2561" w:rsidP="003B4339">
            <w:pPr>
              <w:snapToGrid w:val="0"/>
              <w:jc w:val="both"/>
              <w:cnfStyle w:val="000000000000"/>
              <w:rPr>
                <w:rFonts w:ascii="Times New Roman" w:hAnsi="Times New Roman" w:cs="Times New Roman"/>
                <w:sz w:val="20"/>
                <w:szCs w:val="20"/>
                <w:lang w:bidi="ar-EG"/>
              </w:rPr>
            </w:pPr>
          </w:p>
        </w:tc>
      </w:tr>
      <w:tr w:rsidR="00906E5B" w:rsidRPr="000B47D4" w:rsidTr="00906E5B">
        <w:trPr>
          <w:cnfStyle w:val="000000100000"/>
          <w:jc w:val="center"/>
        </w:trPr>
        <w:tc>
          <w:tcPr>
            <w:cnfStyle w:val="001000000000"/>
            <w:tcW w:w="1147" w:type="pct"/>
            <w:vMerge w:val="restart"/>
            <w:vAlign w:val="center"/>
          </w:tcPr>
          <w:p w:rsidR="00DD2561" w:rsidRPr="000B47D4" w:rsidRDefault="00DD2561" w:rsidP="003B4339">
            <w:pPr>
              <w:snapToGrid w:val="0"/>
              <w:jc w:val="both"/>
              <w:rPr>
                <w:rFonts w:ascii="Times New Roman" w:hAnsi="Times New Roman" w:cs="Times New Roman"/>
                <w:sz w:val="20"/>
                <w:szCs w:val="20"/>
                <w:lang w:bidi="ar-EG"/>
              </w:rPr>
            </w:pPr>
            <w:r w:rsidRPr="000B47D4">
              <w:rPr>
                <w:rFonts w:ascii="Times New Roman" w:hAnsi="Times New Roman" w:cs="Times New Roman"/>
                <w:sz w:val="20"/>
                <w:szCs w:val="20"/>
                <w:lang w:bidi="ar-EG"/>
              </w:rPr>
              <w:t>PF ratio (pao2/fIo2)</w:t>
            </w:r>
          </w:p>
          <w:p w:rsidR="00DD2561" w:rsidRPr="000B47D4" w:rsidRDefault="00DD2561" w:rsidP="003B4339">
            <w:pPr>
              <w:snapToGrid w:val="0"/>
              <w:jc w:val="both"/>
              <w:rPr>
                <w:rFonts w:ascii="Times New Roman" w:hAnsi="Times New Roman" w:cs="Times New Roman"/>
                <w:sz w:val="20"/>
                <w:szCs w:val="20"/>
                <w:lang w:bidi="ar-EG"/>
              </w:rPr>
            </w:pPr>
          </w:p>
        </w:tc>
        <w:tc>
          <w:tcPr>
            <w:tcW w:w="1217" w:type="pct"/>
            <w:vAlign w:val="center"/>
          </w:tcPr>
          <w:p w:rsidR="00DD2561" w:rsidRPr="000B47D4" w:rsidRDefault="00DD2561" w:rsidP="003B4339">
            <w:pPr>
              <w:snapToGrid w:val="0"/>
              <w:jc w:val="both"/>
              <w:cnfStyle w:val="0000001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Mean ±SD</w:t>
            </w:r>
          </w:p>
        </w:tc>
        <w:tc>
          <w:tcPr>
            <w:tcW w:w="679" w:type="pct"/>
            <w:vAlign w:val="center"/>
          </w:tcPr>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184.5 ±57.1</w:t>
            </w:r>
          </w:p>
        </w:tc>
        <w:tc>
          <w:tcPr>
            <w:tcW w:w="711" w:type="pct"/>
            <w:vAlign w:val="center"/>
          </w:tcPr>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222.1 ± 30.4</w:t>
            </w:r>
          </w:p>
        </w:tc>
        <w:tc>
          <w:tcPr>
            <w:tcW w:w="1246" w:type="pct"/>
            <w:vMerge w:val="restart"/>
            <w:vAlign w:val="center"/>
          </w:tcPr>
          <w:p w:rsidR="00DD2561" w:rsidRPr="000B47D4" w:rsidRDefault="00DD2561" w:rsidP="003B4339">
            <w:pPr>
              <w:snapToGrid w:val="0"/>
              <w:jc w:val="both"/>
              <w:cnfStyle w:val="000000100000"/>
              <w:rPr>
                <w:rFonts w:ascii="Times New Roman" w:hAnsi="Times New Roman" w:cs="Times New Roman"/>
                <w:b/>
                <w:bCs/>
                <w:sz w:val="20"/>
                <w:szCs w:val="20"/>
                <w:lang w:bidi="ar-EG"/>
              </w:rPr>
            </w:pPr>
            <w:r w:rsidRPr="000B47D4">
              <w:rPr>
                <w:rFonts w:ascii="Times New Roman" w:hAnsi="Times New Roman" w:cs="Times New Roman"/>
                <w:b/>
                <w:bCs/>
                <w:sz w:val="20"/>
                <w:szCs w:val="20"/>
                <w:lang w:bidi="ar-EG"/>
              </w:rPr>
              <w:t>Mann-Whitney U test</w:t>
            </w:r>
          </w:p>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b/>
                <w:bCs/>
                <w:sz w:val="20"/>
                <w:szCs w:val="20"/>
                <w:lang w:bidi="ar-EG"/>
              </w:rPr>
              <w:t>P =0.02(SS)</w:t>
            </w:r>
          </w:p>
        </w:tc>
      </w:tr>
      <w:tr w:rsidR="00906E5B" w:rsidRPr="000B47D4" w:rsidTr="00906E5B">
        <w:trPr>
          <w:jc w:val="center"/>
        </w:trPr>
        <w:tc>
          <w:tcPr>
            <w:cnfStyle w:val="001000000000"/>
            <w:tcW w:w="1147" w:type="pct"/>
            <w:vMerge/>
            <w:vAlign w:val="center"/>
          </w:tcPr>
          <w:p w:rsidR="00DD2561" w:rsidRPr="000B47D4" w:rsidRDefault="00DD2561" w:rsidP="003B4339">
            <w:pPr>
              <w:snapToGrid w:val="0"/>
              <w:jc w:val="both"/>
              <w:rPr>
                <w:rFonts w:ascii="Times New Roman" w:hAnsi="Times New Roman" w:cs="Times New Roman"/>
                <w:sz w:val="20"/>
                <w:szCs w:val="20"/>
                <w:lang w:bidi="ar-EG"/>
              </w:rPr>
            </w:pPr>
          </w:p>
        </w:tc>
        <w:tc>
          <w:tcPr>
            <w:tcW w:w="1217" w:type="pct"/>
            <w:vAlign w:val="center"/>
          </w:tcPr>
          <w:p w:rsidR="00DD2561" w:rsidRPr="000B47D4" w:rsidRDefault="00DD2561" w:rsidP="003B4339">
            <w:pPr>
              <w:snapToGrid w:val="0"/>
              <w:jc w:val="both"/>
              <w:cnfStyle w:val="0000000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Minimum-Maximum</w:t>
            </w:r>
          </w:p>
        </w:tc>
        <w:tc>
          <w:tcPr>
            <w:tcW w:w="679" w:type="pct"/>
            <w:vAlign w:val="center"/>
          </w:tcPr>
          <w:p w:rsidR="00DD2561" w:rsidRPr="000B47D4" w:rsidRDefault="00DD2561"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109 - 300</w:t>
            </w:r>
          </w:p>
        </w:tc>
        <w:tc>
          <w:tcPr>
            <w:tcW w:w="711" w:type="pct"/>
            <w:vAlign w:val="center"/>
          </w:tcPr>
          <w:p w:rsidR="00DD2561" w:rsidRPr="000B47D4" w:rsidRDefault="00DD2561"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164 - 280</w:t>
            </w:r>
          </w:p>
        </w:tc>
        <w:tc>
          <w:tcPr>
            <w:tcW w:w="1246" w:type="pct"/>
            <w:vMerge/>
            <w:vAlign w:val="center"/>
          </w:tcPr>
          <w:p w:rsidR="00DD2561" w:rsidRPr="000B47D4" w:rsidRDefault="00DD2561" w:rsidP="003B4339">
            <w:pPr>
              <w:snapToGrid w:val="0"/>
              <w:jc w:val="both"/>
              <w:cnfStyle w:val="000000000000"/>
              <w:rPr>
                <w:rFonts w:ascii="Times New Roman" w:hAnsi="Times New Roman" w:cs="Times New Roman"/>
                <w:sz w:val="20"/>
                <w:szCs w:val="20"/>
                <w:lang w:bidi="ar-EG"/>
              </w:rPr>
            </w:pPr>
          </w:p>
        </w:tc>
      </w:tr>
      <w:tr w:rsidR="00906E5B" w:rsidRPr="000B47D4" w:rsidTr="00906E5B">
        <w:trPr>
          <w:cnfStyle w:val="000000100000"/>
          <w:jc w:val="center"/>
        </w:trPr>
        <w:tc>
          <w:tcPr>
            <w:cnfStyle w:val="001000000000"/>
            <w:tcW w:w="1147" w:type="pct"/>
            <w:vMerge w:val="restart"/>
            <w:vAlign w:val="center"/>
          </w:tcPr>
          <w:p w:rsidR="00DD2561" w:rsidRPr="000B47D4" w:rsidRDefault="00DD2561" w:rsidP="003B4339">
            <w:pPr>
              <w:snapToGrid w:val="0"/>
              <w:jc w:val="both"/>
              <w:rPr>
                <w:rFonts w:ascii="Times New Roman" w:hAnsi="Times New Roman" w:cs="Times New Roman"/>
                <w:sz w:val="20"/>
                <w:szCs w:val="20"/>
                <w:lang w:bidi="ar-EG"/>
              </w:rPr>
            </w:pPr>
            <w:r w:rsidRPr="000B47D4">
              <w:rPr>
                <w:rFonts w:ascii="Times New Roman" w:hAnsi="Times New Roman" w:cs="Times New Roman"/>
                <w:sz w:val="20"/>
                <w:szCs w:val="20"/>
                <w:lang w:bidi="ar-EG"/>
              </w:rPr>
              <w:t>Compliance</w:t>
            </w:r>
          </w:p>
        </w:tc>
        <w:tc>
          <w:tcPr>
            <w:tcW w:w="1217" w:type="pct"/>
            <w:vAlign w:val="center"/>
          </w:tcPr>
          <w:p w:rsidR="00DD2561" w:rsidRPr="000B47D4" w:rsidRDefault="00DD2561" w:rsidP="003B4339">
            <w:pPr>
              <w:snapToGrid w:val="0"/>
              <w:jc w:val="both"/>
              <w:cnfStyle w:val="0000001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Mean ±SD</w:t>
            </w:r>
          </w:p>
        </w:tc>
        <w:tc>
          <w:tcPr>
            <w:tcW w:w="679" w:type="pct"/>
            <w:vAlign w:val="center"/>
          </w:tcPr>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27.8 ± 9.1</w:t>
            </w:r>
          </w:p>
        </w:tc>
        <w:tc>
          <w:tcPr>
            <w:tcW w:w="711" w:type="pct"/>
            <w:vAlign w:val="center"/>
          </w:tcPr>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37.7 ± 6.6</w:t>
            </w:r>
          </w:p>
        </w:tc>
        <w:tc>
          <w:tcPr>
            <w:tcW w:w="1246" w:type="pct"/>
            <w:vMerge w:val="restart"/>
            <w:vAlign w:val="center"/>
          </w:tcPr>
          <w:p w:rsidR="00DD2561" w:rsidRPr="000B47D4" w:rsidRDefault="00DD2561" w:rsidP="003B4339">
            <w:pPr>
              <w:snapToGrid w:val="0"/>
              <w:jc w:val="both"/>
              <w:cnfStyle w:val="000000100000"/>
              <w:rPr>
                <w:rFonts w:ascii="Times New Roman" w:hAnsi="Times New Roman" w:cs="Times New Roman"/>
                <w:b/>
                <w:bCs/>
                <w:sz w:val="20"/>
                <w:szCs w:val="20"/>
                <w:lang w:bidi="ar-EG"/>
              </w:rPr>
            </w:pPr>
            <w:r w:rsidRPr="000B47D4">
              <w:rPr>
                <w:rFonts w:ascii="Times New Roman" w:hAnsi="Times New Roman" w:cs="Times New Roman"/>
                <w:b/>
                <w:bCs/>
                <w:sz w:val="20"/>
                <w:szCs w:val="20"/>
                <w:lang w:bidi="ar-EG"/>
              </w:rPr>
              <w:t>Independent</w:t>
            </w:r>
            <w:r w:rsidR="00906E5B" w:rsidRPr="000B47D4">
              <w:rPr>
                <w:rFonts w:ascii="Times New Roman" w:hAnsi="Times New Roman" w:cs="Times New Roman"/>
                <w:b/>
                <w:bCs/>
                <w:sz w:val="20"/>
                <w:szCs w:val="20"/>
                <w:lang w:bidi="ar-EG"/>
              </w:rPr>
              <w:t xml:space="preserve"> </w:t>
            </w:r>
            <w:r w:rsidRPr="000B47D4">
              <w:rPr>
                <w:rFonts w:ascii="Times New Roman" w:hAnsi="Times New Roman" w:cs="Times New Roman"/>
                <w:b/>
                <w:bCs/>
                <w:sz w:val="20"/>
                <w:szCs w:val="20"/>
                <w:lang w:bidi="ar-EG"/>
              </w:rPr>
              <w:t xml:space="preserve">t- test </w:t>
            </w:r>
          </w:p>
          <w:p w:rsidR="00DD2561" w:rsidRPr="000B47D4" w:rsidRDefault="00DD2561" w:rsidP="003B4339">
            <w:pPr>
              <w:snapToGrid w:val="0"/>
              <w:jc w:val="both"/>
              <w:cnfStyle w:val="000000100000"/>
              <w:rPr>
                <w:rFonts w:ascii="Times New Roman" w:hAnsi="Times New Roman" w:cs="Times New Roman"/>
                <w:b/>
                <w:bCs/>
                <w:sz w:val="20"/>
                <w:szCs w:val="20"/>
                <w:lang w:bidi="ar-EG"/>
              </w:rPr>
            </w:pPr>
            <w:r w:rsidRPr="000B47D4">
              <w:rPr>
                <w:rFonts w:ascii="Times New Roman" w:hAnsi="Times New Roman" w:cs="Times New Roman"/>
                <w:b/>
                <w:bCs/>
                <w:sz w:val="20"/>
                <w:szCs w:val="20"/>
                <w:lang w:bidi="ar-EG"/>
              </w:rPr>
              <w:t>P &lt; 0.001 (HS)</w:t>
            </w:r>
          </w:p>
        </w:tc>
      </w:tr>
      <w:tr w:rsidR="00906E5B" w:rsidRPr="000B47D4" w:rsidTr="00906E5B">
        <w:trPr>
          <w:jc w:val="center"/>
        </w:trPr>
        <w:tc>
          <w:tcPr>
            <w:cnfStyle w:val="001000000000"/>
            <w:tcW w:w="1147" w:type="pct"/>
            <w:vMerge/>
            <w:vAlign w:val="center"/>
          </w:tcPr>
          <w:p w:rsidR="00DD2561" w:rsidRPr="000B47D4" w:rsidRDefault="00DD2561" w:rsidP="003B4339">
            <w:pPr>
              <w:snapToGrid w:val="0"/>
              <w:jc w:val="both"/>
              <w:rPr>
                <w:rFonts w:ascii="Times New Roman" w:hAnsi="Times New Roman" w:cs="Times New Roman"/>
                <w:sz w:val="20"/>
                <w:szCs w:val="20"/>
                <w:lang w:bidi="ar-EG"/>
              </w:rPr>
            </w:pPr>
          </w:p>
        </w:tc>
        <w:tc>
          <w:tcPr>
            <w:tcW w:w="1217" w:type="pct"/>
            <w:vAlign w:val="center"/>
          </w:tcPr>
          <w:p w:rsidR="00DD2561" w:rsidRPr="000B47D4" w:rsidRDefault="00DD2561" w:rsidP="003B4339">
            <w:pPr>
              <w:snapToGrid w:val="0"/>
              <w:jc w:val="both"/>
              <w:cnfStyle w:val="0000000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Minimum-Maximum</w:t>
            </w:r>
          </w:p>
        </w:tc>
        <w:tc>
          <w:tcPr>
            <w:tcW w:w="679" w:type="pct"/>
            <w:vAlign w:val="center"/>
          </w:tcPr>
          <w:p w:rsidR="00DD2561" w:rsidRPr="000B47D4" w:rsidRDefault="00DD2561"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16 - 42</w:t>
            </w:r>
          </w:p>
        </w:tc>
        <w:tc>
          <w:tcPr>
            <w:tcW w:w="711" w:type="pct"/>
            <w:vAlign w:val="center"/>
          </w:tcPr>
          <w:p w:rsidR="00DD2561" w:rsidRPr="000B47D4" w:rsidRDefault="00DD2561"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23 - 45</w:t>
            </w:r>
          </w:p>
        </w:tc>
        <w:tc>
          <w:tcPr>
            <w:tcW w:w="1246" w:type="pct"/>
            <w:vMerge/>
            <w:vAlign w:val="center"/>
          </w:tcPr>
          <w:p w:rsidR="00DD2561" w:rsidRPr="000B47D4" w:rsidRDefault="00DD2561" w:rsidP="003B4339">
            <w:pPr>
              <w:snapToGrid w:val="0"/>
              <w:jc w:val="both"/>
              <w:cnfStyle w:val="000000000000"/>
              <w:rPr>
                <w:rFonts w:ascii="Times New Roman" w:hAnsi="Times New Roman" w:cs="Times New Roman"/>
                <w:sz w:val="20"/>
                <w:szCs w:val="20"/>
                <w:lang w:bidi="ar-EG"/>
              </w:rPr>
            </w:pPr>
          </w:p>
        </w:tc>
      </w:tr>
      <w:tr w:rsidR="00906E5B" w:rsidRPr="000B47D4" w:rsidTr="00906E5B">
        <w:trPr>
          <w:cnfStyle w:val="000000100000"/>
          <w:jc w:val="center"/>
        </w:trPr>
        <w:tc>
          <w:tcPr>
            <w:cnfStyle w:val="001000000000"/>
            <w:tcW w:w="1147" w:type="pct"/>
            <w:vMerge w:val="restart"/>
            <w:vAlign w:val="center"/>
          </w:tcPr>
          <w:p w:rsidR="00DD2561" w:rsidRPr="000B47D4" w:rsidRDefault="00DD2561" w:rsidP="003B4339">
            <w:pPr>
              <w:snapToGrid w:val="0"/>
              <w:jc w:val="both"/>
              <w:rPr>
                <w:rFonts w:ascii="Times New Roman" w:hAnsi="Times New Roman" w:cs="Times New Roman"/>
                <w:sz w:val="20"/>
                <w:szCs w:val="20"/>
                <w:lang w:bidi="ar-EG"/>
              </w:rPr>
            </w:pPr>
            <w:r w:rsidRPr="000B47D4">
              <w:rPr>
                <w:rFonts w:ascii="Times New Roman" w:hAnsi="Times New Roman" w:cs="Times New Roman"/>
                <w:sz w:val="20"/>
                <w:szCs w:val="20"/>
                <w:lang w:bidi="ar-EG"/>
              </w:rPr>
              <w:t>Resistance</w:t>
            </w:r>
          </w:p>
        </w:tc>
        <w:tc>
          <w:tcPr>
            <w:tcW w:w="1217" w:type="pct"/>
            <w:vAlign w:val="center"/>
          </w:tcPr>
          <w:p w:rsidR="00DD2561" w:rsidRPr="000B47D4" w:rsidRDefault="00DD2561" w:rsidP="003B4339">
            <w:pPr>
              <w:snapToGrid w:val="0"/>
              <w:jc w:val="both"/>
              <w:cnfStyle w:val="0000001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Mean ±SD</w:t>
            </w:r>
          </w:p>
        </w:tc>
        <w:tc>
          <w:tcPr>
            <w:tcW w:w="679" w:type="pct"/>
            <w:vAlign w:val="center"/>
          </w:tcPr>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10 ± 1.5</w:t>
            </w:r>
          </w:p>
        </w:tc>
        <w:tc>
          <w:tcPr>
            <w:tcW w:w="711" w:type="pct"/>
            <w:vAlign w:val="center"/>
          </w:tcPr>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10 ± 2</w:t>
            </w:r>
          </w:p>
        </w:tc>
        <w:tc>
          <w:tcPr>
            <w:tcW w:w="1246" w:type="pct"/>
            <w:vMerge w:val="restart"/>
            <w:vAlign w:val="center"/>
          </w:tcPr>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Independent</w:t>
            </w:r>
            <w:r w:rsidR="00906E5B" w:rsidRPr="000B47D4">
              <w:rPr>
                <w:rFonts w:ascii="Times New Roman" w:hAnsi="Times New Roman" w:cs="Times New Roman"/>
                <w:sz w:val="20"/>
                <w:szCs w:val="20"/>
                <w:lang w:bidi="ar-EG"/>
              </w:rPr>
              <w:t xml:space="preserve"> </w:t>
            </w:r>
            <w:r w:rsidRPr="000B47D4">
              <w:rPr>
                <w:rFonts w:ascii="Times New Roman" w:hAnsi="Times New Roman" w:cs="Times New Roman"/>
                <w:sz w:val="20"/>
                <w:szCs w:val="20"/>
                <w:lang w:bidi="ar-EG"/>
              </w:rPr>
              <w:t xml:space="preserve">t- test </w:t>
            </w:r>
          </w:p>
          <w:p w:rsidR="00DD2561" w:rsidRPr="000B47D4" w:rsidRDefault="00DD2561" w:rsidP="003B4339">
            <w:pPr>
              <w:snapToGrid w:val="0"/>
              <w:jc w:val="both"/>
              <w:cnfStyle w:val="000000100000"/>
              <w:rPr>
                <w:rFonts w:ascii="Times New Roman" w:hAnsi="Times New Roman" w:cs="Times New Roman"/>
                <w:sz w:val="20"/>
                <w:szCs w:val="20"/>
                <w:lang w:bidi="ar-EG"/>
              </w:rPr>
            </w:pPr>
            <w:r w:rsidRPr="000B47D4">
              <w:rPr>
                <w:rFonts w:ascii="Times New Roman" w:hAnsi="Times New Roman" w:cs="Times New Roman"/>
                <w:sz w:val="20"/>
                <w:szCs w:val="20"/>
                <w:lang w:bidi="ar-EG"/>
              </w:rPr>
              <w:t>P = 0.93 (NS)</w:t>
            </w:r>
          </w:p>
        </w:tc>
      </w:tr>
      <w:tr w:rsidR="00906E5B" w:rsidRPr="000B47D4" w:rsidTr="00906E5B">
        <w:trPr>
          <w:jc w:val="center"/>
        </w:trPr>
        <w:tc>
          <w:tcPr>
            <w:cnfStyle w:val="001000000000"/>
            <w:tcW w:w="1147" w:type="pct"/>
            <w:vMerge/>
            <w:vAlign w:val="center"/>
          </w:tcPr>
          <w:p w:rsidR="00DD2561" w:rsidRPr="000B47D4" w:rsidRDefault="00DD2561" w:rsidP="003B4339">
            <w:pPr>
              <w:snapToGrid w:val="0"/>
              <w:jc w:val="both"/>
              <w:rPr>
                <w:rFonts w:ascii="Times New Roman" w:hAnsi="Times New Roman" w:cs="Times New Roman"/>
                <w:sz w:val="20"/>
                <w:szCs w:val="20"/>
                <w:lang w:bidi="ar-EG"/>
              </w:rPr>
            </w:pPr>
          </w:p>
        </w:tc>
        <w:tc>
          <w:tcPr>
            <w:tcW w:w="1217" w:type="pct"/>
            <w:vAlign w:val="center"/>
          </w:tcPr>
          <w:p w:rsidR="00DD2561" w:rsidRPr="000B47D4" w:rsidRDefault="00DD2561" w:rsidP="003B4339">
            <w:pPr>
              <w:snapToGrid w:val="0"/>
              <w:jc w:val="both"/>
              <w:cnfStyle w:val="000000000000"/>
              <w:rPr>
                <w:rFonts w:ascii="Times New Roman" w:eastAsiaTheme="majorEastAsia" w:hAnsi="Times New Roman" w:cs="Times New Roman"/>
                <w:b/>
                <w:bCs/>
                <w:sz w:val="20"/>
                <w:szCs w:val="20"/>
                <w:lang w:bidi="ar-EG"/>
              </w:rPr>
            </w:pPr>
            <w:r w:rsidRPr="000B47D4">
              <w:rPr>
                <w:rFonts w:ascii="Times New Roman" w:eastAsiaTheme="majorEastAsia" w:hAnsi="Times New Roman" w:cs="Times New Roman"/>
                <w:b/>
                <w:bCs/>
                <w:sz w:val="20"/>
                <w:szCs w:val="20"/>
                <w:lang w:bidi="ar-EG"/>
              </w:rPr>
              <w:t>Minimum-Maximum</w:t>
            </w:r>
          </w:p>
        </w:tc>
        <w:tc>
          <w:tcPr>
            <w:tcW w:w="679" w:type="pct"/>
            <w:vAlign w:val="center"/>
          </w:tcPr>
          <w:p w:rsidR="00DD2561" w:rsidRPr="000B47D4" w:rsidRDefault="00DD2561"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7 - 13</w:t>
            </w:r>
          </w:p>
        </w:tc>
        <w:tc>
          <w:tcPr>
            <w:tcW w:w="711" w:type="pct"/>
            <w:vAlign w:val="center"/>
          </w:tcPr>
          <w:p w:rsidR="00DD2561" w:rsidRPr="000B47D4" w:rsidRDefault="00DD2561"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7 - 14</w:t>
            </w:r>
          </w:p>
        </w:tc>
        <w:tc>
          <w:tcPr>
            <w:tcW w:w="1246" w:type="pct"/>
            <w:vMerge/>
            <w:vAlign w:val="center"/>
          </w:tcPr>
          <w:p w:rsidR="00DD2561" w:rsidRPr="000B47D4" w:rsidRDefault="00DD2561" w:rsidP="003B4339">
            <w:pPr>
              <w:snapToGrid w:val="0"/>
              <w:jc w:val="both"/>
              <w:cnfStyle w:val="000000000000"/>
              <w:rPr>
                <w:rFonts w:ascii="Times New Roman" w:hAnsi="Times New Roman" w:cs="Times New Roman"/>
                <w:sz w:val="20"/>
                <w:szCs w:val="20"/>
                <w:lang w:bidi="ar-EG"/>
              </w:rPr>
            </w:pPr>
          </w:p>
        </w:tc>
      </w:tr>
    </w:tbl>
    <w:p w:rsidR="00906E5B" w:rsidRPr="000B47D4" w:rsidRDefault="00906E5B" w:rsidP="003B4339">
      <w:pPr>
        <w:snapToGrid w:val="0"/>
        <w:spacing w:after="0" w:line="240" w:lineRule="auto"/>
        <w:ind w:firstLine="425"/>
        <w:jc w:val="both"/>
        <w:rPr>
          <w:rFonts w:ascii="Times New Roman" w:hAnsi="Times New Roman" w:cs="Times New Roman"/>
          <w:sz w:val="20"/>
          <w:szCs w:val="20"/>
        </w:rPr>
      </w:pPr>
    </w:p>
    <w:p w:rsidR="003B4339" w:rsidRPr="000B47D4" w:rsidRDefault="003B4339" w:rsidP="003B4339">
      <w:pPr>
        <w:snapToGrid w:val="0"/>
        <w:spacing w:after="0" w:line="240" w:lineRule="auto"/>
        <w:jc w:val="center"/>
        <w:rPr>
          <w:rFonts w:ascii="Times New Roman" w:hAnsi="Times New Roman" w:cs="Times New Roman"/>
          <w:sz w:val="20"/>
          <w:szCs w:val="20"/>
        </w:rPr>
        <w:sectPr w:rsidR="003B4339" w:rsidRPr="000B47D4" w:rsidSect="003B4339">
          <w:type w:val="continuous"/>
          <w:pgSz w:w="12240" w:h="15840" w:code="1"/>
          <w:pgMar w:top="1440" w:right="1440" w:bottom="1440" w:left="1440" w:header="720" w:footer="720" w:gutter="0"/>
          <w:cols w:space="720"/>
          <w:docGrid w:linePitch="360"/>
        </w:sectPr>
      </w:pPr>
    </w:p>
    <w:p w:rsidR="00112A77" w:rsidRPr="000B47D4" w:rsidRDefault="00DD2561" w:rsidP="003B4339">
      <w:pPr>
        <w:snapToGrid w:val="0"/>
        <w:spacing w:after="0" w:line="240" w:lineRule="auto"/>
        <w:jc w:val="center"/>
        <w:rPr>
          <w:rFonts w:ascii="Times New Roman" w:hAnsi="Times New Roman" w:cs="Times New Roman"/>
          <w:sz w:val="20"/>
          <w:szCs w:val="20"/>
        </w:rPr>
      </w:pPr>
      <w:r w:rsidRPr="000B47D4">
        <w:rPr>
          <w:rFonts w:ascii="Times New Roman" w:hAnsi="Times New Roman" w:cs="Times New Roman"/>
          <w:noProof/>
          <w:sz w:val="20"/>
          <w:szCs w:val="20"/>
          <w:lang w:eastAsia="zh-CN"/>
        </w:rPr>
        <w:lastRenderedPageBreak/>
        <w:drawing>
          <wp:inline distT="0" distB="0" distL="0" distR="0">
            <wp:extent cx="2546550" cy="1534602"/>
            <wp:effectExtent l="19050" t="0" r="61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555885" cy="1540227"/>
                    </a:xfrm>
                    <a:prstGeom prst="rect">
                      <a:avLst/>
                    </a:prstGeom>
                    <a:noFill/>
                    <a:ln w="9525">
                      <a:noFill/>
                      <a:miter lim="800000"/>
                      <a:headEnd/>
                      <a:tailEnd/>
                    </a:ln>
                  </pic:spPr>
                </pic:pic>
              </a:graphicData>
            </a:graphic>
          </wp:inline>
        </w:drawing>
      </w:r>
    </w:p>
    <w:p w:rsidR="00906E5B" w:rsidRDefault="000B47D4" w:rsidP="000B47D4">
      <w:pPr>
        <w:snapToGrid w:val="0"/>
        <w:spacing w:after="0" w:line="240" w:lineRule="auto"/>
        <w:jc w:val="both"/>
        <w:rPr>
          <w:rFonts w:ascii="Times New Roman" w:hAnsi="Times New Roman" w:cs="Times New Roman" w:hint="eastAsia"/>
          <w:sz w:val="20"/>
          <w:szCs w:val="20"/>
          <w:lang w:eastAsia="zh-CN"/>
        </w:rPr>
      </w:pPr>
      <w:r w:rsidRPr="000B47D4">
        <w:rPr>
          <w:rFonts w:ascii="Times New Roman" w:hAnsi="Times New Roman" w:cs="Times New Roman"/>
          <w:b/>
          <w:bCs/>
          <w:sz w:val="20"/>
          <w:szCs w:val="20"/>
        </w:rPr>
        <w:t>Figure</w:t>
      </w:r>
      <w:r>
        <w:rPr>
          <w:rFonts w:ascii="Times New Roman" w:hAnsi="Times New Roman" w:cs="Times New Roman" w:hint="eastAsia"/>
          <w:b/>
          <w:bCs/>
          <w:sz w:val="20"/>
          <w:szCs w:val="20"/>
          <w:lang w:eastAsia="zh-CN"/>
        </w:rPr>
        <w:t xml:space="preserve"> </w:t>
      </w:r>
      <w:r w:rsidRPr="000B47D4">
        <w:rPr>
          <w:rFonts w:ascii="Times New Roman" w:hAnsi="Times New Roman" w:cs="Times New Roman"/>
          <w:b/>
          <w:bCs/>
          <w:sz w:val="20"/>
          <w:szCs w:val="20"/>
        </w:rPr>
        <w:t>2</w:t>
      </w:r>
      <w:r>
        <w:rPr>
          <w:rFonts w:ascii="Times New Roman" w:hAnsi="Times New Roman" w:cs="Times New Roman" w:hint="eastAsia"/>
          <w:b/>
          <w:bCs/>
          <w:sz w:val="20"/>
          <w:szCs w:val="20"/>
          <w:lang w:eastAsia="zh-CN"/>
        </w:rPr>
        <w:t xml:space="preserve">. </w:t>
      </w:r>
      <w:r w:rsidRPr="000B47D4">
        <w:rPr>
          <w:rFonts w:ascii="Times New Roman" w:hAnsi="Times New Roman" w:cs="Times New Roman" w:hint="eastAsia"/>
          <w:bCs/>
          <w:sz w:val="20"/>
          <w:szCs w:val="20"/>
          <w:lang w:eastAsia="zh-CN"/>
        </w:rPr>
        <w:t>T</w:t>
      </w:r>
      <w:r w:rsidRPr="000B47D4">
        <w:rPr>
          <w:rFonts w:ascii="Times New Roman" w:hAnsi="Times New Roman" w:cs="Times New Roman"/>
          <w:sz w:val="20"/>
          <w:szCs w:val="20"/>
        </w:rPr>
        <w:t>here was a statistically significant difference between the two groups regarding the mean of the length of stay in ICU (group A = 10.6 ± 3.7 days, and group B = 6.1 ±1.2 days; p &lt;0.001)</w:t>
      </w:r>
    </w:p>
    <w:p w:rsidR="000B47D4" w:rsidRPr="000B47D4" w:rsidRDefault="000B47D4" w:rsidP="003B4339">
      <w:pPr>
        <w:snapToGrid w:val="0"/>
        <w:spacing w:after="0" w:line="240" w:lineRule="auto"/>
        <w:ind w:firstLine="425"/>
        <w:jc w:val="both"/>
        <w:rPr>
          <w:rFonts w:ascii="Times New Roman" w:hAnsi="Times New Roman" w:cs="Times New Roman" w:hint="eastAsia"/>
          <w:sz w:val="20"/>
          <w:szCs w:val="20"/>
          <w:lang w:eastAsia="zh-CN"/>
        </w:rPr>
      </w:pPr>
    </w:p>
    <w:p w:rsidR="00D764C5" w:rsidRPr="000B47D4" w:rsidRDefault="00BE3500" w:rsidP="003B4339">
      <w:pPr>
        <w:snapToGrid w:val="0"/>
        <w:spacing w:after="0" w:line="240" w:lineRule="auto"/>
        <w:ind w:firstLine="425"/>
        <w:jc w:val="both"/>
        <w:rPr>
          <w:rFonts w:ascii="Times New Roman" w:hAnsi="Times New Roman" w:cs="Times New Roman"/>
          <w:sz w:val="20"/>
          <w:szCs w:val="20"/>
        </w:rPr>
      </w:pPr>
      <w:r w:rsidRPr="000B47D4">
        <w:rPr>
          <w:rFonts w:ascii="Times New Roman" w:hAnsi="Times New Roman" w:cs="Times New Roman"/>
          <w:sz w:val="20"/>
          <w:szCs w:val="20"/>
        </w:rPr>
        <w:t xml:space="preserve">At the baseline, the following mechanical ventilation parameters were </w:t>
      </w:r>
      <w:r w:rsidR="001D058C" w:rsidRPr="000B47D4">
        <w:rPr>
          <w:rFonts w:ascii="Times New Roman" w:hAnsi="Times New Roman" w:cs="Times New Roman"/>
          <w:sz w:val="20"/>
          <w:szCs w:val="20"/>
        </w:rPr>
        <w:t>significant</w:t>
      </w:r>
      <w:r w:rsidRPr="000B47D4">
        <w:rPr>
          <w:rFonts w:ascii="Times New Roman" w:hAnsi="Times New Roman" w:cs="Times New Roman"/>
          <w:sz w:val="20"/>
          <w:szCs w:val="20"/>
        </w:rPr>
        <w:t>ly different</w:t>
      </w:r>
      <w:r w:rsidR="001D058C" w:rsidRPr="000B47D4">
        <w:rPr>
          <w:rFonts w:ascii="Times New Roman" w:hAnsi="Times New Roman" w:cs="Times New Roman"/>
          <w:sz w:val="20"/>
          <w:szCs w:val="20"/>
        </w:rPr>
        <w:t xml:space="preserve"> </w:t>
      </w:r>
      <w:r w:rsidR="001D058C" w:rsidRPr="000B47D4">
        <w:rPr>
          <w:rFonts w:ascii="Times New Roman" w:hAnsi="Times New Roman" w:cs="Times New Roman"/>
          <w:sz w:val="20"/>
          <w:szCs w:val="20"/>
        </w:rPr>
        <w:lastRenderedPageBreak/>
        <w:t xml:space="preserve">between </w:t>
      </w:r>
      <w:r w:rsidRPr="000B47D4">
        <w:rPr>
          <w:rFonts w:ascii="Times New Roman" w:hAnsi="Times New Roman" w:cs="Times New Roman"/>
          <w:sz w:val="20"/>
          <w:szCs w:val="20"/>
        </w:rPr>
        <w:t xml:space="preserve">both groups: </w:t>
      </w:r>
      <w:r w:rsidR="001D058C" w:rsidRPr="000B47D4">
        <w:rPr>
          <w:rFonts w:ascii="Times New Roman" w:hAnsi="Times New Roman" w:cs="Times New Roman"/>
          <w:sz w:val="20"/>
          <w:szCs w:val="20"/>
        </w:rPr>
        <w:t>rapid shallow breathing index (RSBI), plateau pressure (PPLAT), PF ra</w:t>
      </w:r>
      <w:r w:rsidR="006B23F4" w:rsidRPr="000B47D4">
        <w:rPr>
          <w:rFonts w:ascii="Times New Roman" w:hAnsi="Times New Roman" w:cs="Times New Roman"/>
          <w:sz w:val="20"/>
          <w:szCs w:val="20"/>
        </w:rPr>
        <w:t>tio (pao2/fIo2)</w:t>
      </w:r>
      <w:r w:rsidR="00D03E57" w:rsidRPr="000B47D4">
        <w:rPr>
          <w:rFonts w:ascii="Times New Roman" w:hAnsi="Times New Roman" w:cs="Times New Roman"/>
          <w:sz w:val="20"/>
          <w:szCs w:val="20"/>
        </w:rPr>
        <w:t xml:space="preserve"> </w:t>
      </w:r>
      <w:r w:rsidR="001D058C" w:rsidRPr="000B47D4">
        <w:rPr>
          <w:rFonts w:ascii="Times New Roman" w:hAnsi="Times New Roman" w:cs="Times New Roman"/>
          <w:sz w:val="20"/>
          <w:szCs w:val="20"/>
        </w:rPr>
        <w:t xml:space="preserve">and compliance during the hospital stay (p&lt; 0.001). Meanwhile there was no significant difference between the two group in tidal volume (TV), respiratory rate (RR), positive end expiratory pressure (PEEP), peak pressure (PP), </w:t>
      </w:r>
      <w:r w:rsidR="00811922" w:rsidRPr="000B47D4">
        <w:rPr>
          <w:rFonts w:ascii="Times New Roman" w:hAnsi="Times New Roman" w:cs="Times New Roman"/>
          <w:sz w:val="20"/>
          <w:szCs w:val="20"/>
        </w:rPr>
        <w:t>and</w:t>
      </w:r>
      <w:r w:rsidR="00D04950" w:rsidRPr="000B47D4">
        <w:rPr>
          <w:rFonts w:ascii="Times New Roman" w:hAnsi="Times New Roman" w:cs="Times New Roman"/>
          <w:sz w:val="20"/>
          <w:szCs w:val="20"/>
        </w:rPr>
        <w:t xml:space="preserve"> resistance</w:t>
      </w:r>
      <w:r w:rsidR="003B4339" w:rsidRPr="000B47D4">
        <w:rPr>
          <w:rFonts w:ascii="Times New Roman" w:hAnsi="Times New Roman" w:cs="Times New Roman"/>
          <w:sz w:val="20"/>
          <w:szCs w:val="20"/>
        </w:rPr>
        <w:t>. A</w:t>
      </w:r>
      <w:r w:rsidR="00C64283" w:rsidRPr="000B47D4">
        <w:rPr>
          <w:rFonts w:ascii="Times New Roman" w:hAnsi="Times New Roman" w:cs="Times New Roman"/>
          <w:sz w:val="20"/>
          <w:szCs w:val="20"/>
        </w:rPr>
        <w:t>t the time of weaning</w:t>
      </w:r>
      <w:r w:rsidR="003B4339" w:rsidRPr="000B47D4">
        <w:rPr>
          <w:rFonts w:ascii="Times New Roman" w:hAnsi="Times New Roman" w:cs="Times New Roman"/>
          <w:sz w:val="20"/>
          <w:szCs w:val="20"/>
        </w:rPr>
        <w:t>, t</w:t>
      </w:r>
      <w:r w:rsidR="00C64283" w:rsidRPr="000B47D4">
        <w:rPr>
          <w:rFonts w:ascii="Times New Roman" w:hAnsi="Times New Roman" w:cs="Times New Roman"/>
          <w:sz w:val="20"/>
          <w:szCs w:val="20"/>
        </w:rPr>
        <w:t>here was statistically significant difference between both groups in terms of RR, average TV, PEEP, and PIP (</w:t>
      </w:r>
      <w:r w:rsidR="008D2FE1" w:rsidRPr="000B47D4">
        <w:rPr>
          <w:rFonts w:ascii="Times New Roman" w:hAnsi="Times New Roman" w:cs="Times New Roman"/>
          <w:b/>
          <w:bCs/>
          <w:sz w:val="20"/>
          <w:szCs w:val="20"/>
        </w:rPr>
        <w:t>Table</w:t>
      </w:r>
      <w:r w:rsidR="000B47D4">
        <w:rPr>
          <w:rFonts w:ascii="Times New Roman" w:hAnsi="Times New Roman" w:cs="Times New Roman" w:hint="eastAsia"/>
          <w:b/>
          <w:bCs/>
          <w:sz w:val="20"/>
          <w:szCs w:val="20"/>
          <w:lang w:eastAsia="zh-CN"/>
        </w:rPr>
        <w:t xml:space="preserve"> </w:t>
      </w:r>
      <w:r w:rsidR="008D2FE1" w:rsidRPr="000B47D4">
        <w:rPr>
          <w:rFonts w:ascii="Times New Roman" w:hAnsi="Times New Roman" w:cs="Times New Roman"/>
          <w:b/>
          <w:bCs/>
          <w:sz w:val="20"/>
          <w:szCs w:val="20"/>
        </w:rPr>
        <w:t>2</w:t>
      </w:r>
      <w:r w:rsidR="001D058C" w:rsidRPr="000B47D4">
        <w:rPr>
          <w:rFonts w:ascii="Times New Roman" w:hAnsi="Times New Roman" w:cs="Times New Roman"/>
          <w:sz w:val="20"/>
          <w:szCs w:val="20"/>
        </w:rPr>
        <w:t xml:space="preserve">). </w:t>
      </w:r>
    </w:p>
    <w:p w:rsidR="00C927A4" w:rsidRPr="000B47D4" w:rsidRDefault="00C927A4" w:rsidP="003B4339">
      <w:pPr>
        <w:snapToGrid w:val="0"/>
        <w:spacing w:after="0" w:line="240" w:lineRule="auto"/>
        <w:ind w:firstLine="425"/>
        <w:jc w:val="both"/>
        <w:rPr>
          <w:rFonts w:ascii="Times New Roman" w:hAnsi="Times New Roman" w:cs="Times New Roman"/>
          <w:sz w:val="20"/>
          <w:szCs w:val="20"/>
        </w:rPr>
      </w:pPr>
      <w:r w:rsidRPr="000B47D4">
        <w:rPr>
          <w:rFonts w:ascii="Times New Roman" w:hAnsi="Times New Roman" w:cs="Times New Roman"/>
          <w:sz w:val="20"/>
          <w:szCs w:val="20"/>
        </w:rPr>
        <w:t>Almost 30% of patients in the group A and B</w:t>
      </w:r>
      <w:r w:rsidR="000B47D4">
        <w:rPr>
          <w:rFonts w:ascii="Times New Roman" w:hAnsi="Times New Roman" w:cs="Times New Roman" w:hint="eastAsia"/>
          <w:sz w:val="20"/>
          <w:szCs w:val="20"/>
          <w:lang w:eastAsia="zh-CN"/>
        </w:rPr>
        <w:t xml:space="preserve"> </w:t>
      </w:r>
      <w:r w:rsidRPr="000B47D4">
        <w:rPr>
          <w:rFonts w:ascii="Times New Roman" w:hAnsi="Times New Roman" w:cs="Times New Roman"/>
          <w:sz w:val="20"/>
          <w:szCs w:val="20"/>
        </w:rPr>
        <w:t>complicated with diarrhea. Thirty-five percent of patients in group A complicated with vomiting compared to 25% in group B. There is no significant statistical difference between the two groups regarding any of the observed complications</w:t>
      </w:r>
      <w:r w:rsidR="00B77D35" w:rsidRPr="000B47D4">
        <w:rPr>
          <w:rFonts w:ascii="Times New Roman" w:hAnsi="Times New Roman" w:cs="Times New Roman"/>
          <w:sz w:val="20"/>
          <w:szCs w:val="20"/>
        </w:rPr>
        <w:t xml:space="preserve"> (</w:t>
      </w:r>
      <w:r w:rsidR="00B77D35" w:rsidRPr="000B47D4">
        <w:rPr>
          <w:rFonts w:ascii="Times New Roman" w:hAnsi="Times New Roman" w:cs="Times New Roman"/>
          <w:b/>
          <w:bCs/>
          <w:sz w:val="20"/>
          <w:szCs w:val="20"/>
        </w:rPr>
        <w:t>Table</w:t>
      </w:r>
      <w:r w:rsidR="000B47D4">
        <w:rPr>
          <w:rFonts w:ascii="Times New Roman" w:hAnsi="Times New Roman" w:cs="Times New Roman" w:hint="eastAsia"/>
          <w:b/>
          <w:bCs/>
          <w:sz w:val="20"/>
          <w:szCs w:val="20"/>
          <w:lang w:eastAsia="zh-CN"/>
        </w:rPr>
        <w:t xml:space="preserve"> </w:t>
      </w:r>
      <w:r w:rsidR="00B77D35" w:rsidRPr="000B47D4">
        <w:rPr>
          <w:rFonts w:ascii="Times New Roman" w:hAnsi="Times New Roman" w:cs="Times New Roman"/>
          <w:b/>
          <w:bCs/>
          <w:sz w:val="20"/>
          <w:szCs w:val="20"/>
        </w:rPr>
        <w:t>3</w:t>
      </w:r>
      <w:r w:rsidR="00B77D35" w:rsidRPr="000B47D4">
        <w:rPr>
          <w:rFonts w:ascii="Times New Roman" w:hAnsi="Times New Roman" w:cs="Times New Roman"/>
          <w:sz w:val="20"/>
          <w:szCs w:val="20"/>
        </w:rPr>
        <w:t>)</w:t>
      </w:r>
      <w:r w:rsidRPr="000B47D4">
        <w:rPr>
          <w:rFonts w:ascii="Times New Roman" w:hAnsi="Times New Roman" w:cs="Times New Roman"/>
          <w:sz w:val="20"/>
          <w:szCs w:val="20"/>
        </w:rPr>
        <w:t xml:space="preserve">. </w:t>
      </w:r>
    </w:p>
    <w:p w:rsidR="003B4339" w:rsidRPr="000B47D4" w:rsidRDefault="003B4339" w:rsidP="003B4339">
      <w:pPr>
        <w:snapToGrid w:val="0"/>
        <w:spacing w:after="0" w:line="240" w:lineRule="auto"/>
        <w:ind w:firstLine="425"/>
        <w:jc w:val="both"/>
        <w:rPr>
          <w:rFonts w:ascii="Times New Roman" w:hAnsi="Times New Roman" w:cs="Times New Roman"/>
          <w:sz w:val="20"/>
          <w:szCs w:val="20"/>
        </w:rPr>
        <w:sectPr w:rsidR="003B4339" w:rsidRPr="000B47D4" w:rsidSect="003B4339">
          <w:type w:val="continuous"/>
          <w:pgSz w:w="12240" w:h="15840" w:code="1"/>
          <w:pgMar w:top="1440" w:right="1440" w:bottom="1440" w:left="1440" w:header="720" w:footer="720" w:gutter="0"/>
          <w:cols w:num="2" w:space="550"/>
          <w:docGrid w:linePitch="360"/>
        </w:sectPr>
      </w:pPr>
    </w:p>
    <w:p w:rsidR="00DD2561" w:rsidRDefault="00DD2561" w:rsidP="003B4339">
      <w:pPr>
        <w:snapToGrid w:val="0"/>
        <w:spacing w:after="0" w:line="240" w:lineRule="auto"/>
        <w:ind w:firstLine="425"/>
        <w:jc w:val="both"/>
        <w:rPr>
          <w:rFonts w:ascii="Times New Roman" w:hAnsi="Times New Roman" w:cs="Times New Roman" w:hint="eastAsia"/>
          <w:sz w:val="20"/>
          <w:szCs w:val="20"/>
          <w:lang w:eastAsia="zh-CN"/>
        </w:rPr>
      </w:pPr>
    </w:p>
    <w:p w:rsidR="000B47D4" w:rsidRPr="000B47D4" w:rsidRDefault="000B47D4" w:rsidP="000B47D4">
      <w:pPr>
        <w:snapToGrid w:val="0"/>
        <w:spacing w:after="0" w:line="240" w:lineRule="auto"/>
        <w:jc w:val="both"/>
        <w:rPr>
          <w:rFonts w:ascii="Times New Roman" w:hAnsi="Times New Roman" w:cs="Times New Roman" w:hint="eastAsia"/>
          <w:sz w:val="20"/>
          <w:szCs w:val="20"/>
          <w:lang w:eastAsia="zh-CN"/>
        </w:rPr>
      </w:pPr>
      <w:r w:rsidRPr="000B47D4">
        <w:rPr>
          <w:rFonts w:ascii="Times New Roman" w:hAnsi="Times New Roman" w:cs="Times New Roman"/>
          <w:b/>
          <w:bCs/>
          <w:sz w:val="20"/>
          <w:szCs w:val="20"/>
        </w:rPr>
        <w:t>Table</w:t>
      </w:r>
      <w:r>
        <w:rPr>
          <w:rFonts w:ascii="Times New Roman" w:hAnsi="Times New Roman" w:cs="Times New Roman" w:hint="eastAsia"/>
          <w:b/>
          <w:bCs/>
          <w:sz w:val="20"/>
          <w:szCs w:val="20"/>
          <w:lang w:eastAsia="zh-CN"/>
        </w:rPr>
        <w:t xml:space="preserve"> </w:t>
      </w:r>
      <w:r w:rsidRPr="000B47D4">
        <w:rPr>
          <w:rFonts w:ascii="Times New Roman" w:hAnsi="Times New Roman" w:cs="Times New Roman"/>
          <w:b/>
          <w:bCs/>
          <w:sz w:val="20"/>
          <w:szCs w:val="20"/>
        </w:rPr>
        <w:t>3</w:t>
      </w:r>
      <w:r>
        <w:rPr>
          <w:rFonts w:ascii="Times New Roman" w:hAnsi="Times New Roman" w:cs="Times New Roman" w:hint="eastAsia"/>
          <w:sz w:val="20"/>
          <w:szCs w:val="20"/>
          <w:lang w:eastAsia="zh-CN"/>
        </w:rPr>
        <w:t xml:space="preserve">. </w:t>
      </w:r>
      <w:r w:rsidRPr="000B47D4">
        <w:rPr>
          <w:rFonts w:ascii="Times New Roman" w:hAnsi="Times New Roman" w:cs="Times New Roman"/>
          <w:sz w:val="20"/>
          <w:szCs w:val="20"/>
        </w:rPr>
        <w:t>Thirty-five percent of patients in group A complicated with vomiting compared to 25% in group B. There is no significant statistical difference between the two groups regarding any of the observed complications</w:t>
      </w:r>
    </w:p>
    <w:tbl>
      <w:tblPr>
        <w:tblStyle w:val="MediumGrid3-Accent5"/>
        <w:tblW w:w="5000" w:type="pct"/>
        <w:jc w:val="center"/>
        <w:tblCellMar>
          <w:left w:w="57" w:type="dxa"/>
          <w:right w:w="57" w:type="dxa"/>
        </w:tblCellMar>
        <w:tblLook w:val="04A0"/>
      </w:tblPr>
      <w:tblGrid>
        <w:gridCol w:w="1923"/>
        <w:gridCol w:w="2759"/>
        <w:gridCol w:w="697"/>
        <w:gridCol w:w="534"/>
        <w:gridCol w:w="688"/>
        <w:gridCol w:w="529"/>
        <w:gridCol w:w="2344"/>
      </w:tblGrid>
      <w:tr w:rsidR="00906E5B" w:rsidRPr="000B47D4" w:rsidTr="00906E5B">
        <w:trPr>
          <w:cnfStyle w:val="100000000000"/>
          <w:jc w:val="center"/>
        </w:trPr>
        <w:tc>
          <w:tcPr>
            <w:cnfStyle w:val="001000000000"/>
            <w:tcW w:w="2471" w:type="pct"/>
            <w:gridSpan w:val="2"/>
            <w:vMerge w:val="restart"/>
            <w:vAlign w:val="center"/>
          </w:tcPr>
          <w:p w:rsidR="004856BE" w:rsidRPr="000B47D4" w:rsidRDefault="004856BE" w:rsidP="003B4339">
            <w:pPr>
              <w:snapToGrid w:val="0"/>
              <w:jc w:val="both"/>
              <w:rPr>
                <w:rFonts w:ascii="Times New Roman" w:hAnsi="Times New Roman" w:cs="Times New Roman"/>
                <w:sz w:val="20"/>
                <w:szCs w:val="20"/>
              </w:rPr>
            </w:pPr>
            <w:r w:rsidRPr="000B47D4">
              <w:rPr>
                <w:rFonts w:ascii="Times New Roman" w:hAnsi="Times New Roman" w:cs="Times New Roman"/>
                <w:b w:val="0"/>
                <w:bCs w:val="0"/>
                <w:sz w:val="20"/>
                <w:szCs w:val="20"/>
              </w:rPr>
              <w:t>Variable</w:t>
            </w:r>
          </w:p>
          <w:p w:rsidR="004856BE" w:rsidRPr="000B47D4" w:rsidRDefault="004856BE" w:rsidP="003B4339">
            <w:pPr>
              <w:snapToGrid w:val="0"/>
              <w:jc w:val="both"/>
              <w:rPr>
                <w:rFonts w:ascii="Times New Roman" w:hAnsi="Times New Roman" w:cs="Times New Roman"/>
                <w:sz w:val="20"/>
                <w:szCs w:val="20"/>
              </w:rPr>
            </w:pPr>
            <w:r w:rsidRPr="000B47D4">
              <w:rPr>
                <w:rFonts w:ascii="Times New Roman" w:hAnsi="Times New Roman" w:cs="Times New Roman"/>
                <w:b w:val="0"/>
                <w:bCs w:val="0"/>
                <w:sz w:val="20"/>
                <w:szCs w:val="20"/>
              </w:rPr>
              <w:t>(no.=40)</w:t>
            </w:r>
          </w:p>
        </w:tc>
        <w:tc>
          <w:tcPr>
            <w:tcW w:w="650" w:type="pct"/>
            <w:gridSpan w:val="2"/>
            <w:vAlign w:val="center"/>
          </w:tcPr>
          <w:p w:rsidR="004856BE" w:rsidRPr="000B47D4" w:rsidRDefault="004856BE" w:rsidP="003B4339">
            <w:pPr>
              <w:snapToGrid w:val="0"/>
              <w:jc w:val="both"/>
              <w:cnfStyle w:val="100000000000"/>
              <w:rPr>
                <w:rFonts w:ascii="Times New Roman" w:hAnsi="Times New Roman" w:cs="Times New Roman"/>
                <w:sz w:val="20"/>
                <w:szCs w:val="20"/>
              </w:rPr>
            </w:pPr>
            <w:r w:rsidRPr="000B47D4">
              <w:rPr>
                <w:rFonts w:ascii="Times New Roman" w:hAnsi="Times New Roman" w:cs="Times New Roman"/>
                <w:b w:val="0"/>
                <w:bCs w:val="0"/>
                <w:sz w:val="20"/>
                <w:szCs w:val="20"/>
              </w:rPr>
              <w:t>Group A</w:t>
            </w:r>
          </w:p>
          <w:p w:rsidR="004856BE" w:rsidRPr="000B47D4" w:rsidRDefault="004856BE" w:rsidP="003B4339">
            <w:pPr>
              <w:snapToGrid w:val="0"/>
              <w:jc w:val="both"/>
              <w:cnfStyle w:val="100000000000"/>
              <w:rPr>
                <w:rFonts w:ascii="Times New Roman" w:hAnsi="Times New Roman" w:cs="Times New Roman"/>
                <w:sz w:val="20"/>
                <w:szCs w:val="20"/>
              </w:rPr>
            </w:pPr>
            <w:r w:rsidRPr="000B47D4">
              <w:rPr>
                <w:rFonts w:ascii="Times New Roman" w:hAnsi="Times New Roman" w:cs="Times New Roman"/>
                <w:b w:val="0"/>
                <w:bCs w:val="0"/>
                <w:sz w:val="20"/>
                <w:szCs w:val="20"/>
              </w:rPr>
              <w:t>(no.=20)</w:t>
            </w:r>
          </w:p>
        </w:tc>
        <w:tc>
          <w:tcPr>
            <w:tcW w:w="642" w:type="pct"/>
            <w:gridSpan w:val="2"/>
            <w:vAlign w:val="center"/>
          </w:tcPr>
          <w:p w:rsidR="004856BE" w:rsidRPr="000B47D4" w:rsidRDefault="004856BE" w:rsidP="003B4339">
            <w:pPr>
              <w:snapToGrid w:val="0"/>
              <w:jc w:val="both"/>
              <w:cnfStyle w:val="100000000000"/>
              <w:rPr>
                <w:rFonts w:ascii="Times New Roman" w:hAnsi="Times New Roman" w:cs="Times New Roman"/>
                <w:sz w:val="20"/>
                <w:szCs w:val="20"/>
              </w:rPr>
            </w:pPr>
            <w:r w:rsidRPr="000B47D4">
              <w:rPr>
                <w:rFonts w:ascii="Times New Roman" w:hAnsi="Times New Roman" w:cs="Times New Roman"/>
                <w:b w:val="0"/>
                <w:bCs w:val="0"/>
                <w:sz w:val="20"/>
                <w:szCs w:val="20"/>
              </w:rPr>
              <w:t>Group B</w:t>
            </w:r>
          </w:p>
          <w:p w:rsidR="004856BE" w:rsidRPr="000B47D4" w:rsidRDefault="004856BE" w:rsidP="003B4339">
            <w:pPr>
              <w:snapToGrid w:val="0"/>
              <w:jc w:val="both"/>
              <w:cnfStyle w:val="100000000000"/>
              <w:rPr>
                <w:rFonts w:ascii="Times New Roman" w:hAnsi="Times New Roman" w:cs="Times New Roman"/>
                <w:sz w:val="20"/>
                <w:szCs w:val="20"/>
              </w:rPr>
            </w:pPr>
            <w:r w:rsidRPr="000B47D4">
              <w:rPr>
                <w:rFonts w:ascii="Times New Roman" w:hAnsi="Times New Roman" w:cs="Times New Roman"/>
                <w:b w:val="0"/>
                <w:bCs w:val="0"/>
                <w:sz w:val="20"/>
                <w:szCs w:val="20"/>
              </w:rPr>
              <w:t>(no.=20)</w:t>
            </w:r>
          </w:p>
        </w:tc>
        <w:tc>
          <w:tcPr>
            <w:tcW w:w="1237" w:type="pct"/>
            <w:vMerge w:val="restart"/>
            <w:vAlign w:val="center"/>
          </w:tcPr>
          <w:p w:rsidR="004856BE" w:rsidRPr="000B47D4" w:rsidRDefault="004856BE" w:rsidP="003B4339">
            <w:pPr>
              <w:snapToGrid w:val="0"/>
              <w:jc w:val="both"/>
              <w:cnfStyle w:val="100000000000"/>
              <w:rPr>
                <w:rFonts w:ascii="Times New Roman" w:hAnsi="Times New Roman" w:cs="Times New Roman"/>
                <w:sz w:val="20"/>
                <w:szCs w:val="20"/>
              </w:rPr>
            </w:pPr>
            <w:r w:rsidRPr="000B47D4">
              <w:rPr>
                <w:rFonts w:ascii="Times New Roman" w:hAnsi="Times New Roman" w:cs="Times New Roman"/>
                <w:b w:val="0"/>
                <w:bCs w:val="0"/>
                <w:sz w:val="20"/>
                <w:szCs w:val="20"/>
              </w:rPr>
              <w:t>Test</w:t>
            </w:r>
          </w:p>
        </w:tc>
      </w:tr>
      <w:tr w:rsidR="00906E5B" w:rsidRPr="000B47D4" w:rsidTr="00906E5B">
        <w:trPr>
          <w:cnfStyle w:val="000000100000"/>
          <w:jc w:val="center"/>
        </w:trPr>
        <w:tc>
          <w:tcPr>
            <w:cnfStyle w:val="001000000000"/>
            <w:tcW w:w="2471" w:type="pct"/>
            <w:gridSpan w:val="2"/>
            <w:vMerge/>
            <w:vAlign w:val="center"/>
          </w:tcPr>
          <w:p w:rsidR="004856BE" w:rsidRPr="000B47D4" w:rsidRDefault="004856BE" w:rsidP="003B4339">
            <w:pPr>
              <w:snapToGrid w:val="0"/>
              <w:jc w:val="both"/>
              <w:rPr>
                <w:rFonts w:ascii="Times New Roman" w:hAnsi="Times New Roman" w:cs="Times New Roman"/>
                <w:sz w:val="20"/>
                <w:szCs w:val="20"/>
              </w:rPr>
            </w:pPr>
          </w:p>
        </w:tc>
        <w:tc>
          <w:tcPr>
            <w:tcW w:w="368" w:type="pct"/>
            <w:vAlign w:val="center"/>
          </w:tcPr>
          <w:p w:rsidR="004856BE" w:rsidRPr="000B47D4" w:rsidRDefault="004856BE" w:rsidP="003B4339">
            <w:pPr>
              <w:snapToGrid w:val="0"/>
              <w:jc w:val="both"/>
              <w:cnfStyle w:val="000000100000"/>
              <w:rPr>
                <w:rFonts w:ascii="Times New Roman" w:hAnsi="Times New Roman" w:cs="Times New Roman"/>
                <w:sz w:val="20"/>
                <w:szCs w:val="20"/>
              </w:rPr>
            </w:pPr>
            <w:r w:rsidRPr="000B47D4">
              <w:rPr>
                <w:rFonts w:ascii="Times New Roman" w:hAnsi="Times New Roman" w:cs="Times New Roman"/>
                <w:sz w:val="20"/>
                <w:szCs w:val="20"/>
              </w:rPr>
              <w:t>No.</w:t>
            </w:r>
          </w:p>
        </w:tc>
        <w:tc>
          <w:tcPr>
            <w:tcW w:w="282" w:type="pct"/>
            <w:vAlign w:val="center"/>
          </w:tcPr>
          <w:p w:rsidR="004856BE" w:rsidRPr="000B47D4" w:rsidRDefault="004856BE" w:rsidP="003B4339">
            <w:pPr>
              <w:snapToGrid w:val="0"/>
              <w:jc w:val="both"/>
              <w:cnfStyle w:val="000000100000"/>
              <w:rPr>
                <w:rFonts w:ascii="Times New Roman" w:hAnsi="Times New Roman" w:cs="Times New Roman"/>
                <w:sz w:val="20"/>
                <w:szCs w:val="20"/>
              </w:rPr>
            </w:pPr>
            <w:r w:rsidRPr="000B47D4">
              <w:rPr>
                <w:rFonts w:ascii="Times New Roman" w:hAnsi="Times New Roman" w:cs="Times New Roman"/>
                <w:sz w:val="20"/>
                <w:szCs w:val="20"/>
              </w:rPr>
              <w:t>%</w:t>
            </w:r>
          </w:p>
        </w:tc>
        <w:tc>
          <w:tcPr>
            <w:tcW w:w="363" w:type="pct"/>
            <w:vAlign w:val="center"/>
          </w:tcPr>
          <w:p w:rsidR="004856BE" w:rsidRPr="000B47D4" w:rsidRDefault="004856BE" w:rsidP="003B4339">
            <w:pPr>
              <w:snapToGrid w:val="0"/>
              <w:jc w:val="both"/>
              <w:cnfStyle w:val="000000100000"/>
              <w:rPr>
                <w:rFonts w:ascii="Times New Roman" w:hAnsi="Times New Roman" w:cs="Times New Roman"/>
                <w:sz w:val="20"/>
                <w:szCs w:val="20"/>
              </w:rPr>
            </w:pPr>
            <w:r w:rsidRPr="000B47D4">
              <w:rPr>
                <w:rFonts w:ascii="Times New Roman" w:hAnsi="Times New Roman" w:cs="Times New Roman"/>
                <w:sz w:val="20"/>
                <w:szCs w:val="20"/>
              </w:rPr>
              <w:t>No.</w:t>
            </w:r>
          </w:p>
        </w:tc>
        <w:tc>
          <w:tcPr>
            <w:tcW w:w="279" w:type="pct"/>
            <w:vAlign w:val="center"/>
          </w:tcPr>
          <w:p w:rsidR="004856BE" w:rsidRPr="000B47D4" w:rsidRDefault="004856BE" w:rsidP="003B4339">
            <w:pPr>
              <w:snapToGrid w:val="0"/>
              <w:jc w:val="both"/>
              <w:cnfStyle w:val="000000100000"/>
              <w:rPr>
                <w:rFonts w:ascii="Times New Roman" w:hAnsi="Times New Roman" w:cs="Times New Roman"/>
                <w:sz w:val="20"/>
                <w:szCs w:val="20"/>
              </w:rPr>
            </w:pPr>
            <w:r w:rsidRPr="000B47D4">
              <w:rPr>
                <w:rFonts w:ascii="Times New Roman" w:hAnsi="Times New Roman" w:cs="Times New Roman"/>
                <w:sz w:val="20"/>
                <w:szCs w:val="20"/>
              </w:rPr>
              <w:t>%</w:t>
            </w:r>
          </w:p>
        </w:tc>
        <w:tc>
          <w:tcPr>
            <w:tcW w:w="1237" w:type="pct"/>
            <w:vMerge/>
            <w:vAlign w:val="center"/>
          </w:tcPr>
          <w:p w:rsidR="004856BE" w:rsidRPr="000B47D4" w:rsidRDefault="004856BE" w:rsidP="003B4339">
            <w:pPr>
              <w:snapToGrid w:val="0"/>
              <w:jc w:val="both"/>
              <w:cnfStyle w:val="000000100000"/>
              <w:rPr>
                <w:rFonts w:ascii="Times New Roman" w:hAnsi="Times New Roman" w:cs="Times New Roman"/>
                <w:sz w:val="20"/>
                <w:szCs w:val="20"/>
              </w:rPr>
            </w:pPr>
          </w:p>
        </w:tc>
      </w:tr>
      <w:tr w:rsidR="00906E5B" w:rsidRPr="000B47D4" w:rsidTr="00906E5B">
        <w:trPr>
          <w:jc w:val="center"/>
        </w:trPr>
        <w:tc>
          <w:tcPr>
            <w:cnfStyle w:val="001000000000"/>
            <w:tcW w:w="1015" w:type="pct"/>
            <w:vMerge w:val="restart"/>
            <w:vAlign w:val="center"/>
          </w:tcPr>
          <w:p w:rsidR="004856BE" w:rsidRPr="000B47D4" w:rsidRDefault="004856BE" w:rsidP="003B4339">
            <w:pPr>
              <w:snapToGrid w:val="0"/>
              <w:jc w:val="both"/>
              <w:rPr>
                <w:rFonts w:ascii="Times New Roman" w:hAnsi="Times New Roman" w:cs="Times New Roman"/>
                <w:sz w:val="20"/>
                <w:szCs w:val="20"/>
              </w:rPr>
            </w:pPr>
            <w:r w:rsidRPr="000B47D4">
              <w:rPr>
                <w:rFonts w:ascii="Times New Roman" w:hAnsi="Times New Roman" w:cs="Times New Roman"/>
                <w:b w:val="0"/>
                <w:bCs w:val="0"/>
                <w:sz w:val="20"/>
                <w:szCs w:val="20"/>
              </w:rPr>
              <w:t>Complications</w:t>
            </w:r>
          </w:p>
        </w:tc>
        <w:tc>
          <w:tcPr>
            <w:tcW w:w="1455" w:type="pct"/>
            <w:vAlign w:val="center"/>
          </w:tcPr>
          <w:p w:rsidR="004856BE" w:rsidRPr="000B47D4" w:rsidRDefault="004856BE" w:rsidP="003B4339">
            <w:pPr>
              <w:snapToGrid w:val="0"/>
              <w:jc w:val="both"/>
              <w:cnfStyle w:val="000000000000"/>
              <w:rPr>
                <w:rFonts w:ascii="Times New Roman" w:hAnsi="Times New Roman" w:cs="Times New Roman"/>
                <w:color w:val="000000"/>
                <w:sz w:val="20"/>
                <w:szCs w:val="20"/>
              </w:rPr>
            </w:pPr>
            <w:r w:rsidRPr="000B47D4">
              <w:rPr>
                <w:rFonts w:ascii="Times New Roman" w:hAnsi="Times New Roman" w:cs="Times New Roman"/>
                <w:color w:val="000000"/>
                <w:sz w:val="20"/>
                <w:szCs w:val="20"/>
              </w:rPr>
              <w:t>No Complications</w:t>
            </w:r>
          </w:p>
        </w:tc>
        <w:tc>
          <w:tcPr>
            <w:tcW w:w="368" w:type="pct"/>
            <w:vAlign w:val="center"/>
          </w:tcPr>
          <w:p w:rsidR="004856BE" w:rsidRPr="000B47D4" w:rsidRDefault="004856BE" w:rsidP="003B4339">
            <w:pPr>
              <w:snapToGrid w:val="0"/>
              <w:jc w:val="both"/>
              <w:cnfStyle w:val="000000000000"/>
              <w:rPr>
                <w:rFonts w:ascii="Times New Roman" w:hAnsi="Times New Roman" w:cs="Times New Roman"/>
                <w:sz w:val="20"/>
                <w:szCs w:val="20"/>
              </w:rPr>
            </w:pPr>
            <w:r w:rsidRPr="000B47D4">
              <w:rPr>
                <w:rFonts w:ascii="Times New Roman" w:hAnsi="Times New Roman" w:cs="Times New Roman"/>
                <w:sz w:val="20"/>
                <w:szCs w:val="20"/>
              </w:rPr>
              <w:t>5</w:t>
            </w:r>
          </w:p>
        </w:tc>
        <w:tc>
          <w:tcPr>
            <w:tcW w:w="282" w:type="pct"/>
            <w:vAlign w:val="center"/>
          </w:tcPr>
          <w:p w:rsidR="004856BE" w:rsidRPr="000B47D4" w:rsidRDefault="004856BE" w:rsidP="003B4339">
            <w:pPr>
              <w:snapToGrid w:val="0"/>
              <w:jc w:val="both"/>
              <w:cnfStyle w:val="000000000000"/>
              <w:rPr>
                <w:rFonts w:ascii="Times New Roman" w:hAnsi="Times New Roman" w:cs="Times New Roman"/>
                <w:sz w:val="20"/>
                <w:szCs w:val="20"/>
              </w:rPr>
            </w:pPr>
            <w:r w:rsidRPr="000B47D4">
              <w:rPr>
                <w:rFonts w:ascii="Times New Roman" w:hAnsi="Times New Roman" w:cs="Times New Roman"/>
                <w:sz w:val="20"/>
                <w:szCs w:val="20"/>
              </w:rPr>
              <w:t>25</w:t>
            </w:r>
          </w:p>
        </w:tc>
        <w:tc>
          <w:tcPr>
            <w:tcW w:w="363" w:type="pct"/>
            <w:vAlign w:val="center"/>
          </w:tcPr>
          <w:p w:rsidR="004856BE" w:rsidRPr="000B47D4" w:rsidRDefault="004856BE" w:rsidP="003B4339">
            <w:pPr>
              <w:snapToGrid w:val="0"/>
              <w:jc w:val="both"/>
              <w:cnfStyle w:val="000000000000"/>
              <w:rPr>
                <w:rFonts w:ascii="Times New Roman" w:hAnsi="Times New Roman" w:cs="Times New Roman"/>
                <w:sz w:val="20"/>
                <w:szCs w:val="20"/>
              </w:rPr>
            </w:pPr>
            <w:r w:rsidRPr="000B47D4">
              <w:rPr>
                <w:rFonts w:ascii="Times New Roman" w:hAnsi="Times New Roman" w:cs="Times New Roman"/>
                <w:sz w:val="20"/>
                <w:szCs w:val="20"/>
              </w:rPr>
              <w:t>9</w:t>
            </w:r>
          </w:p>
        </w:tc>
        <w:tc>
          <w:tcPr>
            <w:tcW w:w="279" w:type="pct"/>
            <w:vAlign w:val="center"/>
          </w:tcPr>
          <w:p w:rsidR="004856BE" w:rsidRPr="000B47D4" w:rsidRDefault="004856BE" w:rsidP="003B4339">
            <w:pPr>
              <w:snapToGrid w:val="0"/>
              <w:jc w:val="both"/>
              <w:cnfStyle w:val="000000000000"/>
              <w:rPr>
                <w:rFonts w:ascii="Times New Roman" w:hAnsi="Times New Roman" w:cs="Times New Roman"/>
                <w:sz w:val="20"/>
                <w:szCs w:val="20"/>
              </w:rPr>
            </w:pPr>
            <w:r w:rsidRPr="000B47D4">
              <w:rPr>
                <w:rFonts w:ascii="Times New Roman" w:hAnsi="Times New Roman" w:cs="Times New Roman"/>
                <w:sz w:val="20"/>
                <w:szCs w:val="20"/>
              </w:rPr>
              <w:t>45</w:t>
            </w:r>
          </w:p>
        </w:tc>
        <w:tc>
          <w:tcPr>
            <w:tcW w:w="1237" w:type="pct"/>
            <w:vMerge w:val="restart"/>
            <w:vAlign w:val="center"/>
          </w:tcPr>
          <w:p w:rsidR="004856BE" w:rsidRPr="000B47D4" w:rsidRDefault="004856BE"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Fisher's Exact test</w:t>
            </w:r>
          </w:p>
          <w:p w:rsidR="004856BE" w:rsidRPr="000B47D4" w:rsidRDefault="004856BE" w:rsidP="003B4339">
            <w:pPr>
              <w:snapToGrid w:val="0"/>
              <w:jc w:val="both"/>
              <w:cnfStyle w:val="000000000000"/>
              <w:rPr>
                <w:rFonts w:ascii="Times New Roman" w:hAnsi="Times New Roman" w:cs="Times New Roman"/>
                <w:sz w:val="20"/>
                <w:szCs w:val="20"/>
                <w:lang w:bidi="ar-EG"/>
              </w:rPr>
            </w:pPr>
            <w:r w:rsidRPr="000B47D4">
              <w:rPr>
                <w:rFonts w:ascii="Times New Roman" w:hAnsi="Times New Roman" w:cs="Times New Roman"/>
                <w:sz w:val="20"/>
                <w:szCs w:val="20"/>
                <w:lang w:bidi="ar-EG"/>
              </w:rPr>
              <w:t>P=0.13 (NS)</w:t>
            </w:r>
          </w:p>
          <w:p w:rsidR="004856BE" w:rsidRPr="000B47D4" w:rsidRDefault="004856BE" w:rsidP="003B4339">
            <w:pPr>
              <w:snapToGrid w:val="0"/>
              <w:jc w:val="both"/>
              <w:cnfStyle w:val="000000000000"/>
              <w:rPr>
                <w:rFonts w:ascii="Times New Roman" w:hAnsi="Times New Roman" w:cs="Times New Roman"/>
                <w:sz w:val="20"/>
                <w:szCs w:val="20"/>
              </w:rPr>
            </w:pPr>
          </w:p>
        </w:tc>
      </w:tr>
      <w:tr w:rsidR="00906E5B" w:rsidRPr="000B47D4" w:rsidTr="00906E5B">
        <w:trPr>
          <w:cnfStyle w:val="000000100000"/>
          <w:jc w:val="center"/>
        </w:trPr>
        <w:tc>
          <w:tcPr>
            <w:cnfStyle w:val="001000000000"/>
            <w:tcW w:w="1015" w:type="pct"/>
            <w:vMerge/>
            <w:vAlign w:val="center"/>
          </w:tcPr>
          <w:p w:rsidR="004856BE" w:rsidRPr="000B47D4" w:rsidRDefault="004856BE" w:rsidP="003B4339">
            <w:pPr>
              <w:snapToGrid w:val="0"/>
              <w:jc w:val="both"/>
              <w:rPr>
                <w:rFonts w:ascii="Times New Roman" w:hAnsi="Times New Roman" w:cs="Times New Roman"/>
                <w:sz w:val="20"/>
                <w:szCs w:val="20"/>
              </w:rPr>
            </w:pPr>
          </w:p>
        </w:tc>
        <w:tc>
          <w:tcPr>
            <w:tcW w:w="1455" w:type="pct"/>
            <w:vAlign w:val="center"/>
          </w:tcPr>
          <w:p w:rsidR="004856BE" w:rsidRPr="000B47D4" w:rsidRDefault="004856BE" w:rsidP="003B4339">
            <w:pPr>
              <w:snapToGrid w:val="0"/>
              <w:jc w:val="both"/>
              <w:cnfStyle w:val="000000100000"/>
              <w:rPr>
                <w:rFonts w:ascii="Times New Roman" w:hAnsi="Times New Roman" w:cs="Times New Roman"/>
                <w:color w:val="000000"/>
                <w:sz w:val="20"/>
                <w:szCs w:val="20"/>
              </w:rPr>
            </w:pPr>
            <w:r w:rsidRPr="000B47D4">
              <w:rPr>
                <w:rFonts w:ascii="Times New Roman" w:hAnsi="Times New Roman" w:cs="Times New Roman"/>
                <w:color w:val="000000"/>
                <w:sz w:val="20"/>
                <w:szCs w:val="20"/>
              </w:rPr>
              <w:t>Vomiting</w:t>
            </w:r>
          </w:p>
        </w:tc>
        <w:tc>
          <w:tcPr>
            <w:tcW w:w="368" w:type="pct"/>
            <w:vAlign w:val="center"/>
          </w:tcPr>
          <w:p w:rsidR="004856BE" w:rsidRPr="000B47D4" w:rsidRDefault="004856BE" w:rsidP="003B4339">
            <w:pPr>
              <w:snapToGrid w:val="0"/>
              <w:jc w:val="both"/>
              <w:cnfStyle w:val="000000100000"/>
              <w:rPr>
                <w:rFonts w:ascii="Times New Roman" w:hAnsi="Times New Roman" w:cs="Times New Roman"/>
                <w:sz w:val="20"/>
                <w:szCs w:val="20"/>
              </w:rPr>
            </w:pPr>
            <w:r w:rsidRPr="000B47D4">
              <w:rPr>
                <w:rFonts w:ascii="Times New Roman" w:hAnsi="Times New Roman" w:cs="Times New Roman"/>
                <w:sz w:val="20"/>
                <w:szCs w:val="20"/>
              </w:rPr>
              <w:t>7</w:t>
            </w:r>
          </w:p>
        </w:tc>
        <w:tc>
          <w:tcPr>
            <w:tcW w:w="282" w:type="pct"/>
            <w:vAlign w:val="center"/>
          </w:tcPr>
          <w:p w:rsidR="004856BE" w:rsidRPr="000B47D4" w:rsidRDefault="004856BE" w:rsidP="003B4339">
            <w:pPr>
              <w:snapToGrid w:val="0"/>
              <w:jc w:val="both"/>
              <w:cnfStyle w:val="000000100000"/>
              <w:rPr>
                <w:rFonts w:ascii="Times New Roman" w:hAnsi="Times New Roman" w:cs="Times New Roman"/>
                <w:sz w:val="20"/>
                <w:szCs w:val="20"/>
              </w:rPr>
            </w:pPr>
            <w:r w:rsidRPr="000B47D4">
              <w:rPr>
                <w:rFonts w:ascii="Times New Roman" w:hAnsi="Times New Roman" w:cs="Times New Roman"/>
                <w:sz w:val="20"/>
                <w:szCs w:val="20"/>
              </w:rPr>
              <w:t>35</w:t>
            </w:r>
          </w:p>
        </w:tc>
        <w:tc>
          <w:tcPr>
            <w:tcW w:w="363" w:type="pct"/>
            <w:vAlign w:val="center"/>
          </w:tcPr>
          <w:p w:rsidR="004856BE" w:rsidRPr="000B47D4" w:rsidRDefault="004856BE" w:rsidP="003B4339">
            <w:pPr>
              <w:snapToGrid w:val="0"/>
              <w:jc w:val="both"/>
              <w:cnfStyle w:val="000000100000"/>
              <w:rPr>
                <w:rFonts w:ascii="Times New Roman" w:hAnsi="Times New Roman" w:cs="Times New Roman"/>
                <w:sz w:val="20"/>
                <w:szCs w:val="20"/>
              </w:rPr>
            </w:pPr>
            <w:r w:rsidRPr="000B47D4">
              <w:rPr>
                <w:rFonts w:ascii="Times New Roman" w:hAnsi="Times New Roman" w:cs="Times New Roman"/>
                <w:sz w:val="20"/>
                <w:szCs w:val="20"/>
              </w:rPr>
              <w:t>5</w:t>
            </w:r>
          </w:p>
        </w:tc>
        <w:tc>
          <w:tcPr>
            <w:tcW w:w="279" w:type="pct"/>
            <w:vAlign w:val="center"/>
          </w:tcPr>
          <w:p w:rsidR="004856BE" w:rsidRPr="000B47D4" w:rsidRDefault="004856BE" w:rsidP="003B4339">
            <w:pPr>
              <w:snapToGrid w:val="0"/>
              <w:jc w:val="both"/>
              <w:cnfStyle w:val="000000100000"/>
              <w:rPr>
                <w:rFonts w:ascii="Times New Roman" w:hAnsi="Times New Roman" w:cs="Times New Roman"/>
                <w:sz w:val="20"/>
                <w:szCs w:val="20"/>
              </w:rPr>
            </w:pPr>
            <w:r w:rsidRPr="000B47D4">
              <w:rPr>
                <w:rFonts w:ascii="Times New Roman" w:hAnsi="Times New Roman" w:cs="Times New Roman"/>
                <w:sz w:val="20"/>
                <w:szCs w:val="20"/>
              </w:rPr>
              <w:t>25</w:t>
            </w:r>
          </w:p>
        </w:tc>
        <w:tc>
          <w:tcPr>
            <w:tcW w:w="1237" w:type="pct"/>
            <w:vMerge/>
            <w:vAlign w:val="center"/>
          </w:tcPr>
          <w:p w:rsidR="004856BE" w:rsidRPr="000B47D4" w:rsidRDefault="004856BE" w:rsidP="003B4339">
            <w:pPr>
              <w:snapToGrid w:val="0"/>
              <w:jc w:val="both"/>
              <w:cnfStyle w:val="000000100000"/>
              <w:rPr>
                <w:rFonts w:ascii="Times New Roman" w:hAnsi="Times New Roman" w:cs="Times New Roman"/>
                <w:sz w:val="20"/>
                <w:szCs w:val="20"/>
              </w:rPr>
            </w:pPr>
          </w:p>
        </w:tc>
      </w:tr>
      <w:tr w:rsidR="00906E5B" w:rsidRPr="000B47D4" w:rsidTr="00906E5B">
        <w:trPr>
          <w:jc w:val="center"/>
        </w:trPr>
        <w:tc>
          <w:tcPr>
            <w:cnfStyle w:val="001000000000"/>
            <w:tcW w:w="1015" w:type="pct"/>
            <w:vMerge/>
            <w:vAlign w:val="center"/>
          </w:tcPr>
          <w:p w:rsidR="004856BE" w:rsidRPr="000B47D4" w:rsidRDefault="004856BE" w:rsidP="003B4339">
            <w:pPr>
              <w:snapToGrid w:val="0"/>
              <w:jc w:val="both"/>
              <w:rPr>
                <w:rFonts w:ascii="Times New Roman" w:hAnsi="Times New Roman" w:cs="Times New Roman"/>
                <w:sz w:val="20"/>
                <w:szCs w:val="20"/>
              </w:rPr>
            </w:pPr>
          </w:p>
        </w:tc>
        <w:tc>
          <w:tcPr>
            <w:tcW w:w="1455" w:type="pct"/>
            <w:vAlign w:val="center"/>
          </w:tcPr>
          <w:p w:rsidR="004856BE" w:rsidRPr="000B47D4" w:rsidRDefault="004856BE" w:rsidP="003B4339">
            <w:pPr>
              <w:snapToGrid w:val="0"/>
              <w:jc w:val="both"/>
              <w:cnfStyle w:val="000000000000"/>
              <w:rPr>
                <w:rFonts w:ascii="Times New Roman" w:hAnsi="Times New Roman" w:cs="Times New Roman"/>
                <w:color w:val="000000"/>
                <w:sz w:val="20"/>
                <w:szCs w:val="20"/>
              </w:rPr>
            </w:pPr>
            <w:r w:rsidRPr="000B47D4">
              <w:rPr>
                <w:rFonts w:ascii="Times New Roman" w:hAnsi="Times New Roman" w:cs="Times New Roman"/>
                <w:color w:val="000000"/>
                <w:sz w:val="20"/>
                <w:szCs w:val="20"/>
              </w:rPr>
              <w:t>Diarrhea</w:t>
            </w:r>
          </w:p>
        </w:tc>
        <w:tc>
          <w:tcPr>
            <w:tcW w:w="368" w:type="pct"/>
            <w:vAlign w:val="center"/>
          </w:tcPr>
          <w:p w:rsidR="004856BE" w:rsidRPr="000B47D4" w:rsidRDefault="004856BE" w:rsidP="003B4339">
            <w:pPr>
              <w:snapToGrid w:val="0"/>
              <w:jc w:val="both"/>
              <w:cnfStyle w:val="000000000000"/>
              <w:rPr>
                <w:rFonts w:ascii="Times New Roman" w:hAnsi="Times New Roman" w:cs="Times New Roman"/>
                <w:sz w:val="20"/>
                <w:szCs w:val="20"/>
              </w:rPr>
            </w:pPr>
            <w:r w:rsidRPr="000B47D4">
              <w:rPr>
                <w:rFonts w:ascii="Times New Roman" w:hAnsi="Times New Roman" w:cs="Times New Roman"/>
                <w:sz w:val="20"/>
                <w:szCs w:val="20"/>
              </w:rPr>
              <w:t>6</w:t>
            </w:r>
          </w:p>
        </w:tc>
        <w:tc>
          <w:tcPr>
            <w:tcW w:w="282" w:type="pct"/>
            <w:vAlign w:val="center"/>
          </w:tcPr>
          <w:p w:rsidR="004856BE" w:rsidRPr="000B47D4" w:rsidRDefault="004856BE" w:rsidP="003B4339">
            <w:pPr>
              <w:snapToGrid w:val="0"/>
              <w:jc w:val="both"/>
              <w:cnfStyle w:val="000000000000"/>
              <w:rPr>
                <w:rFonts w:ascii="Times New Roman" w:hAnsi="Times New Roman" w:cs="Times New Roman"/>
                <w:sz w:val="20"/>
                <w:szCs w:val="20"/>
              </w:rPr>
            </w:pPr>
            <w:r w:rsidRPr="000B47D4">
              <w:rPr>
                <w:rFonts w:ascii="Times New Roman" w:hAnsi="Times New Roman" w:cs="Times New Roman"/>
                <w:sz w:val="20"/>
                <w:szCs w:val="20"/>
              </w:rPr>
              <w:t>30</w:t>
            </w:r>
          </w:p>
        </w:tc>
        <w:tc>
          <w:tcPr>
            <w:tcW w:w="363" w:type="pct"/>
            <w:vAlign w:val="center"/>
          </w:tcPr>
          <w:p w:rsidR="004856BE" w:rsidRPr="000B47D4" w:rsidRDefault="004856BE" w:rsidP="003B4339">
            <w:pPr>
              <w:snapToGrid w:val="0"/>
              <w:jc w:val="both"/>
              <w:cnfStyle w:val="000000000000"/>
              <w:rPr>
                <w:rFonts w:ascii="Times New Roman" w:hAnsi="Times New Roman" w:cs="Times New Roman"/>
                <w:sz w:val="20"/>
                <w:szCs w:val="20"/>
              </w:rPr>
            </w:pPr>
            <w:r w:rsidRPr="000B47D4">
              <w:rPr>
                <w:rFonts w:ascii="Times New Roman" w:hAnsi="Times New Roman" w:cs="Times New Roman"/>
                <w:sz w:val="20"/>
                <w:szCs w:val="20"/>
              </w:rPr>
              <w:t>6</w:t>
            </w:r>
          </w:p>
        </w:tc>
        <w:tc>
          <w:tcPr>
            <w:tcW w:w="279" w:type="pct"/>
            <w:vAlign w:val="center"/>
          </w:tcPr>
          <w:p w:rsidR="004856BE" w:rsidRPr="000B47D4" w:rsidRDefault="004856BE" w:rsidP="003B4339">
            <w:pPr>
              <w:snapToGrid w:val="0"/>
              <w:jc w:val="both"/>
              <w:cnfStyle w:val="000000000000"/>
              <w:rPr>
                <w:rFonts w:ascii="Times New Roman" w:hAnsi="Times New Roman" w:cs="Times New Roman"/>
                <w:sz w:val="20"/>
                <w:szCs w:val="20"/>
              </w:rPr>
            </w:pPr>
            <w:r w:rsidRPr="000B47D4">
              <w:rPr>
                <w:rFonts w:ascii="Times New Roman" w:hAnsi="Times New Roman" w:cs="Times New Roman"/>
                <w:sz w:val="20"/>
                <w:szCs w:val="20"/>
              </w:rPr>
              <w:t>30</w:t>
            </w:r>
          </w:p>
        </w:tc>
        <w:tc>
          <w:tcPr>
            <w:tcW w:w="1237" w:type="pct"/>
            <w:vMerge/>
            <w:vAlign w:val="center"/>
          </w:tcPr>
          <w:p w:rsidR="004856BE" w:rsidRPr="000B47D4" w:rsidRDefault="004856BE" w:rsidP="003B4339">
            <w:pPr>
              <w:snapToGrid w:val="0"/>
              <w:jc w:val="both"/>
              <w:cnfStyle w:val="000000000000"/>
              <w:rPr>
                <w:rFonts w:ascii="Times New Roman" w:hAnsi="Times New Roman" w:cs="Times New Roman"/>
                <w:sz w:val="20"/>
                <w:szCs w:val="20"/>
              </w:rPr>
            </w:pPr>
          </w:p>
        </w:tc>
      </w:tr>
      <w:tr w:rsidR="00906E5B" w:rsidRPr="000B47D4" w:rsidTr="00906E5B">
        <w:trPr>
          <w:cnfStyle w:val="000000100000"/>
          <w:jc w:val="center"/>
        </w:trPr>
        <w:tc>
          <w:tcPr>
            <w:cnfStyle w:val="001000000000"/>
            <w:tcW w:w="1015" w:type="pct"/>
            <w:vMerge/>
            <w:vAlign w:val="center"/>
          </w:tcPr>
          <w:p w:rsidR="004856BE" w:rsidRPr="000B47D4" w:rsidRDefault="004856BE" w:rsidP="003B4339">
            <w:pPr>
              <w:snapToGrid w:val="0"/>
              <w:jc w:val="both"/>
              <w:rPr>
                <w:rFonts w:ascii="Times New Roman" w:hAnsi="Times New Roman" w:cs="Times New Roman"/>
                <w:sz w:val="20"/>
                <w:szCs w:val="20"/>
              </w:rPr>
            </w:pPr>
          </w:p>
        </w:tc>
        <w:tc>
          <w:tcPr>
            <w:tcW w:w="1455" w:type="pct"/>
            <w:vAlign w:val="center"/>
          </w:tcPr>
          <w:p w:rsidR="004856BE" w:rsidRPr="000B47D4" w:rsidRDefault="004856BE" w:rsidP="003B4339">
            <w:pPr>
              <w:snapToGrid w:val="0"/>
              <w:jc w:val="both"/>
              <w:cnfStyle w:val="000000100000"/>
              <w:rPr>
                <w:rFonts w:ascii="Times New Roman" w:hAnsi="Times New Roman" w:cs="Times New Roman"/>
                <w:color w:val="000000"/>
                <w:sz w:val="20"/>
                <w:szCs w:val="20"/>
              </w:rPr>
            </w:pPr>
            <w:r w:rsidRPr="000B47D4">
              <w:rPr>
                <w:rFonts w:ascii="Times New Roman" w:hAnsi="Times New Roman" w:cs="Times New Roman"/>
                <w:color w:val="000000"/>
                <w:sz w:val="20"/>
                <w:szCs w:val="20"/>
              </w:rPr>
              <w:t>Vomiting</w:t>
            </w:r>
            <w:r w:rsidR="00906E5B" w:rsidRPr="000B47D4">
              <w:rPr>
                <w:rFonts w:ascii="Times New Roman" w:hAnsi="Times New Roman" w:cs="Times New Roman"/>
                <w:color w:val="000000"/>
                <w:sz w:val="20"/>
                <w:szCs w:val="20"/>
              </w:rPr>
              <w:t xml:space="preserve"> &amp; </w:t>
            </w:r>
            <w:r w:rsidRPr="000B47D4">
              <w:rPr>
                <w:rFonts w:ascii="Times New Roman" w:hAnsi="Times New Roman" w:cs="Times New Roman"/>
                <w:color w:val="000000"/>
                <w:sz w:val="20"/>
                <w:szCs w:val="20"/>
              </w:rPr>
              <w:t>Diarrhea</w:t>
            </w:r>
          </w:p>
        </w:tc>
        <w:tc>
          <w:tcPr>
            <w:tcW w:w="368" w:type="pct"/>
            <w:vAlign w:val="center"/>
          </w:tcPr>
          <w:p w:rsidR="004856BE" w:rsidRPr="000B47D4" w:rsidRDefault="004856BE" w:rsidP="003B4339">
            <w:pPr>
              <w:snapToGrid w:val="0"/>
              <w:jc w:val="both"/>
              <w:cnfStyle w:val="000000100000"/>
              <w:rPr>
                <w:rFonts w:ascii="Times New Roman" w:hAnsi="Times New Roman" w:cs="Times New Roman"/>
                <w:sz w:val="20"/>
                <w:szCs w:val="20"/>
              </w:rPr>
            </w:pPr>
            <w:r w:rsidRPr="000B47D4">
              <w:rPr>
                <w:rFonts w:ascii="Times New Roman" w:hAnsi="Times New Roman" w:cs="Times New Roman"/>
                <w:sz w:val="20"/>
                <w:szCs w:val="20"/>
              </w:rPr>
              <w:t>2</w:t>
            </w:r>
          </w:p>
        </w:tc>
        <w:tc>
          <w:tcPr>
            <w:tcW w:w="282" w:type="pct"/>
            <w:vAlign w:val="center"/>
          </w:tcPr>
          <w:p w:rsidR="004856BE" w:rsidRPr="000B47D4" w:rsidRDefault="004856BE" w:rsidP="003B4339">
            <w:pPr>
              <w:snapToGrid w:val="0"/>
              <w:jc w:val="both"/>
              <w:cnfStyle w:val="000000100000"/>
              <w:rPr>
                <w:rFonts w:ascii="Times New Roman" w:hAnsi="Times New Roman" w:cs="Times New Roman"/>
                <w:sz w:val="20"/>
                <w:szCs w:val="20"/>
              </w:rPr>
            </w:pPr>
            <w:r w:rsidRPr="000B47D4">
              <w:rPr>
                <w:rFonts w:ascii="Times New Roman" w:hAnsi="Times New Roman" w:cs="Times New Roman"/>
                <w:sz w:val="20"/>
                <w:szCs w:val="20"/>
              </w:rPr>
              <w:t>10</w:t>
            </w:r>
          </w:p>
        </w:tc>
        <w:tc>
          <w:tcPr>
            <w:tcW w:w="363" w:type="pct"/>
            <w:vAlign w:val="center"/>
          </w:tcPr>
          <w:p w:rsidR="004856BE" w:rsidRPr="000B47D4" w:rsidRDefault="004856BE" w:rsidP="003B4339">
            <w:pPr>
              <w:snapToGrid w:val="0"/>
              <w:jc w:val="both"/>
              <w:cnfStyle w:val="000000100000"/>
              <w:rPr>
                <w:rFonts w:ascii="Times New Roman" w:hAnsi="Times New Roman" w:cs="Times New Roman"/>
                <w:sz w:val="20"/>
                <w:szCs w:val="20"/>
              </w:rPr>
            </w:pPr>
            <w:r w:rsidRPr="000B47D4">
              <w:rPr>
                <w:rFonts w:ascii="Times New Roman" w:hAnsi="Times New Roman" w:cs="Times New Roman"/>
                <w:sz w:val="20"/>
                <w:szCs w:val="20"/>
              </w:rPr>
              <w:t>0</w:t>
            </w:r>
          </w:p>
        </w:tc>
        <w:tc>
          <w:tcPr>
            <w:tcW w:w="279" w:type="pct"/>
            <w:vAlign w:val="center"/>
          </w:tcPr>
          <w:p w:rsidR="004856BE" w:rsidRPr="000B47D4" w:rsidRDefault="004856BE" w:rsidP="003B4339">
            <w:pPr>
              <w:snapToGrid w:val="0"/>
              <w:jc w:val="both"/>
              <w:cnfStyle w:val="000000100000"/>
              <w:rPr>
                <w:rFonts w:ascii="Times New Roman" w:hAnsi="Times New Roman" w:cs="Times New Roman"/>
                <w:sz w:val="20"/>
                <w:szCs w:val="20"/>
              </w:rPr>
            </w:pPr>
            <w:r w:rsidRPr="000B47D4">
              <w:rPr>
                <w:rFonts w:ascii="Times New Roman" w:hAnsi="Times New Roman" w:cs="Times New Roman"/>
                <w:sz w:val="20"/>
                <w:szCs w:val="20"/>
              </w:rPr>
              <w:t>0</w:t>
            </w:r>
          </w:p>
        </w:tc>
        <w:tc>
          <w:tcPr>
            <w:tcW w:w="1237" w:type="pct"/>
            <w:vMerge/>
            <w:vAlign w:val="center"/>
          </w:tcPr>
          <w:p w:rsidR="004856BE" w:rsidRPr="000B47D4" w:rsidRDefault="004856BE" w:rsidP="003B4339">
            <w:pPr>
              <w:snapToGrid w:val="0"/>
              <w:jc w:val="both"/>
              <w:cnfStyle w:val="000000100000"/>
              <w:rPr>
                <w:rFonts w:ascii="Times New Roman" w:hAnsi="Times New Roman" w:cs="Times New Roman"/>
                <w:sz w:val="20"/>
                <w:szCs w:val="20"/>
              </w:rPr>
            </w:pPr>
          </w:p>
        </w:tc>
      </w:tr>
    </w:tbl>
    <w:p w:rsidR="003B4339" w:rsidRPr="000B47D4" w:rsidRDefault="003B4339" w:rsidP="003B4339">
      <w:pPr>
        <w:snapToGrid w:val="0"/>
        <w:spacing w:after="0" w:line="240" w:lineRule="auto"/>
        <w:ind w:firstLine="425"/>
        <w:jc w:val="both"/>
        <w:rPr>
          <w:rFonts w:ascii="Times New Roman" w:hAnsi="Times New Roman" w:cs="Times New Roman"/>
          <w:sz w:val="20"/>
          <w:szCs w:val="20"/>
          <w:lang w:eastAsia="zh-CN"/>
        </w:rPr>
      </w:pPr>
      <w:bookmarkStart w:id="0" w:name="_GoBack"/>
      <w:bookmarkEnd w:id="0"/>
    </w:p>
    <w:p w:rsidR="003B4339" w:rsidRPr="000B47D4" w:rsidRDefault="003B4339" w:rsidP="003B4339">
      <w:pPr>
        <w:snapToGrid w:val="0"/>
        <w:spacing w:after="0" w:line="240" w:lineRule="auto"/>
        <w:ind w:firstLine="425"/>
        <w:jc w:val="both"/>
        <w:rPr>
          <w:rFonts w:ascii="Times New Roman" w:hAnsi="Times New Roman" w:cs="Times New Roman"/>
          <w:sz w:val="20"/>
          <w:szCs w:val="20"/>
        </w:rPr>
        <w:sectPr w:rsidR="003B4339" w:rsidRPr="000B47D4" w:rsidSect="003B4339">
          <w:type w:val="continuous"/>
          <w:pgSz w:w="12240" w:h="15840" w:code="1"/>
          <w:pgMar w:top="1440" w:right="1440" w:bottom="1440" w:left="1440" w:header="720" w:footer="720" w:gutter="0"/>
          <w:cols w:space="720"/>
          <w:docGrid w:linePitch="360"/>
        </w:sectPr>
      </w:pPr>
    </w:p>
    <w:p w:rsidR="00C4168F" w:rsidRPr="000B47D4" w:rsidRDefault="00C4168F" w:rsidP="003B4339">
      <w:pPr>
        <w:snapToGrid w:val="0"/>
        <w:spacing w:after="0" w:line="240" w:lineRule="auto"/>
        <w:ind w:firstLine="425"/>
        <w:jc w:val="both"/>
        <w:rPr>
          <w:rFonts w:ascii="Times New Roman" w:hAnsi="Times New Roman" w:cs="Times New Roman"/>
          <w:sz w:val="20"/>
          <w:szCs w:val="20"/>
        </w:rPr>
      </w:pPr>
      <w:r w:rsidRPr="000B47D4">
        <w:rPr>
          <w:rFonts w:ascii="Times New Roman" w:hAnsi="Times New Roman" w:cs="Times New Roman"/>
          <w:sz w:val="20"/>
          <w:szCs w:val="20"/>
        </w:rPr>
        <w:lastRenderedPageBreak/>
        <w:t>Interestingly</w:t>
      </w:r>
      <w:r w:rsidR="00072F58" w:rsidRPr="000B47D4">
        <w:rPr>
          <w:rFonts w:ascii="Times New Roman" w:hAnsi="Times New Roman" w:cs="Times New Roman"/>
          <w:sz w:val="20"/>
          <w:szCs w:val="20"/>
        </w:rPr>
        <w:t>, there was a statistically s</w:t>
      </w:r>
      <w:r w:rsidRPr="000B47D4">
        <w:rPr>
          <w:rFonts w:ascii="Times New Roman" w:hAnsi="Times New Roman" w:cs="Times New Roman"/>
          <w:sz w:val="20"/>
          <w:szCs w:val="20"/>
        </w:rPr>
        <w:t xml:space="preserve">ignificant negative association between serum </w:t>
      </w:r>
      <w:r w:rsidR="00072F58" w:rsidRPr="000B47D4">
        <w:rPr>
          <w:rFonts w:ascii="Times New Roman" w:hAnsi="Times New Roman" w:cs="Times New Roman"/>
          <w:sz w:val="20"/>
          <w:szCs w:val="20"/>
        </w:rPr>
        <w:t xml:space="preserve">magnesium </w:t>
      </w:r>
      <w:r w:rsidRPr="000B47D4">
        <w:rPr>
          <w:rFonts w:ascii="Times New Roman" w:hAnsi="Times New Roman" w:cs="Times New Roman"/>
          <w:sz w:val="20"/>
          <w:szCs w:val="20"/>
        </w:rPr>
        <w:t>and len</w:t>
      </w:r>
      <w:r w:rsidR="00072F58" w:rsidRPr="000B47D4">
        <w:rPr>
          <w:rFonts w:ascii="Times New Roman" w:hAnsi="Times New Roman" w:cs="Times New Roman"/>
          <w:sz w:val="20"/>
          <w:szCs w:val="20"/>
        </w:rPr>
        <w:t xml:space="preserve">gth of stay in ICU in group A (r =-0.46, p value &lt;0.05). </w:t>
      </w:r>
      <w:r w:rsidR="00B77D35" w:rsidRPr="000B47D4">
        <w:rPr>
          <w:rFonts w:ascii="Times New Roman" w:hAnsi="Times New Roman" w:cs="Times New Roman"/>
          <w:sz w:val="20"/>
          <w:szCs w:val="20"/>
        </w:rPr>
        <w:t>In addition, a statistically significant negative association between serum magnesium and duration of mechanical ventilation was also detected in group A and B (r =-0.65 and -0.60, respectively).</w:t>
      </w:r>
    </w:p>
    <w:p w:rsidR="001D058C" w:rsidRPr="000B47D4" w:rsidRDefault="001D058C" w:rsidP="003B4339">
      <w:pPr>
        <w:snapToGrid w:val="0"/>
        <w:spacing w:after="0" w:line="240" w:lineRule="auto"/>
        <w:ind w:firstLine="425"/>
        <w:jc w:val="both"/>
        <w:rPr>
          <w:rFonts w:ascii="Times New Roman" w:hAnsi="Times New Roman" w:cs="Times New Roman"/>
          <w:sz w:val="20"/>
          <w:szCs w:val="20"/>
        </w:rPr>
      </w:pPr>
    </w:p>
    <w:p w:rsidR="00E601E2" w:rsidRPr="000B47D4" w:rsidRDefault="00DD2561" w:rsidP="003B4339">
      <w:pPr>
        <w:snapToGrid w:val="0"/>
        <w:spacing w:after="0" w:line="240" w:lineRule="auto"/>
        <w:jc w:val="both"/>
        <w:rPr>
          <w:rFonts w:ascii="Times New Roman" w:hAnsi="Times New Roman" w:cs="Times New Roman"/>
          <w:sz w:val="20"/>
          <w:szCs w:val="20"/>
        </w:rPr>
      </w:pPr>
      <w:r w:rsidRPr="000B47D4">
        <w:rPr>
          <w:rFonts w:ascii="Times New Roman" w:hAnsi="Times New Roman" w:cs="Times New Roman"/>
          <w:b/>
          <w:bCs/>
          <w:sz w:val="20"/>
          <w:szCs w:val="20"/>
        </w:rPr>
        <w:t xml:space="preserve">4. </w:t>
      </w:r>
      <w:r w:rsidR="00E601E2" w:rsidRPr="000B47D4">
        <w:rPr>
          <w:rFonts w:ascii="Times New Roman" w:hAnsi="Times New Roman" w:cs="Times New Roman"/>
          <w:b/>
          <w:bCs/>
          <w:sz w:val="20"/>
          <w:szCs w:val="20"/>
        </w:rPr>
        <w:t>Discussion</w:t>
      </w:r>
      <w:r w:rsidR="00E601E2" w:rsidRPr="000B47D4">
        <w:rPr>
          <w:rFonts w:ascii="Times New Roman" w:hAnsi="Times New Roman" w:cs="Times New Roman"/>
          <w:sz w:val="20"/>
          <w:szCs w:val="20"/>
        </w:rPr>
        <w:t>:</w:t>
      </w:r>
    </w:p>
    <w:p w:rsidR="00550EE3" w:rsidRPr="000B47D4" w:rsidRDefault="00F87696" w:rsidP="003B4339">
      <w:pPr>
        <w:snapToGrid w:val="0"/>
        <w:spacing w:after="0" w:line="240" w:lineRule="auto"/>
        <w:ind w:firstLine="425"/>
        <w:jc w:val="both"/>
        <w:rPr>
          <w:rFonts w:ascii="Times New Roman" w:hAnsi="Times New Roman" w:cs="Times New Roman"/>
          <w:sz w:val="20"/>
          <w:szCs w:val="20"/>
        </w:rPr>
      </w:pPr>
      <w:r w:rsidRPr="000B47D4">
        <w:rPr>
          <w:rFonts w:ascii="Times New Roman" w:hAnsi="Times New Roman" w:cs="Times New Roman"/>
          <w:sz w:val="20"/>
          <w:szCs w:val="20"/>
        </w:rPr>
        <w:t xml:space="preserve">A growing body of evidence has suggested that </w:t>
      </w:r>
      <w:r w:rsidR="00550EE3" w:rsidRPr="000B47D4">
        <w:rPr>
          <w:rFonts w:ascii="Times New Roman" w:hAnsi="Times New Roman" w:cs="Times New Roman"/>
          <w:sz w:val="20"/>
          <w:szCs w:val="20"/>
        </w:rPr>
        <w:t xml:space="preserve">higher fat content diet may be more beneficial for ventilator-dependent patients; fat produces less metabolic CO2 than carbohydrates and in return may ameliorate the </w:t>
      </w:r>
      <w:proofErr w:type="spellStart"/>
      <w:r w:rsidR="00550EE3" w:rsidRPr="000B47D4">
        <w:rPr>
          <w:rFonts w:ascii="Times New Roman" w:hAnsi="Times New Roman" w:cs="Times New Roman"/>
          <w:sz w:val="20"/>
          <w:szCs w:val="20"/>
        </w:rPr>
        <w:t>hypercapnic</w:t>
      </w:r>
      <w:proofErr w:type="spellEnd"/>
      <w:r w:rsidR="00550EE3" w:rsidRPr="000B47D4">
        <w:rPr>
          <w:rFonts w:ascii="Times New Roman" w:hAnsi="Times New Roman" w:cs="Times New Roman"/>
          <w:sz w:val="20"/>
          <w:szCs w:val="20"/>
        </w:rPr>
        <w:t xml:space="preserve"> condition of respiratory failure patients</w:t>
      </w:r>
      <w:r w:rsidR="009C682A" w:rsidRPr="000B47D4">
        <w:rPr>
          <w:rFonts w:ascii="Times New Roman" w:hAnsi="Times New Roman" w:cs="Times New Roman"/>
          <w:sz w:val="20"/>
          <w:szCs w:val="20"/>
        </w:rPr>
        <w:fldChar w:fldCharType="begin" w:fldLock="1"/>
      </w:r>
      <w:r w:rsidR="00550EE3" w:rsidRPr="000B47D4">
        <w:rPr>
          <w:rFonts w:ascii="Times New Roman" w:hAnsi="Times New Roman" w:cs="Times New Roman"/>
          <w:sz w:val="20"/>
          <w:szCs w:val="20"/>
        </w:rPr>
        <w:instrText>ADDIN CSL_CITATION { "citationItems" : [ { "id" : "ITEM-1", "itemData" : { "DOI" : "10.1007/BF01711897", "ISBN" : "0342-4642", "ISSN" : "03424642", "PMID" : "7995861", "abstract" : "Objective: To study whether high fat, low carbohydrate enteral nutrition could reduce VCO2 in patients during ventilator support and weaning from the ventilator in order to facilitate the weaning process. Design: prospective, randomized controlled study. Setting: Medical ICU of a university hospital. Patients: 32 ventilator-dependent patients with a prospect of weaning from mechanical ventilation. Interventions: high fat feeding administered to 15 patients and standard isocaloric feeding administered to 17 patients, both in a dosage of 1.5 times basal metabolic rate. Measurements and results: Respiratory and metabolic measurements were obtained both during mechanical ventilation and weaning procedures. High fat feeding was associated with significantly lower RQ values compared with standard feeding; the mean ((plus or minus)SEM) RQ values during mechanical ventilation amounted to 0.91 (plus or minus) 0.01 and 1.00 (plus or minus) 0.02 and during weaning to 0.72 (plus or minus) 0.02 and 0.86 (plus or minus) 0.02 for high fat and standard nutrition respectively (both p-values &lt; 0.001). High fat feeding reduced the CO2-excretion both during mechanical ventilation and weaning, but only the decrease during weaning proved to be significant; the mean ((plus or minus)SEM) CO2-excretion amounted to 0.177 (plus or minus) 0.010 and 0.231 (plus or minus) 0.011 l/min STPD for the high fat and standard feeding respectively (p &lt; 0.01). No significant differences were found in the PaCO2 during weaning between the two feeding groups. Conclusion: High fat, low carbohydrate enteral feeding significantly reduced the RQ values in ventilated patients with decreases in VCO2, but in this study failed to reduce PaCO2 during weaning from the ventilator.", "author" : [ { "dropping-particle" : "", "family" : "Berg", "given" : "B.", "non-dropping-particle" : "van den", "parse-names" : false, "suffix" : "" }, { "dropping-particle" : "", "family" : "Bogaard", "given" : "J. M.", "non-dropping-particle" : "", "parse-names" : false, "suffix" : "" }, { "dropping-particle" : "", "family" : "Hop", "given" : "W. C J", "non-dropping-particle" : "", "parse-names" : false, "suffix" : "" } ], "container-title" : "Intensive Care Medicine", "id" : "ITEM-1", "issue" : "7", "issued" : { "date-parts" : [ [ "1994" ] ] }, "page" : "470-475", "title" : "High fat, low carbohydrate, enteral feeding in patients weaning from the ventilator", "type" : "article-journal", "volume" : "20" }, "uris" : [ "http://www.mendeley.com/documents/?uuid=97a45ccc-92aa-4459-85a9-290cf68c5df1" ] } ], "mendeley" : { "formattedCitation" : "[14]", "plainTextFormattedCitation" : "[14]", "previouslyFormattedCitation" : "(&lt;b&gt;&lt;b&gt;van den Berg &lt;i&gt;et al.&lt;/i&gt;&lt;/b&gt;, 1994&lt;/b&gt;)" }, "properties" : {  }, "schema" : "https://github.com/citation-style-language/schema/raw/master/csl-citation.json" }</w:instrText>
      </w:r>
      <w:r w:rsidR="009C682A" w:rsidRPr="000B47D4">
        <w:rPr>
          <w:rFonts w:ascii="Times New Roman" w:hAnsi="Times New Roman" w:cs="Times New Roman"/>
          <w:sz w:val="20"/>
          <w:szCs w:val="20"/>
        </w:rPr>
        <w:fldChar w:fldCharType="separate"/>
      </w:r>
      <w:r w:rsidR="00550EE3" w:rsidRPr="000B47D4">
        <w:rPr>
          <w:rFonts w:ascii="Times New Roman" w:hAnsi="Times New Roman" w:cs="Times New Roman"/>
          <w:noProof/>
          <w:sz w:val="20"/>
          <w:szCs w:val="20"/>
        </w:rPr>
        <w:t>[14]</w:t>
      </w:r>
      <w:r w:rsidR="009C682A" w:rsidRPr="000B47D4">
        <w:rPr>
          <w:rFonts w:ascii="Times New Roman" w:hAnsi="Times New Roman" w:cs="Times New Roman"/>
          <w:sz w:val="20"/>
          <w:szCs w:val="20"/>
        </w:rPr>
        <w:fldChar w:fldCharType="end"/>
      </w:r>
      <w:r w:rsidR="003B4339" w:rsidRPr="000B47D4">
        <w:rPr>
          <w:rFonts w:ascii="Times New Roman" w:hAnsi="Times New Roman" w:cs="Times New Roman"/>
          <w:sz w:val="20"/>
          <w:szCs w:val="20"/>
        </w:rPr>
        <w:t>. T</w:t>
      </w:r>
      <w:r w:rsidR="00550EE3" w:rsidRPr="000B47D4">
        <w:rPr>
          <w:rFonts w:ascii="Times New Roman" w:hAnsi="Times New Roman" w:cs="Times New Roman"/>
          <w:sz w:val="20"/>
          <w:szCs w:val="20"/>
        </w:rPr>
        <w:t xml:space="preserve">herefore, in the present prospective study, we evaluated the effect of EN on duration of mechanical ventilation and the beneficial role of high-fat low-carbohydrate diet among 40 patient with respiratory failure admitted to ICU and required mechanical ventilation. </w:t>
      </w:r>
    </w:p>
    <w:p w:rsidR="00550EE3" w:rsidRPr="000B47D4" w:rsidRDefault="00550EE3" w:rsidP="003B4339">
      <w:pPr>
        <w:snapToGrid w:val="0"/>
        <w:spacing w:after="0" w:line="240" w:lineRule="auto"/>
        <w:ind w:firstLine="425"/>
        <w:jc w:val="both"/>
        <w:rPr>
          <w:rFonts w:ascii="Times New Roman" w:hAnsi="Times New Roman" w:cs="Times New Roman"/>
          <w:sz w:val="20"/>
          <w:szCs w:val="20"/>
        </w:rPr>
      </w:pPr>
      <w:r w:rsidRPr="000B47D4">
        <w:rPr>
          <w:rFonts w:ascii="Times New Roman" w:hAnsi="Times New Roman" w:cs="Times New Roman"/>
          <w:sz w:val="20"/>
          <w:szCs w:val="20"/>
        </w:rPr>
        <w:t>The duration of mechanical ventilation is one of the important prognostic factors during ICU admission, previous reports have shown that prolonged mechanical ventilation is associated with adverse clinical outcomes, including pneumonia and lung injuries</w:t>
      </w:r>
      <w:r w:rsidR="009C682A" w:rsidRPr="000B47D4">
        <w:rPr>
          <w:rFonts w:ascii="Times New Roman" w:hAnsi="Times New Roman" w:cs="Times New Roman"/>
          <w:sz w:val="20"/>
          <w:szCs w:val="20"/>
        </w:rPr>
        <w:fldChar w:fldCharType="begin" w:fldLock="1"/>
      </w:r>
      <w:r w:rsidRPr="000B47D4">
        <w:rPr>
          <w:rFonts w:ascii="Times New Roman" w:hAnsi="Times New Roman" w:cs="Times New Roman"/>
          <w:sz w:val="20"/>
          <w:szCs w:val="20"/>
        </w:rPr>
        <w:instrText>ADDIN CSL_CITATION { "citationItems" : [ { "id" : "ITEM-1", "itemData" : { "DOI" : "10.1016/j.ccc.2006.12.002", "ISBN" : "0749-0704 (Print)\\r0749-0704 (Linking)", "ISSN" : "07490704", "PMID" : "17368170", "abstract" : "Approximately 20% of all mechanically ventilated patients fail their first attempt to wean. Prolonged mechanical ventilation increases morbidity, mortality, and costs. No single weaning parameter predicts patient ability to wean. Weaning studies suggest that daily trials of spontaneous breathing for appropriate patients assured by standing protocol and driven by respiratory care practitioners and/or nurses improve the weaning process and patient outcome. \u00a9 2007 Elsevier Inc. All rights reserved.", "author" : [ { "dropping-particle" : "", "family" : "Eskandar", "given" : "Nizar", "non-dropping-particle" : "", "parse-names" : false, "suffix" : "" }, { "dropping-particle" : "", "family" : "Apostolakos", "given" : "Michael J.", "non-dropping-particle" : "", "parse-names" : false, "suffix" : "" } ], "container-title" : "Critical Care Clinics", "id" : "ITEM-1", "issue" : "2", "issued" : { "date-parts" : [ [ "2007" ] ] }, "page" : "263-274", "title" : "Weaning from Mechanical Ventilation", "type" : "article", "volume" : "23" }, "uris" : [ "http://www.mendeley.com/documents/?uuid=cd53609c-fe7c-42ef-81e7-d608b9d6059a" ] } ], "mendeley" : { "formattedCitation" : "[16]", "plainTextFormattedCitation" : "[16]", "previouslyFormattedCitation" : "(&lt;b&gt;&lt;b&gt;Eskandar and Apostolakos&lt;/b&gt;, 2007&lt;/b&gt;)" }, "properties" : {  }, "schema" : "https://github.com/citation-style-language/schema/raw/master/csl-citation.json" }</w:instrText>
      </w:r>
      <w:r w:rsidR="009C682A" w:rsidRPr="000B47D4">
        <w:rPr>
          <w:rFonts w:ascii="Times New Roman" w:hAnsi="Times New Roman" w:cs="Times New Roman"/>
          <w:sz w:val="20"/>
          <w:szCs w:val="20"/>
        </w:rPr>
        <w:fldChar w:fldCharType="separate"/>
      </w:r>
      <w:r w:rsidRPr="000B47D4">
        <w:rPr>
          <w:rFonts w:ascii="Times New Roman" w:hAnsi="Times New Roman" w:cs="Times New Roman"/>
          <w:noProof/>
          <w:sz w:val="20"/>
          <w:szCs w:val="20"/>
        </w:rPr>
        <w:t>[16]</w:t>
      </w:r>
      <w:r w:rsidR="009C682A" w:rsidRPr="000B47D4">
        <w:rPr>
          <w:rFonts w:ascii="Times New Roman" w:hAnsi="Times New Roman" w:cs="Times New Roman"/>
          <w:sz w:val="20"/>
          <w:szCs w:val="20"/>
        </w:rPr>
        <w:fldChar w:fldCharType="end"/>
      </w:r>
      <w:r w:rsidRPr="000B47D4">
        <w:rPr>
          <w:rFonts w:ascii="Times New Roman" w:hAnsi="Times New Roman" w:cs="Times New Roman"/>
          <w:sz w:val="20"/>
          <w:szCs w:val="20"/>
        </w:rPr>
        <w:t>. Moreover, prolonged mechanical ventilation leads to high health care expenditures and high total cost illness</w:t>
      </w:r>
      <w:r w:rsidR="009C682A" w:rsidRPr="000B47D4">
        <w:rPr>
          <w:rFonts w:ascii="Times New Roman" w:hAnsi="Times New Roman" w:cs="Times New Roman"/>
          <w:sz w:val="20"/>
          <w:szCs w:val="20"/>
        </w:rPr>
        <w:fldChar w:fldCharType="begin" w:fldLock="1"/>
      </w:r>
      <w:r w:rsidRPr="000B47D4">
        <w:rPr>
          <w:rFonts w:ascii="Times New Roman" w:hAnsi="Times New Roman" w:cs="Times New Roman"/>
          <w:sz w:val="20"/>
          <w:szCs w:val="20"/>
        </w:rPr>
        <w:instrText>ADDIN CSL_CITATION { "citationItems" : [ { "id" : "ITEM-1", "itemData" : { "DOI" : "10.1046/j.1365-2044.2003.02964_1.x", "ISBN" : "0003-2409", "ISSN" : "00032409", "PMID" : "12622105", "abstract" : "Over a period of one year, a weekly telephone survey identified 161 stable patients with weaning delay (defined as patients ventilated for at least 6 h per day for more than 2 weeks) in intensive care units in the Northern Region of England. Their median age was 69 years (range 21-88 years). Sixty patients (37%) were admitted with medical conditions, 89 (55%) were postoperative patients, whereas 12 (8%) were surgical but required non-operative admission. One hundred and thirty (89%) were weaned and discharged from the intensive care unit during the year. Twenty-two (14%) died and two were transferred to the home ventilation service. Seven patients remained ventilated in intensive care at the end of the study period. Twenty patients (12%) required more than 28 days of respiratory support. These patients occupied on average 6.0% of available intensive care unit beds in the region. This study suggests that in the Northern Region of England there are a significant number of stable but ventilator-dependent patients occupying intensive care beds.", "author" : [ { "dropping-particle" : "", "family" : "Robson", "given" : "V.", "non-dropping-particle" : "", "parse-names" : false, "suffix" : "" }, { "dropping-particle" : "", "family" : "Poynter", "given" : "J.", "non-dropping-particle" : "", "parse-names" : false, "suffix" : "" }, { "dropping-particle" : "", "family" : "Lawler", "given" : "P. G.", "non-dropping-particle" : "", "parse-names" : false, "suffix" : "" }, { "dropping-particle" : "V.", "family" : "Baudouin", "given" : "S.", "non-dropping-particle" : "", "parse-names" : false, "suffix" : "" } ], "container-title" : "Anaesthesia", "id" : "ITEM-1", "issue" : "2", "issued" : { "date-parts" : [ [ "2003" ] ] }, "page" : "161-165", "title" : "The need for a regional weaning centre, a one-year survey of intensive care weaning delay in the Northern Region of England", "type" : "article-journal", "volume" : "58" }, "uris" : [ "http://www.mendeley.com/documents/?uuid=35a1c3c9-8e18-497a-8b71-0c997f27df37" ] } ], "mendeley" : { "formattedCitation" : "[17]", "plainTextFormattedCitation" : "[17]", "previouslyFormattedCitation" : "(&lt;b&gt;&lt;b&gt;Robson &lt;i&gt;et al.&lt;/i&gt;&lt;/b&gt;, 2003&lt;/b&gt;)" }, "properties" : {  }, "schema" : "https://github.com/citation-style-language/schema/raw/master/csl-citation.json" }</w:instrText>
      </w:r>
      <w:r w:rsidR="009C682A" w:rsidRPr="000B47D4">
        <w:rPr>
          <w:rFonts w:ascii="Times New Roman" w:hAnsi="Times New Roman" w:cs="Times New Roman"/>
          <w:sz w:val="20"/>
          <w:szCs w:val="20"/>
        </w:rPr>
        <w:fldChar w:fldCharType="separate"/>
      </w:r>
      <w:r w:rsidRPr="000B47D4">
        <w:rPr>
          <w:rFonts w:ascii="Times New Roman" w:hAnsi="Times New Roman" w:cs="Times New Roman"/>
          <w:noProof/>
          <w:sz w:val="20"/>
          <w:szCs w:val="20"/>
        </w:rPr>
        <w:t>[17]</w:t>
      </w:r>
      <w:r w:rsidR="009C682A" w:rsidRPr="000B47D4">
        <w:rPr>
          <w:rFonts w:ascii="Times New Roman" w:hAnsi="Times New Roman" w:cs="Times New Roman"/>
          <w:sz w:val="20"/>
          <w:szCs w:val="20"/>
        </w:rPr>
        <w:fldChar w:fldCharType="end"/>
      </w:r>
      <w:r w:rsidRPr="000B47D4">
        <w:rPr>
          <w:rFonts w:ascii="Times New Roman" w:hAnsi="Times New Roman" w:cs="Times New Roman"/>
          <w:sz w:val="20"/>
          <w:szCs w:val="20"/>
        </w:rPr>
        <w:t xml:space="preserve">. In critically ill patients, weaning from </w:t>
      </w:r>
      <w:proofErr w:type="spellStart"/>
      <w:r w:rsidRPr="000B47D4">
        <w:rPr>
          <w:rFonts w:ascii="Times New Roman" w:hAnsi="Times New Roman" w:cs="Times New Roman"/>
          <w:sz w:val="20"/>
          <w:szCs w:val="20"/>
        </w:rPr>
        <w:t>ventilatory</w:t>
      </w:r>
      <w:proofErr w:type="spellEnd"/>
      <w:r w:rsidRPr="000B47D4">
        <w:rPr>
          <w:rFonts w:ascii="Times New Roman" w:hAnsi="Times New Roman" w:cs="Times New Roman"/>
          <w:sz w:val="20"/>
          <w:szCs w:val="20"/>
        </w:rPr>
        <w:t xml:space="preserve"> assistance is a key survival factor</w:t>
      </w:r>
      <w:r w:rsidR="009C682A" w:rsidRPr="000B47D4">
        <w:rPr>
          <w:rFonts w:ascii="Times New Roman" w:hAnsi="Times New Roman" w:cs="Times New Roman"/>
          <w:sz w:val="20"/>
          <w:szCs w:val="20"/>
        </w:rPr>
        <w:fldChar w:fldCharType="begin" w:fldLock="1"/>
      </w:r>
      <w:r w:rsidRPr="000B47D4">
        <w:rPr>
          <w:rFonts w:ascii="Times New Roman" w:hAnsi="Times New Roman" w:cs="Times New Roman"/>
          <w:sz w:val="20"/>
          <w:szCs w:val="20"/>
        </w:rPr>
        <w:instrText>ADDIN CSL_CITATION { "citationItems" : [ { "id" : "ITEM-1", "itemData" : { "DOI" : "10.1067/j.cpsurg.2013.08.014", "ISSN" : "15356337", "PMID" : "24156848", "author" : [ { "dropping-particle" : "", "family" : "Kaplan", "given" : "Lewis J.", "non-dropping-particle" : "", "parse-names" : false, "suffix" : "" }, { "dropping-particle" : "", "family" : "Toevs", "given" : "Christine", "non-dropping-particle" : "", "parse-names" : false, "suffix" : "" } ], "container-title" : "Current Problems in Surgery", "id" : "ITEM-1", "issue" : "10", "issued" : { "date-parts" : [ [ "2013" ] ] }, "page" : "489-494", "title" : "Weaning from mechanical ventilation", "type" : "article-journal", "volume" : "50" }, "uris" : [ "http://www.mendeley.com/documents/?uuid=501641da-7b85-4279-96f6-482d722d6f9e" ] } ], "mendeley" : { "formattedCitation" : "[18]", "plainTextFormattedCitation" : "[18]", "previouslyFormattedCitation" : "(&lt;b&gt;&lt;b&gt;Kaplan and Toevs&lt;/b&gt;, 2013&lt;/b&gt;)" }, "properties" : {  }, "schema" : "https://github.com/citation-style-language/schema/raw/master/csl-citation.json" }</w:instrText>
      </w:r>
      <w:r w:rsidR="009C682A" w:rsidRPr="000B47D4">
        <w:rPr>
          <w:rFonts w:ascii="Times New Roman" w:hAnsi="Times New Roman" w:cs="Times New Roman"/>
          <w:sz w:val="20"/>
          <w:szCs w:val="20"/>
        </w:rPr>
        <w:fldChar w:fldCharType="separate"/>
      </w:r>
      <w:r w:rsidRPr="000B47D4">
        <w:rPr>
          <w:rFonts w:ascii="Times New Roman" w:hAnsi="Times New Roman" w:cs="Times New Roman"/>
          <w:noProof/>
          <w:sz w:val="20"/>
          <w:szCs w:val="20"/>
        </w:rPr>
        <w:t>[18]</w:t>
      </w:r>
      <w:r w:rsidR="009C682A" w:rsidRPr="000B47D4">
        <w:rPr>
          <w:rFonts w:ascii="Times New Roman" w:hAnsi="Times New Roman" w:cs="Times New Roman"/>
          <w:sz w:val="20"/>
          <w:szCs w:val="20"/>
        </w:rPr>
        <w:fldChar w:fldCharType="end"/>
      </w:r>
      <w:r w:rsidRPr="000B47D4">
        <w:rPr>
          <w:rFonts w:ascii="Times New Roman" w:hAnsi="Times New Roman" w:cs="Times New Roman"/>
          <w:sz w:val="20"/>
          <w:szCs w:val="20"/>
        </w:rPr>
        <w:t xml:space="preserve">. Therefore, assessing the duration of mechanical ventilation is important during the evaluation of efficacy of the EN in critically ill patients. </w:t>
      </w:r>
    </w:p>
    <w:p w:rsidR="00550EE3" w:rsidRPr="000B47D4" w:rsidRDefault="00550EE3" w:rsidP="003B4339">
      <w:pPr>
        <w:snapToGrid w:val="0"/>
        <w:spacing w:after="0" w:line="240" w:lineRule="auto"/>
        <w:ind w:firstLine="425"/>
        <w:jc w:val="both"/>
        <w:rPr>
          <w:rFonts w:ascii="Times New Roman" w:hAnsi="Times New Roman" w:cs="Times New Roman"/>
          <w:sz w:val="20"/>
          <w:szCs w:val="20"/>
        </w:rPr>
      </w:pPr>
      <w:r w:rsidRPr="000B47D4">
        <w:rPr>
          <w:rFonts w:ascii="Times New Roman" w:hAnsi="Times New Roman" w:cs="Times New Roman"/>
          <w:sz w:val="20"/>
          <w:szCs w:val="20"/>
        </w:rPr>
        <w:t>In addition, the beneficial role of high-fat diet on CO2 level may significantly reduce the number of days needed for mechanical ventilation. In the present study, patients with high-fat low carbohydrates diet showed a statistically significant shorter duration of mechanical ventilation than patients with usual diet (4.4 ± 1.6 vs. 8.5 ±4.7, respectively; p value is &lt; 0.001). Moreover, the length of hospital stay was significantly shorter in high-fat diet compared to standard diet patients (6.1 ±1.2 vs. 10.6 ± 3.7, respectively; p &lt;0.001).</w:t>
      </w:r>
    </w:p>
    <w:p w:rsidR="00550EE3" w:rsidRPr="000B47D4" w:rsidRDefault="00550EE3" w:rsidP="003B4339">
      <w:pPr>
        <w:snapToGrid w:val="0"/>
        <w:spacing w:after="0" w:line="240" w:lineRule="auto"/>
        <w:ind w:firstLine="425"/>
        <w:jc w:val="both"/>
        <w:rPr>
          <w:rFonts w:ascii="Times New Roman" w:hAnsi="Times New Roman" w:cs="Times New Roman"/>
          <w:sz w:val="20"/>
          <w:szCs w:val="20"/>
        </w:rPr>
      </w:pPr>
      <w:r w:rsidRPr="000B47D4">
        <w:rPr>
          <w:rFonts w:ascii="Times New Roman" w:hAnsi="Times New Roman" w:cs="Times New Roman"/>
          <w:sz w:val="20"/>
          <w:szCs w:val="20"/>
        </w:rPr>
        <w:t xml:space="preserve">In concordance with our findings, </w:t>
      </w:r>
      <w:proofErr w:type="spellStart"/>
      <w:r w:rsidRPr="000B47D4">
        <w:rPr>
          <w:rFonts w:ascii="Times New Roman" w:hAnsi="Times New Roman" w:cs="Times New Roman"/>
          <w:b/>
          <w:bCs/>
          <w:sz w:val="20"/>
          <w:szCs w:val="20"/>
        </w:rPr>
        <w:t>Faramawy</w:t>
      </w:r>
      <w:proofErr w:type="spellEnd"/>
      <w:r w:rsidRPr="000B47D4">
        <w:rPr>
          <w:rFonts w:ascii="Times New Roman" w:hAnsi="Times New Roman" w:cs="Times New Roman"/>
          <w:b/>
          <w:bCs/>
          <w:sz w:val="20"/>
          <w:szCs w:val="20"/>
        </w:rPr>
        <w:t xml:space="preserve"> and colleagues</w:t>
      </w:r>
      <w:r w:rsidRPr="000B47D4">
        <w:rPr>
          <w:rFonts w:ascii="Times New Roman" w:hAnsi="Times New Roman" w:cs="Times New Roman"/>
          <w:sz w:val="20"/>
          <w:szCs w:val="20"/>
        </w:rPr>
        <w:t xml:space="preserve"> compared the effect of a high fat, low carbohydrate EN to a standard </w:t>
      </w:r>
      <w:proofErr w:type="spellStart"/>
      <w:r w:rsidRPr="000B47D4">
        <w:rPr>
          <w:rFonts w:ascii="Times New Roman" w:hAnsi="Times New Roman" w:cs="Times New Roman"/>
          <w:sz w:val="20"/>
          <w:szCs w:val="20"/>
        </w:rPr>
        <w:t>iso</w:t>
      </w:r>
      <w:proofErr w:type="spellEnd"/>
      <w:r w:rsidRPr="000B47D4">
        <w:rPr>
          <w:rFonts w:ascii="Times New Roman" w:hAnsi="Times New Roman" w:cs="Times New Roman"/>
          <w:sz w:val="20"/>
          <w:szCs w:val="20"/>
        </w:rPr>
        <w:t>-</w:t>
      </w:r>
      <w:r w:rsidR="00DD2561" w:rsidRPr="000B47D4">
        <w:rPr>
          <w:rFonts w:ascii="Times New Roman" w:hAnsi="Times New Roman" w:cs="Times New Roman"/>
          <w:sz w:val="20"/>
          <w:szCs w:val="20"/>
        </w:rPr>
        <w:t xml:space="preserve">caloric diet among 100 patients </w:t>
      </w:r>
      <w:r w:rsidRPr="000B47D4">
        <w:rPr>
          <w:rFonts w:ascii="Times New Roman" w:hAnsi="Times New Roman" w:cs="Times New Roman"/>
          <w:sz w:val="20"/>
          <w:szCs w:val="20"/>
        </w:rPr>
        <w:t xml:space="preserve">with type II respiratory failure secondary to pulmonary disease requiring mechanical ventilation. The results showed a statistically significant difference (p &lt; 0.001) between both groups as regards duration of mechanical ventilation, patients with high-fat diet spent about 62 hours less than those receiving the </w:t>
      </w:r>
      <w:proofErr w:type="spellStart"/>
      <w:r w:rsidRPr="000B47D4">
        <w:rPr>
          <w:rFonts w:ascii="Times New Roman" w:hAnsi="Times New Roman" w:cs="Times New Roman"/>
          <w:sz w:val="20"/>
          <w:szCs w:val="20"/>
        </w:rPr>
        <w:t>iso</w:t>
      </w:r>
      <w:proofErr w:type="spellEnd"/>
      <w:r w:rsidRPr="000B47D4">
        <w:rPr>
          <w:rFonts w:ascii="Times New Roman" w:hAnsi="Times New Roman" w:cs="Times New Roman"/>
          <w:sz w:val="20"/>
          <w:szCs w:val="20"/>
        </w:rPr>
        <w:t>-caloric standard feed</w:t>
      </w:r>
      <w:r w:rsidR="009C682A" w:rsidRPr="000B47D4">
        <w:rPr>
          <w:rFonts w:ascii="Times New Roman" w:hAnsi="Times New Roman" w:cs="Times New Roman"/>
          <w:sz w:val="20"/>
          <w:szCs w:val="20"/>
        </w:rPr>
        <w:fldChar w:fldCharType="begin" w:fldLock="1"/>
      </w:r>
      <w:r w:rsidRPr="000B47D4">
        <w:rPr>
          <w:rFonts w:ascii="Times New Roman" w:hAnsi="Times New Roman" w:cs="Times New Roman"/>
          <w:sz w:val="20"/>
          <w:szCs w:val="20"/>
        </w:rPr>
        <w:instrText>ADDIN CSL_CITATION { "citationItems" : [ { "id" : "ITEM-1", "itemData" : { "DOI" : "10.1016/j.ejcdt.2014.07.004", "ISSN" : "04227638", "abstract" : "Introduction: Diet can affect the outcome of mechanical ventilation in patients with chronic respiratory failure. Aim of the work: To compare the effect of a high fat, low carbohydrate enteral feeding to a stan-dard iso-caloric enteral feeding on arterial carbon dioxide tension and ventilation time in patients with type II respiratory failure secondary to pulmonary disease requiring mechanical ventilation. Subjects and methods: One hundred patients with type II respiratory failure secondary to pulmonary disease requiring mechanical ventilation who could be enterally fed in the respiratory intensive care unit of Ain Shams University Hospitals were enrolled in this study. They were divided randomly into: Group A: included fifty patients who received standard iso-caloric feeding with carbohydrates (53.3%), fats (30%) and proteins (16.7%). Group B: included fifty patients who received iso-caloric high fat low carbohydrate feeding with carbohydrates (28.1%), fats (55.2%) and proteins (16.7%) also through the Ryle tube. Results: Group B had 16% decrease in arterial carbon dioxide tension, 8% decrease in the minute volume at weaning, and spent on average 62 h less on mechanical ventilation. Conclusion: A nutritional regimen with a high fat content may reduce ventilatory requirements and therefore reduce the duration of mechanical ventilation.", "author" : [ { "dropping-particle" : "", "family" : "Abd El Sabour Faramawy", "given" : "M.", "non-dropping-particle" : "", "parse-names" : false, "suffix" : "" }, { "dropping-particle" : "", "family" : "Abd Allah", "given" : "A.", "non-dropping-particle" : "", "parse-names" : false, "suffix" : "" }, { "dropping-particle" : "", "family" : "Batrawy", "given" : "S.", "non-dropping-particle" : "El", "parse-names" : false, "suffix" : "" }, { "dropping-particle" : "", "family" : "Amer", "given" : "H.", "non-dropping-particle" : "", "parse-names" : false, "suffix" : "" } ], "container-title" : "Egyptian Journal of Chest Diseases and Tuberculosis", "id" : "ITEM-1", "issue" : "4", "issued" : { "date-parts" : [ [ "2014" ] ] }, "page" : "931-938", "title" : "Impact of high fat low carbohydrate enteral feeding on weaning from mechanical ventilation", "type" : "article-journal", "volume" : "63" }, "uris" : [ "http://www.mendeley.com/documents/?uuid=6e0a3b4e-5862-48d2-85b8-4d8e01e0e95a" ] } ], "mendeley" : { "formattedCitation" : "[13]", "plainTextFormattedCitation" : "[13]", "previouslyFormattedCitation" : "(&lt;b&gt;&lt;b&gt;Abd El Sabour Faramawy &lt;i&gt;et al.&lt;/i&gt;&lt;/b&gt;, 2014&lt;/b&gt;)" }, "properties" : {  }, "schema" : "https://github.com/citation-style-language/schema/raw/master/csl-citation.json" }</w:instrText>
      </w:r>
      <w:r w:rsidR="009C682A" w:rsidRPr="000B47D4">
        <w:rPr>
          <w:rFonts w:ascii="Times New Roman" w:hAnsi="Times New Roman" w:cs="Times New Roman"/>
          <w:sz w:val="20"/>
          <w:szCs w:val="20"/>
        </w:rPr>
        <w:fldChar w:fldCharType="separate"/>
      </w:r>
      <w:r w:rsidRPr="000B47D4">
        <w:rPr>
          <w:rFonts w:ascii="Times New Roman" w:hAnsi="Times New Roman" w:cs="Times New Roman"/>
          <w:noProof/>
          <w:sz w:val="20"/>
          <w:szCs w:val="20"/>
        </w:rPr>
        <w:t>[13]</w:t>
      </w:r>
      <w:r w:rsidR="009C682A" w:rsidRPr="000B47D4">
        <w:rPr>
          <w:rFonts w:ascii="Times New Roman" w:hAnsi="Times New Roman" w:cs="Times New Roman"/>
          <w:sz w:val="20"/>
          <w:szCs w:val="20"/>
        </w:rPr>
        <w:fldChar w:fldCharType="end"/>
      </w:r>
      <w:r w:rsidR="003B4339" w:rsidRPr="000B47D4">
        <w:rPr>
          <w:rFonts w:ascii="Times New Roman" w:hAnsi="Times New Roman" w:cs="Times New Roman"/>
          <w:sz w:val="20"/>
          <w:szCs w:val="20"/>
        </w:rPr>
        <w:t>. S</w:t>
      </w:r>
      <w:r w:rsidRPr="000B47D4">
        <w:rPr>
          <w:rFonts w:ascii="Times New Roman" w:hAnsi="Times New Roman" w:cs="Times New Roman"/>
          <w:sz w:val="20"/>
          <w:szCs w:val="20"/>
        </w:rPr>
        <w:t xml:space="preserve">imilarly, </w:t>
      </w:r>
      <w:r w:rsidRPr="000B47D4">
        <w:rPr>
          <w:rFonts w:ascii="Times New Roman" w:hAnsi="Times New Roman" w:cs="Times New Roman"/>
          <w:b/>
          <w:bCs/>
          <w:sz w:val="20"/>
          <w:szCs w:val="20"/>
        </w:rPr>
        <w:t>Al-</w:t>
      </w:r>
      <w:proofErr w:type="spellStart"/>
      <w:r w:rsidRPr="000B47D4">
        <w:rPr>
          <w:rFonts w:ascii="Times New Roman" w:hAnsi="Times New Roman" w:cs="Times New Roman"/>
          <w:b/>
          <w:bCs/>
          <w:sz w:val="20"/>
          <w:szCs w:val="20"/>
        </w:rPr>
        <w:t>Saady</w:t>
      </w:r>
      <w:proofErr w:type="spellEnd"/>
      <w:r w:rsidRPr="000B47D4">
        <w:rPr>
          <w:rFonts w:ascii="Times New Roman" w:hAnsi="Times New Roman" w:cs="Times New Roman"/>
          <w:b/>
          <w:bCs/>
          <w:sz w:val="20"/>
          <w:szCs w:val="20"/>
        </w:rPr>
        <w:t xml:space="preserve"> and colleagues</w:t>
      </w:r>
      <w:r w:rsidRPr="000B47D4">
        <w:rPr>
          <w:rFonts w:ascii="Times New Roman" w:hAnsi="Times New Roman" w:cs="Times New Roman"/>
          <w:sz w:val="20"/>
          <w:szCs w:val="20"/>
        </w:rPr>
        <w:t xml:space="preserve"> conducted a randomized controlled study on 20 patients with acute respiratory failure requiring </w:t>
      </w:r>
      <w:r w:rsidRPr="000B47D4">
        <w:rPr>
          <w:rFonts w:ascii="Times New Roman" w:hAnsi="Times New Roman" w:cs="Times New Roman"/>
          <w:sz w:val="20"/>
          <w:szCs w:val="20"/>
        </w:rPr>
        <w:lastRenderedPageBreak/>
        <w:t xml:space="preserve">artificial ventilation in order to compare high fat, low carbohydrate EN with a standard </w:t>
      </w:r>
      <w:proofErr w:type="spellStart"/>
      <w:r w:rsidRPr="000B47D4">
        <w:rPr>
          <w:rFonts w:ascii="Times New Roman" w:hAnsi="Times New Roman" w:cs="Times New Roman"/>
          <w:sz w:val="20"/>
          <w:szCs w:val="20"/>
        </w:rPr>
        <w:t>iso</w:t>
      </w:r>
      <w:proofErr w:type="spellEnd"/>
      <w:r w:rsidRPr="000B47D4">
        <w:rPr>
          <w:rFonts w:ascii="Times New Roman" w:hAnsi="Times New Roman" w:cs="Times New Roman"/>
          <w:sz w:val="20"/>
          <w:szCs w:val="20"/>
        </w:rPr>
        <w:t xml:space="preserve">-caloric EN. The authors reported that the time spent on artificial ventilation from the commencement of feeding to successful weaning was 42O7o less in the high fat feed group (86.1 ±17.8 h) compared to the standard feed group (148.7 ±36.7 h) </w:t>
      </w:r>
      <w:r w:rsidR="009C682A" w:rsidRPr="000B47D4">
        <w:rPr>
          <w:rFonts w:ascii="Times New Roman" w:hAnsi="Times New Roman" w:cs="Times New Roman"/>
          <w:sz w:val="20"/>
          <w:szCs w:val="20"/>
        </w:rPr>
        <w:fldChar w:fldCharType="begin" w:fldLock="1"/>
      </w:r>
      <w:r w:rsidRPr="000B47D4">
        <w:rPr>
          <w:rFonts w:ascii="Times New Roman" w:hAnsi="Times New Roman" w:cs="Times New Roman"/>
          <w:sz w:val="20"/>
          <w:szCs w:val="20"/>
        </w:rPr>
        <w:instrText>ADDIN CSL_CITATION { "citationItems" : [ { "id" : "ITEM-1", "itemData" : { "DOI" : "10.1007/BF00263863", "ISSN" : "03424642", "PMID" : "2504796", "abstract" : "The objective of this study was to compare the effect of a high fat, low carbohydrate enteral feed with a standard isocaloric, isonitrogenous enteral feed on PaCO2 and ventilation time in patients with acute respiratory failure requiring artificial ventilation. 20 clinically stable patients requiring enteral feeding were randomized to either feed in a double-blind fashion. Initial ventilator standard settings were adjusted according to clinical state. Measurements including minute volume and arterial blood gases were made twice daily. Weaning was carried out according to set criteria. During the feeding period, PaCO2 just prior to weaning fell by 16% in the high fat group but increased by 4% in the standard feed group (p = 0.003). The high fat group spent a mean of 62 h less time on the ventilator (p = 0.006). A high fat, low carbohydrate enteral feed appears to be beneficial in patients undergoing artificial ventilation.", "author" : [ { "dropping-particle" : "", "family" : "Al-Saady", "given" : "N. M.", "non-dropping-particle" : "", "parse-names" : false, "suffix" : "" }, { "dropping-particle" : "", "family" : "Blackmore", "given" : "C. M.", "non-dropping-particle" : "", "parse-names" : false, "suffix" : "" }, { "dropping-particle" : "", "family" : "Bennett", "given" : "E. D.", "non-dropping-particle" : "", "parse-names" : false, "suffix" : "" } ], "container-title" : "Intensive Care Medicine", "id" : "ITEM-1", "issue" : "5", "issued" : { "date-parts" : [ [ "1989" ] ] }, "page" : "290-295", "title" : "High fat, low carbohydrate, enteral feeding lowers PaCO2 and reduces the period of ventilation in artificially ventilated patients", "type" : "article-journal", "volume" : "15" }, "uris" : [ "http://www.mendeley.com/documents/?uuid=a55c4a41-852b-481d-b9b2-11830c4e5ffd" ] } ], "mendeley" : { "formattedCitation" : "[19]", "plainTextFormattedCitation" : "[19]", "previouslyFormattedCitation" : "(&lt;b&gt;&lt;b&gt;Al-Saady &lt;i&gt;et al.&lt;/i&gt;&lt;/b&gt;, 1989&lt;/b&gt;)" }, "properties" : {  }, "schema" : "https://github.com/citation-style-language/schema/raw/master/csl-citation.json" }</w:instrText>
      </w:r>
      <w:r w:rsidR="009C682A" w:rsidRPr="000B47D4">
        <w:rPr>
          <w:rFonts w:ascii="Times New Roman" w:hAnsi="Times New Roman" w:cs="Times New Roman"/>
          <w:sz w:val="20"/>
          <w:szCs w:val="20"/>
        </w:rPr>
        <w:fldChar w:fldCharType="separate"/>
      </w:r>
      <w:r w:rsidRPr="000B47D4">
        <w:rPr>
          <w:rFonts w:ascii="Times New Roman" w:hAnsi="Times New Roman" w:cs="Times New Roman"/>
          <w:noProof/>
          <w:sz w:val="20"/>
          <w:szCs w:val="20"/>
        </w:rPr>
        <w:t>[19]</w:t>
      </w:r>
      <w:r w:rsidR="009C682A" w:rsidRPr="000B47D4">
        <w:rPr>
          <w:rFonts w:ascii="Times New Roman" w:hAnsi="Times New Roman" w:cs="Times New Roman"/>
          <w:sz w:val="20"/>
          <w:szCs w:val="20"/>
        </w:rPr>
        <w:fldChar w:fldCharType="end"/>
      </w:r>
      <w:r w:rsidRPr="000B47D4">
        <w:rPr>
          <w:rFonts w:ascii="Times New Roman" w:hAnsi="Times New Roman" w:cs="Times New Roman"/>
          <w:sz w:val="20"/>
          <w:szCs w:val="20"/>
        </w:rPr>
        <w:t>.</w:t>
      </w:r>
    </w:p>
    <w:p w:rsidR="00550EE3" w:rsidRPr="000B47D4" w:rsidRDefault="00550EE3" w:rsidP="003B4339">
      <w:pPr>
        <w:snapToGrid w:val="0"/>
        <w:spacing w:after="0" w:line="240" w:lineRule="auto"/>
        <w:ind w:firstLine="425"/>
        <w:jc w:val="both"/>
        <w:rPr>
          <w:rFonts w:ascii="Times New Roman" w:hAnsi="Times New Roman" w:cs="Times New Roman"/>
          <w:sz w:val="20"/>
          <w:szCs w:val="20"/>
        </w:rPr>
      </w:pPr>
      <w:r w:rsidRPr="000B47D4">
        <w:rPr>
          <w:rFonts w:ascii="Times New Roman" w:hAnsi="Times New Roman" w:cs="Times New Roman"/>
          <w:sz w:val="20"/>
          <w:szCs w:val="20"/>
        </w:rPr>
        <w:t xml:space="preserve">In addition, </w:t>
      </w:r>
      <w:r w:rsidRPr="000B47D4">
        <w:rPr>
          <w:rFonts w:ascii="Times New Roman" w:hAnsi="Times New Roman" w:cs="Times New Roman"/>
          <w:b/>
          <w:bCs/>
          <w:sz w:val="20"/>
          <w:szCs w:val="20"/>
        </w:rPr>
        <w:t>Van den Berg and colleagues</w:t>
      </w:r>
      <w:r w:rsidRPr="000B47D4">
        <w:rPr>
          <w:rFonts w:ascii="Times New Roman" w:hAnsi="Times New Roman" w:cs="Times New Roman"/>
          <w:sz w:val="20"/>
          <w:szCs w:val="20"/>
        </w:rPr>
        <w:t xml:space="preserve"> performed a prospective, randomized controlled study on 32 ventilator-dependent patients with a prospect of weaning from mechanical ventilation. The median time of the study amounted to 4 days in the high fat, low carbohydrate feeding group against 6 days in the standard nutrition group: a difference which was statistically significance</w:t>
      </w:r>
      <w:r w:rsidR="009C682A" w:rsidRPr="000B47D4">
        <w:rPr>
          <w:rFonts w:ascii="Times New Roman" w:hAnsi="Times New Roman" w:cs="Times New Roman"/>
          <w:sz w:val="20"/>
          <w:szCs w:val="20"/>
        </w:rPr>
        <w:fldChar w:fldCharType="begin" w:fldLock="1"/>
      </w:r>
      <w:r w:rsidRPr="000B47D4">
        <w:rPr>
          <w:rFonts w:ascii="Times New Roman" w:hAnsi="Times New Roman" w:cs="Times New Roman"/>
          <w:sz w:val="20"/>
          <w:szCs w:val="20"/>
        </w:rPr>
        <w:instrText>ADDIN CSL_CITATION { "citationItems" : [ { "id" : "ITEM-1", "itemData" : { "DOI" : "10.1007/BF01711897", "ISBN" : "0342-4642", "ISSN" : "03424642", "PMID" : "7995861", "abstract" : "Objective: To study whether high fat, low carbohydrate enteral nutrition could reduce VCO2 in patients during ventilator support and weaning from the ventilator in order to facilitate the weaning process. Design: prospective, randomized controlled study. Setting: Medical ICU of a university hospital. Patients: 32 ventilator-dependent patients with a prospect of weaning from mechanical ventilation. Interventions: high fat feeding administered to 15 patients and standard isocaloric feeding administered to 17 patients, both in a dosage of 1.5 times basal metabolic rate. Measurements and results: Respiratory and metabolic measurements were obtained both during mechanical ventilation and weaning procedures. High fat feeding was associated with significantly lower RQ values compared with standard feeding; the mean ((plus or minus)SEM) RQ values during mechanical ventilation amounted to 0.91 (plus or minus) 0.01 and 1.00 (plus or minus) 0.02 and during weaning to 0.72 (plus or minus) 0.02 and 0.86 (plus or minus) 0.02 for high fat and standard nutrition respectively (both p-values &lt; 0.001). High fat feeding reduced the CO2-excretion both during mechanical ventilation and weaning, but only the decrease during weaning proved to be significant; the mean ((plus or minus)SEM) CO2-excretion amounted to 0.177 (plus or minus) 0.010 and 0.231 (plus or minus) 0.011 l/min STPD for the high fat and standard feeding respectively (p &lt; 0.01). No significant differences were found in the PaCO2 during weaning between the two feeding groups. Conclusion: High fat, low carbohydrate enteral feeding significantly reduced the RQ values in ventilated patients with decreases in VCO2, but in this study failed to reduce PaCO2 during weaning from the ventilator.", "author" : [ { "dropping-particle" : "", "family" : "Berg", "given" : "B.", "non-dropping-particle" : "van den", "parse-names" : false, "suffix" : "" }, { "dropping-particle" : "", "family" : "Bogaard", "given" : "J. M.", "non-dropping-particle" : "", "parse-names" : false, "suffix" : "" }, { "dropping-particle" : "", "family" : "Hop", "given" : "W. C J", "non-dropping-particle" : "", "parse-names" : false, "suffix" : "" } ], "container-title" : "Intensive Care Medicine", "id" : "ITEM-1", "issue" : "7", "issued" : { "date-parts" : [ [ "1994" ] ] }, "page" : "470-475", "title" : "High fat, low carbohydrate, enteral feeding in patients weaning from the ventilator", "type" : "article-journal", "volume" : "20" }, "uris" : [ "http://www.mendeley.com/documents/?uuid=97a45ccc-92aa-4459-85a9-290cf68c5df1" ] } ], "mendeley" : { "formattedCitation" : "[14]", "plainTextFormattedCitation" : "[14]", "previouslyFormattedCitation" : "(&lt;b&gt;&lt;b&gt;van den Berg &lt;i&gt;et al.&lt;/i&gt;&lt;/b&gt;, 1994&lt;/b&gt;)" }, "properties" : {  }, "schema" : "https://github.com/citation-style-language/schema/raw/master/csl-citation.json" }</w:instrText>
      </w:r>
      <w:r w:rsidR="009C682A" w:rsidRPr="000B47D4">
        <w:rPr>
          <w:rFonts w:ascii="Times New Roman" w:hAnsi="Times New Roman" w:cs="Times New Roman"/>
          <w:sz w:val="20"/>
          <w:szCs w:val="20"/>
        </w:rPr>
        <w:fldChar w:fldCharType="separate"/>
      </w:r>
      <w:r w:rsidRPr="000B47D4">
        <w:rPr>
          <w:rFonts w:ascii="Times New Roman" w:hAnsi="Times New Roman" w:cs="Times New Roman"/>
          <w:noProof/>
          <w:sz w:val="20"/>
          <w:szCs w:val="20"/>
        </w:rPr>
        <w:t>[14]</w:t>
      </w:r>
      <w:r w:rsidR="009C682A" w:rsidRPr="000B47D4">
        <w:rPr>
          <w:rFonts w:ascii="Times New Roman" w:hAnsi="Times New Roman" w:cs="Times New Roman"/>
          <w:sz w:val="20"/>
          <w:szCs w:val="20"/>
        </w:rPr>
        <w:fldChar w:fldCharType="end"/>
      </w:r>
      <w:r w:rsidR="003B4339" w:rsidRPr="000B47D4">
        <w:rPr>
          <w:rFonts w:ascii="Times New Roman" w:hAnsi="Times New Roman" w:cs="Times New Roman"/>
          <w:sz w:val="20"/>
          <w:szCs w:val="20"/>
        </w:rPr>
        <w:t xml:space="preserve">. </w:t>
      </w:r>
      <w:proofErr w:type="spellStart"/>
      <w:r w:rsidR="003B4339" w:rsidRPr="000B47D4">
        <w:rPr>
          <w:rFonts w:ascii="Times New Roman" w:hAnsi="Times New Roman" w:cs="Times New Roman"/>
          <w:b/>
          <w:bCs/>
          <w:sz w:val="20"/>
          <w:szCs w:val="20"/>
        </w:rPr>
        <w:t>G</w:t>
      </w:r>
      <w:r w:rsidRPr="000B47D4">
        <w:rPr>
          <w:rFonts w:ascii="Times New Roman" w:hAnsi="Times New Roman" w:cs="Times New Roman"/>
          <w:b/>
          <w:bCs/>
          <w:sz w:val="20"/>
          <w:szCs w:val="20"/>
        </w:rPr>
        <w:t>ottschlich</w:t>
      </w:r>
      <w:proofErr w:type="spellEnd"/>
      <w:r w:rsidRPr="000B47D4">
        <w:rPr>
          <w:rFonts w:ascii="Times New Roman" w:hAnsi="Times New Roman" w:cs="Times New Roman"/>
          <w:b/>
          <w:bCs/>
          <w:sz w:val="20"/>
          <w:szCs w:val="20"/>
        </w:rPr>
        <w:t xml:space="preserve"> 1990</w:t>
      </w:r>
      <w:r w:rsidRPr="000B47D4">
        <w:rPr>
          <w:rFonts w:ascii="Times New Roman" w:hAnsi="Times New Roman" w:cs="Times New Roman"/>
          <w:sz w:val="20"/>
          <w:szCs w:val="20"/>
        </w:rPr>
        <w:t xml:space="preserve"> reported statically significant reductions in length of stay (P &lt;0.02) with low fat </w:t>
      </w:r>
      <w:proofErr w:type="spellStart"/>
      <w:r w:rsidRPr="000B47D4">
        <w:rPr>
          <w:rFonts w:ascii="Times New Roman" w:hAnsi="Times New Roman" w:cs="Times New Roman"/>
          <w:sz w:val="20"/>
          <w:szCs w:val="20"/>
        </w:rPr>
        <w:t>enteral</w:t>
      </w:r>
      <w:proofErr w:type="spellEnd"/>
      <w:r w:rsidRPr="000B47D4">
        <w:rPr>
          <w:rFonts w:ascii="Times New Roman" w:hAnsi="Times New Roman" w:cs="Times New Roman"/>
          <w:sz w:val="20"/>
          <w:szCs w:val="20"/>
        </w:rPr>
        <w:t xml:space="preserve"> feeds as well</w:t>
      </w:r>
      <w:r w:rsidR="009C682A" w:rsidRPr="000B47D4">
        <w:rPr>
          <w:rFonts w:ascii="Times New Roman" w:hAnsi="Times New Roman" w:cs="Times New Roman"/>
          <w:sz w:val="20"/>
          <w:szCs w:val="20"/>
        </w:rPr>
        <w:fldChar w:fldCharType="begin" w:fldLock="1"/>
      </w:r>
      <w:r w:rsidRPr="000B47D4">
        <w:rPr>
          <w:rFonts w:ascii="Times New Roman" w:hAnsi="Times New Roman" w:cs="Times New Roman"/>
          <w:sz w:val="20"/>
          <w:szCs w:val="20"/>
        </w:rPr>
        <w:instrText>ADDIN CSL_CITATION { "citationItems" : [ { "id" : "ITEM-1", "itemData" : { "DOI" : "10.1177/0148607190014003225", "ISBN" : "0148-6071 (Print)", "ISSN" : "19412444", "PMID" : "2112634", "abstract" : "A modular tube feeding recipe (MTF) was designed to meet the unique nutritional needs of burn patients, applying principles previously documented in our burned guinea pig model. MTF, a high-protein, low-fat, linoleic acid-restricted formulation is enriched with omega-3 fatty acids, arginine, cysteine, histidine, vitamin A, zinc, and ascorbic acid. Fifty patients, 3 to 76 years of age with burns ranging from 10 to 89% total body surface area were prospectively randomized into three groups which blindly compared MTF to two enteral regimens widely utilized in the nutritional support of burns. Age, percent total and third-degree burn, resting energy expenditure, and calorie and protein intake were similar in all groups. Data analysis demonstrated significant superiority of MTF in the reduction of wound infection (p &lt; 0.03) and length of stay/percent burn (p &lt; 0.02). MTF was also associated with a decreased incidence of diarrhea, improved glucose tolerance, lower serum triglycerides, reduced total number of in...", "author" : [ { "dropping-particle" : "", "family" : "Gottschlich", "given" : "Michele M.", "non-dropping-particle" : "", "parse-names" : false, "suffix" : "" }, { "dropping-particle" : "", "family" : "Warden", "given" : "Glenn D.", "non-dropping-particle" : "", "parse-names" : false, "suffix" : "" }, { "dropping-particle" : "", "family" : "Snook", "given" : "Jean T.", "non-dropping-particle" : "", "parse-names" : false, "suffix" : "" }, { "dropping-particle" : "", "family" : "Havens", "given" : "Pamela", "non-dropping-particle" : "", "parse-names" : false, "suffix" : "" } ], "container-title" : "Journal of Parenteral and Enteral Nutrition", "id" : "ITEM-1", "issue" : "3", "issued" : { "date-parts" : [ [ "1990" ] ] }, "page" : "225-236", "title" : "Differential Effects of Three Enteral Dietary Regimens on Selected Outcome Variables in Burn Patients", "type" : "article-journal", "volume" : "14" }, "uris" : [ "http://www.mendeley.com/documents/?uuid=34fb5d3f-5c24-4eef-b85f-9b6122a31f8d" ] } ], "mendeley" : { "formattedCitation" : "[20]", "plainTextFormattedCitation" : "[20]", "previouslyFormattedCitation" : "(&lt;b&gt;&lt;b&gt;Gottschlich &lt;i&gt;et al.&lt;/i&gt;&lt;/b&gt;, 1990&lt;/b&gt;)" }, "properties" : {  }, "schema" : "https://github.com/citation-style-language/schema/raw/master/csl-citation.json" }</w:instrText>
      </w:r>
      <w:r w:rsidR="009C682A" w:rsidRPr="000B47D4">
        <w:rPr>
          <w:rFonts w:ascii="Times New Roman" w:hAnsi="Times New Roman" w:cs="Times New Roman"/>
          <w:sz w:val="20"/>
          <w:szCs w:val="20"/>
        </w:rPr>
        <w:fldChar w:fldCharType="separate"/>
      </w:r>
      <w:r w:rsidRPr="000B47D4">
        <w:rPr>
          <w:rFonts w:ascii="Times New Roman" w:hAnsi="Times New Roman" w:cs="Times New Roman"/>
          <w:noProof/>
          <w:sz w:val="20"/>
          <w:szCs w:val="20"/>
        </w:rPr>
        <w:t>[20]</w:t>
      </w:r>
      <w:r w:rsidR="009C682A" w:rsidRPr="000B47D4">
        <w:rPr>
          <w:rFonts w:ascii="Times New Roman" w:hAnsi="Times New Roman" w:cs="Times New Roman"/>
          <w:sz w:val="20"/>
          <w:szCs w:val="20"/>
        </w:rPr>
        <w:fldChar w:fldCharType="end"/>
      </w:r>
      <w:r w:rsidRPr="000B47D4">
        <w:rPr>
          <w:rFonts w:ascii="Times New Roman" w:hAnsi="Times New Roman" w:cs="Times New Roman"/>
          <w:sz w:val="20"/>
          <w:szCs w:val="20"/>
        </w:rPr>
        <w:t>.</w:t>
      </w:r>
    </w:p>
    <w:p w:rsidR="00550EE3" w:rsidRPr="000B47D4" w:rsidRDefault="00550EE3" w:rsidP="003B4339">
      <w:pPr>
        <w:snapToGrid w:val="0"/>
        <w:spacing w:after="0" w:line="240" w:lineRule="auto"/>
        <w:ind w:firstLine="425"/>
        <w:jc w:val="both"/>
        <w:rPr>
          <w:rFonts w:ascii="Times New Roman" w:hAnsi="Times New Roman" w:cs="Times New Roman"/>
          <w:sz w:val="20"/>
          <w:szCs w:val="20"/>
        </w:rPr>
      </w:pPr>
      <w:r w:rsidRPr="000B47D4">
        <w:rPr>
          <w:rFonts w:ascii="Times New Roman" w:hAnsi="Times New Roman" w:cs="Times New Roman"/>
          <w:sz w:val="20"/>
          <w:szCs w:val="20"/>
        </w:rPr>
        <w:t xml:space="preserve">In contrary to our findings, </w:t>
      </w:r>
      <w:proofErr w:type="spellStart"/>
      <w:r w:rsidRPr="000B47D4">
        <w:rPr>
          <w:rFonts w:ascii="Times New Roman" w:hAnsi="Times New Roman" w:cs="Times New Roman"/>
          <w:b/>
          <w:bCs/>
          <w:sz w:val="20"/>
          <w:szCs w:val="20"/>
        </w:rPr>
        <w:t>Garrel</w:t>
      </w:r>
      <w:proofErr w:type="spellEnd"/>
      <w:r w:rsidRPr="000B47D4">
        <w:rPr>
          <w:rFonts w:ascii="Times New Roman" w:hAnsi="Times New Roman" w:cs="Times New Roman"/>
          <w:b/>
          <w:bCs/>
          <w:sz w:val="20"/>
          <w:szCs w:val="20"/>
        </w:rPr>
        <w:t xml:space="preserve"> and colleagues</w:t>
      </w:r>
      <w:r w:rsidRPr="000B47D4">
        <w:rPr>
          <w:rFonts w:ascii="Times New Roman" w:hAnsi="Times New Roman" w:cs="Times New Roman"/>
          <w:sz w:val="20"/>
          <w:szCs w:val="20"/>
        </w:rPr>
        <w:t xml:space="preserve"> compared high-fat, low carbohydrates EN to high-carbohydrate, high-protein, low-fat among 37 patients requiring mechanical ventilation. There were no statistically significant differences between both groups in terms of duration of mechanical ventilation and length of hospital stay</w:t>
      </w:r>
      <w:r w:rsidR="009C682A" w:rsidRPr="000B47D4">
        <w:rPr>
          <w:rFonts w:ascii="Times New Roman" w:hAnsi="Times New Roman" w:cs="Times New Roman"/>
          <w:sz w:val="20"/>
          <w:szCs w:val="20"/>
        </w:rPr>
        <w:fldChar w:fldCharType="begin" w:fldLock="1"/>
      </w:r>
      <w:r w:rsidRPr="000B47D4">
        <w:rPr>
          <w:rFonts w:ascii="Times New Roman" w:hAnsi="Times New Roman" w:cs="Times New Roman"/>
          <w:sz w:val="20"/>
          <w:szCs w:val="20"/>
        </w:rPr>
        <w:instrText>ADDIN CSL_CITATION { "citationItems" : [ { "id" : "ITEM-1", "itemData" : { "DOI" : "10.1177/0148607195019006482", "ISBN" : "0148-6071", "ISSN" : "01486071", "PMID" : "8748363", "abstract" : "BACKGROUND: The optimal amount and type of fat in the nutrition support of burned patients have not been determined. The aim of this study was to test low-fat nutritional solutions, with or without fish oil, on protein metabolism, morbidity, and length of care in severely burned adults. METHODS: In a prospective randomized clinical trial, 43 patients were assigned to one of the following groups: control (35% fat), low-fat solution (ie, 15% of total calories as fat), low-fat with fish oil, given for 30 days. Nitrogen balance, urinary 3-methylhistidine excretion, urinary cortisol, and clinical status were measured daily. Corticosteroid-binding globulin and total and free serum cortisol were measured every 3 days. RESULTS: Compared with controls, patients on low-fat support had fewer cases of pneumonia: 3/24 vs 7/13 (p = .02), better respiratory and nutrition status, and shorter time to healing: 1.2 vs 1.8 days/% burned area (p = 0.01). There was no difference in nitrogen balance between groups, and 3-methylhistidine excretion was higher and serum free cortisol was lower in log-fat--fed patients than in controls. There was no difference between the two low-fat groups in any of the parameters measured. CONCLUSIONS: This study showed that low-fat nutrition support decreases infectious morbidity and shortens length of stay in burn patients. Fish oil does not seem to add clinical benefit to low-fat solutions. In addition, this study provides the first evidence that nutrition intervention modulates cortisol-binding globulin and the concentration of free circulating cortisol after a severe stress.", "author" : [ { "dropping-particle" : "", "family" : "Garrel", "given" : "D. R.", "non-dropping-particle" : "", "parse-names" : false, "suffix" : "" }, { "dropping-particle" : "", "family" : "Razi", "given" : "M.", "non-dropping-particle" : "", "parse-names" : false, "suffix" : "" }, { "dropping-particle" : "", "family" : "Lariviere", "given" : "F.", "non-dropping-particle" : "", "parse-names" : false, "suffix" : "" }, { "dropping-particle" : "", "family" : "Jobin", "given" : "N.", "non-dropping-particle" : "", "parse-names" : false, "suffix" : "" }, { "dropping-particle" : "", "family" : "Naman", "given" : "N.", "non-dropping-particle" : "", "parse-names" : false, "suffix" : "" }, { "dropping-particle" : "", "family" : "Emptoz-Bonneton", "given" : "A.", "non-dropping-particle" : "", "parse-names" : false, "suffix" : "" }, { "dropping-particle" : "", "family" : "Pugeat", "given" : "M. M.", "non-dropping-particle" : "", "parse-names" : false, "suffix" : "" } ], "container-title" : "Journal of Parenteral and Enteral Nutrition", "id" : "ITEM-1", "issue" : "6", "issued" : { "date-parts" : [ [ "1995" ] ] }, "page" : "482-491", "title" : "Improved clinical status and length of care with low-fat nutrition support in burn patients", "type" : "article-journal", "volume" : "19" }, "uris" : [ "http://www.mendeley.com/documents/?uuid=5dea9e52-1f20-48d3-a6f8-58688834ca25" ] } ], "mendeley" : { "formattedCitation" : "[21]", "plainTextFormattedCitation" : "[21]", "previouslyFormattedCitation" : "(&lt;b&gt;&lt;b&gt;Garrel &lt;i&gt;et al.&lt;/i&gt;&lt;/b&gt;, 1995&lt;/b&gt;)" }, "properties" : {  }, "schema" : "https://github.com/citation-style-language/schema/raw/master/csl-citation.json" }</w:instrText>
      </w:r>
      <w:r w:rsidR="009C682A" w:rsidRPr="000B47D4">
        <w:rPr>
          <w:rFonts w:ascii="Times New Roman" w:hAnsi="Times New Roman" w:cs="Times New Roman"/>
          <w:sz w:val="20"/>
          <w:szCs w:val="20"/>
        </w:rPr>
        <w:fldChar w:fldCharType="separate"/>
      </w:r>
      <w:r w:rsidRPr="000B47D4">
        <w:rPr>
          <w:rFonts w:ascii="Times New Roman" w:hAnsi="Times New Roman" w:cs="Times New Roman"/>
          <w:noProof/>
          <w:sz w:val="20"/>
          <w:szCs w:val="20"/>
        </w:rPr>
        <w:t>[21]</w:t>
      </w:r>
      <w:r w:rsidR="009C682A" w:rsidRPr="000B47D4">
        <w:rPr>
          <w:rFonts w:ascii="Times New Roman" w:hAnsi="Times New Roman" w:cs="Times New Roman"/>
          <w:sz w:val="20"/>
          <w:szCs w:val="20"/>
        </w:rPr>
        <w:fldChar w:fldCharType="end"/>
      </w:r>
      <w:r w:rsidRPr="000B47D4">
        <w:rPr>
          <w:rFonts w:ascii="Times New Roman" w:hAnsi="Times New Roman" w:cs="Times New Roman"/>
          <w:sz w:val="20"/>
          <w:szCs w:val="20"/>
        </w:rPr>
        <w:t xml:space="preserve">. The difference between our findings and </w:t>
      </w:r>
      <w:proofErr w:type="spellStart"/>
      <w:r w:rsidRPr="000B47D4">
        <w:rPr>
          <w:rFonts w:ascii="Times New Roman" w:hAnsi="Times New Roman" w:cs="Times New Roman"/>
          <w:b/>
          <w:bCs/>
          <w:sz w:val="20"/>
          <w:szCs w:val="20"/>
        </w:rPr>
        <w:t>Garrel</w:t>
      </w:r>
      <w:proofErr w:type="spellEnd"/>
      <w:r w:rsidRPr="000B47D4">
        <w:rPr>
          <w:rFonts w:ascii="Times New Roman" w:hAnsi="Times New Roman" w:cs="Times New Roman"/>
          <w:b/>
          <w:bCs/>
          <w:sz w:val="20"/>
          <w:szCs w:val="20"/>
        </w:rPr>
        <w:t xml:space="preserve"> and colleagues</w:t>
      </w:r>
      <w:r w:rsidRPr="000B47D4">
        <w:rPr>
          <w:rFonts w:ascii="Times New Roman" w:hAnsi="Times New Roman" w:cs="Times New Roman"/>
          <w:sz w:val="20"/>
          <w:szCs w:val="20"/>
        </w:rPr>
        <w:t xml:space="preserve"> can be explained by the different type of study population. </w:t>
      </w:r>
      <w:proofErr w:type="spellStart"/>
      <w:r w:rsidRPr="000B47D4">
        <w:rPr>
          <w:rFonts w:ascii="Times New Roman" w:hAnsi="Times New Roman" w:cs="Times New Roman"/>
          <w:b/>
          <w:bCs/>
          <w:sz w:val="20"/>
          <w:szCs w:val="20"/>
        </w:rPr>
        <w:t>Garrel</w:t>
      </w:r>
      <w:proofErr w:type="spellEnd"/>
      <w:r w:rsidRPr="000B47D4">
        <w:rPr>
          <w:rFonts w:ascii="Times New Roman" w:hAnsi="Times New Roman" w:cs="Times New Roman"/>
          <w:b/>
          <w:bCs/>
          <w:sz w:val="20"/>
          <w:szCs w:val="20"/>
        </w:rPr>
        <w:t xml:space="preserve"> and colleagues</w:t>
      </w:r>
      <w:r w:rsidRPr="000B47D4">
        <w:rPr>
          <w:rFonts w:ascii="Times New Roman" w:hAnsi="Times New Roman" w:cs="Times New Roman"/>
          <w:sz w:val="20"/>
          <w:szCs w:val="20"/>
        </w:rPr>
        <w:t xml:space="preserve"> included patients with 10% or greater total body surface area burns in the immediate post-burn period.</w:t>
      </w:r>
    </w:p>
    <w:p w:rsidR="00550EE3" w:rsidRPr="000B47D4" w:rsidRDefault="00550EE3" w:rsidP="003B4339">
      <w:pPr>
        <w:snapToGrid w:val="0"/>
        <w:spacing w:after="0" w:line="240" w:lineRule="auto"/>
        <w:ind w:firstLine="425"/>
        <w:jc w:val="both"/>
        <w:rPr>
          <w:rFonts w:ascii="Times New Roman" w:hAnsi="Times New Roman" w:cs="Times New Roman"/>
          <w:sz w:val="20"/>
          <w:szCs w:val="20"/>
        </w:rPr>
      </w:pPr>
      <w:r w:rsidRPr="000B47D4">
        <w:rPr>
          <w:rFonts w:ascii="Times New Roman" w:hAnsi="Times New Roman" w:cs="Times New Roman"/>
          <w:sz w:val="20"/>
          <w:szCs w:val="20"/>
        </w:rPr>
        <w:t>Notably, there was a statistically significant negative association between serum magnesium and length of stay in ICU in standard diet group (r =-0.46, p value &lt;0.05). In addition, a statistically significant negative association between serum magnesium and duration of mechanical ventilation was also detected in both study groups (r =-0.65 and -0.60, respectively). Previous reports have shown that the change in serum potassium level during ICU stay is associated with the need for mechanical ventilation; and that monitoring of the serum potassium levels may be a good prognostic factor for the requirement of mechanical ventilation</w:t>
      </w:r>
      <w:r w:rsidR="009C682A" w:rsidRPr="000B47D4">
        <w:rPr>
          <w:rFonts w:ascii="Times New Roman" w:hAnsi="Times New Roman" w:cs="Times New Roman"/>
          <w:sz w:val="20"/>
          <w:szCs w:val="20"/>
        </w:rPr>
        <w:fldChar w:fldCharType="begin" w:fldLock="1"/>
      </w:r>
      <w:r w:rsidRPr="000B47D4">
        <w:rPr>
          <w:rFonts w:ascii="Times New Roman" w:hAnsi="Times New Roman" w:cs="Times New Roman"/>
          <w:sz w:val="20"/>
          <w:szCs w:val="20"/>
        </w:rPr>
        <w:instrText>ADDIN CSL_CITATION { "citationItems" : [ { "id" : "ITEM-1", "itemData" : { "DOI" : "10.4103/2277-9175.161525", "ISSN" : "2277-9175", "PMID" : "26322281", "abstract" : "BACKGROUND No previous study has been done to evaluate the admission serum potassium level as a predictor of morbidity or need for mechanical ventilation. The aim of this study is to determine the predictive ability of serum potassium on admission, in critically ill trauma patients, and to evaluate the relation of the potassium level to organ failure, length of stay, ventilator need, and duration of mechanical ventilation. MATERIALS AND METHODS A prospective, observational study was done on 100 patients &gt;16 years old, admitted to the Medical-Surgical Intensive Care Units (ICU), for over one year. Patients were classified into Group A: Patients who required equal or less than five days of mechanical ventilation and Group B: Patients who required more than five days of mechanical ventilation. The total serum potassium concentrations were measured and the Sequential Organ Failure Assessment (SOFA) score was recorded at the time of admission to the ICU, when connected to the ventilator, and then at the time of weaning from the ventilator. RESULTS There was no significant difference between the Serum K concentrations between the two groups, on admission. However, there were significant difference between the Serum K concentrations at times of receiving and weaning from mechanical ventilation (MV) between the two groups. We found the best cut-off point of 3.45 for serum potassium concentration, to predict the need for longer duration of MV. CONCLUSION Development of hypokalemia during an ICU stay is associated with the need for mechanical ventilation. Monitoring of the serum potassium levels may be a good prognostic factor for the requirement of mechanical ventilation.", "author" : [ { "dropping-particle" : "", "family" : "Javdan", "given" : "Zahra", "non-dropping-particle" : "", "parse-names" : false, "suffix" : "" }, { "dropping-particle" : "", "family" : "Talakoub", "given" : "Reihanak", "non-dropping-particle" : "", "parse-names" : false, "suffix" : "" }, { "dropping-particle" : "", "family" : "Honarmand", "given" : "Azim", "non-dropping-particle" : "", "parse-names" : false, "suffix" : "" }, { "dropping-particle" : "", "family" : "Golparvar", "given" : "Mohammad", "non-dropping-particle" : "", "parse-names" : false, "suffix" : "" }, { "dropping-particle" : "", "family" : "Farsani", "given" : "Enayatolah Yadollahi", "non-dropping-particle" : "", "parse-names" : false, "suffix" : "" } ], "container-title" : "Advanced biomedical research", "id" : "ITEM-1", "issued" : { "date-parts" : [ [ "2015" ] ] }, "page" : "133", "publisher" : "Wolters Kluwer -- Medknow Publications", "title" : "The predicting ability of serum potassium to assess the duration of mechanical ventilation in critically ill patients.", "type" : "article-journal", "volume" : "4" }, "uris" : [ "http://www.mendeley.com/documents/?uuid=8b4ae3d3-750e-3ab0-8152-07ce8fe6600c" ] } ], "mendeley" : { "formattedCitation" : "[23]", "plainTextFormattedCitation" : "[23]", "previouslyFormattedCitation" : "(&lt;b&gt;&lt;b&gt;Javdan &lt;i&gt;et al.&lt;/i&gt;&lt;/b&gt;, 2015&lt;/b&gt;)" }, "properties" : {  }, "schema" : "https://github.com/citation-style-language/schema/raw/master/csl-citation.json" }</w:instrText>
      </w:r>
      <w:r w:rsidR="009C682A" w:rsidRPr="000B47D4">
        <w:rPr>
          <w:rFonts w:ascii="Times New Roman" w:hAnsi="Times New Roman" w:cs="Times New Roman"/>
          <w:sz w:val="20"/>
          <w:szCs w:val="20"/>
        </w:rPr>
        <w:fldChar w:fldCharType="separate"/>
      </w:r>
      <w:r w:rsidRPr="000B47D4">
        <w:rPr>
          <w:rFonts w:ascii="Times New Roman" w:hAnsi="Times New Roman" w:cs="Times New Roman"/>
          <w:noProof/>
          <w:sz w:val="20"/>
          <w:szCs w:val="20"/>
        </w:rPr>
        <w:t>[23]</w:t>
      </w:r>
      <w:r w:rsidR="009C682A" w:rsidRPr="000B47D4">
        <w:rPr>
          <w:rFonts w:ascii="Times New Roman" w:hAnsi="Times New Roman" w:cs="Times New Roman"/>
          <w:sz w:val="20"/>
          <w:szCs w:val="20"/>
        </w:rPr>
        <w:fldChar w:fldCharType="end"/>
      </w:r>
      <w:r w:rsidR="003B4339" w:rsidRPr="000B47D4">
        <w:rPr>
          <w:rFonts w:ascii="Times New Roman" w:hAnsi="Times New Roman" w:cs="Times New Roman"/>
          <w:sz w:val="20"/>
          <w:szCs w:val="20"/>
        </w:rPr>
        <w:t>. S</w:t>
      </w:r>
      <w:r w:rsidRPr="000B47D4">
        <w:rPr>
          <w:rFonts w:ascii="Times New Roman" w:hAnsi="Times New Roman" w:cs="Times New Roman"/>
          <w:sz w:val="20"/>
          <w:szCs w:val="20"/>
        </w:rPr>
        <w:t xml:space="preserve">imilarly, serum phosphorus level was suggested as a predictor of the need to mechanical ventilation in critically ill patients, </w:t>
      </w:r>
      <w:proofErr w:type="spellStart"/>
      <w:r w:rsidRPr="000B47D4">
        <w:rPr>
          <w:rFonts w:ascii="Times New Roman" w:hAnsi="Times New Roman" w:cs="Times New Roman"/>
          <w:b/>
          <w:bCs/>
          <w:sz w:val="20"/>
          <w:szCs w:val="20"/>
        </w:rPr>
        <w:t>Talakoub</w:t>
      </w:r>
      <w:proofErr w:type="spellEnd"/>
      <w:r w:rsidRPr="000B47D4">
        <w:rPr>
          <w:rFonts w:ascii="Times New Roman" w:hAnsi="Times New Roman" w:cs="Times New Roman"/>
          <w:b/>
          <w:bCs/>
          <w:sz w:val="20"/>
          <w:szCs w:val="20"/>
        </w:rPr>
        <w:t xml:space="preserve"> and colleagues</w:t>
      </w:r>
      <w:r w:rsidRPr="000B47D4">
        <w:rPr>
          <w:rFonts w:ascii="Times New Roman" w:hAnsi="Times New Roman" w:cs="Times New Roman"/>
          <w:sz w:val="20"/>
          <w:szCs w:val="20"/>
        </w:rPr>
        <w:t xml:space="preserve"> reported that </w:t>
      </w:r>
      <w:proofErr w:type="spellStart"/>
      <w:r w:rsidRPr="000B47D4">
        <w:rPr>
          <w:rFonts w:ascii="Times New Roman" w:hAnsi="Times New Roman" w:cs="Times New Roman"/>
          <w:sz w:val="20"/>
          <w:szCs w:val="20"/>
        </w:rPr>
        <w:t>hypophosphatemia</w:t>
      </w:r>
      <w:proofErr w:type="spellEnd"/>
      <w:r w:rsidRPr="000B47D4">
        <w:rPr>
          <w:rFonts w:ascii="Times New Roman" w:hAnsi="Times New Roman" w:cs="Times New Roman"/>
          <w:sz w:val="20"/>
          <w:szCs w:val="20"/>
        </w:rPr>
        <w:t xml:space="preserve"> may increase the need to mechanical ventilation. Therefore, monitoring serum phosphorus level is a good prognostic factor to predict the need to ventilation</w:t>
      </w:r>
      <w:r w:rsidR="009C682A" w:rsidRPr="000B47D4">
        <w:rPr>
          <w:rFonts w:ascii="Times New Roman" w:hAnsi="Times New Roman" w:cs="Times New Roman"/>
          <w:sz w:val="20"/>
          <w:szCs w:val="20"/>
        </w:rPr>
        <w:fldChar w:fldCharType="begin" w:fldLock="1"/>
      </w:r>
      <w:r w:rsidRPr="000B47D4">
        <w:rPr>
          <w:rFonts w:ascii="Times New Roman" w:hAnsi="Times New Roman" w:cs="Times New Roman"/>
          <w:sz w:val="20"/>
          <w:szCs w:val="20"/>
        </w:rPr>
        <w:instrText>ADDIN CSL_CITATION { "citationItems" : [ { "id" : "ITEM-1", "itemData" : { "DOI" : "10.4103/2277-9175.205192", "ISSN" : "2277-9175", "PMID" : "28620595", "abstract" : "BACKGROUND No previous study exists to evaluate serum phosphorus (Ph) level as a predictor of the need to mechanical ventilation (MV). This study was designed to determine the predictive ability of admission serum Ph level on MV in patients admitted in Intensive Care Unit (ICU). MATERIALS AND METHODS This prospective study was conducted on 100 patients (&gt;16 years old), admitted to our ICU over 1-year. Patients were classified into two groups according to the days of the need to MV. Group A: Patients who required equal or &lt;5 days MV, and Group B: Patients who required more than 5 days of MV. We measured total serum Ph concentrations at the times of ICU admission, connecting to the ventilator and weaning from the ventilator. RESULTS There were significant differences between serum Ph concentration on admission to ICU (Group A: 3.39 \u00b1 0.39 mg/dl, Group B: 2.89 \u00b1 0.31 mg/dl,P&lt; 0.001), at the time of connecting to ventilator (Group A: 2.49 \u00b1 0.38 mg/dl, Group B: 2.25 \u00b1 0.26 mg/dl,P= 0.004) and weaning from ventilator (Group A: 3.42 \u00b1 0.33 mg/dl, Group B: 2.98 \u00b1 0.34 mg/dl,P&lt; 0.001) between two groups. Duration of ICU stay in Group A was 6.08 \u00b1 1.48 days and in Group B was 15.35 \u00b1 6.45, this difference was significant (P&lt; 0.001). We found the best cut-off point of 3.07 for serum Ph concentration to predict the longer duration of MV. CONCLUSION According to the results of our study, hypophosphatemia may increase the need to MV. Therefore, monitoring serum Ph level is a good prognostic factor to predict the need to ventilation.", "author" : [ { "dropping-particle" : "", "family" : "Talakoub", "given" : "Reihanak", "non-dropping-particle" : "", "parse-names" : false, "suffix" : "" }, { "dropping-particle" : "", "family" : "Bahrami", "given" : "Mahshid", "non-dropping-particle" : "", "parse-names" : false, "suffix" : "" }, { "dropping-particle" : "", "family" : "Honarmand", "given" : "Azim", "non-dropping-particle" : "", "parse-names" : false, "suffix" : "" }, { "dropping-particle" : "", "family" : "Abbasi", "given" : "Saeed", "non-dropping-particle" : "", "parse-names" : false, "suffix" : "" }, { "dropping-particle" : "", "family" : "Gerami", "given" : "Hamideh", "non-dropping-particle" : "", "parse-names" : false, "suffix" : "" } ], "container-title" : "Advanced Biomedical Research", "id" : "ITEM-1", "issue" : "1", "issued" : { "date-parts" : [ [ "2017" ] ] }, "page" : "51", "title" : "The Predicting Ability of Serum Phosphorus to Assess the Duration of Mechanical Ventilation in Critically Ill Patients", "type" : "article-journal", "volume" : "6" }, "uris" : [ "http://www.mendeley.com/documents/?uuid=52c507f3-f80c-3888-b424-6a9b8ed1ad84" ] } ], "mendeley" : { "formattedCitation" : "[24]", "plainTextFormattedCitation" : "[24]", "previouslyFormattedCitation" : "(&lt;b&gt;&lt;b&gt;Talakoub &lt;i&gt;et al.&lt;/i&gt;&lt;/b&gt;, 2017&lt;/b&gt;)" }, "properties" : {  }, "schema" : "https://github.com/citation-style-language/schema/raw/master/csl-citation.json" }</w:instrText>
      </w:r>
      <w:r w:rsidR="009C682A" w:rsidRPr="000B47D4">
        <w:rPr>
          <w:rFonts w:ascii="Times New Roman" w:hAnsi="Times New Roman" w:cs="Times New Roman"/>
          <w:sz w:val="20"/>
          <w:szCs w:val="20"/>
        </w:rPr>
        <w:fldChar w:fldCharType="separate"/>
      </w:r>
      <w:r w:rsidRPr="000B47D4">
        <w:rPr>
          <w:rFonts w:ascii="Times New Roman" w:hAnsi="Times New Roman" w:cs="Times New Roman"/>
          <w:noProof/>
          <w:sz w:val="20"/>
          <w:szCs w:val="20"/>
        </w:rPr>
        <w:t>[24]</w:t>
      </w:r>
      <w:r w:rsidR="009C682A" w:rsidRPr="000B47D4">
        <w:rPr>
          <w:rFonts w:ascii="Times New Roman" w:hAnsi="Times New Roman" w:cs="Times New Roman"/>
          <w:sz w:val="20"/>
          <w:szCs w:val="20"/>
        </w:rPr>
        <w:fldChar w:fldCharType="end"/>
      </w:r>
      <w:r w:rsidRPr="000B47D4">
        <w:rPr>
          <w:rFonts w:ascii="Times New Roman" w:hAnsi="Times New Roman" w:cs="Times New Roman"/>
          <w:sz w:val="20"/>
          <w:szCs w:val="20"/>
        </w:rPr>
        <w:t>.</w:t>
      </w:r>
    </w:p>
    <w:p w:rsidR="00550EE3" w:rsidRPr="000B47D4" w:rsidRDefault="00550EE3" w:rsidP="003B4339">
      <w:pPr>
        <w:snapToGrid w:val="0"/>
        <w:spacing w:after="0" w:line="240" w:lineRule="auto"/>
        <w:ind w:firstLine="425"/>
        <w:jc w:val="both"/>
        <w:rPr>
          <w:rFonts w:ascii="Times New Roman" w:hAnsi="Times New Roman" w:cs="Times New Roman"/>
          <w:sz w:val="20"/>
          <w:szCs w:val="20"/>
        </w:rPr>
      </w:pPr>
      <w:r w:rsidRPr="000B47D4">
        <w:rPr>
          <w:rFonts w:ascii="Times New Roman" w:hAnsi="Times New Roman" w:cs="Times New Roman"/>
          <w:sz w:val="20"/>
          <w:szCs w:val="20"/>
        </w:rPr>
        <w:t xml:space="preserve">Both serum magnesium and serum albumin were reported as a predictor of morbidity or mortality in critically ill patients, patients with </w:t>
      </w:r>
      <w:proofErr w:type="spellStart"/>
      <w:r w:rsidRPr="000B47D4">
        <w:rPr>
          <w:rFonts w:ascii="Times New Roman" w:hAnsi="Times New Roman" w:cs="Times New Roman"/>
          <w:sz w:val="20"/>
          <w:szCs w:val="20"/>
        </w:rPr>
        <w:t>hypomagnesemia</w:t>
      </w:r>
      <w:proofErr w:type="spellEnd"/>
      <w:r w:rsidRPr="000B47D4">
        <w:rPr>
          <w:rFonts w:ascii="Times New Roman" w:hAnsi="Times New Roman" w:cs="Times New Roman"/>
          <w:sz w:val="20"/>
          <w:szCs w:val="20"/>
        </w:rPr>
        <w:t xml:space="preserve"> and </w:t>
      </w:r>
      <w:proofErr w:type="spellStart"/>
      <w:r w:rsidRPr="000B47D4">
        <w:rPr>
          <w:rFonts w:ascii="Times New Roman" w:hAnsi="Times New Roman" w:cs="Times New Roman"/>
          <w:sz w:val="20"/>
          <w:szCs w:val="20"/>
        </w:rPr>
        <w:t>hypoalbuminemia</w:t>
      </w:r>
      <w:proofErr w:type="spellEnd"/>
      <w:r w:rsidRPr="000B47D4">
        <w:rPr>
          <w:rFonts w:ascii="Times New Roman" w:hAnsi="Times New Roman" w:cs="Times New Roman"/>
          <w:sz w:val="20"/>
          <w:szCs w:val="20"/>
        </w:rPr>
        <w:t xml:space="preserve"> were reported to suffer from longer hospital stay and worse survival rates than patients with normal values</w:t>
      </w:r>
      <w:r w:rsidR="009C682A" w:rsidRPr="000B47D4">
        <w:rPr>
          <w:rFonts w:ascii="Times New Roman" w:hAnsi="Times New Roman" w:cs="Times New Roman"/>
          <w:sz w:val="20"/>
          <w:szCs w:val="20"/>
        </w:rPr>
        <w:fldChar w:fldCharType="begin" w:fldLock="1"/>
      </w:r>
      <w:r w:rsidRPr="000B47D4">
        <w:rPr>
          <w:rFonts w:ascii="Times New Roman" w:hAnsi="Times New Roman" w:cs="Times New Roman"/>
          <w:sz w:val="20"/>
          <w:szCs w:val="20"/>
        </w:rPr>
        <w:instrText>ADDIN CSL_CITATION { "citationItems" : [ { "id" : "ITEM-1", "itemData" : { "ISSN" : "0544-0440", "PMID" : "18044292", "abstract" : "BACKGROUND/OBJECTIVE: No previous study exists to evaluate admission serum magnesium level as a predictor of morbidity or mortality. The aim of this study was to define the prevalence of admission hypomagnesemia in critically ill patients and to evaluate its relationship with organ dysfunction, length of stay, and mortality. METHODS: A retrospective study was done on 100 patients &gt; or =16 years old, admitted to the medical-surgical intensive care unit (ICU) at the University Hospital over 2 years period. Observations were made on admission total serum magnesium level, a variety of lab tests related to magnesium, need for ventilator, duration of mechanical ventilation, hospital/ICU lengths of stay, and general patient demographics. RESULTS: The serum magnesium level (normal value, 1.3-2.1 mEq/L) was measured at admission. At admission, 51% of patients had hypomagnesemia, 49% had normal magnesium levels. There was significant difference in mortality rate (55% vs 35%), the length of hospital (15.29 +/- 0.66 vs 12.81 +/- 0.91), or ICU (9.16 +/- 0.53 vs 5.71 +/- 0.55) stay between these two groups of patients (p &lt; 0.05 for all). Hypomagnesemic patients more frequently had total hypocalcemia, hypokalemia, and hyponatremia. A total of 51 patients developed hypomagnesemia during their ICU stay; these patients had higher Acute Physiology And Chronic Health Evaluation II (APACHE II) (14.16 +/- 1.03 vs 10.80 +/- 0.94) and Sequential Organ Failure Assessment (SOFA; 10.89 +/- 0.90 vs 7.58 +/- 5.01) scores at admission (p &lt; 0.01 for both), a higher maximum SOFA score during their ICU stay (14.75 +/- 0.73 vs 8.08 +/- 0.52, p &lt; 0.01), a more need to ventilator (58.6% vs 41.4%, p &lt; 0.05), and longer duration of mechanical ventilation (7.2 vs 4.7 day, p &lt; 0.01) than the other patients. The ROC curve of SOFA score in the hypomagnesemia yields significantly better results than APACHE II. An increase of 5 units in the APACHE II or SOFA measured on admission increase relative probability of hypomagnesemia by a factor of 0.12 and 0.16 respectively. CONCLUSION: Development of hypomagnesemia during an ICU stay is associated with guarded prognosis. Monitoring of serum magnesium levels may have prognostic, and perhaps therapeutic, implications.", "author" : [ { "dropping-particle" : "", "family" : "Safavi", "given" : "Mohammadreza", "non-dropping-particle" : "", "parse-names" : false, "suffix" : "" }, { "dropping-particle" : "", "family" : "Honarmand", "given" : "Azim", "non-dropping-particle" : "", "parse-names" : false, "suffix" : "" } ], "container-title" : "Middle East journal of anesthesiology", "id" : "ITEM-1", "issue" : "3", "issued" : { "date-parts" : [ [ "2007" ] ] }, "page" : "645-660", "title" : "Admission hypomagnesemia--impact on mortality or morbidity in critically ill patients.", "type" : "article-journal", "volume" : "19" }, "uris" : [ "http://www.mendeley.com/documents/?uuid=2959e2e9-e481-422b-a81d-d04727e8dec2" ] }, { "id" : "ITEM-2", "itemData" : { "ISBN" : "1306-696X (Print)", "ISSN" : "1306696X", "PMID" : "19353313", "abstract" : "BACKGROUND The aim of this study was to evaluate the value of hypoalbuminemia or hyperglycemia as predictors for need ventilator and for weaning success in critically ill trauma patients. METHODS A single center, retrospective trial was done on 600 trauma patients = or &gt;16 years old admitted for three or more days to the intensive care unit. Patients were classified into five different groups according to the reason for respiratory failure. The subsequent parameters were noted: serum albumin and glucose concentration, Acute Physiology and Chronic Health Evaluation III score, need ventilator, ventilator days, and fluid balance. RESULTS The initial mean serum glucose concentration was 9.3 (167.4) +/- 0.2 (3.6 mg/dl) mmol/L and the initial mean serum albumin concentration was 30.2 (3.02) +/- 0.02 (0.2 g/dl) g/L. Even though the circulating albumin concentration was considerably lower and serum glucose concentration was significantly higher in ICU nonsurvivors than in ICU survivors, neither albumin (r=-0.031, p=0.23) nor blood glucose concentration (r=0.050, p=0.11) on ICU admission was a predictor of the duration of mechanical ventilation. The profile of albumin and glucose concentration changes was dissimilar between weaned and mechanical ventilation-dependent patients. An increase of 5 g/L (0.5 g/dl) in serum albumin concentration multiplied the relative success probability by 1.10. Patients with serum albumin concentration less than 30.3 (3.03 g/dl) g/L were 1.2 times more likely to need ventilator than normo-albuminemic patients (relative risk 1.2, 95% confidence interval 1.06-1.31). The risk of need mechanical ventilation did not increase with blood glucose concentration more than 11 mmol/L (200 mg/dl). CONCLUSION These results suggest that albumin and blood glucose are possible indexes of the metabolic status of the trauma patient, which could be essential in deciding the need ventilator and weanable status of the patients who are mechanically ventilated for extended periods of time.", "author" : [ { "dropping-particle" : "", "family" : "Safavi", "given" : "Mohammadreza", "non-dropping-particle" : "", "parse-names" : false, "suffix" : "" }, { "dropping-particle" : "", "family" : "Honarmand", "given" : "Azim", "non-dropping-particle" : "", "parse-names" : false, "suffix" : "" } ], "container-title" : "Ulusal Travma ve Acil Cerrahi Dergisi", "id" : "ITEM-2", "issue" : "2", "issued" : { "date-parts" : [ [ "2009" ] ] }, "page" : "120-129", "title" : "The impact of admission hyperglycemia or hypoalbuminemia on need ventilator, time ventilated, mortality, and morbidity in critically ill trauma patients", "type" : "article-journal", "volume" : "15" }, "uris" : [ "http://www.mendeley.com/documents/?uuid=15933179-a0eb-470d-a809-24ce51c351e1" ] } ], "mendeley" : { "formattedCitation" : "[25,26]", "plainTextFormattedCitation" : "[25,26]", "previouslyFormattedCitation" : "(&lt;b&gt;&lt;b&gt;Safavi and Honarmand&lt;/b&gt;, 2007&lt;/b&gt;, &lt;b&gt;2009&lt;/b&gt;)" }, "properties" : {  }, "schema" : "https://github.com/citation-style-language/schema/raw/master/csl-citation.json" }</w:instrText>
      </w:r>
      <w:r w:rsidR="009C682A" w:rsidRPr="000B47D4">
        <w:rPr>
          <w:rFonts w:ascii="Times New Roman" w:hAnsi="Times New Roman" w:cs="Times New Roman"/>
          <w:sz w:val="20"/>
          <w:szCs w:val="20"/>
        </w:rPr>
        <w:fldChar w:fldCharType="separate"/>
      </w:r>
      <w:r w:rsidRPr="000B47D4">
        <w:rPr>
          <w:rFonts w:ascii="Times New Roman" w:hAnsi="Times New Roman" w:cs="Times New Roman"/>
          <w:noProof/>
          <w:sz w:val="20"/>
          <w:szCs w:val="20"/>
        </w:rPr>
        <w:t>[25,26]</w:t>
      </w:r>
      <w:r w:rsidR="009C682A" w:rsidRPr="000B47D4">
        <w:rPr>
          <w:rFonts w:ascii="Times New Roman" w:hAnsi="Times New Roman" w:cs="Times New Roman"/>
          <w:sz w:val="20"/>
          <w:szCs w:val="20"/>
        </w:rPr>
        <w:fldChar w:fldCharType="end"/>
      </w:r>
      <w:r w:rsidRPr="000B47D4">
        <w:rPr>
          <w:rFonts w:ascii="Times New Roman" w:hAnsi="Times New Roman" w:cs="Times New Roman"/>
          <w:sz w:val="20"/>
          <w:szCs w:val="20"/>
        </w:rPr>
        <w:t>.</w:t>
      </w:r>
    </w:p>
    <w:p w:rsidR="00550EE3" w:rsidRPr="000B47D4" w:rsidRDefault="00550EE3" w:rsidP="003B4339">
      <w:pPr>
        <w:snapToGrid w:val="0"/>
        <w:spacing w:after="0" w:line="240" w:lineRule="auto"/>
        <w:ind w:firstLine="425"/>
        <w:jc w:val="both"/>
        <w:rPr>
          <w:rFonts w:ascii="Times New Roman" w:hAnsi="Times New Roman" w:cs="Times New Roman"/>
          <w:sz w:val="20"/>
          <w:szCs w:val="20"/>
        </w:rPr>
      </w:pPr>
      <w:r w:rsidRPr="000B47D4">
        <w:rPr>
          <w:rFonts w:ascii="Times New Roman" w:hAnsi="Times New Roman" w:cs="Times New Roman"/>
          <w:sz w:val="20"/>
          <w:szCs w:val="20"/>
        </w:rPr>
        <w:t xml:space="preserve">With regard to EN-associated complications, almost 30% of patients in both groups complicated </w:t>
      </w:r>
      <w:r w:rsidRPr="000B47D4">
        <w:rPr>
          <w:rFonts w:ascii="Times New Roman" w:hAnsi="Times New Roman" w:cs="Times New Roman"/>
          <w:sz w:val="20"/>
          <w:szCs w:val="20"/>
        </w:rPr>
        <w:lastRenderedPageBreak/>
        <w:t xml:space="preserve">with diarrhea. There was no significant statistical difference between the two groups regarding any of the observed complications. When a patient is artificially fed by </w:t>
      </w:r>
      <w:proofErr w:type="spellStart"/>
      <w:r w:rsidRPr="000B47D4">
        <w:rPr>
          <w:rFonts w:ascii="Times New Roman" w:hAnsi="Times New Roman" w:cs="Times New Roman"/>
          <w:sz w:val="20"/>
          <w:szCs w:val="20"/>
        </w:rPr>
        <w:t>nasogastric</w:t>
      </w:r>
      <w:proofErr w:type="spellEnd"/>
      <w:r w:rsidRPr="000B47D4">
        <w:rPr>
          <w:rFonts w:ascii="Times New Roman" w:hAnsi="Times New Roman" w:cs="Times New Roman"/>
          <w:sz w:val="20"/>
          <w:szCs w:val="20"/>
        </w:rPr>
        <w:t xml:space="preserve"> tube several problems can pr</w:t>
      </w:r>
      <w:r w:rsidR="00181120" w:rsidRPr="000B47D4">
        <w:rPr>
          <w:rFonts w:ascii="Times New Roman" w:hAnsi="Times New Roman" w:cs="Times New Roman"/>
          <w:sz w:val="20"/>
          <w:szCs w:val="20"/>
        </w:rPr>
        <w:t>esent: gastrointestinal (diarrh</w:t>
      </w:r>
      <w:r w:rsidRPr="000B47D4">
        <w:rPr>
          <w:rFonts w:ascii="Times New Roman" w:hAnsi="Times New Roman" w:cs="Times New Roman"/>
          <w:sz w:val="20"/>
          <w:szCs w:val="20"/>
        </w:rPr>
        <w:t>ea, constipation, nausea and vomiting); tube‐related (nasal ulcers, tube clogging and tube dislodgement); respiratory (pulmonary aspiration); and metabolic (</w:t>
      </w:r>
      <w:proofErr w:type="spellStart"/>
      <w:r w:rsidRPr="000B47D4">
        <w:rPr>
          <w:rFonts w:ascii="Times New Roman" w:hAnsi="Times New Roman" w:cs="Times New Roman"/>
          <w:sz w:val="20"/>
          <w:szCs w:val="20"/>
        </w:rPr>
        <w:t>hyperglycaemia</w:t>
      </w:r>
      <w:proofErr w:type="spellEnd"/>
      <w:r w:rsidRPr="000B47D4">
        <w:rPr>
          <w:rFonts w:ascii="Times New Roman" w:hAnsi="Times New Roman" w:cs="Times New Roman"/>
          <w:sz w:val="20"/>
          <w:szCs w:val="20"/>
        </w:rPr>
        <w:t>, hyper or dehydration, electrolytic alterations)</w:t>
      </w:r>
      <w:r w:rsidR="009C682A" w:rsidRPr="000B47D4">
        <w:rPr>
          <w:rFonts w:ascii="Times New Roman" w:hAnsi="Times New Roman" w:cs="Times New Roman"/>
          <w:sz w:val="20"/>
          <w:szCs w:val="20"/>
        </w:rPr>
        <w:fldChar w:fldCharType="begin" w:fldLock="1"/>
      </w:r>
      <w:r w:rsidRPr="000B47D4">
        <w:rPr>
          <w:rFonts w:ascii="Times New Roman" w:hAnsi="Times New Roman" w:cs="Times New Roman"/>
          <w:sz w:val="20"/>
          <w:szCs w:val="20"/>
        </w:rPr>
        <w:instrText>ADDIN CSL_CITATION { "citationItems" : [ { "id" : "ITEM-1", "itemData" : { "DOI" : "10.1046/j.1365-2702.2001.00498.x", "ISBN" : "0962-1067 (Print)\\r0962-1067 (Linking)", "ISSN" : "09621067", "PMID" : "11822496", "abstract" : "Enteral nutrition through a nasogastric tube is a technique often used with hospitalized patients when they present problems with oral nutrition. Patients receiving enteral nutrition show several kinds of complications such as diarrhoea, vomiting, constipation, lung aspiration, tube dislodgement, tube clogging, hyperglycaemia and electrolytic alterations. We present a prospective and observational study carried out in an Internal Medicine Unit with 64 patients who were fed by a nasogastric tube. From the results it can be seen that older people represented a majority (the average age was 76.2 years), and difficulty in swallowing was the main reason for beginning enteral nutrition. The complications which appeared were: tube dislodgement (48.5%); electrolytic alterations (45.5%); hyperglycaemia (34.5%); diarrhoea (32.8%); constipation (29.7%); vomiting (20.4%); tube clogging (12.5%); and lung aspiration (3.1%). We discuss the possible relationship between the different factors associated with the enteral nutrition procedure and the occurrence of these complications. Finally, some nursing interventions are suggested, such as: checking the gastric residue periodically; attempting to place the tube in the duodenum in unconscious patients; and the use of protective mittens in disturbed patients.", "author" : [ { "dropping-particle" : "", "family" : "Pancorbo-Hidalgo", "given" : "Pedro L.", "non-dropping-particle" : "", "parse-names" : false, "suffix" : "" }, { "dropping-particle" : "", "family" : "Garc\u00eda-Fernandez", "given" : "Francisco P.", "non-dropping-particle" : "", "parse-names" : false, "suffix" : "" }, { "dropping-particle" : "", "family" : "Ram\u00edrez-P\u00e9rez", "given" : "Carmen", "non-dropping-particle" : "", "parse-names" : false, "suffix" : "" } ], "container-title" : "Journal of Clinical Nursing", "id" : "ITEM-1", "issue" : "4", "issued" : { "date-parts" : [ [ "2001" ] ] }, "page" : "482-490", "title" : "Complications associated with enteral nutrition by nasogastric tube in an internal medicine unit", "type" : "article-journal", "volume" : "10" }, "uris" : [ "http://www.mendeley.com/documents/?uuid=11fe871b-06e2-4e9d-87c7-654eb1e58e79" ] } ], "mendeley" : { "formattedCitation" : "[27]", "plainTextFormattedCitation" : "[27]", "previouslyFormattedCitation" : "(&lt;b&gt;&lt;b&gt;Pancorbo-Hidalgo &lt;i&gt;et al.&lt;/i&gt;&lt;/b&gt;, 2001&lt;/b&gt;)" }, "properties" : {  }, "schema" : "https://github.com/citation-style-language/schema/raw/master/csl-citation.json" }</w:instrText>
      </w:r>
      <w:r w:rsidR="009C682A" w:rsidRPr="000B47D4">
        <w:rPr>
          <w:rFonts w:ascii="Times New Roman" w:hAnsi="Times New Roman" w:cs="Times New Roman"/>
          <w:sz w:val="20"/>
          <w:szCs w:val="20"/>
        </w:rPr>
        <w:fldChar w:fldCharType="separate"/>
      </w:r>
      <w:r w:rsidRPr="000B47D4">
        <w:rPr>
          <w:rFonts w:ascii="Times New Roman" w:hAnsi="Times New Roman" w:cs="Times New Roman"/>
          <w:noProof/>
          <w:sz w:val="20"/>
          <w:szCs w:val="20"/>
        </w:rPr>
        <w:t>[27]</w:t>
      </w:r>
      <w:r w:rsidR="009C682A" w:rsidRPr="000B47D4">
        <w:rPr>
          <w:rFonts w:ascii="Times New Roman" w:hAnsi="Times New Roman" w:cs="Times New Roman"/>
          <w:sz w:val="20"/>
          <w:szCs w:val="20"/>
        </w:rPr>
        <w:fldChar w:fldCharType="end"/>
      </w:r>
      <w:r w:rsidRPr="000B47D4">
        <w:rPr>
          <w:rFonts w:ascii="Times New Roman" w:hAnsi="Times New Roman" w:cs="Times New Roman"/>
          <w:sz w:val="20"/>
          <w:szCs w:val="20"/>
        </w:rPr>
        <w:t>.</w:t>
      </w:r>
    </w:p>
    <w:p w:rsidR="00550EE3" w:rsidRPr="000B47D4" w:rsidRDefault="00550EE3" w:rsidP="003B4339">
      <w:pPr>
        <w:snapToGrid w:val="0"/>
        <w:spacing w:after="0" w:line="240" w:lineRule="auto"/>
        <w:ind w:firstLine="425"/>
        <w:jc w:val="both"/>
        <w:rPr>
          <w:rFonts w:ascii="Times New Roman" w:hAnsi="Times New Roman" w:cs="Times New Roman"/>
          <w:sz w:val="20"/>
          <w:szCs w:val="20"/>
        </w:rPr>
      </w:pPr>
      <w:r w:rsidRPr="000B47D4">
        <w:rPr>
          <w:rFonts w:ascii="Times New Roman" w:hAnsi="Times New Roman" w:cs="Times New Roman"/>
          <w:sz w:val="20"/>
          <w:szCs w:val="20"/>
        </w:rPr>
        <w:t xml:space="preserve">We acknowledge that the present study has a number of Limitations. The sample size in the present study was relatively smaller than previous reports, which may affect the </w:t>
      </w:r>
      <w:proofErr w:type="spellStart"/>
      <w:r w:rsidRPr="000B47D4">
        <w:rPr>
          <w:rFonts w:ascii="Times New Roman" w:hAnsi="Times New Roman" w:cs="Times New Roman"/>
          <w:sz w:val="20"/>
          <w:szCs w:val="20"/>
        </w:rPr>
        <w:t>generalizability</w:t>
      </w:r>
      <w:proofErr w:type="spellEnd"/>
      <w:r w:rsidRPr="000B47D4">
        <w:rPr>
          <w:rFonts w:ascii="Times New Roman" w:hAnsi="Times New Roman" w:cs="Times New Roman"/>
          <w:sz w:val="20"/>
          <w:szCs w:val="20"/>
        </w:rPr>
        <w:t xml:space="preserve"> of our findings. Moreover, we did not assess the arterial CO2 pressure, an important proxy for the efficacy of high fat, low carbohydrates diet.</w:t>
      </w:r>
    </w:p>
    <w:p w:rsidR="00550EE3" w:rsidRPr="000B47D4" w:rsidRDefault="00550EE3" w:rsidP="003B4339">
      <w:pPr>
        <w:snapToGrid w:val="0"/>
        <w:spacing w:after="0" w:line="240" w:lineRule="auto"/>
        <w:ind w:firstLine="425"/>
        <w:jc w:val="both"/>
        <w:rPr>
          <w:rFonts w:ascii="Times New Roman" w:hAnsi="Times New Roman" w:cs="Times New Roman"/>
          <w:sz w:val="20"/>
          <w:szCs w:val="20"/>
        </w:rPr>
      </w:pPr>
    </w:p>
    <w:p w:rsidR="003B4339" w:rsidRPr="000B47D4" w:rsidRDefault="003B4339" w:rsidP="003B4339">
      <w:pPr>
        <w:pStyle w:val="ListParagraph"/>
        <w:snapToGrid w:val="0"/>
        <w:spacing w:after="0" w:line="240" w:lineRule="auto"/>
        <w:ind w:left="425" w:hanging="425"/>
        <w:jc w:val="both"/>
        <w:rPr>
          <w:rFonts w:ascii="Times New Roman" w:hAnsi="Times New Roman" w:cs="Times New Roman"/>
          <w:b/>
          <w:bCs/>
          <w:sz w:val="20"/>
          <w:szCs w:val="20"/>
          <w:lang w:eastAsia="zh-CN"/>
        </w:rPr>
      </w:pPr>
      <w:r w:rsidRPr="000B47D4">
        <w:rPr>
          <w:rFonts w:ascii="Times New Roman" w:hAnsi="Times New Roman" w:cs="Times New Roman"/>
          <w:b/>
          <w:bCs/>
          <w:sz w:val="20"/>
          <w:szCs w:val="20"/>
        </w:rPr>
        <w:t>References</w:t>
      </w:r>
    </w:p>
    <w:p w:rsidR="003B4339" w:rsidRPr="000B47D4" w:rsidRDefault="003B4339" w:rsidP="003B4339">
      <w:pPr>
        <w:pStyle w:val="ListParagraph"/>
        <w:widowControl w:val="0"/>
        <w:numPr>
          <w:ilvl w:val="1"/>
          <w:numId w:val="7"/>
        </w:numPr>
        <w:tabs>
          <w:tab w:val="right" w:pos="426"/>
        </w:tabs>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0B47D4">
        <w:rPr>
          <w:rFonts w:ascii="Times New Roman" w:hAnsi="Times New Roman" w:cs="Times New Roman"/>
          <w:noProof/>
          <w:sz w:val="20"/>
          <w:szCs w:val="20"/>
        </w:rPr>
        <w:t>H</w:t>
      </w:r>
      <w:r w:rsidR="00550EE3" w:rsidRPr="000B47D4">
        <w:rPr>
          <w:rFonts w:ascii="Times New Roman" w:hAnsi="Times New Roman" w:cs="Times New Roman"/>
          <w:noProof/>
          <w:sz w:val="20"/>
          <w:szCs w:val="20"/>
        </w:rPr>
        <w:t>ejazi</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NP,</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Mazloom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ZP,</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Zand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FM,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Rezaianzadeh</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AMMP,</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Amini</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Nutritional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Assessment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Critically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Ill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Patients.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Iran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J</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Med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Sci</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2016;41:171–179.</w:t>
      </w:r>
    </w:p>
    <w:p w:rsidR="003B4339" w:rsidRPr="000B47D4" w:rsidRDefault="003B4339" w:rsidP="003B4339">
      <w:pPr>
        <w:pStyle w:val="ListParagraph"/>
        <w:widowControl w:val="0"/>
        <w:numPr>
          <w:ilvl w:val="1"/>
          <w:numId w:val="7"/>
        </w:numPr>
        <w:tabs>
          <w:tab w:val="right" w:pos="426"/>
        </w:tabs>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0B47D4">
        <w:rPr>
          <w:rFonts w:ascii="Times New Roman" w:hAnsi="Times New Roman" w:cs="Times New Roman"/>
          <w:noProof/>
          <w:sz w:val="20"/>
          <w:szCs w:val="20"/>
        </w:rPr>
        <w:t>M</w:t>
      </w:r>
      <w:r w:rsidR="00550EE3" w:rsidRPr="000B47D4">
        <w:rPr>
          <w:rFonts w:ascii="Times New Roman" w:hAnsi="Times New Roman" w:cs="Times New Roman"/>
          <w:noProof/>
          <w:sz w:val="20"/>
          <w:szCs w:val="20"/>
        </w:rPr>
        <w:t>cClave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SA,</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Taylor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BE,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Martindale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RG,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Warren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Johnson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Braunschweig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Guidelines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for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the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Provision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and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Assessment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of</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Nutrition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Support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Therapy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the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Adult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Critically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Ill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Patient: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Society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of</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Critical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Care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Medicine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(SCCM)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and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American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Society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for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Parenteral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and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Enteral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Nutrition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(A.S.P.E.N.).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J</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Parenter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Enter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Nutr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2016;40:159–211.</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doi:10.1177/0148607115621863.</w:t>
      </w:r>
    </w:p>
    <w:p w:rsidR="003B4339" w:rsidRPr="000B47D4" w:rsidRDefault="003B4339" w:rsidP="003B4339">
      <w:pPr>
        <w:pStyle w:val="ListParagraph"/>
        <w:widowControl w:val="0"/>
        <w:numPr>
          <w:ilvl w:val="1"/>
          <w:numId w:val="7"/>
        </w:numPr>
        <w:tabs>
          <w:tab w:val="right" w:pos="426"/>
        </w:tabs>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0B47D4">
        <w:rPr>
          <w:rFonts w:ascii="Times New Roman" w:hAnsi="Times New Roman" w:cs="Times New Roman"/>
          <w:noProof/>
          <w:sz w:val="20"/>
          <w:szCs w:val="20"/>
        </w:rPr>
        <w:t>Z</w:t>
      </w:r>
      <w:r w:rsidR="00550EE3" w:rsidRPr="000B47D4">
        <w:rPr>
          <w:rFonts w:ascii="Times New Roman" w:hAnsi="Times New Roman" w:cs="Times New Roman"/>
          <w:noProof/>
          <w:sz w:val="20"/>
          <w:szCs w:val="20"/>
        </w:rPr>
        <w:t>aloga</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GP.</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Parenteral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nutrition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adult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inpatients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with</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functioning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gastrointestinal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tracts: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assessment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of</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outcomes.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Lancet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2006;367:1101–1111.</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doi:10.1016/S0140-6736(06)68307-4.</w:t>
      </w:r>
    </w:p>
    <w:p w:rsidR="003B4339" w:rsidRPr="000B47D4" w:rsidRDefault="003B4339" w:rsidP="003B4339">
      <w:pPr>
        <w:pStyle w:val="ListParagraph"/>
        <w:widowControl w:val="0"/>
        <w:numPr>
          <w:ilvl w:val="1"/>
          <w:numId w:val="7"/>
        </w:numPr>
        <w:tabs>
          <w:tab w:val="right" w:pos="426"/>
        </w:tabs>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0B47D4">
        <w:rPr>
          <w:rFonts w:ascii="Times New Roman" w:hAnsi="Times New Roman" w:cs="Times New Roman"/>
          <w:noProof/>
          <w:sz w:val="20"/>
          <w:szCs w:val="20"/>
        </w:rPr>
        <w:t>V</w:t>
      </w:r>
      <w:r w:rsidR="00550EE3" w:rsidRPr="000B47D4">
        <w:rPr>
          <w:rFonts w:ascii="Times New Roman" w:hAnsi="Times New Roman" w:cs="Times New Roman"/>
          <w:noProof/>
          <w:sz w:val="20"/>
          <w:szCs w:val="20"/>
        </w:rPr>
        <w:t>illet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Chiolero</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RL,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Bollmann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Revelly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JP,</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Cayeux</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RN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MC,</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Delarue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J,</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Negative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impact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of</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hypocaloric</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feeding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and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energy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balance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clinical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outcome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ICU</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patients.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Clin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Nutr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2005;24:502–509.</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doi:10.1016/j.clnu.2005.03.006.</w:t>
      </w:r>
    </w:p>
    <w:p w:rsidR="003B4339" w:rsidRPr="000B47D4" w:rsidRDefault="003B4339" w:rsidP="003B4339">
      <w:pPr>
        <w:pStyle w:val="ListParagraph"/>
        <w:widowControl w:val="0"/>
        <w:numPr>
          <w:ilvl w:val="1"/>
          <w:numId w:val="7"/>
        </w:numPr>
        <w:tabs>
          <w:tab w:val="right" w:pos="426"/>
        </w:tabs>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0B47D4">
        <w:rPr>
          <w:rFonts w:ascii="Times New Roman" w:hAnsi="Times New Roman" w:cs="Times New Roman"/>
          <w:noProof/>
          <w:sz w:val="20"/>
          <w:szCs w:val="20"/>
        </w:rPr>
        <w:t>S</w:t>
      </w:r>
      <w:r w:rsidR="00550EE3" w:rsidRPr="000B47D4">
        <w:rPr>
          <w:rFonts w:ascii="Times New Roman" w:hAnsi="Times New Roman" w:cs="Times New Roman"/>
          <w:noProof/>
          <w:sz w:val="20"/>
          <w:szCs w:val="20"/>
        </w:rPr>
        <w:t>eron-Arbeloa</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Zamora-Elson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Labarta-Monzon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Mallor-Bonet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Enteral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Nutrition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Critical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Care.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J</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Clin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Med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Res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@BULLET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2013;5:1–11.</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doi:10.4021/jocmr1210w.</w:t>
      </w:r>
    </w:p>
    <w:p w:rsidR="003B4339" w:rsidRPr="000B47D4" w:rsidRDefault="003B4339" w:rsidP="003B4339">
      <w:pPr>
        <w:pStyle w:val="ListParagraph"/>
        <w:widowControl w:val="0"/>
        <w:numPr>
          <w:ilvl w:val="1"/>
          <w:numId w:val="7"/>
        </w:numPr>
        <w:tabs>
          <w:tab w:val="right" w:pos="426"/>
        </w:tabs>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0B47D4">
        <w:rPr>
          <w:rFonts w:ascii="Times New Roman" w:hAnsi="Times New Roman" w:cs="Times New Roman"/>
          <w:noProof/>
          <w:sz w:val="20"/>
          <w:szCs w:val="20"/>
        </w:rPr>
        <w:t>D</w:t>
      </w:r>
      <w:r w:rsidR="00550EE3" w:rsidRPr="000B47D4">
        <w:rPr>
          <w:rFonts w:ascii="Times New Roman" w:hAnsi="Times New Roman" w:cs="Times New Roman"/>
          <w:noProof/>
          <w:sz w:val="20"/>
          <w:szCs w:val="20"/>
        </w:rPr>
        <w:t>udrick</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SJ.</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Early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developments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and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clinical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applications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of</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total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parenteral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nutrition.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J.</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Parenter.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Enter.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Nutr.,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vol.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27,</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2003,</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291–299.</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doi:10.1177/0148607103027004291.</w:t>
      </w:r>
    </w:p>
    <w:p w:rsidR="003B4339" w:rsidRPr="000B47D4" w:rsidRDefault="003B4339" w:rsidP="003B4339">
      <w:pPr>
        <w:pStyle w:val="ListParagraph"/>
        <w:widowControl w:val="0"/>
        <w:numPr>
          <w:ilvl w:val="1"/>
          <w:numId w:val="7"/>
        </w:numPr>
        <w:tabs>
          <w:tab w:val="right" w:pos="426"/>
        </w:tabs>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0B47D4">
        <w:rPr>
          <w:rFonts w:ascii="Times New Roman" w:hAnsi="Times New Roman" w:cs="Times New Roman"/>
          <w:noProof/>
          <w:sz w:val="20"/>
          <w:szCs w:val="20"/>
        </w:rPr>
        <w:t>T</w:t>
      </w:r>
      <w:r w:rsidR="00550EE3" w:rsidRPr="000B47D4">
        <w:rPr>
          <w:rFonts w:ascii="Times New Roman" w:hAnsi="Times New Roman" w:cs="Times New Roman"/>
          <w:noProof/>
          <w:sz w:val="20"/>
          <w:szCs w:val="20"/>
        </w:rPr>
        <w:t>hibault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Pichard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Parenteral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nutrition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critical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illness: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Can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safely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improve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outcomes?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Crit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Care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Clin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2010;26:467–480.</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doi:10.1016/j.ccc.2010.04.002.</w:t>
      </w:r>
    </w:p>
    <w:p w:rsidR="003B4339" w:rsidRPr="000B47D4" w:rsidRDefault="003B4339" w:rsidP="003B4339">
      <w:pPr>
        <w:pStyle w:val="ListParagraph"/>
        <w:widowControl w:val="0"/>
        <w:numPr>
          <w:ilvl w:val="1"/>
          <w:numId w:val="7"/>
        </w:numPr>
        <w:tabs>
          <w:tab w:val="right" w:pos="426"/>
        </w:tabs>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0B47D4">
        <w:rPr>
          <w:rFonts w:ascii="Times New Roman" w:hAnsi="Times New Roman" w:cs="Times New Roman"/>
          <w:noProof/>
          <w:sz w:val="20"/>
          <w:szCs w:val="20"/>
        </w:rPr>
        <w:t>H</w:t>
      </w:r>
      <w:r w:rsidR="00550EE3" w:rsidRPr="000B47D4">
        <w:rPr>
          <w:rFonts w:ascii="Times New Roman" w:hAnsi="Times New Roman" w:cs="Times New Roman"/>
          <w:noProof/>
          <w:sz w:val="20"/>
          <w:szCs w:val="20"/>
        </w:rPr>
        <w:t>eyland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Dhaliwal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Drover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J,</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Gramlich</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Dodek</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Canadian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clinical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practice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guidelines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lastRenderedPageBreak/>
        <w:t>for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nutrition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support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mechanically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ventilated,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critically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ill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adult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patients.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J</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Parenter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Enter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Nutr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2003;27:355–373.</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doi:10.1177/0148607103027005355.</w:t>
      </w:r>
    </w:p>
    <w:p w:rsidR="003B4339" w:rsidRPr="000B47D4" w:rsidRDefault="003B4339" w:rsidP="003B4339">
      <w:pPr>
        <w:pStyle w:val="ListParagraph"/>
        <w:widowControl w:val="0"/>
        <w:numPr>
          <w:ilvl w:val="1"/>
          <w:numId w:val="7"/>
        </w:numPr>
        <w:tabs>
          <w:tab w:val="right" w:pos="426"/>
        </w:tabs>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0B47D4">
        <w:rPr>
          <w:rFonts w:ascii="Times New Roman" w:hAnsi="Times New Roman" w:cs="Times New Roman"/>
          <w:noProof/>
          <w:sz w:val="20"/>
          <w:szCs w:val="20"/>
        </w:rPr>
        <w:t>S</w:t>
      </w:r>
      <w:r w:rsidR="00550EE3" w:rsidRPr="000B47D4">
        <w:rPr>
          <w:rFonts w:ascii="Times New Roman" w:hAnsi="Times New Roman" w:cs="Times New Roman"/>
          <w:noProof/>
          <w:sz w:val="20"/>
          <w:szCs w:val="20"/>
        </w:rPr>
        <w:t>impson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F,</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Doig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GS.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Parenteral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vs.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enteral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nutrition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the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critically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ill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patient: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meta-analysis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of</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trials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using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the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intention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to</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treat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principle.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Intensive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Care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Med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2005;31:12–23.</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doi:10.1007/s00134-004-2511-2.</w:t>
      </w:r>
    </w:p>
    <w:p w:rsidR="003B4339" w:rsidRPr="000B47D4" w:rsidRDefault="003B4339" w:rsidP="003B4339">
      <w:pPr>
        <w:pStyle w:val="ListParagraph"/>
        <w:widowControl w:val="0"/>
        <w:numPr>
          <w:ilvl w:val="1"/>
          <w:numId w:val="7"/>
        </w:numPr>
        <w:tabs>
          <w:tab w:val="right" w:pos="426"/>
        </w:tabs>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0B47D4">
        <w:rPr>
          <w:rFonts w:ascii="Times New Roman" w:hAnsi="Times New Roman" w:cs="Times New Roman"/>
          <w:noProof/>
          <w:sz w:val="20"/>
          <w:szCs w:val="20"/>
        </w:rPr>
        <w:t>E</w:t>
      </w:r>
      <w:r w:rsidR="00550EE3" w:rsidRPr="000B47D4">
        <w:rPr>
          <w:rFonts w:ascii="Times New Roman" w:hAnsi="Times New Roman" w:cs="Times New Roman"/>
          <w:noProof/>
          <w:sz w:val="20"/>
          <w:szCs w:val="20"/>
        </w:rPr>
        <w:t>lke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van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Zanten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ARH,</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Lemieux</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McCall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Jeejeebhoy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KN,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Kott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Enteral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versus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parenteral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nutrition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critically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ill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patients: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updated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systematic</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review</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and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meta-analysis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of</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randomized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controlled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trials.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Crit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Care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2016;20:117.</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doi:10.1186/s13054-016-1298-1.</w:t>
      </w:r>
    </w:p>
    <w:p w:rsidR="003B4339" w:rsidRPr="000B47D4" w:rsidRDefault="003B4339" w:rsidP="003B4339">
      <w:pPr>
        <w:pStyle w:val="ListParagraph"/>
        <w:widowControl w:val="0"/>
        <w:numPr>
          <w:ilvl w:val="1"/>
          <w:numId w:val="7"/>
        </w:numPr>
        <w:tabs>
          <w:tab w:val="right" w:pos="426"/>
        </w:tabs>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0B47D4">
        <w:rPr>
          <w:rFonts w:ascii="Times New Roman" w:hAnsi="Times New Roman" w:cs="Times New Roman"/>
          <w:noProof/>
          <w:sz w:val="20"/>
          <w:szCs w:val="20"/>
        </w:rPr>
        <w:t>R</w:t>
      </w:r>
      <w:r w:rsidR="00550EE3" w:rsidRPr="000B47D4">
        <w:rPr>
          <w:rFonts w:ascii="Times New Roman" w:hAnsi="Times New Roman" w:cs="Times New Roman"/>
          <w:noProof/>
          <w:sz w:val="20"/>
          <w:szCs w:val="20"/>
        </w:rPr>
        <w:t>hee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Hadjizacharia</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Trankiem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Chan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Salim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Brown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What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happened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to</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total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parenteral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nutrition?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the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disappearance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of</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its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use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trauma</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intensive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care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unit.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J</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Trauma</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2007;63:1215–1222.</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doi:10.1097/TA.0b013e31815b83e9.</w:t>
      </w:r>
    </w:p>
    <w:p w:rsidR="003B4339" w:rsidRPr="000B47D4" w:rsidRDefault="003B4339" w:rsidP="003B4339">
      <w:pPr>
        <w:pStyle w:val="ListParagraph"/>
        <w:widowControl w:val="0"/>
        <w:numPr>
          <w:ilvl w:val="1"/>
          <w:numId w:val="7"/>
        </w:numPr>
        <w:tabs>
          <w:tab w:val="right" w:pos="426"/>
        </w:tabs>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0B47D4">
        <w:rPr>
          <w:rFonts w:ascii="Times New Roman" w:hAnsi="Times New Roman" w:cs="Times New Roman"/>
          <w:noProof/>
          <w:sz w:val="20"/>
          <w:szCs w:val="20"/>
        </w:rPr>
        <w:t>H</w:t>
      </w:r>
      <w:r w:rsidR="00550EE3" w:rsidRPr="000B47D4">
        <w:rPr>
          <w:rFonts w:ascii="Times New Roman" w:hAnsi="Times New Roman" w:cs="Times New Roman"/>
          <w:noProof/>
          <w:sz w:val="20"/>
          <w:szCs w:val="20"/>
        </w:rPr>
        <w:t>sieh</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M-J,</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Yang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Tsai</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Y-H.</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Nutritional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supplementation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patients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with</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chronic</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obstructive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pulmonary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disease.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J</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Formos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Med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Assoc</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2016;115:595–601.</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doi:10.1016/j.jfma.2015.10.008.</w:t>
      </w:r>
    </w:p>
    <w:p w:rsidR="003B4339" w:rsidRPr="000B47D4" w:rsidRDefault="003B4339" w:rsidP="003B4339">
      <w:pPr>
        <w:pStyle w:val="ListParagraph"/>
        <w:widowControl w:val="0"/>
        <w:numPr>
          <w:ilvl w:val="1"/>
          <w:numId w:val="7"/>
        </w:numPr>
        <w:tabs>
          <w:tab w:val="right" w:pos="426"/>
        </w:tabs>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0B47D4">
        <w:rPr>
          <w:rFonts w:ascii="Times New Roman" w:hAnsi="Times New Roman" w:cs="Times New Roman"/>
          <w:noProof/>
          <w:sz w:val="20"/>
          <w:szCs w:val="20"/>
        </w:rPr>
        <w:t>A</w:t>
      </w:r>
      <w:r w:rsidR="00550EE3" w:rsidRPr="000B47D4">
        <w:rPr>
          <w:rFonts w:ascii="Times New Roman" w:hAnsi="Times New Roman" w:cs="Times New Roman"/>
          <w:noProof/>
          <w:sz w:val="20"/>
          <w:szCs w:val="20"/>
        </w:rPr>
        <w:t>bd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Sabour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Faramawy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Abd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Allah</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Batrawy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Amer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H.</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Impact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of</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high</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fat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low</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carbohydrate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enteral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feeding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weaning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from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mechanical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ventilation.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Egypt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J</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Chest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Dis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Tuberc</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2014;63:931–938.</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doi:10.1016/j.ejcdt.2014.07.004.</w:t>
      </w:r>
    </w:p>
    <w:p w:rsidR="003B4339" w:rsidRPr="000B47D4" w:rsidRDefault="003B4339" w:rsidP="003B4339">
      <w:pPr>
        <w:pStyle w:val="ListParagraph"/>
        <w:widowControl w:val="0"/>
        <w:numPr>
          <w:ilvl w:val="1"/>
          <w:numId w:val="7"/>
        </w:numPr>
        <w:tabs>
          <w:tab w:val="right" w:pos="426"/>
        </w:tabs>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0B47D4">
        <w:rPr>
          <w:rFonts w:ascii="Times New Roman" w:hAnsi="Times New Roman" w:cs="Times New Roman" w:hint="eastAsia"/>
          <w:noProof/>
          <w:sz w:val="20"/>
          <w:szCs w:val="20"/>
          <w:lang w:eastAsia="zh-CN"/>
        </w:rPr>
        <w:t>V</w:t>
      </w:r>
      <w:r w:rsidR="00550EE3" w:rsidRPr="000B47D4">
        <w:rPr>
          <w:rFonts w:ascii="Times New Roman" w:hAnsi="Times New Roman" w:cs="Times New Roman"/>
          <w:noProof/>
          <w:sz w:val="20"/>
          <w:szCs w:val="20"/>
        </w:rPr>
        <w:t>an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den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Berg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B,</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Bogaard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JM,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Hop</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WCJ.</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High</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fat,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low</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carbohydrate,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enteral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feeding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patients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weaning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from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the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ventilator.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Intensive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Care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Med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1994;20:470–475.</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doi:10.1007/BF01711897.</w:t>
      </w:r>
    </w:p>
    <w:p w:rsidR="003B4339" w:rsidRPr="000B47D4" w:rsidRDefault="003B4339" w:rsidP="003B4339">
      <w:pPr>
        <w:pStyle w:val="ListParagraph"/>
        <w:widowControl w:val="0"/>
        <w:numPr>
          <w:ilvl w:val="1"/>
          <w:numId w:val="7"/>
        </w:numPr>
        <w:tabs>
          <w:tab w:val="right" w:pos="426"/>
        </w:tabs>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0B47D4">
        <w:rPr>
          <w:rFonts w:ascii="Times New Roman" w:hAnsi="Times New Roman" w:cs="Times New Roman"/>
          <w:noProof/>
          <w:sz w:val="20"/>
          <w:szCs w:val="20"/>
        </w:rPr>
        <w:t>E</w:t>
      </w:r>
      <w:r w:rsidR="00550EE3" w:rsidRPr="000B47D4">
        <w:rPr>
          <w:rFonts w:ascii="Times New Roman" w:hAnsi="Times New Roman" w:cs="Times New Roman"/>
          <w:noProof/>
          <w:sz w:val="20"/>
          <w:szCs w:val="20"/>
        </w:rPr>
        <w:t>lm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Von,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Altman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Egger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Pocock</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SJ,</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Gøtzsche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PC,</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Vandenbroucke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JP,</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The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Strengthening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the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Reporting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of</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Observational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Studies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Epidemiology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STROBE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Statement :</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Guidelines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for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reporting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observational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studies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J</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Surg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2014;12:1495–1499.</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doi:10.1016/j.ijsu.2014.07.013.</w:t>
      </w:r>
    </w:p>
    <w:p w:rsidR="003B4339" w:rsidRPr="000B47D4" w:rsidRDefault="003B4339" w:rsidP="003B4339">
      <w:pPr>
        <w:pStyle w:val="ListParagraph"/>
        <w:widowControl w:val="0"/>
        <w:numPr>
          <w:ilvl w:val="1"/>
          <w:numId w:val="7"/>
        </w:numPr>
        <w:tabs>
          <w:tab w:val="right" w:pos="426"/>
        </w:tabs>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0B47D4">
        <w:rPr>
          <w:rFonts w:ascii="Times New Roman" w:hAnsi="Times New Roman" w:cs="Times New Roman"/>
          <w:noProof/>
          <w:sz w:val="20"/>
          <w:szCs w:val="20"/>
        </w:rPr>
        <w:t>E</w:t>
      </w:r>
      <w:r w:rsidR="00550EE3" w:rsidRPr="000B47D4">
        <w:rPr>
          <w:rFonts w:ascii="Times New Roman" w:hAnsi="Times New Roman" w:cs="Times New Roman"/>
          <w:noProof/>
          <w:sz w:val="20"/>
          <w:szCs w:val="20"/>
        </w:rPr>
        <w:t>skandar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Apostolakos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MJ.</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Weaning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from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Mechanical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Ventilation.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Crit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Care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Clin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2007;23:263–274.</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doi:10.1016/j.ccc.2006.12.002.</w:t>
      </w:r>
    </w:p>
    <w:p w:rsidR="003B4339" w:rsidRPr="000B47D4" w:rsidRDefault="003B4339" w:rsidP="003B4339">
      <w:pPr>
        <w:pStyle w:val="ListParagraph"/>
        <w:widowControl w:val="0"/>
        <w:numPr>
          <w:ilvl w:val="1"/>
          <w:numId w:val="7"/>
        </w:numPr>
        <w:tabs>
          <w:tab w:val="right" w:pos="426"/>
        </w:tabs>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0B47D4">
        <w:rPr>
          <w:rFonts w:ascii="Times New Roman" w:hAnsi="Times New Roman" w:cs="Times New Roman"/>
          <w:noProof/>
          <w:sz w:val="20"/>
          <w:szCs w:val="20"/>
        </w:rPr>
        <w:t>R</w:t>
      </w:r>
      <w:r w:rsidR="00550EE3" w:rsidRPr="000B47D4">
        <w:rPr>
          <w:rFonts w:ascii="Times New Roman" w:hAnsi="Times New Roman" w:cs="Times New Roman"/>
          <w:noProof/>
          <w:sz w:val="20"/>
          <w:szCs w:val="20"/>
        </w:rPr>
        <w:t>obson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V,</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Poynter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J,</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Lawler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Baudouin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V.</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The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need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for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regional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weaning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centre,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one-year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survey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of</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intensive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care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weaning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delay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the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Northern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Region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of</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England.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Anaesthesia</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2003;58:161–165.</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doi:10.1046/j.1365-2044.2003.02964_1.x.</w:t>
      </w:r>
    </w:p>
    <w:p w:rsidR="003B4339" w:rsidRPr="000B47D4" w:rsidRDefault="003B4339" w:rsidP="003B4339">
      <w:pPr>
        <w:pStyle w:val="ListParagraph"/>
        <w:widowControl w:val="0"/>
        <w:numPr>
          <w:ilvl w:val="1"/>
          <w:numId w:val="7"/>
        </w:numPr>
        <w:tabs>
          <w:tab w:val="right" w:pos="426"/>
        </w:tabs>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0B47D4">
        <w:rPr>
          <w:rFonts w:ascii="Times New Roman" w:hAnsi="Times New Roman" w:cs="Times New Roman"/>
          <w:noProof/>
          <w:sz w:val="20"/>
          <w:szCs w:val="20"/>
        </w:rPr>
        <w:t>K</w:t>
      </w:r>
      <w:r w:rsidR="00550EE3" w:rsidRPr="000B47D4">
        <w:rPr>
          <w:rFonts w:ascii="Times New Roman" w:hAnsi="Times New Roman" w:cs="Times New Roman"/>
          <w:noProof/>
          <w:sz w:val="20"/>
          <w:szCs w:val="20"/>
        </w:rPr>
        <w:t>aplan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LJ,</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Toevs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Weaning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from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mechanical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ventilation.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Curr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Probl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Surg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2013;50:489–494.</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doi:10.1067/j.cpsurg.2013.08.014.</w:t>
      </w:r>
    </w:p>
    <w:p w:rsidR="003B4339" w:rsidRPr="000B47D4" w:rsidRDefault="003B4339" w:rsidP="003B4339">
      <w:pPr>
        <w:pStyle w:val="ListParagraph"/>
        <w:widowControl w:val="0"/>
        <w:numPr>
          <w:ilvl w:val="1"/>
          <w:numId w:val="7"/>
        </w:numPr>
        <w:tabs>
          <w:tab w:val="right" w:pos="426"/>
        </w:tabs>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0B47D4">
        <w:rPr>
          <w:rFonts w:ascii="Times New Roman" w:hAnsi="Times New Roman" w:cs="Times New Roman"/>
          <w:noProof/>
          <w:sz w:val="20"/>
          <w:szCs w:val="20"/>
        </w:rPr>
        <w:lastRenderedPageBreak/>
        <w:t>A</w:t>
      </w:r>
      <w:r w:rsidR="00550EE3" w:rsidRPr="000B47D4">
        <w:rPr>
          <w:rFonts w:ascii="Times New Roman" w:hAnsi="Times New Roman" w:cs="Times New Roman"/>
          <w:noProof/>
          <w:sz w:val="20"/>
          <w:szCs w:val="20"/>
        </w:rPr>
        <w:t>l-Saady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Blackmore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Bennett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High</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fat,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low</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carbohydrate,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enteral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feeding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lowers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PaCO2</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and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reduces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the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period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of</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ventilation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artificially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ventilated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patients.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Intensive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Care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Med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1989;15:290–295.</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doi:10.1007/BF00263863.</w:t>
      </w:r>
    </w:p>
    <w:p w:rsidR="003B4339" w:rsidRPr="000B47D4" w:rsidRDefault="003B4339" w:rsidP="003B4339">
      <w:pPr>
        <w:pStyle w:val="ListParagraph"/>
        <w:widowControl w:val="0"/>
        <w:numPr>
          <w:ilvl w:val="1"/>
          <w:numId w:val="7"/>
        </w:numPr>
        <w:tabs>
          <w:tab w:val="right" w:pos="426"/>
        </w:tabs>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0B47D4">
        <w:rPr>
          <w:rFonts w:ascii="Times New Roman" w:hAnsi="Times New Roman" w:cs="Times New Roman"/>
          <w:noProof/>
          <w:sz w:val="20"/>
          <w:szCs w:val="20"/>
        </w:rPr>
        <w:t>G</w:t>
      </w:r>
      <w:r w:rsidR="00550EE3" w:rsidRPr="000B47D4">
        <w:rPr>
          <w:rFonts w:ascii="Times New Roman" w:hAnsi="Times New Roman" w:cs="Times New Roman"/>
          <w:noProof/>
          <w:sz w:val="20"/>
          <w:szCs w:val="20"/>
        </w:rPr>
        <w:t>ottschlich</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Warden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GD,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Snook</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JT,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Havens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Differential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Effects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of</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Three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Enteral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Dietary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Regimens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Selected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Outcome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Variables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Burn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Patients.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J</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Parenter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Enter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Nutr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1990;14:225–236.</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doi:10.1177/0148607190014003225.</w:t>
      </w:r>
    </w:p>
    <w:p w:rsidR="003B4339" w:rsidRPr="000B47D4" w:rsidRDefault="003B4339" w:rsidP="003B4339">
      <w:pPr>
        <w:pStyle w:val="ListParagraph"/>
        <w:widowControl w:val="0"/>
        <w:numPr>
          <w:ilvl w:val="1"/>
          <w:numId w:val="7"/>
        </w:numPr>
        <w:tabs>
          <w:tab w:val="right" w:pos="426"/>
        </w:tabs>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0B47D4">
        <w:rPr>
          <w:rFonts w:ascii="Times New Roman" w:hAnsi="Times New Roman" w:cs="Times New Roman"/>
          <w:noProof/>
          <w:sz w:val="20"/>
          <w:szCs w:val="20"/>
        </w:rPr>
        <w:t>G</w:t>
      </w:r>
      <w:r w:rsidR="00550EE3" w:rsidRPr="000B47D4">
        <w:rPr>
          <w:rFonts w:ascii="Times New Roman" w:hAnsi="Times New Roman" w:cs="Times New Roman"/>
          <w:noProof/>
          <w:sz w:val="20"/>
          <w:szCs w:val="20"/>
        </w:rPr>
        <w:t>arrel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Razi</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Lariviere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F,</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Jobin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Naman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Emptoz-Bonneton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Improved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clinical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status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and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length</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of</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care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with</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low-fat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nutrition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support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burn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patients.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J</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Parenter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Enter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Nutr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1995;19:482–491.</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doi:10.1177/0148607195019006482.</w:t>
      </w:r>
    </w:p>
    <w:p w:rsidR="003B4339" w:rsidRPr="000B47D4" w:rsidRDefault="003B4339" w:rsidP="003B4339">
      <w:pPr>
        <w:pStyle w:val="ListParagraph"/>
        <w:widowControl w:val="0"/>
        <w:numPr>
          <w:ilvl w:val="1"/>
          <w:numId w:val="7"/>
        </w:numPr>
        <w:tabs>
          <w:tab w:val="right" w:pos="426"/>
        </w:tabs>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0B47D4">
        <w:rPr>
          <w:rFonts w:ascii="Times New Roman" w:hAnsi="Times New Roman" w:cs="Times New Roman"/>
          <w:noProof/>
          <w:sz w:val="20"/>
          <w:szCs w:val="20"/>
        </w:rPr>
        <w:t>C</w:t>
      </w:r>
      <w:r w:rsidR="00550EE3" w:rsidRPr="000B47D4">
        <w:rPr>
          <w:rFonts w:ascii="Times New Roman" w:hAnsi="Times New Roman" w:cs="Times New Roman"/>
          <w:noProof/>
          <w:sz w:val="20"/>
          <w:szCs w:val="20"/>
        </w:rPr>
        <w:t>ai</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B,</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Zhu</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Ma</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Xu</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Z,</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Zao</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Wang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J,</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Effect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of</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supplementing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high-fat,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low-carbohydrate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enteral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formula</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COPD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patients.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Nutrition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2003;19:229–232.</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doi:10.1016/S0899-9007(02)01064-X.</w:t>
      </w:r>
    </w:p>
    <w:p w:rsidR="003B4339" w:rsidRPr="000B47D4" w:rsidRDefault="003B4339" w:rsidP="003B4339">
      <w:pPr>
        <w:pStyle w:val="ListParagraph"/>
        <w:widowControl w:val="0"/>
        <w:numPr>
          <w:ilvl w:val="1"/>
          <w:numId w:val="7"/>
        </w:numPr>
        <w:tabs>
          <w:tab w:val="right" w:pos="426"/>
        </w:tabs>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0B47D4">
        <w:rPr>
          <w:rFonts w:ascii="Times New Roman" w:hAnsi="Times New Roman" w:cs="Times New Roman"/>
          <w:noProof/>
          <w:sz w:val="20"/>
          <w:szCs w:val="20"/>
        </w:rPr>
        <w:t>J</w:t>
      </w:r>
      <w:r w:rsidR="00550EE3" w:rsidRPr="000B47D4">
        <w:rPr>
          <w:rFonts w:ascii="Times New Roman" w:hAnsi="Times New Roman" w:cs="Times New Roman"/>
          <w:noProof/>
          <w:sz w:val="20"/>
          <w:szCs w:val="20"/>
        </w:rPr>
        <w:t>avdan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Z,</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Talakoub</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Honarmand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Golparvar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lastRenderedPageBreak/>
        <w:t>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Farsani</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The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predicting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ability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of</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serum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potassium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to</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assess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the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duration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of</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mechanical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ventilation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critically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ill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patients.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Adv</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Biomed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Res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2015;4:133.</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doi:10.4103/2277-9175.161525.</w:t>
      </w:r>
    </w:p>
    <w:p w:rsidR="003B4339" w:rsidRPr="000B47D4" w:rsidRDefault="003B4339" w:rsidP="003B4339">
      <w:pPr>
        <w:pStyle w:val="ListParagraph"/>
        <w:widowControl w:val="0"/>
        <w:numPr>
          <w:ilvl w:val="1"/>
          <w:numId w:val="7"/>
        </w:numPr>
        <w:tabs>
          <w:tab w:val="right" w:pos="426"/>
        </w:tabs>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0B47D4">
        <w:rPr>
          <w:rFonts w:ascii="Times New Roman" w:hAnsi="Times New Roman" w:cs="Times New Roman"/>
          <w:noProof/>
          <w:sz w:val="20"/>
          <w:szCs w:val="20"/>
        </w:rPr>
        <w:t>T</w:t>
      </w:r>
      <w:r w:rsidR="00550EE3" w:rsidRPr="000B47D4">
        <w:rPr>
          <w:rFonts w:ascii="Times New Roman" w:hAnsi="Times New Roman" w:cs="Times New Roman"/>
          <w:noProof/>
          <w:sz w:val="20"/>
          <w:szCs w:val="20"/>
        </w:rPr>
        <w:t>alakoub</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Bahrami</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Honarmand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Abbasi</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Gerami</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H.</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The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Predicting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Ability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of</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Serum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Phosphorus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to</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Assess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the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Duration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of</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Mechanical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Ventilation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Critically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Ill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Patients.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Adv</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Biomed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Res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2017;6:51.</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doi:10.4103/2277-9175.205192.</w:t>
      </w:r>
    </w:p>
    <w:p w:rsidR="003B4339" w:rsidRPr="000B47D4" w:rsidRDefault="003B4339" w:rsidP="003B4339">
      <w:pPr>
        <w:pStyle w:val="ListParagraph"/>
        <w:widowControl w:val="0"/>
        <w:numPr>
          <w:ilvl w:val="1"/>
          <w:numId w:val="7"/>
        </w:numPr>
        <w:tabs>
          <w:tab w:val="right" w:pos="426"/>
        </w:tabs>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0B47D4">
        <w:rPr>
          <w:rFonts w:ascii="Times New Roman" w:hAnsi="Times New Roman" w:cs="Times New Roman"/>
          <w:noProof/>
          <w:sz w:val="20"/>
          <w:szCs w:val="20"/>
        </w:rPr>
        <w:t>S</w:t>
      </w:r>
      <w:r w:rsidR="00550EE3" w:rsidRPr="000B47D4">
        <w:rPr>
          <w:rFonts w:ascii="Times New Roman" w:hAnsi="Times New Roman" w:cs="Times New Roman"/>
          <w:noProof/>
          <w:sz w:val="20"/>
          <w:szCs w:val="20"/>
        </w:rPr>
        <w:t>afavi</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Honarmand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Admission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hypomagnesemia--impact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mortality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morbidity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critically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ill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patients.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Middle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East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J</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Anesthesiol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2007;19:645–660.</w:t>
      </w:r>
    </w:p>
    <w:p w:rsidR="003B4339" w:rsidRPr="000B47D4" w:rsidRDefault="003B4339" w:rsidP="003B4339">
      <w:pPr>
        <w:pStyle w:val="ListParagraph"/>
        <w:widowControl w:val="0"/>
        <w:numPr>
          <w:ilvl w:val="1"/>
          <w:numId w:val="7"/>
        </w:numPr>
        <w:tabs>
          <w:tab w:val="right" w:pos="426"/>
        </w:tabs>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0B47D4">
        <w:rPr>
          <w:rFonts w:ascii="Times New Roman" w:hAnsi="Times New Roman" w:cs="Times New Roman"/>
          <w:noProof/>
          <w:sz w:val="20"/>
          <w:szCs w:val="20"/>
        </w:rPr>
        <w:t>S</w:t>
      </w:r>
      <w:r w:rsidR="00550EE3" w:rsidRPr="000B47D4">
        <w:rPr>
          <w:rFonts w:ascii="Times New Roman" w:hAnsi="Times New Roman" w:cs="Times New Roman"/>
          <w:noProof/>
          <w:sz w:val="20"/>
          <w:szCs w:val="20"/>
        </w:rPr>
        <w:t>afavi</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Honarmand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The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impact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of</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admission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hyperglycemia</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hypoalbuminemia</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need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ventilator,</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time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ventilated,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mortality,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and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morbidity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critically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ill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trauma</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patients.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Ulus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Travma</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ve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Acil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Cerrahi</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Derg</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2009;15:120–129.</w:t>
      </w:r>
    </w:p>
    <w:p w:rsidR="00550EE3" w:rsidRPr="000B47D4" w:rsidRDefault="003B4339" w:rsidP="003B4339">
      <w:pPr>
        <w:pStyle w:val="ListParagraph"/>
        <w:widowControl w:val="0"/>
        <w:numPr>
          <w:ilvl w:val="1"/>
          <w:numId w:val="7"/>
        </w:numPr>
        <w:tabs>
          <w:tab w:val="right" w:pos="426"/>
        </w:tabs>
        <w:autoSpaceDE w:val="0"/>
        <w:autoSpaceDN w:val="0"/>
        <w:adjustRightInd w:val="0"/>
        <w:snapToGrid w:val="0"/>
        <w:spacing w:after="0" w:line="240" w:lineRule="auto"/>
        <w:ind w:left="425" w:hanging="425"/>
        <w:jc w:val="both"/>
        <w:rPr>
          <w:rFonts w:ascii="Times New Roman" w:hAnsi="Times New Roman" w:cs="Times New Roman"/>
          <w:noProof/>
          <w:sz w:val="20"/>
          <w:szCs w:val="20"/>
        </w:rPr>
      </w:pPr>
      <w:r w:rsidRPr="000B47D4">
        <w:rPr>
          <w:rFonts w:ascii="Times New Roman" w:hAnsi="Times New Roman" w:cs="Times New Roman"/>
          <w:noProof/>
          <w:sz w:val="20"/>
          <w:szCs w:val="20"/>
        </w:rPr>
        <w:t>P</w:t>
      </w:r>
      <w:r w:rsidR="00550EE3" w:rsidRPr="000B47D4">
        <w:rPr>
          <w:rFonts w:ascii="Times New Roman" w:hAnsi="Times New Roman" w:cs="Times New Roman"/>
          <w:noProof/>
          <w:sz w:val="20"/>
          <w:szCs w:val="20"/>
        </w:rPr>
        <w:t>ancorbo-Hidalgo</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PL,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García-Fernandez</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FP,</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Ramírez-Pérez</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Complications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associated</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with</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enteral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nutrition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by</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nasogastric</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tube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an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internal</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medicine</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unit.</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J</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Clin</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Nurs</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2001;10:482–490.</w:t>
      </w:r>
      <w:r w:rsidR="00906E5B" w:rsidRPr="000B47D4">
        <w:rPr>
          <w:rFonts w:ascii="Times New Roman" w:hAnsi="Times New Roman" w:cs="Times New Roman"/>
          <w:noProof/>
          <w:sz w:val="20"/>
          <w:szCs w:val="20"/>
        </w:rPr>
        <w:t xml:space="preserve"> </w:t>
      </w:r>
      <w:r w:rsidR="00550EE3" w:rsidRPr="000B47D4">
        <w:rPr>
          <w:rFonts w:ascii="Times New Roman" w:hAnsi="Times New Roman" w:cs="Times New Roman"/>
          <w:noProof/>
          <w:sz w:val="20"/>
          <w:szCs w:val="20"/>
        </w:rPr>
        <w:t>doi:10.1046/j.1365-2702.2001.00498.x.</w:t>
      </w:r>
    </w:p>
    <w:p w:rsidR="003B4339" w:rsidRPr="000B47D4" w:rsidRDefault="003B4339" w:rsidP="003B4339">
      <w:pPr>
        <w:tabs>
          <w:tab w:val="right" w:pos="426"/>
        </w:tabs>
        <w:snapToGrid w:val="0"/>
        <w:spacing w:after="0" w:line="240" w:lineRule="auto"/>
        <w:ind w:left="425" w:hanging="425"/>
        <w:jc w:val="both"/>
        <w:rPr>
          <w:rFonts w:ascii="Times New Roman" w:hAnsi="Times New Roman" w:cs="Times New Roman"/>
          <w:sz w:val="20"/>
          <w:szCs w:val="20"/>
        </w:rPr>
        <w:sectPr w:rsidR="003B4339" w:rsidRPr="000B47D4" w:rsidSect="003B4339">
          <w:type w:val="continuous"/>
          <w:pgSz w:w="12240" w:h="15840" w:code="1"/>
          <w:pgMar w:top="1440" w:right="1440" w:bottom="1440" w:left="1440" w:header="720" w:footer="720" w:gutter="0"/>
          <w:cols w:num="2" w:space="550"/>
          <w:docGrid w:linePitch="360"/>
        </w:sectPr>
      </w:pPr>
    </w:p>
    <w:p w:rsidR="00906E5B" w:rsidRPr="000B47D4" w:rsidRDefault="003B4339" w:rsidP="003B4339">
      <w:pPr>
        <w:tabs>
          <w:tab w:val="right" w:pos="426"/>
        </w:tabs>
        <w:snapToGrid w:val="0"/>
        <w:spacing w:after="0" w:line="240" w:lineRule="auto"/>
        <w:ind w:left="425" w:hanging="425"/>
        <w:jc w:val="both"/>
        <w:rPr>
          <w:rFonts w:ascii="Times New Roman" w:hAnsi="Times New Roman" w:cs="Times New Roman"/>
          <w:sz w:val="20"/>
          <w:szCs w:val="20"/>
          <w:lang w:eastAsia="zh-CN"/>
        </w:rPr>
      </w:pPr>
      <w:r w:rsidRPr="000B47D4">
        <w:rPr>
          <w:rFonts w:ascii="Times New Roman" w:hAnsi="Times New Roman" w:cs="Times New Roman" w:hint="eastAsia"/>
          <w:sz w:val="20"/>
          <w:szCs w:val="20"/>
          <w:lang w:eastAsia="zh-CN"/>
        </w:rPr>
        <w:lastRenderedPageBreak/>
        <w:t xml:space="preserve"> </w:t>
      </w:r>
    </w:p>
    <w:p w:rsidR="00906E5B" w:rsidRPr="000B47D4" w:rsidRDefault="00906E5B" w:rsidP="003B4339">
      <w:pPr>
        <w:snapToGrid w:val="0"/>
        <w:spacing w:after="0" w:line="240" w:lineRule="auto"/>
        <w:ind w:left="425" w:hanging="425"/>
        <w:jc w:val="both"/>
        <w:rPr>
          <w:rFonts w:ascii="Times New Roman" w:hAnsi="Times New Roman" w:cs="Times New Roman"/>
          <w:sz w:val="20"/>
          <w:szCs w:val="20"/>
        </w:rPr>
      </w:pPr>
      <w:r w:rsidRPr="000B47D4">
        <w:rPr>
          <w:rFonts w:ascii="Times New Roman" w:hAnsi="Times New Roman" w:cs="Times New Roman"/>
          <w:sz w:val="20"/>
          <w:szCs w:val="20"/>
        </w:rPr>
        <w:cr/>
      </w:r>
    </w:p>
    <w:p w:rsidR="00550EE3" w:rsidRPr="000B47D4" w:rsidRDefault="00906E5B" w:rsidP="003B4339">
      <w:pPr>
        <w:snapToGrid w:val="0"/>
        <w:spacing w:after="0" w:line="240" w:lineRule="auto"/>
        <w:jc w:val="both"/>
        <w:rPr>
          <w:rFonts w:ascii="Times New Roman" w:hAnsi="Times New Roman" w:cs="Times New Roman"/>
          <w:sz w:val="20"/>
          <w:szCs w:val="20"/>
        </w:rPr>
      </w:pPr>
      <w:r w:rsidRPr="000B47D4">
        <w:rPr>
          <w:rFonts w:ascii="Times New Roman" w:hAnsi="Times New Roman" w:cs="Times New Roman"/>
          <w:sz w:val="20"/>
          <w:szCs w:val="20"/>
        </w:rPr>
        <w:t>6/12/2018</w:t>
      </w:r>
    </w:p>
    <w:sectPr w:rsidR="00550EE3" w:rsidRPr="000B47D4" w:rsidSect="003B433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776" w:rsidRDefault="003C0776" w:rsidP="006E1666">
      <w:pPr>
        <w:spacing w:after="0" w:line="240" w:lineRule="auto"/>
      </w:pPr>
      <w:r>
        <w:separator/>
      </w:r>
    </w:p>
  </w:endnote>
  <w:endnote w:type="continuationSeparator" w:id="0">
    <w:p w:rsidR="003C0776" w:rsidRDefault="003C0776" w:rsidP="006E16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39" w:rsidRPr="003B4339" w:rsidRDefault="009C682A" w:rsidP="003B4339">
    <w:pPr>
      <w:spacing w:after="0" w:line="240" w:lineRule="auto"/>
      <w:jc w:val="center"/>
      <w:rPr>
        <w:rFonts w:ascii="Times New Roman" w:hAnsi="Times New Roman" w:cs="Times New Roman"/>
        <w:sz w:val="20"/>
      </w:rPr>
    </w:pPr>
    <w:r w:rsidRPr="003B4339">
      <w:rPr>
        <w:rFonts w:ascii="Times New Roman" w:hAnsi="Times New Roman" w:cs="Times New Roman"/>
        <w:sz w:val="20"/>
      </w:rPr>
      <w:fldChar w:fldCharType="begin"/>
    </w:r>
    <w:r w:rsidR="003B4339" w:rsidRPr="003B4339">
      <w:rPr>
        <w:rFonts w:ascii="Times New Roman" w:hAnsi="Times New Roman" w:cs="Times New Roman"/>
        <w:sz w:val="20"/>
      </w:rPr>
      <w:instrText xml:space="preserve"> page </w:instrText>
    </w:r>
    <w:r w:rsidRPr="003B4339">
      <w:rPr>
        <w:rFonts w:ascii="Times New Roman" w:hAnsi="Times New Roman" w:cs="Times New Roman"/>
        <w:sz w:val="20"/>
      </w:rPr>
      <w:fldChar w:fldCharType="separate"/>
    </w:r>
    <w:r w:rsidR="000B47D4">
      <w:rPr>
        <w:rFonts w:ascii="Times New Roman" w:hAnsi="Times New Roman" w:cs="Times New Roman"/>
        <w:noProof/>
        <w:sz w:val="20"/>
      </w:rPr>
      <w:t>53</w:t>
    </w:r>
    <w:r w:rsidRPr="003B433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776" w:rsidRDefault="003C0776" w:rsidP="006E1666">
      <w:pPr>
        <w:spacing w:after="0" w:line="240" w:lineRule="auto"/>
      </w:pPr>
      <w:r>
        <w:separator/>
      </w:r>
    </w:p>
  </w:footnote>
  <w:footnote w:type="continuationSeparator" w:id="0">
    <w:p w:rsidR="003C0776" w:rsidRDefault="003C0776" w:rsidP="006E16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339" w:rsidRPr="003B4339" w:rsidRDefault="003B4339" w:rsidP="003B433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3B4339">
      <w:rPr>
        <w:rFonts w:ascii="Times New Roman" w:hAnsi="Times New Roman" w:cs="Times New Roman" w:hint="eastAsia"/>
        <w:sz w:val="20"/>
        <w:szCs w:val="20"/>
      </w:rPr>
      <w:tab/>
    </w:r>
    <w:r w:rsidRPr="003B4339">
      <w:rPr>
        <w:rFonts w:ascii="Times New Roman" w:hAnsi="Times New Roman" w:cs="Times New Roman"/>
        <w:sz w:val="20"/>
        <w:szCs w:val="20"/>
      </w:rPr>
      <w:t>New York Science Journal 201</w:t>
    </w:r>
    <w:r w:rsidRPr="003B4339">
      <w:rPr>
        <w:rFonts w:ascii="Times New Roman" w:hAnsi="Times New Roman" w:cs="Times New Roman" w:hint="eastAsia"/>
        <w:sz w:val="20"/>
        <w:szCs w:val="20"/>
      </w:rPr>
      <w:t>8</w:t>
    </w:r>
    <w:r w:rsidRPr="003B4339">
      <w:rPr>
        <w:rFonts w:ascii="Times New Roman" w:hAnsi="Times New Roman" w:cs="Times New Roman"/>
        <w:sz w:val="20"/>
        <w:szCs w:val="20"/>
      </w:rPr>
      <w:t>;</w:t>
    </w:r>
    <w:r w:rsidRPr="003B4339">
      <w:rPr>
        <w:rFonts w:ascii="Times New Roman" w:hAnsi="Times New Roman" w:cs="Times New Roman" w:hint="eastAsia"/>
        <w:sz w:val="20"/>
        <w:szCs w:val="20"/>
      </w:rPr>
      <w:t>11</w:t>
    </w:r>
    <w:r w:rsidRPr="003B4339">
      <w:rPr>
        <w:rFonts w:ascii="Times New Roman" w:hAnsi="Times New Roman" w:cs="Times New Roman"/>
        <w:sz w:val="20"/>
        <w:szCs w:val="20"/>
      </w:rPr>
      <w:t>(</w:t>
    </w:r>
    <w:r w:rsidRPr="003B4339">
      <w:rPr>
        <w:rFonts w:ascii="Times New Roman" w:hAnsi="Times New Roman" w:cs="Times New Roman" w:hint="eastAsia"/>
        <w:sz w:val="20"/>
        <w:szCs w:val="20"/>
      </w:rPr>
      <w:t>6</w:t>
    </w:r>
    <w:r w:rsidRPr="003B4339">
      <w:rPr>
        <w:rFonts w:ascii="Times New Roman" w:hAnsi="Times New Roman" w:cs="Times New Roman"/>
        <w:sz w:val="20"/>
        <w:szCs w:val="20"/>
      </w:rPr>
      <w:t>)</w:t>
    </w:r>
    <w:r w:rsidRPr="003B4339">
      <w:rPr>
        <w:rFonts w:ascii="Times New Roman" w:hAnsi="Times New Roman" w:cs="Times New Roman"/>
        <w:iCs/>
        <w:sz w:val="20"/>
        <w:szCs w:val="20"/>
      </w:rPr>
      <w:t xml:space="preserve">     </w:t>
    </w:r>
    <w:r w:rsidRPr="003B4339">
      <w:rPr>
        <w:rFonts w:ascii="Times New Roman" w:hAnsi="Times New Roman" w:cs="Times New Roman" w:hint="eastAsia"/>
        <w:iCs/>
        <w:sz w:val="20"/>
        <w:szCs w:val="20"/>
      </w:rPr>
      <w:tab/>
    </w:r>
    <w:r w:rsidRPr="003B4339">
      <w:rPr>
        <w:rFonts w:ascii="Times New Roman" w:hAnsi="Times New Roman" w:cs="Times New Roman"/>
        <w:iCs/>
        <w:sz w:val="20"/>
        <w:szCs w:val="20"/>
      </w:rPr>
      <w:t xml:space="preserve"> </w:t>
    </w:r>
    <w:r w:rsidRPr="003B4339">
      <w:rPr>
        <w:rFonts w:ascii="Times New Roman" w:hAnsi="Times New Roman" w:cs="Times New Roman" w:hint="eastAsia"/>
        <w:iCs/>
        <w:sz w:val="20"/>
        <w:szCs w:val="20"/>
      </w:rPr>
      <w:t xml:space="preserve"> </w:t>
    </w:r>
    <w:r w:rsidRPr="003B4339">
      <w:rPr>
        <w:rFonts w:ascii="Times New Roman" w:hAnsi="Times New Roman" w:cs="Times New Roman"/>
        <w:iCs/>
        <w:sz w:val="20"/>
        <w:szCs w:val="20"/>
      </w:rPr>
      <w:t xml:space="preserve">   </w:t>
    </w:r>
    <w:hyperlink r:id="rId1" w:history="1">
      <w:r w:rsidRPr="003B4339">
        <w:rPr>
          <w:rStyle w:val="Hyperlink"/>
          <w:rFonts w:ascii="Times New Roman" w:hAnsi="Times New Roman" w:cs="Times New Roman"/>
          <w:color w:val="0000FF"/>
          <w:sz w:val="20"/>
          <w:szCs w:val="20"/>
        </w:rPr>
        <w:t>http://www.sciencepub.net/newyork</w:t>
      </w:r>
    </w:hyperlink>
  </w:p>
  <w:p w:rsidR="003B4339" w:rsidRPr="003B4339" w:rsidRDefault="003B4339" w:rsidP="003B4339">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2CC5"/>
    <w:multiLevelType w:val="hybridMultilevel"/>
    <w:tmpl w:val="7EB2DD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CA66B1"/>
    <w:multiLevelType w:val="hybridMultilevel"/>
    <w:tmpl w:val="CF4C55B6"/>
    <w:lvl w:ilvl="0" w:tplc="85AC93A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9540181"/>
    <w:multiLevelType w:val="hybridMultilevel"/>
    <w:tmpl w:val="D0ACF92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03431C"/>
    <w:multiLevelType w:val="hybridMultilevel"/>
    <w:tmpl w:val="DC44CDCA"/>
    <w:lvl w:ilvl="0" w:tplc="0A6AE0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F563044"/>
    <w:multiLevelType w:val="hybridMultilevel"/>
    <w:tmpl w:val="4968AE7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3A4061"/>
    <w:multiLevelType w:val="hybridMultilevel"/>
    <w:tmpl w:val="FE049A5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A056941"/>
    <w:multiLevelType w:val="hybridMultilevel"/>
    <w:tmpl w:val="B8E022D6"/>
    <w:lvl w:ilvl="0" w:tplc="46EEB03A">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MzczNzK2NDK2MDe0NDRQ0lEKTi0uzszPAykwrwUAgPPf3ywAAAA="/>
  </w:docVars>
  <w:rsids>
    <w:rsidRoot w:val="00ED6751"/>
    <w:rsid w:val="00031A3B"/>
    <w:rsid w:val="00042516"/>
    <w:rsid w:val="000641E1"/>
    <w:rsid w:val="00067417"/>
    <w:rsid w:val="00072F58"/>
    <w:rsid w:val="00080571"/>
    <w:rsid w:val="00082F07"/>
    <w:rsid w:val="000A496E"/>
    <w:rsid w:val="000B33A4"/>
    <w:rsid w:val="000B33FE"/>
    <w:rsid w:val="000B47D4"/>
    <w:rsid w:val="000E678B"/>
    <w:rsid w:val="000E6E24"/>
    <w:rsid w:val="00112A77"/>
    <w:rsid w:val="001368C2"/>
    <w:rsid w:val="00137D16"/>
    <w:rsid w:val="00146F44"/>
    <w:rsid w:val="00173F94"/>
    <w:rsid w:val="00173FD4"/>
    <w:rsid w:val="00181120"/>
    <w:rsid w:val="001B078D"/>
    <w:rsid w:val="001B4636"/>
    <w:rsid w:val="001B74B1"/>
    <w:rsid w:val="001D058C"/>
    <w:rsid w:val="001F7B39"/>
    <w:rsid w:val="00214CD1"/>
    <w:rsid w:val="00220662"/>
    <w:rsid w:val="00240132"/>
    <w:rsid w:val="00240D0A"/>
    <w:rsid w:val="0025510A"/>
    <w:rsid w:val="0025521B"/>
    <w:rsid w:val="002568BB"/>
    <w:rsid w:val="00265487"/>
    <w:rsid w:val="002711AB"/>
    <w:rsid w:val="002764D3"/>
    <w:rsid w:val="002D228E"/>
    <w:rsid w:val="002D689F"/>
    <w:rsid w:val="002F4DDE"/>
    <w:rsid w:val="00324DF1"/>
    <w:rsid w:val="003349FD"/>
    <w:rsid w:val="003530F1"/>
    <w:rsid w:val="003563C4"/>
    <w:rsid w:val="00383E1F"/>
    <w:rsid w:val="003B0DEF"/>
    <w:rsid w:val="003B4339"/>
    <w:rsid w:val="003C0776"/>
    <w:rsid w:val="003D47BF"/>
    <w:rsid w:val="004011B4"/>
    <w:rsid w:val="00404302"/>
    <w:rsid w:val="00411362"/>
    <w:rsid w:val="004214AA"/>
    <w:rsid w:val="00434497"/>
    <w:rsid w:val="004778EE"/>
    <w:rsid w:val="00482B9C"/>
    <w:rsid w:val="004856BE"/>
    <w:rsid w:val="004A11E1"/>
    <w:rsid w:val="004A205D"/>
    <w:rsid w:val="004A7FF8"/>
    <w:rsid w:val="004B78B9"/>
    <w:rsid w:val="004C3005"/>
    <w:rsid w:val="004F6C02"/>
    <w:rsid w:val="005075C3"/>
    <w:rsid w:val="00522520"/>
    <w:rsid w:val="00525B42"/>
    <w:rsid w:val="00550EE3"/>
    <w:rsid w:val="00574248"/>
    <w:rsid w:val="005847F7"/>
    <w:rsid w:val="005A5952"/>
    <w:rsid w:val="005B4EAA"/>
    <w:rsid w:val="0061276C"/>
    <w:rsid w:val="006530C0"/>
    <w:rsid w:val="00656ED1"/>
    <w:rsid w:val="006B23F4"/>
    <w:rsid w:val="006E1666"/>
    <w:rsid w:val="006E7414"/>
    <w:rsid w:val="00705F03"/>
    <w:rsid w:val="00721B6F"/>
    <w:rsid w:val="00754BEF"/>
    <w:rsid w:val="00761B98"/>
    <w:rsid w:val="007676D4"/>
    <w:rsid w:val="007A0C9A"/>
    <w:rsid w:val="007A70D9"/>
    <w:rsid w:val="007B211F"/>
    <w:rsid w:val="007D55C8"/>
    <w:rsid w:val="007E2F0E"/>
    <w:rsid w:val="008039EC"/>
    <w:rsid w:val="00811922"/>
    <w:rsid w:val="00842F54"/>
    <w:rsid w:val="008761D5"/>
    <w:rsid w:val="00897602"/>
    <w:rsid w:val="008D2FE1"/>
    <w:rsid w:val="008F56EA"/>
    <w:rsid w:val="008F5E23"/>
    <w:rsid w:val="00906E5B"/>
    <w:rsid w:val="00930994"/>
    <w:rsid w:val="00933C42"/>
    <w:rsid w:val="0094767C"/>
    <w:rsid w:val="00953ADD"/>
    <w:rsid w:val="00966467"/>
    <w:rsid w:val="00970ADA"/>
    <w:rsid w:val="00972AF7"/>
    <w:rsid w:val="00983B71"/>
    <w:rsid w:val="0099020F"/>
    <w:rsid w:val="009953AB"/>
    <w:rsid w:val="009A217C"/>
    <w:rsid w:val="009A2287"/>
    <w:rsid w:val="009A57E9"/>
    <w:rsid w:val="009C5D0E"/>
    <w:rsid w:val="009C682A"/>
    <w:rsid w:val="009C78B5"/>
    <w:rsid w:val="009F7D3F"/>
    <w:rsid w:val="00A26CE6"/>
    <w:rsid w:val="00A31B2A"/>
    <w:rsid w:val="00A538C9"/>
    <w:rsid w:val="00A94739"/>
    <w:rsid w:val="00A94E60"/>
    <w:rsid w:val="00AD7E77"/>
    <w:rsid w:val="00AF22C7"/>
    <w:rsid w:val="00B50376"/>
    <w:rsid w:val="00B70E19"/>
    <w:rsid w:val="00B77D35"/>
    <w:rsid w:val="00B92288"/>
    <w:rsid w:val="00BA2DC0"/>
    <w:rsid w:val="00BC52E4"/>
    <w:rsid w:val="00BC61EB"/>
    <w:rsid w:val="00BD0FDF"/>
    <w:rsid w:val="00BE3500"/>
    <w:rsid w:val="00BE4CFE"/>
    <w:rsid w:val="00C11236"/>
    <w:rsid w:val="00C1466A"/>
    <w:rsid w:val="00C26C37"/>
    <w:rsid w:val="00C30013"/>
    <w:rsid w:val="00C4168F"/>
    <w:rsid w:val="00C64283"/>
    <w:rsid w:val="00C840C7"/>
    <w:rsid w:val="00C911C6"/>
    <w:rsid w:val="00C927A4"/>
    <w:rsid w:val="00CA7D43"/>
    <w:rsid w:val="00D03E57"/>
    <w:rsid w:val="00D04950"/>
    <w:rsid w:val="00D272F8"/>
    <w:rsid w:val="00D51314"/>
    <w:rsid w:val="00D651E4"/>
    <w:rsid w:val="00D764C5"/>
    <w:rsid w:val="00D826CA"/>
    <w:rsid w:val="00DD2561"/>
    <w:rsid w:val="00DF1737"/>
    <w:rsid w:val="00DF2C68"/>
    <w:rsid w:val="00E07C2C"/>
    <w:rsid w:val="00E23A93"/>
    <w:rsid w:val="00E30E01"/>
    <w:rsid w:val="00E3396E"/>
    <w:rsid w:val="00E601E2"/>
    <w:rsid w:val="00E84E8F"/>
    <w:rsid w:val="00ED283B"/>
    <w:rsid w:val="00ED6751"/>
    <w:rsid w:val="00EF52B4"/>
    <w:rsid w:val="00F15024"/>
    <w:rsid w:val="00F47042"/>
    <w:rsid w:val="00F87696"/>
    <w:rsid w:val="00F9346F"/>
    <w:rsid w:val="00FE0EE3"/>
    <w:rsid w:val="00FE5343"/>
    <w:rsid w:val="00FE5440"/>
    <w:rsid w:val="00FF21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F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302"/>
    <w:pPr>
      <w:ind w:left="720"/>
      <w:contextualSpacing/>
    </w:pPr>
  </w:style>
  <w:style w:type="table" w:styleId="MediumGrid3-Accent1">
    <w:name w:val="Medium Grid 3 Accent 1"/>
    <w:basedOn w:val="TableNormal"/>
    <w:uiPriority w:val="69"/>
    <w:rsid w:val="003B0DE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5">
    <w:name w:val="Medium Grid 3 Accent 5"/>
    <w:basedOn w:val="TableNormal"/>
    <w:uiPriority w:val="69"/>
    <w:rsid w:val="004856BE"/>
    <w:pPr>
      <w:spacing w:after="0" w:line="240" w:lineRule="auto"/>
    </w:pPr>
    <w:rPr>
      <w:rFonts w:ascii="Calibri" w:eastAsia="Calibri" w:hAnsi="Calibri" w:cs="Ari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styleId="BalloonText">
    <w:name w:val="Balloon Text"/>
    <w:basedOn w:val="Normal"/>
    <w:link w:val="BalloonTextChar"/>
    <w:uiPriority w:val="99"/>
    <w:semiHidden/>
    <w:unhideWhenUsed/>
    <w:rsid w:val="002D2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28E"/>
    <w:rPr>
      <w:rFonts w:ascii="Tahoma" w:hAnsi="Tahoma" w:cs="Tahoma"/>
      <w:sz w:val="16"/>
      <w:szCs w:val="16"/>
    </w:rPr>
  </w:style>
  <w:style w:type="character" w:styleId="Hyperlink">
    <w:name w:val="Hyperlink"/>
    <w:basedOn w:val="DefaultParagraphFont"/>
    <w:uiPriority w:val="99"/>
    <w:unhideWhenUsed/>
    <w:rsid w:val="002D228E"/>
    <w:rPr>
      <w:color w:val="0563C1" w:themeColor="hyperlink"/>
      <w:u w:val="single"/>
    </w:rPr>
  </w:style>
  <w:style w:type="paragraph" w:styleId="Header">
    <w:name w:val="header"/>
    <w:basedOn w:val="Normal"/>
    <w:link w:val="HeaderChar"/>
    <w:uiPriority w:val="99"/>
    <w:unhideWhenUsed/>
    <w:rsid w:val="006E1666"/>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1666"/>
  </w:style>
  <w:style w:type="paragraph" w:styleId="Footer">
    <w:name w:val="footer"/>
    <w:basedOn w:val="Normal"/>
    <w:link w:val="FooterChar"/>
    <w:uiPriority w:val="99"/>
    <w:semiHidden/>
    <w:unhideWhenUsed/>
    <w:rsid w:val="006E1666"/>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6E166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rihamsaid129@gmail.com"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nys110618.08"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D5E71-C3EC-4271-8C4A-6F977F09F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16602</Words>
  <Characters>94635</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elgebaly</dc:creator>
  <cp:lastModifiedBy>Administrator</cp:lastModifiedBy>
  <cp:revision>3</cp:revision>
  <cp:lastPrinted>2018-06-12T10:08:00Z</cp:lastPrinted>
  <dcterms:created xsi:type="dcterms:W3CDTF">2018-06-15T00:32:00Z</dcterms:created>
  <dcterms:modified xsi:type="dcterms:W3CDTF">2018-06-15T00:41:00Z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be729fc8-20fe-37f5-abd0-f2b264d936dd</vt:lpwstr>
  </property>
  <property fmtid="{D5CDD505-2E9C-101B-9397-08002B2CF9AE}" pid="4" name="Mendeley Citation Style_1">
    <vt:lpwstr>http://www.zotero.org/styles/circulation-journal</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http://csl.mendeley.com/styles/447657371/bulletin-of-faculty-of-pharmacy-cairo-university</vt:lpwstr>
  </property>
  <property fmtid="{D5CDD505-2E9C-101B-9397-08002B2CF9AE}" pid="8" name="Mendeley Recent Style Name 1_1">
    <vt:lpwstr>Bulletin of Faculty of Pharmacy, Cairo University - Ahmed Elgebaly</vt:lpwstr>
  </property>
  <property fmtid="{D5CDD505-2E9C-101B-9397-08002B2CF9AE}" pid="9" name="Mendeley Recent Style Id 2_1">
    <vt:lpwstr>http://www.zotero.org/styles/circulation</vt:lpwstr>
  </property>
  <property fmtid="{D5CDD505-2E9C-101B-9397-08002B2CF9AE}" pid="10" name="Mendeley Recent Style Name 2_1">
    <vt:lpwstr>Circulation</vt:lpwstr>
  </property>
  <property fmtid="{D5CDD505-2E9C-101B-9397-08002B2CF9AE}" pid="11" name="Mendeley Recent Style Id 3_1">
    <vt:lpwstr>http://www.zotero.org/styles/circulation-journal</vt:lpwstr>
  </property>
  <property fmtid="{D5CDD505-2E9C-101B-9397-08002B2CF9AE}" pid="12" name="Mendeley Recent Style Name 3_1">
    <vt:lpwstr>Circulation Journal</vt:lpwstr>
  </property>
  <property fmtid="{D5CDD505-2E9C-101B-9397-08002B2CF9AE}" pid="13" name="Mendeley Recent Style Id 4_1">
    <vt:lpwstr>http://csl.mendeley.com/styles/447657371/harvard-cite-them-right</vt:lpwstr>
  </property>
  <property fmtid="{D5CDD505-2E9C-101B-9397-08002B2CF9AE}" pid="14" name="Mendeley Recent Style Name 4_1">
    <vt:lpwstr>Cite Them Right 10th edition - Harvard - Ahmed Elgebaly</vt:lpwstr>
  </property>
  <property fmtid="{D5CDD505-2E9C-101B-9397-08002B2CF9AE}" pid="15" name="Mendeley Recent Style Id 5_1">
    <vt:lpwstr>http://www.zotero.org/styles/clinical-autonomic-research</vt:lpwstr>
  </property>
  <property fmtid="{D5CDD505-2E9C-101B-9397-08002B2CF9AE}" pid="16" name="Mendeley Recent Style Name 5_1">
    <vt:lpwstr>Clinical Autonomic Research</vt:lpwstr>
  </property>
  <property fmtid="{D5CDD505-2E9C-101B-9397-08002B2CF9AE}" pid="17" name="Mendeley Recent Style Id 6_1">
    <vt:lpwstr>http://www.zotero.org/styles/harvard-cite-them-right</vt:lpwstr>
  </property>
  <property fmtid="{D5CDD505-2E9C-101B-9397-08002B2CF9AE}" pid="18" name="Mendeley Recent Style Name 6_1">
    <vt:lpwstr>Harvard - Cite Them Right 9th edition</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(author-date)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http://csl.mendeley.com/styles/447657371/vancouver</vt:lpwstr>
  </property>
  <property fmtid="{D5CDD505-2E9C-101B-9397-08002B2CF9AE}" pid="24" name="Mendeley Recent Style Name 9_1">
    <vt:lpwstr>Vancouver - Ahmed Elgebaly</vt:lpwstr>
  </property>
</Properties>
</file>