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CD" w:rsidRPr="00DA6EB8" w:rsidRDefault="00AF7F29" w:rsidP="00BD6349">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sidRPr="00DA6EB8">
        <w:rPr>
          <w:rFonts w:ascii="Times New Roman" w:hAnsi="Times New Roman" w:cs="Times New Roman"/>
          <w:b/>
          <w:bCs/>
          <w:sz w:val="20"/>
          <w:szCs w:val="20"/>
        </w:rPr>
        <w:t xml:space="preserve">Antifungal Activity of </w:t>
      </w:r>
      <w:r w:rsidRPr="00DA6EB8">
        <w:rPr>
          <w:rFonts w:ascii="Times New Roman" w:hAnsi="Times New Roman" w:cs="Times New Roman"/>
          <w:b/>
          <w:bCs/>
          <w:color w:val="000000"/>
          <w:sz w:val="20"/>
          <w:szCs w:val="20"/>
        </w:rPr>
        <w:t xml:space="preserve">Eco-friendly 10% </w:t>
      </w:r>
      <w:proofErr w:type="spellStart"/>
      <w:r w:rsidRPr="00DA6EB8">
        <w:rPr>
          <w:rFonts w:ascii="Times New Roman" w:hAnsi="Times New Roman" w:cs="Times New Roman"/>
          <w:b/>
          <w:bCs/>
          <w:color w:val="000000"/>
          <w:sz w:val="20"/>
          <w:szCs w:val="20"/>
        </w:rPr>
        <w:t>Microemulsion</w:t>
      </w:r>
      <w:proofErr w:type="spellEnd"/>
      <w:r w:rsidRPr="00DA6EB8">
        <w:rPr>
          <w:rFonts w:ascii="Times New Roman" w:hAnsi="Times New Roman" w:cs="Times New Roman"/>
          <w:b/>
          <w:bCs/>
          <w:color w:val="000000"/>
          <w:sz w:val="20"/>
          <w:szCs w:val="20"/>
        </w:rPr>
        <w:t xml:space="preserve"> Formulation of</w:t>
      </w:r>
      <w:r w:rsidR="00A67698" w:rsidRPr="00DA6EB8">
        <w:rPr>
          <w:rFonts w:ascii="Times New Roman" w:hAnsi="Times New Roman" w:cs="Times New Roman"/>
          <w:b/>
          <w:bCs/>
          <w:color w:val="000000"/>
          <w:sz w:val="20"/>
          <w:szCs w:val="20"/>
        </w:rPr>
        <w:t xml:space="preserve"> </w:t>
      </w:r>
      <w:r w:rsidRPr="00DA6EB8">
        <w:rPr>
          <w:rFonts w:ascii="Times New Roman" w:hAnsi="Times New Roman" w:cs="Times New Roman"/>
          <w:b/>
          <w:bCs/>
          <w:i/>
          <w:iCs/>
          <w:color w:val="000000"/>
          <w:sz w:val="20"/>
          <w:szCs w:val="20"/>
        </w:rPr>
        <w:t>Trans-</w:t>
      </w:r>
      <w:r w:rsidRPr="00DA6EB8">
        <w:rPr>
          <w:rFonts w:ascii="Times New Roman" w:hAnsi="Times New Roman" w:cs="Times New Roman"/>
          <w:b/>
          <w:bCs/>
          <w:color w:val="000000"/>
          <w:sz w:val="20"/>
          <w:szCs w:val="20"/>
        </w:rPr>
        <w:t xml:space="preserve">methyl </w:t>
      </w:r>
      <w:proofErr w:type="spellStart"/>
      <w:r w:rsidR="00A67698" w:rsidRPr="00DA6EB8">
        <w:rPr>
          <w:rFonts w:ascii="Times New Roman" w:hAnsi="Times New Roman" w:cs="Times New Roman"/>
          <w:b/>
          <w:bCs/>
          <w:color w:val="000000"/>
          <w:sz w:val="20"/>
          <w:szCs w:val="20"/>
        </w:rPr>
        <w:t>Cinnamate</w:t>
      </w:r>
      <w:proofErr w:type="spellEnd"/>
      <w:r w:rsidR="00A67698" w:rsidRPr="00DA6EB8">
        <w:rPr>
          <w:rFonts w:ascii="Times New Roman" w:hAnsi="Times New Roman" w:cs="Times New Roman"/>
          <w:b/>
          <w:bCs/>
          <w:color w:val="000000"/>
          <w:sz w:val="20"/>
          <w:szCs w:val="20"/>
        </w:rPr>
        <w:t xml:space="preserve"> against</w:t>
      </w:r>
      <w:r w:rsidRPr="00DA6EB8">
        <w:rPr>
          <w:rFonts w:ascii="Times New Roman" w:hAnsi="Times New Roman" w:cs="Times New Roman"/>
          <w:b/>
          <w:bCs/>
          <w:color w:val="000000"/>
          <w:sz w:val="20"/>
          <w:szCs w:val="20"/>
        </w:rPr>
        <w:t xml:space="preserve"> Some Important</w:t>
      </w:r>
      <w:r w:rsidR="00A67698" w:rsidRPr="00DA6EB8">
        <w:rPr>
          <w:rFonts w:ascii="Times New Roman" w:hAnsi="Times New Roman" w:cs="Times New Roman"/>
          <w:b/>
          <w:bCs/>
          <w:color w:val="000000"/>
          <w:sz w:val="20"/>
          <w:szCs w:val="20"/>
        </w:rPr>
        <w:t xml:space="preserve"> </w:t>
      </w:r>
      <w:proofErr w:type="spellStart"/>
      <w:r w:rsidRPr="00DA6EB8">
        <w:rPr>
          <w:rFonts w:ascii="Times New Roman" w:hAnsi="Times New Roman" w:cs="Times New Roman"/>
          <w:b/>
          <w:bCs/>
          <w:color w:val="000000"/>
          <w:sz w:val="20"/>
          <w:szCs w:val="20"/>
        </w:rPr>
        <w:t>Phytopathogenic</w:t>
      </w:r>
      <w:proofErr w:type="spellEnd"/>
      <w:r w:rsidRPr="00DA6EB8">
        <w:rPr>
          <w:rFonts w:ascii="Times New Roman" w:hAnsi="Times New Roman" w:cs="Times New Roman"/>
          <w:b/>
          <w:bCs/>
          <w:color w:val="000000"/>
          <w:sz w:val="20"/>
          <w:szCs w:val="20"/>
        </w:rPr>
        <w:t xml:space="preserve"> Fungi</w:t>
      </w:r>
    </w:p>
    <w:p w:rsidR="001841CD" w:rsidRPr="00DA6EB8" w:rsidRDefault="001841CD" w:rsidP="00BD6349">
      <w:pPr>
        <w:autoSpaceDE w:val="0"/>
        <w:autoSpaceDN w:val="0"/>
        <w:adjustRightInd w:val="0"/>
        <w:snapToGrid w:val="0"/>
        <w:spacing w:after="0" w:line="240" w:lineRule="auto"/>
        <w:jc w:val="center"/>
        <w:rPr>
          <w:rFonts w:ascii="Times New Roman" w:hAnsi="Times New Roman" w:cs="Times New Roman"/>
          <w:b/>
          <w:bCs/>
          <w:color w:val="000000"/>
          <w:sz w:val="20"/>
          <w:szCs w:val="20"/>
        </w:rPr>
      </w:pPr>
    </w:p>
    <w:p w:rsidR="001841CD" w:rsidRPr="00DA6EB8" w:rsidRDefault="0042684F" w:rsidP="00BD6349">
      <w:pPr>
        <w:snapToGrid w:val="0"/>
        <w:spacing w:after="0" w:line="240" w:lineRule="auto"/>
        <w:jc w:val="center"/>
        <w:rPr>
          <w:rFonts w:ascii="Times New Roman" w:hAnsi="Times New Roman" w:cs="Times New Roman"/>
          <w:sz w:val="20"/>
          <w:szCs w:val="20"/>
          <w:lang w:eastAsia="zh-CN"/>
        </w:rPr>
      </w:pPr>
      <w:r w:rsidRPr="00DA6EB8">
        <w:rPr>
          <w:rFonts w:ascii="Times New Roman" w:hAnsi="Times New Roman" w:cs="Times New Roman"/>
          <w:sz w:val="20"/>
          <w:szCs w:val="20"/>
        </w:rPr>
        <w:t xml:space="preserve">Mohamed, A. A. </w:t>
      </w:r>
      <w:proofErr w:type="spellStart"/>
      <w:r w:rsidRPr="00DA6EB8">
        <w:rPr>
          <w:rFonts w:ascii="Times New Roman" w:hAnsi="Times New Roman" w:cs="Times New Roman"/>
          <w:sz w:val="20"/>
          <w:szCs w:val="20"/>
        </w:rPr>
        <w:t>Shaymaa</w:t>
      </w:r>
      <w:proofErr w:type="spellEnd"/>
    </w:p>
    <w:p w:rsidR="001841CD" w:rsidRPr="00DA6EB8" w:rsidRDefault="001841CD" w:rsidP="00BD6349">
      <w:pPr>
        <w:snapToGrid w:val="0"/>
        <w:spacing w:after="0" w:line="240" w:lineRule="auto"/>
        <w:jc w:val="center"/>
        <w:rPr>
          <w:rFonts w:ascii="Times New Roman" w:hAnsi="Times New Roman" w:cs="Times New Roman"/>
          <w:sz w:val="20"/>
          <w:szCs w:val="20"/>
          <w:lang w:eastAsia="zh-CN"/>
        </w:rPr>
      </w:pPr>
    </w:p>
    <w:p w:rsidR="0042684F" w:rsidRPr="00DA6EB8" w:rsidRDefault="0042684F" w:rsidP="00BD6349">
      <w:pPr>
        <w:snapToGrid w:val="0"/>
        <w:spacing w:after="0" w:line="240" w:lineRule="auto"/>
        <w:jc w:val="center"/>
        <w:rPr>
          <w:rFonts w:ascii="Times New Roman" w:hAnsi="Times New Roman" w:cs="Times New Roman"/>
          <w:sz w:val="20"/>
          <w:szCs w:val="20"/>
        </w:rPr>
      </w:pPr>
      <w:r w:rsidRPr="00DA6EB8">
        <w:rPr>
          <w:rFonts w:ascii="Times New Roman" w:hAnsi="Times New Roman" w:cs="Times New Roman"/>
          <w:sz w:val="20"/>
          <w:szCs w:val="20"/>
        </w:rPr>
        <w:t>Pesticides Formulation Research Department, Central Agricultural Pesticides Laboratory, Agricultural Research Center</w:t>
      </w:r>
    </w:p>
    <w:p w:rsidR="001841CD" w:rsidRPr="00DA6EB8" w:rsidRDefault="007A2010" w:rsidP="00BD6349">
      <w:pPr>
        <w:snapToGrid w:val="0"/>
        <w:spacing w:after="0" w:line="240" w:lineRule="auto"/>
        <w:jc w:val="center"/>
        <w:rPr>
          <w:rFonts w:ascii="Times New Roman" w:hAnsi="Times New Roman" w:cs="Times New Roman"/>
          <w:color w:val="0000CC"/>
          <w:sz w:val="20"/>
          <w:szCs w:val="20"/>
          <w:lang w:eastAsia="zh-CN"/>
        </w:rPr>
      </w:pPr>
      <w:hyperlink r:id="rId8" w:history="1">
        <w:r w:rsidR="00A0321E" w:rsidRPr="00DA6EB8">
          <w:rPr>
            <w:rStyle w:val="Hyperlink"/>
            <w:rFonts w:ascii="Times New Roman" w:hAnsi="Times New Roman" w:cs="Times New Roman"/>
            <w:color w:val="0000CC"/>
            <w:sz w:val="20"/>
            <w:szCs w:val="20"/>
            <w:u w:val="none"/>
          </w:rPr>
          <w:t>shimoabdewahab_2004@yahoo.com</w:t>
        </w:r>
      </w:hyperlink>
      <w:r w:rsidR="009615FB">
        <w:rPr>
          <w:rFonts w:hint="eastAsia"/>
          <w:sz w:val="20"/>
          <w:szCs w:val="20"/>
          <w:lang w:eastAsia="zh-CN"/>
        </w:rPr>
        <w:t xml:space="preserve"> </w:t>
      </w:r>
    </w:p>
    <w:p w:rsidR="001841CD" w:rsidRPr="00DA6EB8" w:rsidRDefault="001841CD" w:rsidP="00BD6349">
      <w:pPr>
        <w:snapToGrid w:val="0"/>
        <w:spacing w:after="0" w:line="240" w:lineRule="auto"/>
        <w:jc w:val="center"/>
        <w:rPr>
          <w:rFonts w:ascii="Times New Roman" w:hAnsi="Times New Roman" w:cs="Times New Roman"/>
          <w:color w:val="0000CC"/>
          <w:sz w:val="20"/>
          <w:szCs w:val="20"/>
        </w:rPr>
      </w:pPr>
    </w:p>
    <w:p w:rsidR="00F74800" w:rsidRPr="00DA6EB8" w:rsidRDefault="00A67698" w:rsidP="00BD6349">
      <w:pPr>
        <w:autoSpaceDE w:val="0"/>
        <w:autoSpaceDN w:val="0"/>
        <w:adjustRightInd w:val="0"/>
        <w:snapToGrid w:val="0"/>
        <w:spacing w:after="0" w:line="240" w:lineRule="auto"/>
        <w:jc w:val="both"/>
        <w:rPr>
          <w:rFonts w:ascii="Times New Roman" w:hAnsi="Times New Roman" w:cs="Times New Roman"/>
          <w:sz w:val="20"/>
          <w:szCs w:val="20"/>
        </w:rPr>
      </w:pPr>
      <w:r w:rsidRPr="00DA6EB8">
        <w:rPr>
          <w:rFonts w:ascii="Times New Roman" w:hAnsi="Times New Roman" w:cs="Times New Roman"/>
          <w:b/>
          <w:bCs/>
          <w:sz w:val="20"/>
          <w:szCs w:val="20"/>
        </w:rPr>
        <w:t xml:space="preserve">Abstract: </w:t>
      </w:r>
      <w:r w:rsidR="00F74800" w:rsidRPr="00DA6EB8">
        <w:rPr>
          <w:rFonts w:ascii="Times New Roman" w:hAnsi="Times New Roman" w:cs="Times New Roman"/>
          <w:sz w:val="20"/>
          <w:szCs w:val="20"/>
        </w:rPr>
        <w:t xml:space="preserve">This study was undertaken to </w:t>
      </w:r>
      <w:r w:rsidR="009629CE" w:rsidRPr="00DA6EB8">
        <w:rPr>
          <w:rFonts w:ascii="Times New Roman" w:hAnsi="Times New Roman" w:cs="Times New Roman"/>
          <w:sz w:val="20"/>
          <w:szCs w:val="20"/>
        </w:rPr>
        <w:t>investigate</w:t>
      </w:r>
      <w:r w:rsidR="00F74800" w:rsidRPr="00DA6EB8">
        <w:rPr>
          <w:rFonts w:ascii="Times New Roman" w:hAnsi="Times New Roman" w:cs="Times New Roman"/>
          <w:sz w:val="20"/>
          <w:szCs w:val="20"/>
        </w:rPr>
        <w:t xml:space="preserve"> the antifungal potential of </w:t>
      </w:r>
      <w:r w:rsidR="00F74800" w:rsidRPr="00DA6EB8">
        <w:rPr>
          <w:rFonts w:ascii="Times New Roman" w:hAnsi="Times New Roman" w:cs="Times New Roman"/>
          <w:i/>
          <w:iCs/>
          <w:sz w:val="20"/>
          <w:szCs w:val="20"/>
        </w:rPr>
        <w:t>trans –</w:t>
      </w:r>
      <w:r w:rsidR="00F74800" w:rsidRPr="00DA6EB8">
        <w:rPr>
          <w:rFonts w:ascii="Times New Roman" w:hAnsi="Times New Roman" w:cs="Times New Roman"/>
          <w:sz w:val="20"/>
          <w:szCs w:val="20"/>
        </w:rPr>
        <w:t xml:space="preserve"> methyl </w:t>
      </w:r>
      <w:proofErr w:type="spellStart"/>
      <w:r w:rsidR="00F74800" w:rsidRPr="00DA6EB8">
        <w:rPr>
          <w:rFonts w:ascii="Times New Roman" w:hAnsi="Times New Roman" w:cs="Times New Roman"/>
          <w:sz w:val="20"/>
          <w:szCs w:val="20"/>
        </w:rPr>
        <w:t>cinnamate</w:t>
      </w:r>
      <w:proofErr w:type="spellEnd"/>
      <w:r w:rsidR="00F74800" w:rsidRPr="00DA6EB8">
        <w:rPr>
          <w:rFonts w:ascii="Times New Roman" w:hAnsi="Times New Roman" w:cs="Times New Roman"/>
          <w:sz w:val="20"/>
          <w:szCs w:val="20"/>
        </w:rPr>
        <w:t xml:space="preserve"> against four fungal strains </w:t>
      </w:r>
      <w:r w:rsidR="00F74800" w:rsidRPr="00DA6EB8">
        <w:rPr>
          <w:rFonts w:ascii="Times New Roman" w:hAnsi="Times New Roman" w:cs="Times New Roman"/>
          <w:color w:val="000000"/>
          <w:sz w:val="20"/>
          <w:szCs w:val="20"/>
        </w:rPr>
        <w:t xml:space="preserve">economically important </w:t>
      </w:r>
      <w:proofErr w:type="spellStart"/>
      <w:r w:rsidR="00F74800" w:rsidRPr="00DA6EB8">
        <w:rPr>
          <w:rFonts w:ascii="Times New Roman" w:hAnsi="Times New Roman" w:cs="Times New Roman"/>
          <w:color w:val="000000"/>
          <w:sz w:val="20"/>
          <w:szCs w:val="20"/>
        </w:rPr>
        <w:t>phytopathogic</w:t>
      </w:r>
      <w:proofErr w:type="spellEnd"/>
      <w:r w:rsidR="00F74800" w:rsidRPr="00DA6EB8">
        <w:rPr>
          <w:rFonts w:ascii="Times New Roman" w:hAnsi="Times New Roman" w:cs="Times New Roman"/>
          <w:color w:val="000000"/>
          <w:sz w:val="20"/>
          <w:szCs w:val="20"/>
        </w:rPr>
        <w:t xml:space="preserve"> fungi in the Egyptian environment</w:t>
      </w:r>
      <w:r w:rsidR="00F74800" w:rsidRPr="00DA6EB8">
        <w:rPr>
          <w:rFonts w:ascii="Times New Roman" w:hAnsi="Times New Roman" w:cs="Times New Roman"/>
          <w:sz w:val="20"/>
          <w:szCs w:val="20"/>
        </w:rPr>
        <w:t xml:space="preserve"> named</w:t>
      </w:r>
      <w:r w:rsidR="001841CD" w:rsidRPr="00DA6EB8">
        <w:rPr>
          <w:rFonts w:ascii="Times New Roman" w:hAnsi="Times New Roman" w:cs="Times New Roman"/>
          <w:sz w:val="20"/>
          <w:szCs w:val="20"/>
        </w:rPr>
        <w:t xml:space="preserve"> </w:t>
      </w:r>
      <w:r w:rsidR="00AF7F29" w:rsidRPr="00DA6EB8">
        <w:rPr>
          <w:rFonts w:ascii="Times New Roman" w:hAnsi="Times New Roman" w:cs="Times New Roman"/>
          <w:i/>
          <w:iCs/>
          <w:color w:val="000000"/>
          <w:sz w:val="20"/>
          <w:szCs w:val="20"/>
        </w:rPr>
        <w:t xml:space="preserve">S. </w:t>
      </w:r>
      <w:proofErr w:type="spellStart"/>
      <w:r w:rsidR="00AF7F29" w:rsidRPr="00DA6EB8">
        <w:rPr>
          <w:rFonts w:ascii="Times New Roman" w:hAnsi="Times New Roman" w:cs="Times New Roman"/>
          <w:i/>
          <w:iCs/>
          <w:color w:val="000000"/>
          <w:sz w:val="20"/>
          <w:szCs w:val="20"/>
        </w:rPr>
        <w:t>rolfsii</w:t>
      </w:r>
      <w:proofErr w:type="spellEnd"/>
      <w:r w:rsidR="00AF7F29" w:rsidRPr="00DA6EB8">
        <w:rPr>
          <w:rFonts w:ascii="Times New Roman" w:hAnsi="Times New Roman" w:cs="Times New Roman"/>
          <w:i/>
          <w:iCs/>
          <w:color w:val="000000"/>
          <w:sz w:val="20"/>
          <w:szCs w:val="20"/>
        </w:rPr>
        <w:t xml:space="preserve">, </w:t>
      </w:r>
      <w:r w:rsidR="00F74800" w:rsidRPr="00DA6EB8">
        <w:rPr>
          <w:rFonts w:ascii="Times New Roman" w:hAnsi="Times New Roman" w:cs="Times New Roman"/>
          <w:i/>
          <w:iCs/>
          <w:color w:val="000000"/>
          <w:sz w:val="20"/>
          <w:szCs w:val="20"/>
        </w:rPr>
        <w:t xml:space="preserve">R. </w:t>
      </w:r>
      <w:proofErr w:type="spellStart"/>
      <w:r w:rsidR="00F74800" w:rsidRPr="00DA6EB8">
        <w:rPr>
          <w:rFonts w:ascii="Times New Roman" w:hAnsi="Times New Roman" w:cs="Times New Roman"/>
          <w:i/>
          <w:iCs/>
          <w:color w:val="000000"/>
          <w:sz w:val="20"/>
          <w:szCs w:val="20"/>
        </w:rPr>
        <w:t>solani</w:t>
      </w:r>
      <w:proofErr w:type="spellEnd"/>
      <w:r w:rsidR="00F74800" w:rsidRPr="00DA6EB8">
        <w:rPr>
          <w:rFonts w:ascii="Times New Roman" w:hAnsi="Times New Roman" w:cs="Times New Roman"/>
          <w:i/>
          <w:iCs/>
          <w:color w:val="000000"/>
          <w:sz w:val="20"/>
          <w:szCs w:val="20"/>
        </w:rPr>
        <w:t xml:space="preserve">, </w:t>
      </w:r>
      <w:r w:rsidR="00AF7F29" w:rsidRPr="00DA6EB8">
        <w:rPr>
          <w:rFonts w:ascii="Times New Roman" w:hAnsi="Times New Roman" w:cs="Times New Roman"/>
          <w:i/>
          <w:iCs/>
          <w:color w:val="000000"/>
          <w:sz w:val="20"/>
          <w:szCs w:val="20"/>
        </w:rPr>
        <w:t xml:space="preserve">A. </w:t>
      </w:r>
      <w:proofErr w:type="spellStart"/>
      <w:r w:rsidR="00AF7F29" w:rsidRPr="00DA6EB8">
        <w:rPr>
          <w:rFonts w:ascii="Times New Roman" w:hAnsi="Times New Roman" w:cs="Times New Roman"/>
          <w:i/>
          <w:iCs/>
          <w:color w:val="000000"/>
          <w:sz w:val="20"/>
          <w:szCs w:val="20"/>
        </w:rPr>
        <w:t>solani</w:t>
      </w:r>
      <w:proofErr w:type="spellEnd"/>
      <w:r w:rsidR="00AF7F29" w:rsidRPr="00DA6EB8">
        <w:rPr>
          <w:rFonts w:ascii="Times New Roman" w:hAnsi="Times New Roman" w:cs="Times New Roman"/>
          <w:i/>
          <w:iCs/>
          <w:color w:val="000000"/>
          <w:sz w:val="20"/>
          <w:szCs w:val="20"/>
        </w:rPr>
        <w:t xml:space="preserve"> </w:t>
      </w:r>
      <w:r w:rsidR="00AF7F29" w:rsidRPr="00DA6EB8">
        <w:rPr>
          <w:rFonts w:ascii="Times New Roman" w:hAnsi="Times New Roman" w:cs="Times New Roman"/>
          <w:color w:val="000000"/>
          <w:sz w:val="20"/>
          <w:szCs w:val="20"/>
        </w:rPr>
        <w:t>and</w:t>
      </w:r>
      <w:r w:rsidR="00703966" w:rsidRPr="00DA6EB8">
        <w:rPr>
          <w:rFonts w:ascii="Times New Roman" w:hAnsi="Times New Roman" w:cs="Times New Roman"/>
          <w:i/>
          <w:iCs/>
          <w:color w:val="000000"/>
          <w:sz w:val="20"/>
          <w:szCs w:val="20"/>
        </w:rPr>
        <w:t xml:space="preserve"> </w:t>
      </w:r>
      <w:r w:rsidR="00F74800" w:rsidRPr="00DA6EB8">
        <w:rPr>
          <w:rFonts w:ascii="Times New Roman" w:hAnsi="Times New Roman" w:cs="Times New Roman"/>
          <w:i/>
          <w:iCs/>
          <w:color w:val="000000"/>
          <w:sz w:val="20"/>
          <w:szCs w:val="20"/>
        </w:rPr>
        <w:t xml:space="preserve">F. </w:t>
      </w:r>
      <w:proofErr w:type="spellStart"/>
      <w:r w:rsidR="00AF7F29" w:rsidRPr="00DA6EB8">
        <w:rPr>
          <w:rFonts w:ascii="Times New Roman" w:hAnsi="Times New Roman" w:cs="Times New Roman"/>
          <w:i/>
          <w:iCs/>
          <w:color w:val="000000"/>
          <w:sz w:val="20"/>
          <w:szCs w:val="20"/>
        </w:rPr>
        <w:t>solani</w:t>
      </w:r>
      <w:proofErr w:type="spellEnd"/>
      <w:r w:rsidR="00F74800" w:rsidRPr="00DA6EB8">
        <w:rPr>
          <w:rFonts w:ascii="Times New Roman" w:hAnsi="Times New Roman" w:cs="Times New Roman"/>
          <w:sz w:val="20"/>
          <w:szCs w:val="20"/>
        </w:rPr>
        <w:t xml:space="preserve">; preparation of </w:t>
      </w:r>
      <w:proofErr w:type="spellStart"/>
      <w:r w:rsidR="00F74800" w:rsidRPr="00DA6EB8">
        <w:rPr>
          <w:rFonts w:ascii="Times New Roman" w:hAnsi="Times New Roman" w:cs="Times New Roman"/>
          <w:sz w:val="20"/>
          <w:szCs w:val="20"/>
        </w:rPr>
        <w:t>microemulsion</w:t>
      </w:r>
      <w:proofErr w:type="spellEnd"/>
      <w:r w:rsidR="00F74800" w:rsidRPr="00DA6EB8">
        <w:rPr>
          <w:rFonts w:ascii="Times New Roman" w:hAnsi="Times New Roman" w:cs="Times New Roman"/>
          <w:sz w:val="20"/>
          <w:szCs w:val="20"/>
        </w:rPr>
        <w:t xml:space="preserve"> formulation</w:t>
      </w:r>
      <w:r w:rsidR="0099477E" w:rsidRPr="00DA6EB8">
        <w:rPr>
          <w:rFonts w:ascii="Times New Roman" w:hAnsi="Times New Roman" w:cs="Times New Roman"/>
          <w:sz w:val="20"/>
          <w:szCs w:val="20"/>
        </w:rPr>
        <w:t xml:space="preserve"> and</w:t>
      </w:r>
      <w:r w:rsidR="00F74800" w:rsidRPr="00DA6EB8">
        <w:rPr>
          <w:rFonts w:ascii="Times New Roman" w:hAnsi="Times New Roman" w:cs="Times New Roman"/>
          <w:sz w:val="20"/>
          <w:szCs w:val="20"/>
        </w:rPr>
        <w:t xml:space="preserve"> determinate its physical properties.</w:t>
      </w:r>
      <w:r w:rsidR="001841CD" w:rsidRPr="00DA6EB8">
        <w:rPr>
          <w:rFonts w:ascii="Times New Roman" w:hAnsi="Times New Roman" w:cs="Times New Roman"/>
          <w:sz w:val="20"/>
          <w:szCs w:val="20"/>
        </w:rPr>
        <w:t xml:space="preserve"> </w:t>
      </w:r>
      <w:r w:rsidR="00F74800" w:rsidRPr="00DA6EB8">
        <w:rPr>
          <w:rFonts w:ascii="Times New Roman" w:hAnsi="Times New Roman" w:cs="Times New Roman"/>
          <w:sz w:val="20"/>
          <w:szCs w:val="20"/>
        </w:rPr>
        <w:t xml:space="preserve">Moreover, investigated the antifungal activity of the prepared formulation. </w:t>
      </w:r>
      <w:r w:rsidR="00B70401" w:rsidRPr="00DA6EB8">
        <w:rPr>
          <w:rFonts w:ascii="Times New Roman" w:hAnsi="Times New Roman" w:cs="Times New Roman"/>
          <w:i/>
          <w:iCs/>
          <w:color w:val="000000"/>
          <w:sz w:val="20"/>
          <w:szCs w:val="20"/>
        </w:rPr>
        <w:t>Trans</w:t>
      </w:r>
      <w:r w:rsidR="00B70401" w:rsidRPr="00DA6EB8">
        <w:rPr>
          <w:rFonts w:ascii="Times New Roman" w:hAnsi="Times New Roman" w:cs="Times New Roman"/>
          <w:color w:val="000000"/>
          <w:sz w:val="20"/>
          <w:szCs w:val="20"/>
        </w:rPr>
        <w:t xml:space="preserve">-methyl </w:t>
      </w:r>
      <w:proofErr w:type="spellStart"/>
      <w:r w:rsidR="00B70401" w:rsidRPr="00DA6EB8">
        <w:rPr>
          <w:rFonts w:ascii="Times New Roman" w:hAnsi="Times New Roman" w:cs="Times New Roman"/>
          <w:color w:val="000000"/>
          <w:sz w:val="20"/>
          <w:szCs w:val="20"/>
        </w:rPr>
        <w:t>cinnamate</w:t>
      </w:r>
      <w:proofErr w:type="spellEnd"/>
      <w:r w:rsidR="009629CE" w:rsidRPr="00DA6EB8">
        <w:rPr>
          <w:rFonts w:ascii="Times New Roman" w:hAnsi="Times New Roman" w:cs="Times New Roman"/>
          <w:color w:val="000000"/>
          <w:sz w:val="20"/>
          <w:szCs w:val="20"/>
        </w:rPr>
        <w:t xml:space="preserve"> prepared by </w:t>
      </w:r>
      <w:r w:rsidR="00B70401" w:rsidRPr="00DA6EB8">
        <w:rPr>
          <w:rFonts w:ascii="Times New Roman" w:hAnsi="Times New Roman" w:cs="Times New Roman"/>
          <w:color w:val="000000"/>
          <w:sz w:val="20"/>
          <w:szCs w:val="20"/>
        </w:rPr>
        <w:t xml:space="preserve">Phase Inversion </w:t>
      </w:r>
      <w:r w:rsidR="009629CE" w:rsidRPr="00DA6EB8">
        <w:rPr>
          <w:rFonts w:ascii="Times New Roman" w:hAnsi="Times New Roman" w:cs="Times New Roman"/>
          <w:color w:val="000000"/>
          <w:sz w:val="20"/>
          <w:szCs w:val="20"/>
        </w:rPr>
        <w:t xml:space="preserve">method. The prepared </w:t>
      </w:r>
      <w:proofErr w:type="spellStart"/>
      <w:r w:rsidR="00B70401" w:rsidRPr="00DA6EB8">
        <w:rPr>
          <w:rFonts w:ascii="Times New Roman" w:hAnsi="Times New Roman" w:cs="Times New Roman"/>
          <w:color w:val="000000"/>
          <w:sz w:val="20"/>
          <w:szCs w:val="20"/>
        </w:rPr>
        <w:t>microemulsion</w:t>
      </w:r>
      <w:proofErr w:type="spellEnd"/>
      <w:r w:rsidR="00B70401" w:rsidRPr="00DA6EB8">
        <w:rPr>
          <w:rFonts w:ascii="Times New Roman" w:hAnsi="Times New Roman" w:cs="Times New Roman"/>
          <w:color w:val="000000"/>
          <w:sz w:val="20"/>
          <w:szCs w:val="20"/>
        </w:rPr>
        <w:t xml:space="preserve"> presented</w:t>
      </w:r>
      <w:r w:rsidR="009629CE" w:rsidRPr="00DA6EB8">
        <w:rPr>
          <w:rFonts w:ascii="Times New Roman" w:hAnsi="Times New Roman" w:cs="Times New Roman"/>
          <w:color w:val="000000"/>
          <w:sz w:val="20"/>
          <w:szCs w:val="20"/>
        </w:rPr>
        <w:t xml:space="preserve"> </w:t>
      </w:r>
      <w:proofErr w:type="spellStart"/>
      <w:r w:rsidR="009629CE" w:rsidRPr="00DA6EB8">
        <w:rPr>
          <w:rFonts w:ascii="Times New Roman" w:hAnsi="Times New Roman" w:cs="Times New Roman"/>
          <w:color w:val="000000"/>
          <w:sz w:val="20"/>
          <w:szCs w:val="20"/>
        </w:rPr>
        <w:t>polydispersity</w:t>
      </w:r>
      <w:proofErr w:type="spellEnd"/>
      <w:r w:rsidR="009629CE" w:rsidRPr="00DA6EB8">
        <w:rPr>
          <w:rFonts w:ascii="Times New Roman" w:hAnsi="Times New Roman" w:cs="Times New Roman"/>
          <w:color w:val="000000"/>
          <w:sz w:val="20"/>
          <w:szCs w:val="20"/>
        </w:rPr>
        <w:t xml:space="preserve"> </w:t>
      </w:r>
      <w:r w:rsidR="00B70401" w:rsidRPr="00DA6EB8">
        <w:rPr>
          <w:rFonts w:ascii="Times New Roman" w:hAnsi="Times New Roman" w:cs="Times New Roman"/>
          <w:color w:val="000000"/>
          <w:sz w:val="20"/>
          <w:szCs w:val="20"/>
        </w:rPr>
        <w:t>Index 0.296</w:t>
      </w:r>
      <w:r w:rsidR="009629CE" w:rsidRPr="00DA6EB8">
        <w:rPr>
          <w:rFonts w:ascii="Times New Roman" w:hAnsi="Times New Roman" w:cs="Times New Roman"/>
          <w:color w:val="000000"/>
          <w:sz w:val="20"/>
          <w:szCs w:val="20"/>
        </w:rPr>
        <w:t xml:space="preserve"> and mean droplet size </w:t>
      </w:r>
      <w:r w:rsidR="00B70401" w:rsidRPr="00DA6EB8">
        <w:rPr>
          <w:rFonts w:ascii="Times New Roman" w:hAnsi="Times New Roman" w:cs="Times New Roman"/>
          <w:color w:val="000000"/>
          <w:sz w:val="20"/>
          <w:szCs w:val="20"/>
        </w:rPr>
        <w:t>55</w:t>
      </w:r>
      <w:r w:rsidR="009629CE" w:rsidRPr="00DA6EB8">
        <w:rPr>
          <w:rFonts w:ascii="Times New Roman" w:hAnsi="Times New Roman" w:cs="Times New Roman"/>
          <w:color w:val="000000"/>
          <w:sz w:val="20"/>
          <w:szCs w:val="20"/>
        </w:rPr>
        <w:t xml:space="preserve"> nm</w:t>
      </w:r>
      <w:r w:rsidR="009629CE" w:rsidRPr="00DA6EB8">
        <w:rPr>
          <w:rFonts w:ascii="Times New Roman" w:hAnsi="Times New Roman" w:cs="Times New Roman"/>
          <w:i/>
          <w:iCs/>
          <w:color w:val="000000"/>
          <w:sz w:val="20"/>
          <w:szCs w:val="20"/>
        </w:rPr>
        <w:t>.</w:t>
      </w:r>
      <w:r w:rsidR="00F74800" w:rsidRPr="00DA6EB8">
        <w:rPr>
          <w:rFonts w:ascii="Times New Roman" w:hAnsi="Times New Roman" w:cs="Times New Roman"/>
          <w:sz w:val="20"/>
          <w:szCs w:val="20"/>
        </w:rPr>
        <w:t xml:space="preserve"> The LC</w:t>
      </w:r>
      <w:r w:rsidR="00F74800" w:rsidRPr="00DA6EB8">
        <w:rPr>
          <w:rFonts w:ascii="Times New Roman" w:hAnsi="Times New Roman" w:cs="Times New Roman"/>
          <w:sz w:val="20"/>
          <w:szCs w:val="20"/>
          <w:vertAlign w:val="subscript"/>
        </w:rPr>
        <w:t>50</w:t>
      </w:r>
      <w:r w:rsidR="00F74800" w:rsidRPr="00DA6EB8">
        <w:rPr>
          <w:rFonts w:ascii="Times New Roman" w:hAnsi="Times New Roman" w:cs="Times New Roman"/>
          <w:sz w:val="20"/>
          <w:szCs w:val="20"/>
        </w:rPr>
        <w:t xml:space="preserve">’s of the tested compound </w:t>
      </w:r>
      <w:r w:rsidR="00F74800" w:rsidRPr="00DA6EB8">
        <w:rPr>
          <w:rFonts w:ascii="Times New Roman" w:hAnsi="Times New Roman" w:cs="Times New Roman"/>
          <w:i/>
          <w:iCs/>
          <w:sz w:val="20"/>
          <w:szCs w:val="20"/>
        </w:rPr>
        <w:t>trans</w:t>
      </w:r>
      <w:r w:rsidR="00F74800" w:rsidRPr="00DA6EB8">
        <w:rPr>
          <w:rFonts w:ascii="Times New Roman" w:hAnsi="Times New Roman" w:cs="Times New Roman"/>
          <w:sz w:val="20"/>
          <w:szCs w:val="20"/>
        </w:rPr>
        <w:t xml:space="preserve">-methyl </w:t>
      </w:r>
      <w:proofErr w:type="spellStart"/>
      <w:r w:rsidR="00F74800" w:rsidRPr="00DA6EB8">
        <w:rPr>
          <w:rFonts w:ascii="Times New Roman" w:hAnsi="Times New Roman" w:cs="Times New Roman"/>
          <w:sz w:val="20"/>
          <w:szCs w:val="20"/>
        </w:rPr>
        <w:t>cinnamate</w:t>
      </w:r>
      <w:proofErr w:type="spellEnd"/>
      <w:r w:rsidR="00F74800" w:rsidRPr="00DA6EB8">
        <w:rPr>
          <w:rFonts w:ascii="Times New Roman" w:hAnsi="Times New Roman" w:cs="Times New Roman"/>
          <w:sz w:val="20"/>
          <w:szCs w:val="20"/>
        </w:rPr>
        <w:t xml:space="preserve"> and the prepared 10% micro</w:t>
      </w:r>
      <w:r w:rsidR="00703966" w:rsidRPr="00DA6EB8">
        <w:rPr>
          <w:rFonts w:ascii="Times New Roman" w:hAnsi="Times New Roman" w:cs="Times New Roman"/>
          <w:sz w:val="20"/>
          <w:szCs w:val="20"/>
        </w:rPr>
        <w:t xml:space="preserve"> </w:t>
      </w:r>
      <w:r w:rsidR="00F74800" w:rsidRPr="00DA6EB8">
        <w:rPr>
          <w:rFonts w:ascii="Times New Roman" w:hAnsi="Times New Roman" w:cs="Times New Roman"/>
          <w:sz w:val="20"/>
          <w:szCs w:val="20"/>
        </w:rPr>
        <w:t xml:space="preserve">emulsion formulation against the tested fungi were determined according to </w:t>
      </w:r>
      <w:r w:rsidR="00F74800" w:rsidRPr="00DA6EB8">
        <w:rPr>
          <w:rFonts w:ascii="Times New Roman" w:hAnsi="Times New Roman" w:cs="Times New Roman"/>
          <w:color w:val="000000"/>
          <w:sz w:val="20"/>
          <w:szCs w:val="20"/>
        </w:rPr>
        <w:t>the relationship drawn between the</w:t>
      </w:r>
      <w:r w:rsidR="00703966" w:rsidRPr="00DA6EB8">
        <w:rPr>
          <w:rFonts w:ascii="Times New Roman" w:hAnsi="Times New Roman" w:cs="Times New Roman"/>
          <w:color w:val="000000"/>
          <w:sz w:val="20"/>
          <w:szCs w:val="20"/>
        </w:rPr>
        <w:t xml:space="preserve"> </w:t>
      </w:r>
      <w:r w:rsidR="00F74800" w:rsidRPr="00DA6EB8">
        <w:rPr>
          <w:rFonts w:ascii="Times New Roman" w:hAnsi="Times New Roman" w:cs="Times New Roman"/>
          <w:color w:val="000000"/>
          <w:sz w:val="20"/>
          <w:szCs w:val="20"/>
        </w:rPr>
        <w:t>logarithm of concentration and the percent of growth inhibition (</w:t>
      </w:r>
      <w:proofErr w:type="spellStart"/>
      <w:r w:rsidR="00F74800" w:rsidRPr="00DA6EB8">
        <w:rPr>
          <w:rFonts w:ascii="Times New Roman" w:hAnsi="Times New Roman" w:cs="Times New Roman"/>
          <w:color w:val="000000"/>
          <w:sz w:val="20"/>
          <w:szCs w:val="20"/>
        </w:rPr>
        <w:t>ldp</w:t>
      </w:r>
      <w:proofErr w:type="spellEnd"/>
      <w:r w:rsidR="00F74800" w:rsidRPr="00DA6EB8">
        <w:rPr>
          <w:rFonts w:ascii="Times New Roman" w:hAnsi="Times New Roman" w:cs="Times New Roman"/>
          <w:color w:val="000000"/>
          <w:sz w:val="20"/>
          <w:szCs w:val="20"/>
        </w:rPr>
        <w:t xml:space="preserve"> lines), and the toxicity ind</w:t>
      </w:r>
      <w:r w:rsidR="006D67FC" w:rsidRPr="00DA6EB8">
        <w:rPr>
          <w:rFonts w:ascii="Times New Roman" w:hAnsi="Times New Roman" w:cs="Times New Roman"/>
          <w:color w:val="000000"/>
          <w:sz w:val="20"/>
          <w:szCs w:val="20"/>
        </w:rPr>
        <w:t>ice</w:t>
      </w:r>
      <w:r w:rsidR="00F74800" w:rsidRPr="00DA6EB8">
        <w:rPr>
          <w:rFonts w:ascii="Times New Roman" w:hAnsi="Times New Roman" w:cs="Times New Roman"/>
          <w:color w:val="000000"/>
          <w:sz w:val="20"/>
          <w:szCs w:val="20"/>
        </w:rPr>
        <w:t>s and relative potencies were calculated. The</w:t>
      </w:r>
      <w:r w:rsidR="00703966" w:rsidRPr="00DA6EB8">
        <w:rPr>
          <w:rFonts w:ascii="Times New Roman" w:hAnsi="Times New Roman" w:cs="Times New Roman"/>
          <w:color w:val="000000"/>
          <w:sz w:val="20"/>
          <w:szCs w:val="20"/>
        </w:rPr>
        <w:t xml:space="preserve"> </w:t>
      </w:r>
      <w:r w:rsidR="00F74800" w:rsidRPr="00DA6EB8">
        <w:rPr>
          <w:rFonts w:ascii="Times New Roman" w:hAnsi="Times New Roman" w:cs="Times New Roman"/>
          <w:sz w:val="20"/>
          <w:szCs w:val="20"/>
        </w:rPr>
        <w:t>prepared formulation was more effective than the corresponding active material regarding the value of LC</w:t>
      </w:r>
      <w:r w:rsidR="00F74800" w:rsidRPr="00DA6EB8">
        <w:rPr>
          <w:rFonts w:ascii="Times New Roman" w:hAnsi="Times New Roman" w:cs="Times New Roman"/>
          <w:sz w:val="20"/>
          <w:szCs w:val="20"/>
          <w:vertAlign w:val="subscript"/>
        </w:rPr>
        <w:t>50</w:t>
      </w:r>
      <w:r w:rsidR="00F74800" w:rsidRPr="00DA6EB8">
        <w:rPr>
          <w:rFonts w:ascii="Times New Roman" w:hAnsi="Times New Roman" w:cs="Times New Roman"/>
          <w:sz w:val="20"/>
          <w:szCs w:val="20"/>
        </w:rPr>
        <w:t xml:space="preserve"> in the case of all examined fungi. The LC</w:t>
      </w:r>
      <w:r w:rsidR="00F74800" w:rsidRPr="00DA6EB8">
        <w:rPr>
          <w:rFonts w:ascii="Times New Roman" w:hAnsi="Times New Roman" w:cs="Times New Roman"/>
          <w:sz w:val="20"/>
          <w:szCs w:val="20"/>
          <w:vertAlign w:val="subscript"/>
        </w:rPr>
        <w:t>50</w:t>
      </w:r>
      <w:r w:rsidR="00F74800" w:rsidRPr="00DA6EB8">
        <w:rPr>
          <w:rFonts w:ascii="Times New Roman" w:hAnsi="Times New Roman" w:cs="Times New Roman"/>
          <w:sz w:val="20"/>
          <w:szCs w:val="20"/>
        </w:rPr>
        <w:t xml:space="preserve"> values of </w:t>
      </w:r>
      <w:r w:rsidR="00F74800" w:rsidRPr="00DA6EB8">
        <w:rPr>
          <w:rFonts w:ascii="Times New Roman" w:hAnsi="Times New Roman" w:cs="Times New Roman"/>
          <w:i/>
          <w:iCs/>
          <w:sz w:val="20"/>
          <w:szCs w:val="20"/>
        </w:rPr>
        <w:t>trans-</w:t>
      </w:r>
      <w:r w:rsidR="00F74800" w:rsidRPr="00DA6EB8">
        <w:rPr>
          <w:rFonts w:ascii="Times New Roman" w:hAnsi="Times New Roman" w:cs="Times New Roman"/>
          <w:sz w:val="20"/>
          <w:szCs w:val="20"/>
        </w:rPr>
        <w:t xml:space="preserve">methyl </w:t>
      </w:r>
      <w:proofErr w:type="spellStart"/>
      <w:r w:rsidR="00F74800" w:rsidRPr="00DA6EB8">
        <w:rPr>
          <w:rFonts w:ascii="Times New Roman" w:hAnsi="Times New Roman" w:cs="Times New Roman"/>
          <w:sz w:val="20"/>
          <w:szCs w:val="20"/>
        </w:rPr>
        <w:t>cinnamate</w:t>
      </w:r>
      <w:proofErr w:type="spellEnd"/>
      <w:r w:rsidR="00F74800" w:rsidRPr="00DA6EB8">
        <w:rPr>
          <w:rFonts w:ascii="Times New Roman" w:hAnsi="Times New Roman" w:cs="Times New Roman"/>
          <w:sz w:val="20"/>
          <w:szCs w:val="20"/>
        </w:rPr>
        <w:t xml:space="preserve"> on the tested </w:t>
      </w:r>
      <w:proofErr w:type="spellStart"/>
      <w:r w:rsidR="00F74800" w:rsidRPr="00DA6EB8">
        <w:rPr>
          <w:rFonts w:ascii="Times New Roman" w:hAnsi="Times New Roman" w:cs="Times New Roman"/>
          <w:sz w:val="20"/>
          <w:szCs w:val="20"/>
        </w:rPr>
        <w:t>phytopathogenic</w:t>
      </w:r>
      <w:proofErr w:type="spellEnd"/>
      <w:r w:rsidR="00F74800" w:rsidRPr="00DA6EB8">
        <w:rPr>
          <w:rFonts w:ascii="Times New Roman" w:hAnsi="Times New Roman" w:cs="Times New Roman"/>
          <w:sz w:val="20"/>
          <w:szCs w:val="20"/>
        </w:rPr>
        <w:t xml:space="preserve"> fungi </w:t>
      </w:r>
      <w:r w:rsidR="00F74800" w:rsidRPr="00DA6EB8">
        <w:rPr>
          <w:rFonts w:ascii="Times New Roman" w:hAnsi="Times New Roman" w:cs="Times New Roman"/>
          <w:i/>
          <w:iCs/>
          <w:sz w:val="20"/>
          <w:szCs w:val="20"/>
        </w:rPr>
        <w:t xml:space="preserve">S. </w:t>
      </w:r>
      <w:proofErr w:type="spellStart"/>
      <w:r w:rsidR="00F74800" w:rsidRPr="00DA6EB8">
        <w:rPr>
          <w:rFonts w:ascii="Times New Roman" w:hAnsi="Times New Roman" w:cs="Times New Roman"/>
          <w:i/>
          <w:iCs/>
          <w:sz w:val="20"/>
          <w:szCs w:val="20"/>
        </w:rPr>
        <w:t>rolfsii</w:t>
      </w:r>
      <w:proofErr w:type="spellEnd"/>
      <w:r w:rsidR="00F74800" w:rsidRPr="00DA6EB8">
        <w:rPr>
          <w:rFonts w:ascii="Times New Roman" w:hAnsi="Times New Roman" w:cs="Times New Roman"/>
          <w:sz w:val="20"/>
          <w:szCs w:val="20"/>
        </w:rPr>
        <w:t xml:space="preserve">, </w:t>
      </w:r>
      <w:r w:rsidR="00F74800" w:rsidRPr="00DA6EB8">
        <w:rPr>
          <w:rFonts w:ascii="Times New Roman" w:hAnsi="Times New Roman" w:cs="Times New Roman"/>
          <w:i/>
          <w:iCs/>
          <w:sz w:val="20"/>
          <w:szCs w:val="20"/>
        </w:rPr>
        <w:t xml:space="preserve">R. </w:t>
      </w:r>
      <w:proofErr w:type="spellStart"/>
      <w:r w:rsidR="00F74800" w:rsidRPr="00DA6EB8">
        <w:rPr>
          <w:rFonts w:ascii="Times New Roman" w:hAnsi="Times New Roman" w:cs="Times New Roman"/>
          <w:i/>
          <w:iCs/>
          <w:sz w:val="20"/>
          <w:szCs w:val="20"/>
        </w:rPr>
        <w:t>solani</w:t>
      </w:r>
      <w:proofErr w:type="spellEnd"/>
      <w:r w:rsidR="00F74800" w:rsidRPr="00DA6EB8">
        <w:rPr>
          <w:rFonts w:ascii="Times New Roman" w:hAnsi="Times New Roman" w:cs="Times New Roman"/>
          <w:i/>
          <w:iCs/>
          <w:sz w:val="20"/>
          <w:szCs w:val="20"/>
        </w:rPr>
        <w:t xml:space="preserve">, A. </w:t>
      </w:r>
      <w:proofErr w:type="spellStart"/>
      <w:r w:rsidR="00F74800" w:rsidRPr="00DA6EB8">
        <w:rPr>
          <w:rFonts w:ascii="Times New Roman" w:hAnsi="Times New Roman" w:cs="Times New Roman"/>
          <w:i/>
          <w:iCs/>
          <w:sz w:val="20"/>
          <w:szCs w:val="20"/>
        </w:rPr>
        <w:t>solani</w:t>
      </w:r>
      <w:proofErr w:type="spellEnd"/>
      <w:r w:rsidR="00F74800" w:rsidRPr="00DA6EB8">
        <w:rPr>
          <w:rFonts w:ascii="Times New Roman" w:hAnsi="Times New Roman" w:cs="Times New Roman"/>
          <w:sz w:val="20"/>
          <w:szCs w:val="20"/>
        </w:rPr>
        <w:t xml:space="preserve"> and </w:t>
      </w:r>
      <w:r w:rsidR="00F74800" w:rsidRPr="00DA6EB8">
        <w:rPr>
          <w:rFonts w:ascii="Times New Roman" w:hAnsi="Times New Roman" w:cs="Times New Roman"/>
          <w:i/>
          <w:iCs/>
          <w:sz w:val="20"/>
          <w:szCs w:val="20"/>
        </w:rPr>
        <w:t xml:space="preserve">F. </w:t>
      </w:r>
      <w:proofErr w:type="spellStart"/>
      <w:r w:rsidR="00F74800" w:rsidRPr="00DA6EB8">
        <w:rPr>
          <w:rFonts w:ascii="Times New Roman" w:hAnsi="Times New Roman" w:cs="Times New Roman"/>
          <w:i/>
          <w:iCs/>
          <w:sz w:val="20"/>
          <w:szCs w:val="20"/>
        </w:rPr>
        <w:t>solani</w:t>
      </w:r>
      <w:proofErr w:type="spellEnd"/>
      <w:r w:rsidR="00F74800" w:rsidRPr="00DA6EB8">
        <w:rPr>
          <w:rFonts w:ascii="Times New Roman" w:hAnsi="Times New Roman" w:cs="Times New Roman"/>
          <w:i/>
          <w:iCs/>
          <w:sz w:val="20"/>
          <w:szCs w:val="20"/>
        </w:rPr>
        <w:t xml:space="preserve"> </w:t>
      </w:r>
      <w:r w:rsidR="00F74800" w:rsidRPr="00DA6EB8">
        <w:rPr>
          <w:rFonts w:ascii="Times New Roman" w:hAnsi="Times New Roman" w:cs="Times New Roman"/>
          <w:sz w:val="20"/>
          <w:szCs w:val="20"/>
        </w:rPr>
        <w:t>were 115.56, 69.07, 165.21 and 422.77, respectively. Whereas, the LC</w:t>
      </w:r>
      <w:r w:rsidR="00F74800" w:rsidRPr="00DA6EB8">
        <w:rPr>
          <w:rFonts w:ascii="Times New Roman" w:hAnsi="Times New Roman" w:cs="Times New Roman"/>
          <w:sz w:val="20"/>
          <w:szCs w:val="20"/>
          <w:vertAlign w:val="subscript"/>
        </w:rPr>
        <w:t xml:space="preserve">50 </w:t>
      </w:r>
      <w:r w:rsidR="00F74800" w:rsidRPr="00DA6EB8">
        <w:rPr>
          <w:rFonts w:ascii="Times New Roman" w:hAnsi="Times New Roman" w:cs="Times New Roman"/>
          <w:sz w:val="20"/>
          <w:szCs w:val="20"/>
        </w:rPr>
        <w:t xml:space="preserve">values of prepared </w:t>
      </w:r>
      <w:r w:rsidR="00F74800" w:rsidRPr="00DA6EB8">
        <w:rPr>
          <w:rFonts w:ascii="Times New Roman" w:hAnsi="Times New Roman" w:cs="Times New Roman"/>
          <w:i/>
          <w:iCs/>
          <w:sz w:val="20"/>
          <w:szCs w:val="20"/>
        </w:rPr>
        <w:t>trans-</w:t>
      </w:r>
      <w:r w:rsidR="00F74800" w:rsidRPr="00DA6EB8">
        <w:rPr>
          <w:rFonts w:ascii="Times New Roman" w:hAnsi="Times New Roman" w:cs="Times New Roman"/>
          <w:sz w:val="20"/>
          <w:szCs w:val="20"/>
        </w:rPr>
        <w:t xml:space="preserve">methyl </w:t>
      </w:r>
      <w:proofErr w:type="spellStart"/>
      <w:r w:rsidR="00F74800" w:rsidRPr="00DA6EB8">
        <w:rPr>
          <w:rFonts w:ascii="Times New Roman" w:hAnsi="Times New Roman" w:cs="Times New Roman"/>
          <w:sz w:val="20"/>
          <w:szCs w:val="20"/>
        </w:rPr>
        <w:t>cinnamate</w:t>
      </w:r>
      <w:proofErr w:type="spellEnd"/>
      <w:r w:rsidR="00F74800" w:rsidRPr="00DA6EB8">
        <w:rPr>
          <w:rFonts w:ascii="Times New Roman" w:hAnsi="Times New Roman" w:cs="Times New Roman"/>
          <w:sz w:val="20"/>
          <w:szCs w:val="20"/>
        </w:rPr>
        <w:t xml:space="preserve"> 10% </w:t>
      </w:r>
      <w:r w:rsidR="00C4111C" w:rsidRPr="00DA6EB8">
        <w:rPr>
          <w:rFonts w:ascii="Times New Roman" w:hAnsi="Times New Roman" w:cs="Times New Roman"/>
          <w:sz w:val="20"/>
          <w:szCs w:val="20"/>
        </w:rPr>
        <w:t>ME</w:t>
      </w:r>
      <w:r w:rsidR="00F74800" w:rsidRPr="00DA6EB8">
        <w:rPr>
          <w:rFonts w:ascii="Times New Roman" w:hAnsi="Times New Roman" w:cs="Times New Roman"/>
          <w:sz w:val="20"/>
          <w:szCs w:val="20"/>
        </w:rPr>
        <w:t xml:space="preserve"> formulation on the </w:t>
      </w:r>
      <w:r w:rsidR="00AF7F29" w:rsidRPr="00DA6EB8">
        <w:rPr>
          <w:rFonts w:ascii="Times New Roman" w:hAnsi="Times New Roman" w:cs="Times New Roman"/>
          <w:sz w:val="20"/>
          <w:szCs w:val="20"/>
        </w:rPr>
        <w:t>same examined</w:t>
      </w:r>
      <w:r w:rsidR="00F74800" w:rsidRPr="00DA6EB8">
        <w:rPr>
          <w:rFonts w:ascii="Times New Roman" w:hAnsi="Times New Roman" w:cs="Times New Roman"/>
          <w:sz w:val="20"/>
          <w:szCs w:val="20"/>
        </w:rPr>
        <w:t xml:space="preserve"> fungi were 58.62, 60.86, 50.56 and 209.30 </w:t>
      </w:r>
      <w:proofErr w:type="spellStart"/>
      <w:r w:rsidR="00F74800" w:rsidRPr="00DA6EB8">
        <w:rPr>
          <w:rFonts w:ascii="Times New Roman" w:hAnsi="Times New Roman" w:cs="Times New Roman"/>
          <w:sz w:val="20"/>
          <w:szCs w:val="20"/>
        </w:rPr>
        <w:t>ppm</w:t>
      </w:r>
      <w:proofErr w:type="spellEnd"/>
      <w:r w:rsidR="00F74800" w:rsidRPr="00DA6EB8">
        <w:rPr>
          <w:rFonts w:ascii="Times New Roman" w:hAnsi="Times New Roman" w:cs="Times New Roman"/>
          <w:sz w:val="20"/>
          <w:szCs w:val="20"/>
        </w:rPr>
        <w:t>, respectively.</w:t>
      </w:r>
      <w:r w:rsidR="00703966" w:rsidRPr="00DA6EB8">
        <w:rPr>
          <w:rFonts w:ascii="Times New Roman" w:hAnsi="Times New Roman" w:cs="Times New Roman"/>
          <w:sz w:val="20"/>
          <w:szCs w:val="20"/>
          <w:lang w:bidi="ar-EG"/>
        </w:rPr>
        <w:t xml:space="preserve"> </w:t>
      </w:r>
      <w:r w:rsidR="00A0321E" w:rsidRPr="00DA6EB8">
        <w:rPr>
          <w:rFonts w:ascii="Times New Roman" w:hAnsi="Times New Roman" w:cs="Times New Roman"/>
          <w:sz w:val="20"/>
          <w:szCs w:val="20"/>
          <w:lang w:bidi="ar-EG"/>
        </w:rPr>
        <w:t>The toxicity ind</w:t>
      </w:r>
      <w:r w:rsidR="006D67FC" w:rsidRPr="00DA6EB8">
        <w:rPr>
          <w:rFonts w:ascii="Times New Roman" w:hAnsi="Times New Roman" w:cs="Times New Roman"/>
          <w:sz w:val="20"/>
          <w:szCs w:val="20"/>
          <w:lang w:bidi="ar-EG"/>
        </w:rPr>
        <w:t>ice</w:t>
      </w:r>
      <w:r w:rsidR="00A0321E" w:rsidRPr="00DA6EB8">
        <w:rPr>
          <w:rFonts w:ascii="Times New Roman" w:hAnsi="Times New Roman" w:cs="Times New Roman"/>
          <w:sz w:val="20"/>
          <w:szCs w:val="20"/>
          <w:lang w:bidi="ar-EG"/>
        </w:rPr>
        <w:t xml:space="preserve">s were 50.72, 88.12, 30.6 and 49.51% for </w:t>
      </w:r>
      <w:r w:rsidR="00A0321E" w:rsidRPr="00DA6EB8">
        <w:rPr>
          <w:rFonts w:ascii="Times New Roman" w:hAnsi="Times New Roman" w:cs="Times New Roman"/>
          <w:i/>
          <w:iCs/>
          <w:sz w:val="20"/>
          <w:szCs w:val="20"/>
          <w:lang w:bidi="ar-EG"/>
        </w:rPr>
        <w:t>trans-</w:t>
      </w:r>
      <w:r w:rsidR="00A0321E" w:rsidRPr="00DA6EB8">
        <w:rPr>
          <w:rFonts w:ascii="Times New Roman" w:hAnsi="Times New Roman" w:cs="Times New Roman"/>
          <w:sz w:val="20"/>
          <w:szCs w:val="20"/>
          <w:lang w:bidi="ar-EG"/>
        </w:rPr>
        <w:t xml:space="preserve">methyl </w:t>
      </w:r>
      <w:proofErr w:type="spellStart"/>
      <w:r w:rsidR="00A0321E" w:rsidRPr="00DA6EB8">
        <w:rPr>
          <w:rFonts w:ascii="Times New Roman" w:hAnsi="Times New Roman" w:cs="Times New Roman"/>
          <w:sz w:val="20"/>
          <w:szCs w:val="20"/>
          <w:lang w:bidi="ar-EG"/>
        </w:rPr>
        <w:t>cinnamate</w:t>
      </w:r>
      <w:proofErr w:type="spellEnd"/>
      <w:r w:rsidR="00A0321E" w:rsidRPr="00DA6EB8">
        <w:rPr>
          <w:rFonts w:ascii="Times New Roman" w:hAnsi="Times New Roman" w:cs="Times New Roman"/>
          <w:sz w:val="20"/>
          <w:szCs w:val="20"/>
          <w:lang w:bidi="ar-EG"/>
        </w:rPr>
        <w:t xml:space="preserve"> 99% against </w:t>
      </w:r>
      <w:r w:rsidR="00A0321E" w:rsidRPr="00DA6EB8">
        <w:rPr>
          <w:rFonts w:ascii="Times New Roman" w:hAnsi="Times New Roman" w:cs="Times New Roman"/>
          <w:i/>
          <w:iCs/>
          <w:sz w:val="20"/>
          <w:szCs w:val="20"/>
        </w:rPr>
        <w:t xml:space="preserve">S. </w:t>
      </w:r>
      <w:proofErr w:type="spellStart"/>
      <w:r w:rsidR="00A0321E" w:rsidRPr="00DA6EB8">
        <w:rPr>
          <w:rFonts w:ascii="Times New Roman" w:hAnsi="Times New Roman" w:cs="Times New Roman"/>
          <w:i/>
          <w:iCs/>
          <w:sz w:val="20"/>
          <w:szCs w:val="20"/>
        </w:rPr>
        <w:t>rolfsii</w:t>
      </w:r>
      <w:proofErr w:type="spellEnd"/>
      <w:r w:rsidR="00A0321E" w:rsidRPr="00DA6EB8">
        <w:rPr>
          <w:rFonts w:ascii="Times New Roman" w:hAnsi="Times New Roman" w:cs="Times New Roman"/>
          <w:sz w:val="20"/>
          <w:szCs w:val="20"/>
        </w:rPr>
        <w:t xml:space="preserve">, </w:t>
      </w:r>
      <w:r w:rsidR="00A0321E" w:rsidRPr="00DA6EB8">
        <w:rPr>
          <w:rFonts w:ascii="Times New Roman" w:hAnsi="Times New Roman" w:cs="Times New Roman"/>
          <w:i/>
          <w:iCs/>
          <w:sz w:val="20"/>
          <w:szCs w:val="20"/>
        </w:rPr>
        <w:t xml:space="preserve">R. </w:t>
      </w:r>
      <w:proofErr w:type="spellStart"/>
      <w:r w:rsidR="00A0321E" w:rsidRPr="00DA6EB8">
        <w:rPr>
          <w:rFonts w:ascii="Times New Roman" w:hAnsi="Times New Roman" w:cs="Times New Roman"/>
          <w:i/>
          <w:iCs/>
          <w:sz w:val="20"/>
          <w:szCs w:val="20"/>
        </w:rPr>
        <w:t>solani</w:t>
      </w:r>
      <w:proofErr w:type="spellEnd"/>
      <w:r w:rsidR="00A0321E" w:rsidRPr="00DA6EB8">
        <w:rPr>
          <w:rFonts w:ascii="Times New Roman" w:hAnsi="Times New Roman" w:cs="Times New Roman"/>
          <w:i/>
          <w:iCs/>
          <w:sz w:val="20"/>
          <w:szCs w:val="20"/>
        </w:rPr>
        <w:t xml:space="preserve">, A. </w:t>
      </w:r>
      <w:proofErr w:type="spellStart"/>
      <w:r w:rsidR="00A0321E" w:rsidRPr="00DA6EB8">
        <w:rPr>
          <w:rFonts w:ascii="Times New Roman" w:hAnsi="Times New Roman" w:cs="Times New Roman"/>
          <w:i/>
          <w:iCs/>
          <w:sz w:val="20"/>
          <w:szCs w:val="20"/>
        </w:rPr>
        <w:t>solani</w:t>
      </w:r>
      <w:proofErr w:type="spellEnd"/>
      <w:r w:rsidR="00A0321E" w:rsidRPr="00DA6EB8">
        <w:rPr>
          <w:rFonts w:ascii="Times New Roman" w:hAnsi="Times New Roman" w:cs="Times New Roman"/>
          <w:sz w:val="20"/>
          <w:szCs w:val="20"/>
        </w:rPr>
        <w:t xml:space="preserve"> and </w:t>
      </w:r>
      <w:r w:rsidR="00A0321E" w:rsidRPr="00DA6EB8">
        <w:rPr>
          <w:rFonts w:ascii="Times New Roman" w:hAnsi="Times New Roman" w:cs="Times New Roman"/>
          <w:i/>
          <w:iCs/>
          <w:sz w:val="20"/>
          <w:szCs w:val="20"/>
        </w:rPr>
        <w:t xml:space="preserve">F. </w:t>
      </w:r>
      <w:proofErr w:type="spellStart"/>
      <w:r w:rsidR="00A0321E" w:rsidRPr="00DA6EB8">
        <w:rPr>
          <w:rFonts w:ascii="Times New Roman" w:hAnsi="Times New Roman" w:cs="Times New Roman"/>
          <w:i/>
          <w:iCs/>
          <w:sz w:val="20"/>
          <w:szCs w:val="20"/>
        </w:rPr>
        <w:t>solani</w:t>
      </w:r>
      <w:proofErr w:type="spellEnd"/>
      <w:r w:rsidR="00A0321E" w:rsidRPr="00DA6EB8">
        <w:rPr>
          <w:rFonts w:ascii="Times New Roman" w:hAnsi="Times New Roman" w:cs="Times New Roman"/>
          <w:sz w:val="20"/>
          <w:szCs w:val="20"/>
          <w:lang w:bidi="ar-EG"/>
        </w:rPr>
        <w:t xml:space="preserve">, respectively when compared with for </w:t>
      </w:r>
      <w:r w:rsidR="00A0321E" w:rsidRPr="00DA6EB8">
        <w:rPr>
          <w:rFonts w:ascii="Times New Roman" w:hAnsi="Times New Roman" w:cs="Times New Roman"/>
          <w:i/>
          <w:iCs/>
          <w:sz w:val="20"/>
          <w:szCs w:val="20"/>
          <w:lang w:bidi="ar-EG"/>
        </w:rPr>
        <w:t>trans-</w:t>
      </w:r>
      <w:r w:rsidR="00A0321E" w:rsidRPr="00DA6EB8">
        <w:rPr>
          <w:rFonts w:ascii="Times New Roman" w:hAnsi="Times New Roman" w:cs="Times New Roman"/>
          <w:sz w:val="20"/>
          <w:szCs w:val="20"/>
          <w:lang w:bidi="ar-EG"/>
        </w:rPr>
        <w:t xml:space="preserve">methyl </w:t>
      </w:r>
      <w:proofErr w:type="spellStart"/>
      <w:r w:rsidR="00A0321E" w:rsidRPr="00DA6EB8">
        <w:rPr>
          <w:rFonts w:ascii="Times New Roman" w:hAnsi="Times New Roman" w:cs="Times New Roman"/>
          <w:sz w:val="20"/>
          <w:szCs w:val="20"/>
          <w:lang w:bidi="ar-EG"/>
        </w:rPr>
        <w:t>cinnamate</w:t>
      </w:r>
      <w:proofErr w:type="spellEnd"/>
      <w:r w:rsidR="00A0321E" w:rsidRPr="00DA6EB8">
        <w:rPr>
          <w:rFonts w:ascii="Times New Roman" w:hAnsi="Times New Roman" w:cs="Times New Roman"/>
          <w:sz w:val="20"/>
          <w:szCs w:val="20"/>
          <w:lang w:bidi="ar-EG"/>
        </w:rPr>
        <w:t xml:space="preserve"> 10% </w:t>
      </w:r>
      <w:r w:rsidR="00C4111C" w:rsidRPr="00DA6EB8">
        <w:rPr>
          <w:rFonts w:ascii="Times New Roman" w:hAnsi="Times New Roman" w:cs="Times New Roman"/>
          <w:sz w:val="20"/>
          <w:szCs w:val="20"/>
          <w:lang w:bidi="ar-EG"/>
        </w:rPr>
        <w:t>ME</w:t>
      </w:r>
      <w:r w:rsidR="00A0321E" w:rsidRPr="00DA6EB8">
        <w:rPr>
          <w:rFonts w:ascii="Times New Roman" w:hAnsi="Times New Roman" w:cs="Times New Roman"/>
          <w:sz w:val="20"/>
          <w:szCs w:val="20"/>
          <w:lang w:bidi="ar-EG"/>
        </w:rPr>
        <w:t>, which had the 100% toxicity index.</w:t>
      </w:r>
      <w:r w:rsidR="001841CD" w:rsidRPr="00DA6EB8">
        <w:rPr>
          <w:rFonts w:ascii="Times New Roman" w:hAnsi="Times New Roman" w:cs="Times New Roman"/>
          <w:sz w:val="20"/>
          <w:szCs w:val="20"/>
          <w:lang w:bidi="ar-EG"/>
        </w:rPr>
        <w:t xml:space="preserve"> </w:t>
      </w:r>
      <w:r w:rsidR="00AF7F29" w:rsidRPr="00DA6EB8">
        <w:rPr>
          <w:rFonts w:ascii="Times New Roman" w:hAnsi="Times New Roman" w:cs="Times New Roman"/>
          <w:sz w:val="20"/>
          <w:szCs w:val="20"/>
          <w:lang w:bidi="ar-EG"/>
        </w:rPr>
        <w:t>Finally,</w:t>
      </w:r>
      <w:r w:rsidR="001841CD" w:rsidRPr="00DA6EB8">
        <w:rPr>
          <w:rFonts w:ascii="Times New Roman" w:hAnsi="Times New Roman" w:cs="Times New Roman"/>
          <w:sz w:val="20"/>
          <w:szCs w:val="20"/>
          <w:lang w:bidi="ar-EG"/>
        </w:rPr>
        <w:t xml:space="preserve"> </w:t>
      </w:r>
      <w:r w:rsidR="00A0321E" w:rsidRPr="00DA6EB8">
        <w:rPr>
          <w:rFonts w:ascii="Times New Roman" w:hAnsi="Times New Roman" w:cs="Times New Roman"/>
          <w:sz w:val="20"/>
          <w:szCs w:val="20"/>
          <w:lang w:bidi="ar-EG"/>
        </w:rPr>
        <w:t xml:space="preserve">the relative potencies of </w:t>
      </w:r>
      <w:r w:rsidR="00A0321E" w:rsidRPr="00DA6EB8">
        <w:rPr>
          <w:rFonts w:ascii="Times New Roman" w:hAnsi="Times New Roman" w:cs="Times New Roman"/>
          <w:i/>
          <w:iCs/>
          <w:sz w:val="20"/>
          <w:szCs w:val="20"/>
          <w:lang w:bidi="ar-EG"/>
        </w:rPr>
        <w:t>trans-</w:t>
      </w:r>
      <w:r w:rsidR="00A0321E" w:rsidRPr="00DA6EB8">
        <w:rPr>
          <w:rFonts w:ascii="Times New Roman" w:hAnsi="Times New Roman" w:cs="Times New Roman"/>
          <w:sz w:val="20"/>
          <w:szCs w:val="20"/>
          <w:lang w:bidi="ar-EG"/>
        </w:rPr>
        <w:t xml:space="preserve">methyl </w:t>
      </w:r>
      <w:proofErr w:type="spellStart"/>
      <w:r w:rsidR="00A0321E" w:rsidRPr="00DA6EB8">
        <w:rPr>
          <w:rFonts w:ascii="Times New Roman" w:hAnsi="Times New Roman" w:cs="Times New Roman"/>
          <w:sz w:val="20"/>
          <w:szCs w:val="20"/>
          <w:lang w:bidi="ar-EG"/>
        </w:rPr>
        <w:t>cinnamate</w:t>
      </w:r>
      <w:proofErr w:type="spellEnd"/>
      <w:r w:rsidR="00A0321E" w:rsidRPr="00DA6EB8">
        <w:rPr>
          <w:rFonts w:ascii="Times New Roman" w:hAnsi="Times New Roman" w:cs="Times New Roman"/>
          <w:sz w:val="20"/>
          <w:szCs w:val="20"/>
          <w:lang w:bidi="ar-EG"/>
        </w:rPr>
        <w:t xml:space="preserve"> 10% </w:t>
      </w:r>
      <w:r w:rsidR="00C4111C" w:rsidRPr="00DA6EB8">
        <w:rPr>
          <w:rFonts w:ascii="Times New Roman" w:hAnsi="Times New Roman" w:cs="Times New Roman"/>
          <w:sz w:val="20"/>
          <w:szCs w:val="20"/>
          <w:lang w:bidi="ar-EG"/>
        </w:rPr>
        <w:t>ME</w:t>
      </w:r>
      <w:r w:rsidR="00A0321E" w:rsidRPr="00DA6EB8">
        <w:rPr>
          <w:rFonts w:ascii="Times New Roman" w:hAnsi="Times New Roman" w:cs="Times New Roman"/>
          <w:sz w:val="20"/>
          <w:szCs w:val="20"/>
          <w:lang w:bidi="ar-EG"/>
        </w:rPr>
        <w:t xml:space="preserve"> on </w:t>
      </w:r>
      <w:r w:rsidR="00A0321E" w:rsidRPr="00DA6EB8">
        <w:rPr>
          <w:rFonts w:ascii="Times New Roman" w:hAnsi="Times New Roman" w:cs="Times New Roman"/>
          <w:i/>
          <w:iCs/>
          <w:sz w:val="20"/>
          <w:szCs w:val="20"/>
        </w:rPr>
        <w:t xml:space="preserve">S. </w:t>
      </w:r>
      <w:proofErr w:type="spellStart"/>
      <w:r w:rsidR="00A0321E" w:rsidRPr="00DA6EB8">
        <w:rPr>
          <w:rFonts w:ascii="Times New Roman" w:hAnsi="Times New Roman" w:cs="Times New Roman"/>
          <w:i/>
          <w:iCs/>
          <w:sz w:val="20"/>
          <w:szCs w:val="20"/>
        </w:rPr>
        <w:t>rolfsii</w:t>
      </w:r>
      <w:proofErr w:type="spellEnd"/>
      <w:r w:rsidR="00A0321E" w:rsidRPr="00DA6EB8">
        <w:rPr>
          <w:rFonts w:ascii="Times New Roman" w:hAnsi="Times New Roman" w:cs="Times New Roman"/>
          <w:sz w:val="20"/>
          <w:szCs w:val="20"/>
        </w:rPr>
        <w:t xml:space="preserve">, </w:t>
      </w:r>
      <w:r w:rsidR="00A0321E" w:rsidRPr="00DA6EB8">
        <w:rPr>
          <w:rFonts w:ascii="Times New Roman" w:hAnsi="Times New Roman" w:cs="Times New Roman"/>
          <w:i/>
          <w:iCs/>
          <w:sz w:val="20"/>
          <w:szCs w:val="20"/>
        </w:rPr>
        <w:t xml:space="preserve">R. </w:t>
      </w:r>
      <w:proofErr w:type="spellStart"/>
      <w:r w:rsidR="00A0321E" w:rsidRPr="00DA6EB8">
        <w:rPr>
          <w:rFonts w:ascii="Times New Roman" w:hAnsi="Times New Roman" w:cs="Times New Roman"/>
          <w:i/>
          <w:iCs/>
          <w:sz w:val="20"/>
          <w:szCs w:val="20"/>
        </w:rPr>
        <w:t>solani</w:t>
      </w:r>
      <w:proofErr w:type="spellEnd"/>
      <w:r w:rsidR="00A0321E" w:rsidRPr="00DA6EB8">
        <w:rPr>
          <w:rFonts w:ascii="Times New Roman" w:hAnsi="Times New Roman" w:cs="Times New Roman"/>
          <w:i/>
          <w:iCs/>
          <w:sz w:val="20"/>
          <w:szCs w:val="20"/>
        </w:rPr>
        <w:t xml:space="preserve">, A. </w:t>
      </w:r>
      <w:proofErr w:type="spellStart"/>
      <w:r w:rsidR="00A0321E" w:rsidRPr="00DA6EB8">
        <w:rPr>
          <w:rFonts w:ascii="Times New Roman" w:hAnsi="Times New Roman" w:cs="Times New Roman"/>
          <w:i/>
          <w:iCs/>
          <w:sz w:val="20"/>
          <w:szCs w:val="20"/>
        </w:rPr>
        <w:t>solani</w:t>
      </w:r>
      <w:proofErr w:type="spellEnd"/>
      <w:r w:rsidR="00A0321E" w:rsidRPr="00DA6EB8">
        <w:rPr>
          <w:rFonts w:ascii="Times New Roman" w:hAnsi="Times New Roman" w:cs="Times New Roman"/>
          <w:sz w:val="20"/>
          <w:szCs w:val="20"/>
        </w:rPr>
        <w:t xml:space="preserve"> and </w:t>
      </w:r>
      <w:r w:rsidR="00A0321E" w:rsidRPr="00DA6EB8">
        <w:rPr>
          <w:rFonts w:ascii="Times New Roman" w:hAnsi="Times New Roman" w:cs="Times New Roman"/>
          <w:i/>
          <w:iCs/>
          <w:sz w:val="20"/>
          <w:szCs w:val="20"/>
        </w:rPr>
        <w:t xml:space="preserve">F. </w:t>
      </w:r>
      <w:proofErr w:type="spellStart"/>
      <w:r w:rsidR="00A0321E" w:rsidRPr="00DA6EB8">
        <w:rPr>
          <w:rFonts w:ascii="Times New Roman" w:hAnsi="Times New Roman" w:cs="Times New Roman"/>
          <w:i/>
          <w:iCs/>
          <w:sz w:val="20"/>
          <w:szCs w:val="20"/>
        </w:rPr>
        <w:t>solani</w:t>
      </w:r>
      <w:proofErr w:type="spellEnd"/>
      <w:r w:rsidR="00A0321E" w:rsidRPr="00DA6EB8">
        <w:rPr>
          <w:rFonts w:ascii="Times New Roman" w:hAnsi="Times New Roman" w:cs="Times New Roman"/>
          <w:sz w:val="20"/>
          <w:szCs w:val="20"/>
          <w:lang w:bidi="ar-EG"/>
        </w:rPr>
        <w:t xml:space="preserve">, were 1.97, 1.14, 3.27 and 1.58 folds, respectively than </w:t>
      </w:r>
      <w:r w:rsidR="00A0321E" w:rsidRPr="00DA6EB8">
        <w:rPr>
          <w:rFonts w:ascii="Times New Roman" w:hAnsi="Times New Roman" w:cs="Times New Roman"/>
          <w:i/>
          <w:iCs/>
          <w:sz w:val="20"/>
          <w:szCs w:val="20"/>
          <w:lang w:bidi="ar-EG"/>
        </w:rPr>
        <w:t>trans-</w:t>
      </w:r>
      <w:r w:rsidR="00A0321E" w:rsidRPr="00DA6EB8">
        <w:rPr>
          <w:rFonts w:ascii="Times New Roman" w:hAnsi="Times New Roman" w:cs="Times New Roman"/>
          <w:sz w:val="20"/>
          <w:szCs w:val="20"/>
          <w:lang w:bidi="ar-EG"/>
        </w:rPr>
        <w:t xml:space="preserve">methyl </w:t>
      </w:r>
      <w:proofErr w:type="spellStart"/>
      <w:r w:rsidR="00A0321E" w:rsidRPr="00DA6EB8">
        <w:rPr>
          <w:rFonts w:ascii="Times New Roman" w:hAnsi="Times New Roman" w:cs="Times New Roman"/>
          <w:sz w:val="20"/>
          <w:szCs w:val="20"/>
          <w:lang w:bidi="ar-EG"/>
        </w:rPr>
        <w:t>cinnamate</w:t>
      </w:r>
      <w:proofErr w:type="spellEnd"/>
      <w:r w:rsidR="00A0321E" w:rsidRPr="00DA6EB8">
        <w:rPr>
          <w:rFonts w:ascii="Times New Roman" w:hAnsi="Times New Roman" w:cs="Times New Roman"/>
          <w:sz w:val="20"/>
          <w:szCs w:val="20"/>
          <w:lang w:bidi="ar-EG"/>
        </w:rPr>
        <w:t xml:space="preserve"> 99%.</w:t>
      </w:r>
    </w:p>
    <w:p w:rsidR="00BD6349" w:rsidRPr="00DA6EB8" w:rsidRDefault="00BD6349" w:rsidP="00BD6349">
      <w:pPr>
        <w:snapToGrid w:val="0"/>
        <w:spacing w:after="0" w:line="240" w:lineRule="auto"/>
        <w:jc w:val="both"/>
        <w:rPr>
          <w:rFonts w:ascii="Times New Roman" w:hAnsi="Times New Roman" w:cs="Times New Roman"/>
          <w:sz w:val="20"/>
          <w:szCs w:val="20"/>
          <w:lang w:eastAsia="zh-CN"/>
        </w:rPr>
      </w:pPr>
      <w:r w:rsidRPr="00DA6EB8">
        <w:rPr>
          <w:rFonts w:ascii="Times New Roman" w:hAnsi="Times New Roman" w:cs="Times New Roman"/>
          <w:bCs/>
          <w:sz w:val="20"/>
          <w:szCs w:val="20"/>
        </w:rPr>
        <w:t>[</w:t>
      </w:r>
      <w:r w:rsidRPr="00DA6EB8">
        <w:rPr>
          <w:rFonts w:ascii="Times New Roman" w:hAnsi="Times New Roman" w:cs="Times New Roman"/>
          <w:sz w:val="20"/>
          <w:szCs w:val="20"/>
        </w:rPr>
        <w:t xml:space="preserve">Mohamed, A. A. </w:t>
      </w:r>
      <w:proofErr w:type="spellStart"/>
      <w:r w:rsidRPr="00DA6EB8">
        <w:rPr>
          <w:rFonts w:ascii="Times New Roman" w:hAnsi="Times New Roman" w:cs="Times New Roman"/>
          <w:sz w:val="20"/>
          <w:szCs w:val="20"/>
        </w:rPr>
        <w:t>Shaymaa</w:t>
      </w:r>
      <w:proofErr w:type="spellEnd"/>
      <w:r w:rsidRPr="00DA6EB8">
        <w:rPr>
          <w:rFonts w:ascii="Times New Roman" w:hAnsi="Times New Roman" w:cs="Times New Roman"/>
          <w:sz w:val="20"/>
          <w:szCs w:val="20"/>
        </w:rPr>
        <w:t>.</w:t>
      </w:r>
      <w:r w:rsidRPr="00DA6EB8">
        <w:rPr>
          <w:rFonts w:ascii="Times New Roman" w:eastAsiaTheme="minorEastAsia" w:hAnsi="Times New Roman" w:cs="Times New Roman" w:hint="eastAsia"/>
          <w:b/>
          <w:bCs/>
          <w:sz w:val="20"/>
          <w:szCs w:val="20"/>
          <w:lang w:bidi="fa-IR"/>
        </w:rPr>
        <w:t xml:space="preserve"> </w:t>
      </w:r>
      <w:r w:rsidRPr="00DA6EB8">
        <w:rPr>
          <w:rFonts w:ascii="Times New Roman" w:hAnsi="Times New Roman" w:cs="Times New Roman"/>
          <w:b/>
          <w:bCs/>
          <w:sz w:val="20"/>
          <w:szCs w:val="20"/>
        </w:rPr>
        <w:t xml:space="preserve">Antifungal Activity of </w:t>
      </w:r>
      <w:r w:rsidRPr="00DA6EB8">
        <w:rPr>
          <w:rFonts w:ascii="Times New Roman" w:hAnsi="Times New Roman" w:cs="Times New Roman"/>
          <w:b/>
          <w:bCs/>
          <w:color w:val="000000"/>
          <w:sz w:val="20"/>
          <w:szCs w:val="20"/>
        </w:rPr>
        <w:t xml:space="preserve">Eco-friendly 10% </w:t>
      </w:r>
      <w:proofErr w:type="spellStart"/>
      <w:r w:rsidRPr="00DA6EB8">
        <w:rPr>
          <w:rFonts w:ascii="Times New Roman" w:hAnsi="Times New Roman" w:cs="Times New Roman"/>
          <w:b/>
          <w:bCs/>
          <w:color w:val="000000"/>
          <w:sz w:val="20"/>
          <w:szCs w:val="20"/>
        </w:rPr>
        <w:t>Microemulsion</w:t>
      </w:r>
      <w:proofErr w:type="spellEnd"/>
      <w:r w:rsidRPr="00DA6EB8">
        <w:rPr>
          <w:rFonts w:ascii="Times New Roman" w:hAnsi="Times New Roman" w:cs="Times New Roman"/>
          <w:b/>
          <w:bCs/>
          <w:color w:val="000000"/>
          <w:sz w:val="20"/>
          <w:szCs w:val="20"/>
        </w:rPr>
        <w:t xml:space="preserve"> Formulation of </w:t>
      </w:r>
      <w:r w:rsidRPr="00DA6EB8">
        <w:rPr>
          <w:rFonts w:ascii="Times New Roman" w:hAnsi="Times New Roman" w:cs="Times New Roman"/>
          <w:b/>
          <w:bCs/>
          <w:i/>
          <w:iCs/>
          <w:color w:val="000000"/>
          <w:sz w:val="20"/>
          <w:szCs w:val="20"/>
        </w:rPr>
        <w:t>Trans-</w:t>
      </w:r>
      <w:r w:rsidRPr="00DA6EB8">
        <w:rPr>
          <w:rFonts w:ascii="Times New Roman" w:hAnsi="Times New Roman" w:cs="Times New Roman"/>
          <w:b/>
          <w:bCs/>
          <w:color w:val="000000"/>
          <w:sz w:val="20"/>
          <w:szCs w:val="20"/>
        </w:rPr>
        <w:t xml:space="preserve">methyl </w:t>
      </w:r>
      <w:proofErr w:type="spellStart"/>
      <w:r w:rsidRPr="00DA6EB8">
        <w:rPr>
          <w:rFonts w:ascii="Times New Roman" w:hAnsi="Times New Roman" w:cs="Times New Roman"/>
          <w:b/>
          <w:bCs/>
          <w:color w:val="000000"/>
          <w:sz w:val="20"/>
          <w:szCs w:val="20"/>
        </w:rPr>
        <w:t>Cinnamate</w:t>
      </w:r>
      <w:proofErr w:type="spellEnd"/>
      <w:r w:rsidRPr="00DA6EB8">
        <w:rPr>
          <w:rFonts w:ascii="Times New Roman" w:hAnsi="Times New Roman" w:cs="Times New Roman"/>
          <w:b/>
          <w:bCs/>
          <w:color w:val="000000"/>
          <w:sz w:val="20"/>
          <w:szCs w:val="20"/>
        </w:rPr>
        <w:t xml:space="preserve"> against Some Important </w:t>
      </w:r>
      <w:proofErr w:type="spellStart"/>
      <w:r w:rsidRPr="00DA6EB8">
        <w:rPr>
          <w:rFonts w:ascii="Times New Roman" w:hAnsi="Times New Roman" w:cs="Times New Roman"/>
          <w:b/>
          <w:bCs/>
          <w:color w:val="000000"/>
          <w:sz w:val="20"/>
          <w:szCs w:val="20"/>
        </w:rPr>
        <w:t>Phytopathogenic</w:t>
      </w:r>
      <w:proofErr w:type="spellEnd"/>
      <w:r w:rsidRPr="00DA6EB8">
        <w:rPr>
          <w:rFonts w:ascii="Times New Roman" w:hAnsi="Times New Roman" w:cs="Times New Roman"/>
          <w:b/>
          <w:bCs/>
          <w:color w:val="000000"/>
          <w:sz w:val="20"/>
          <w:szCs w:val="20"/>
        </w:rPr>
        <w:t xml:space="preserve"> Fungi</w:t>
      </w:r>
      <w:r w:rsidRPr="00DA6EB8">
        <w:rPr>
          <w:rFonts w:ascii="Times New Roman" w:eastAsia="Times New Roman" w:hAnsi="Times New Roman" w:cs="Times New Roman"/>
          <w:b/>
          <w:bCs/>
          <w:sz w:val="20"/>
          <w:szCs w:val="20"/>
          <w:lang w:bidi="fa-IR"/>
        </w:rPr>
        <w:t>.</w:t>
      </w:r>
      <w:r w:rsidRPr="00DA6EB8">
        <w:rPr>
          <w:rFonts w:ascii="Times New Roman" w:hAnsi="Times New Roman" w:cs="Times New Roman"/>
          <w:bCs/>
          <w:i/>
          <w:sz w:val="20"/>
          <w:szCs w:val="20"/>
        </w:rPr>
        <w:t xml:space="preserve"> N Y </w:t>
      </w:r>
      <w:proofErr w:type="spellStart"/>
      <w:r w:rsidRPr="00DA6EB8">
        <w:rPr>
          <w:rFonts w:ascii="Times New Roman" w:hAnsi="Times New Roman" w:cs="Times New Roman"/>
          <w:bCs/>
          <w:i/>
          <w:sz w:val="20"/>
          <w:szCs w:val="20"/>
        </w:rPr>
        <w:t>Sci</w:t>
      </w:r>
      <w:proofErr w:type="spellEnd"/>
      <w:r w:rsidRPr="00DA6EB8">
        <w:rPr>
          <w:rFonts w:ascii="Times New Roman" w:hAnsi="Times New Roman" w:cs="Times New Roman"/>
          <w:bCs/>
          <w:i/>
          <w:sz w:val="20"/>
          <w:szCs w:val="20"/>
        </w:rPr>
        <w:t xml:space="preserve"> J</w:t>
      </w:r>
      <w:r w:rsidRPr="00DA6EB8">
        <w:rPr>
          <w:rFonts w:ascii="Times New Roman" w:hAnsi="Times New Roman" w:cs="Times New Roman"/>
          <w:bCs/>
          <w:sz w:val="20"/>
          <w:szCs w:val="20"/>
        </w:rPr>
        <w:t xml:space="preserve"> </w:t>
      </w:r>
      <w:r w:rsidRPr="00DA6EB8">
        <w:rPr>
          <w:rFonts w:ascii="Times New Roman" w:hAnsi="Times New Roman" w:cs="Times New Roman"/>
          <w:sz w:val="20"/>
          <w:szCs w:val="20"/>
        </w:rPr>
        <w:t>201</w:t>
      </w:r>
      <w:r w:rsidRPr="00DA6EB8">
        <w:rPr>
          <w:rFonts w:ascii="Times New Roman" w:hAnsi="Times New Roman" w:cs="Times New Roman" w:hint="eastAsia"/>
          <w:sz w:val="20"/>
          <w:szCs w:val="20"/>
        </w:rPr>
        <w:t>8</w:t>
      </w:r>
      <w:r w:rsidRPr="00DA6EB8">
        <w:rPr>
          <w:rFonts w:ascii="Times New Roman" w:hAnsi="Times New Roman" w:cs="Times New Roman"/>
          <w:sz w:val="20"/>
          <w:szCs w:val="20"/>
        </w:rPr>
        <w:t>;</w:t>
      </w:r>
      <w:r w:rsidRPr="00DA6EB8">
        <w:rPr>
          <w:rFonts w:ascii="Times New Roman" w:hAnsi="Times New Roman" w:cs="Times New Roman" w:hint="eastAsia"/>
          <w:sz w:val="20"/>
          <w:szCs w:val="20"/>
        </w:rPr>
        <w:t>11</w:t>
      </w:r>
      <w:r w:rsidRPr="00DA6EB8">
        <w:rPr>
          <w:rFonts w:ascii="Times New Roman" w:hAnsi="Times New Roman" w:cs="Times New Roman"/>
          <w:sz w:val="20"/>
          <w:szCs w:val="20"/>
        </w:rPr>
        <w:t>(</w:t>
      </w:r>
      <w:r w:rsidR="009615FB">
        <w:rPr>
          <w:rFonts w:ascii="Times New Roman" w:hAnsi="Times New Roman" w:cs="Times New Roman" w:hint="eastAsia"/>
          <w:sz w:val="20"/>
          <w:szCs w:val="20"/>
          <w:lang w:eastAsia="zh-CN"/>
        </w:rPr>
        <w:t>7</w:t>
      </w:r>
      <w:r w:rsidRPr="00DA6EB8">
        <w:rPr>
          <w:rFonts w:ascii="Times New Roman" w:hAnsi="Times New Roman" w:cs="Times New Roman"/>
          <w:sz w:val="20"/>
          <w:szCs w:val="20"/>
        </w:rPr>
        <w:t>):</w:t>
      </w:r>
      <w:r w:rsidR="009615FB">
        <w:rPr>
          <w:rFonts w:ascii="Times New Roman" w:hAnsi="Times New Roman" w:cs="Times New Roman" w:hint="eastAsia"/>
          <w:sz w:val="20"/>
          <w:szCs w:val="20"/>
          <w:lang w:eastAsia="zh-CN"/>
        </w:rPr>
        <w:t>99-107</w:t>
      </w:r>
      <w:r w:rsidRPr="00DA6EB8">
        <w:rPr>
          <w:rFonts w:ascii="Times New Roman" w:hAnsi="Times New Roman" w:cs="Times New Roman"/>
          <w:sz w:val="20"/>
          <w:szCs w:val="20"/>
        </w:rPr>
        <w:t xml:space="preserve">]. </w:t>
      </w:r>
      <w:r w:rsidRPr="00DA6EB8">
        <w:rPr>
          <w:rFonts w:ascii="Times New Roman" w:hAnsi="Times New Roman" w:cs="Times New Roman"/>
          <w:iCs/>
          <w:color w:val="000000"/>
          <w:sz w:val="20"/>
          <w:szCs w:val="20"/>
        </w:rPr>
        <w:t>ISSN 1554-0200 (print); ISSN 2375-723X (online)</w:t>
      </w:r>
      <w:r w:rsidRPr="00DA6EB8">
        <w:rPr>
          <w:rFonts w:ascii="Times New Roman" w:hAnsi="Times New Roman" w:cs="Times New Roman"/>
          <w:sz w:val="20"/>
          <w:szCs w:val="20"/>
        </w:rPr>
        <w:t xml:space="preserve">. </w:t>
      </w:r>
      <w:hyperlink r:id="rId9" w:history="1">
        <w:r w:rsidRPr="00DA6EB8">
          <w:rPr>
            <w:rStyle w:val="Hyperlink"/>
            <w:rFonts w:ascii="Times New Roman" w:hAnsi="Times New Roman" w:cs="Times New Roman"/>
            <w:color w:val="0000FF"/>
            <w:sz w:val="20"/>
            <w:szCs w:val="20"/>
          </w:rPr>
          <w:t>http://www.sciencepub.net/newyork</w:t>
        </w:r>
      </w:hyperlink>
      <w:r w:rsidRPr="00DA6EB8">
        <w:rPr>
          <w:rFonts w:ascii="Times New Roman" w:hAnsi="Times New Roman" w:cs="Times New Roman"/>
          <w:sz w:val="20"/>
          <w:szCs w:val="20"/>
        </w:rPr>
        <w:t xml:space="preserve">. </w:t>
      </w:r>
      <w:r w:rsidRPr="00DA6EB8">
        <w:rPr>
          <w:rFonts w:ascii="Times New Roman" w:hAnsi="Times New Roman" w:cs="Times New Roman" w:hint="eastAsia"/>
          <w:sz w:val="20"/>
          <w:szCs w:val="20"/>
          <w:lang w:eastAsia="zh-CN"/>
        </w:rPr>
        <w:t>1</w:t>
      </w:r>
      <w:r w:rsidR="009615FB">
        <w:rPr>
          <w:rFonts w:ascii="Times New Roman" w:hAnsi="Times New Roman" w:cs="Times New Roman" w:hint="eastAsia"/>
          <w:sz w:val="20"/>
          <w:szCs w:val="20"/>
          <w:lang w:eastAsia="zh-CN"/>
        </w:rPr>
        <w:t>3</w:t>
      </w:r>
      <w:r w:rsidRPr="00DA6EB8">
        <w:rPr>
          <w:rFonts w:ascii="Times New Roman" w:hAnsi="Times New Roman" w:cs="Times New Roman" w:hint="eastAsia"/>
          <w:sz w:val="20"/>
          <w:szCs w:val="20"/>
        </w:rPr>
        <w:t xml:space="preserve">. </w:t>
      </w:r>
      <w:r w:rsidRPr="00DA6EB8">
        <w:rPr>
          <w:rFonts w:ascii="Times New Roman" w:hAnsi="Times New Roman" w:cs="Times New Roman"/>
          <w:color w:val="000000"/>
          <w:sz w:val="20"/>
          <w:szCs w:val="20"/>
          <w:shd w:val="clear" w:color="auto" w:fill="FFFFFF"/>
        </w:rPr>
        <w:t>doi:</w:t>
      </w:r>
      <w:hyperlink r:id="rId10" w:history="1">
        <w:r w:rsidRPr="00DA6EB8">
          <w:rPr>
            <w:rStyle w:val="Hyperlink"/>
            <w:rFonts w:ascii="Times New Roman" w:hAnsi="Times New Roman" w:cs="Times New Roman"/>
            <w:color w:val="0000FF"/>
            <w:sz w:val="20"/>
            <w:szCs w:val="20"/>
            <w:shd w:val="clear" w:color="auto" w:fill="FFFFFF"/>
          </w:rPr>
          <w:t>10.7537/mars</w:t>
        </w:r>
        <w:r w:rsidRPr="00DA6EB8">
          <w:rPr>
            <w:rStyle w:val="Hyperlink"/>
            <w:rFonts w:ascii="Times New Roman" w:hAnsi="Times New Roman" w:cs="Times New Roman" w:hint="eastAsia"/>
            <w:color w:val="0000FF"/>
            <w:sz w:val="20"/>
            <w:szCs w:val="20"/>
            <w:shd w:val="clear" w:color="auto" w:fill="FFFFFF"/>
          </w:rPr>
          <w:t>nys11</w:t>
        </w:r>
        <w:r w:rsidR="009615FB">
          <w:rPr>
            <w:rStyle w:val="Hyperlink"/>
            <w:rFonts w:ascii="Times New Roman" w:hAnsi="Times New Roman" w:cs="Times New Roman" w:hint="eastAsia"/>
            <w:color w:val="0000FF"/>
            <w:sz w:val="20"/>
            <w:szCs w:val="20"/>
            <w:shd w:val="clear" w:color="auto" w:fill="FFFFFF"/>
            <w:lang w:eastAsia="zh-CN"/>
          </w:rPr>
          <w:t>07</w:t>
        </w:r>
        <w:r w:rsidRPr="00DA6EB8">
          <w:rPr>
            <w:rStyle w:val="Hyperlink"/>
            <w:rFonts w:ascii="Times New Roman" w:hAnsi="Times New Roman" w:cs="Times New Roman" w:hint="eastAsia"/>
            <w:color w:val="0000FF"/>
            <w:sz w:val="20"/>
            <w:szCs w:val="20"/>
            <w:shd w:val="clear" w:color="auto" w:fill="FFFFFF"/>
          </w:rPr>
          <w:t>18.</w:t>
        </w:r>
        <w:r w:rsidR="009615FB">
          <w:rPr>
            <w:rStyle w:val="Hyperlink"/>
            <w:rFonts w:ascii="Times New Roman" w:hAnsi="Times New Roman" w:cs="Times New Roman" w:hint="eastAsia"/>
            <w:color w:val="0000FF"/>
            <w:sz w:val="20"/>
            <w:szCs w:val="20"/>
            <w:shd w:val="clear" w:color="auto" w:fill="FFFFFF"/>
            <w:lang w:eastAsia="zh-CN"/>
          </w:rPr>
          <w:t>13</w:t>
        </w:r>
      </w:hyperlink>
      <w:r w:rsidRPr="00DA6EB8">
        <w:rPr>
          <w:rFonts w:ascii="Times New Roman" w:hAnsi="Times New Roman" w:cs="Times New Roman"/>
          <w:color w:val="000000"/>
          <w:sz w:val="20"/>
          <w:szCs w:val="20"/>
          <w:shd w:val="clear" w:color="auto" w:fill="FFFFFF"/>
        </w:rPr>
        <w:t>.</w:t>
      </w:r>
    </w:p>
    <w:p w:rsidR="00A67698" w:rsidRPr="00DA6EB8" w:rsidRDefault="00A67698" w:rsidP="00BD6349">
      <w:pPr>
        <w:autoSpaceDE w:val="0"/>
        <w:autoSpaceDN w:val="0"/>
        <w:adjustRightInd w:val="0"/>
        <w:snapToGrid w:val="0"/>
        <w:spacing w:after="0" w:line="240" w:lineRule="auto"/>
        <w:jc w:val="both"/>
        <w:rPr>
          <w:rFonts w:ascii="Times New Roman" w:hAnsi="Times New Roman" w:cs="Times New Roman"/>
          <w:sz w:val="20"/>
          <w:szCs w:val="20"/>
        </w:rPr>
      </w:pPr>
    </w:p>
    <w:p w:rsidR="00F74800" w:rsidRPr="00DA6EB8" w:rsidRDefault="00A0321E" w:rsidP="00BD6349">
      <w:pPr>
        <w:autoSpaceDE w:val="0"/>
        <w:autoSpaceDN w:val="0"/>
        <w:adjustRightInd w:val="0"/>
        <w:snapToGrid w:val="0"/>
        <w:spacing w:after="0" w:line="240" w:lineRule="auto"/>
        <w:jc w:val="both"/>
        <w:rPr>
          <w:rFonts w:ascii="Times New Roman" w:hAnsi="Times New Roman" w:cs="Times New Roman"/>
          <w:sz w:val="20"/>
          <w:szCs w:val="20"/>
        </w:rPr>
      </w:pPr>
      <w:r w:rsidRPr="00DA6EB8">
        <w:rPr>
          <w:rFonts w:ascii="Times New Roman" w:hAnsi="Times New Roman" w:cs="Times New Roman"/>
          <w:b/>
          <w:bCs/>
          <w:sz w:val="20"/>
          <w:szCs w:val="20"/>
        </w:rPr>
        <w:t xml:space="preserve">Keywords: </w:t>
      </w:r>
      <w:r w:rsidRPr="00DA6EB8">
        <w:rPr>
          <w:rFonts w:ascii="Times New Roman" w:hAnsi="Times New Roman" w:cs="Times New Roman"/>
          <w:i/>
          <w:iCs/>
          <w:sz w:val="20"/>
          <w:szCs w:val="20"/>
        </w:rPr>
        <w:t>Trans-</w:t>
      </w:r>
      <w:r w:rsidRPr="00DA6EB8">
        <w:rPr>
          <w:rFonts w:ascii="Times New Roman" w:hAnsi="Times New Roman" w:cs="Times New Roman"/>
          <w:sz w:val="20"/>
          <w:szCs w:val="20"/>
        </w:rPr>
        <w:t xml:space="preserve">methyl </w:t>
      </w:r>
      <w:proofErr w:type="spellStart"/>
      <w:r w:rsidRPr="00DA6EB8">
        <w:rPr>
          <w:rFonts w:ascii="Times New Roman" w:hAnsi="Times New Roman" w:cs="Times New Roman"/>
          <w:sz w:val="20"/>
          <w:szCs w:val="20"/>
        </w:rPr>
        <w:t>cinnamate</w:t>
      </w:r>
      <w:proofErr w:type="spellEnd"/>
      <w:r w:rsidRPr="00DA6EB8">
        <w:rPr>
          <w:rFonts w:ascii="Times New Roman" w:hAnsi="Times New Roman" w:cs="Times New Roman"/>
          <w:sz w:val="20"/>
          <w:szCs w:val="20"/>
        </w:rPr>
        <w:t xml:space="preserve"> – </w:t>
      </w:r>
      <w:proofErr w:type="spellStart"/>
      <w:r w:rsidRPr="00DA6EB8">
        <w:rPr>
          <w:rFonts w:ascii="Times New Roman" w:hAnsi="Times New Roman" w:cs="Times New Roman"/>
          <w:sz w:val="20"/>
          <w:szCs w:val="20"/>
        </w:rPr>
        <w:t>microemulsion</w:t>
      </w:r>
      <w:proofErr w:type="spellEnd"/>
      <w:r w:rsidRPr="00DA6EB8">
        <w:rPr>
          <w:rFonts w:ascii="Times New Roman" w:hAnsi="Times New Roman" w:cs="Times New Roman"/>
          <w:sz w:val="20"/>
          <w:szCs w:val="20"/>
        </w:rPr>
        <w:t xml:space="preserve"> formulation</w:t>
      </w:r>
      <w:r w:rsidR="00C4111C" w:rsidRPr="00DA6EB8">
        <w:rPr>
          <w:rFonts w:ascii="Times New Roman" w:hAnsi="Times New Roman" w:cs="Times New Roman"/>
          <w:sz w:val="20"/>
          <w:szCs w:val="20"/>
        </w:rPr>
        <w:t xml:space="preserve"> – ME </w:t>
      </w:r>
      <w:r w:rsidRPr="00DA6EB8">
        <w:rPr>
          <w:rFonts w:ascii="Times New Roman" w:hAnsi="Times New Roman" w:cs="Times New Roman"/>
          <w:sz w:val="20"/>
          <w:szCs w:val="20"/>
        </w:rPr>
        <w:t xml:space="preserve">– antifungal activity – phase inversion </w:t>
      </w:r>
      <w:proofErr w:type="spellStart"/>
      <w:r w:rsidRPr="00DA6EB8">
        <w:rPr>
          <w:rFonts w:ascii="Times New Roman" w:hAnsi="Times New Roman" w:cs="Times New Roman"/>
          <w:sz w:val="20"/>
          <w:szCs w:val="20"/>
        </w:rPr>
        <w:t>esterification</w:t>
      </w:r>
      <w:proofErr w:type="spellEnd"/>
      <w:r w:rsidRPr="00DA6EB8">
        <w:rPr>
          <w:rFonts w:ascii="Times New Roman" w:hAnsi="Times New Roman" w:cs="Times New Roman"/>
          <w:sz w:val="20"/>
          <w:szCs w:val="20"/>
        </w:rPr>
        <w:t xml:space="preserve"> method. </w:t>
      </w:r>
    </w:p>
    <w:p w:rsidR="00BD6349" w:rsidRPr="00DA6EB8" w:rsidRDefault="001841CD" w:rsidP="00BD6349">
      <w:pPr>
        <w:autoSpaceDE w:val="0"/>
        <w:autoSpaceDN w:val="0"/>
        <w:adjustRightInd w:val="0"/>
        <w:snapToGrid w:val="0"/>
        <w:spacing w:after="0" w:line="240" w:lineRule="auto"/>
        <w:jc w:val="both"/>
        <w:rPr>
          <w:rFonts w:ascii="Times New Roman" w:hAnsi="Times New Roman" w:cs="Times New Roman"/>
          <w:b/>
          <w:bCs/>
          <w:sz w:val="20"/>
          <w:szCs w:val="20"/>
        </w:rPr>
        <w:sectPr w:rsidR="00BD6349" w:rsidRPr="00DA6EB8" w:rsidSect="009615FB">
          <w:headerReference w:type="default" r:id="rId11"/>
          <w:footerReference w:type="default" r:id="rId12"/>
          <w:type w:val="continuous"/>
          <w:pgSz w:w="12240" w:h="15840" w:code="1"/>
          <w:pgMar w:top="1440" w:right="1440" w:bottom="1440" w:left="1440" w:header="720" w:footer="720" w:gutter="0"/>
          <w:pgNumType w:start="99"/>
          <w:cols w:space="720"/>
          <w:docGrid w:linePitch="360"/>
        </w:sectPr>
      </w:pPr>
      <w:r w:rsidRPr="00DA6EB8">
        <w:rPr>
          <w:rFonts w:ascii="Times New Roman" w:hAnsi="Times New Roman" w:cs="Times New Roman"/>
          <w:b/>
          <w:bCs/>
          <w:sz w:val="20"/>
          <w:szCs w:val="20"/>
        </w:rPr>
        <w:cr/>
      </w:r>
    </w:p>
    <w:p w:rsidR="008664E8" w:rsidRPr="00DA6EB8" w:rsidRDefault="005573FC" w:rsidP="00BD6349">
      <w:pPr>
        <w:autoSpaceDE w:val="0"/>
        <w:autoSpaceDN w:val="0"/>
        <w:adjustRightInd w:val="0"/>
        <w:snapToGrid w:val="0"/>
        <w:spacing w:after="0" w:line="240" w:lineRule="auto"/>
        <w:jc w:val="both"/>
        <w:rPr>
          <w:rFonts w:ascii="Times New Roman" w:hAnsi="Times New Roman" w:cs="Times New Roman"/>
          <w:b/>
          <w:bCs/>
          <w:sz w:val="20"/>
          <w:szCs w:val="20"/>
        </w:rPr>
      </w:pPr>
      <w:r w:rsidRPr="00DA6EB8">
        <w:rPr>
          <w:rFonts w:ascii="Times New Roman" w:hAnsi="Times New Roman" w:cs="Times New Roman"/>
          <w:b/>
          <w:bCs/>
          <w:sz w:val="20"/>
          <w:szCs w:val="20"/>
        </w:rPr>
        <w:lastRenderedPageBreak/>
        <w:t>1. Introduction</w:t>
      </w:r>
    </w:p>
    <w:p w:rsidR="008664E8" w:rsidRPr="00DA6EB8" w:rsidRDefault="008664E8" w:rsidP="00BD634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A6EB8">
        <w:rPr>
          <w:rFonts w:ascii="Times New Roman" w:hAnsi="Times New Roman" w:cs="Times New Roman"/>
          <w:sz w:val="20"/>
          <w:szCs w:val="20"/>
        </w:rPr>
        <w:t xml:space="preserve">Aromatic plants and </w:t>
      </w:r>
      <w:r w:rsidR="00D60F68" w:rsidRPr="00DA6EB8">
        <w:rPr>
          <w:rFonts w:ascii="Times New Roman" w:hAnsi="Times New Roman" w:cs="Times New Roman"/>
          <w:sz w:val="20"/>
          <w:szCs w:val="20"/>
        </w:rPr>
        <w:t>essential oils (</w:t>
      </w:r>
      <w:proofErr w:type="spellStart"/>
      <w:r w:rsidRPr="00DA6EB8">
        <w:rPr>
          <w:rFonts w:ascii="Times New Roman" w:hAnsi="Times New Roman" w:cs="Times New Roman"/>
          <w:sz w:val="20"/>
          <w:szCs w:val="20"/>
        </w:rPr>
        <w:t>E</w:t>
      </w:r>
      <w:r w:rsidR="00421F49" w:rsidRPr="00DA6EB8">
        <w:rPr>
          <w:rFonts w:ascii="Times New Roman" w:hAnsi="Times New Roman" w:cs="Times New Roman"/>
          <w:sz w:val="20"/>
          <w:szCs w:val="20"/>
        </w:rPr>
        <w:t>O</w:t>
      </w:r>
      <w:r w:rsidRPr="00DA6EB8">
        <w:rPr>
          <w:rFonts w:ascii="Times New Roman" w:hAnsi="Times New Roman" w:cs="Times New Roman"/>
          <w:sz w:val="20"/>
          <w:szCs w:val="20"/>
        </w:rPr>
        <w:t>s</w:t>
      </w:r>
      <w:proofErr w:type="spellEnd"/>
      <w:r w:rsidR="00D60F68" w:rsidRPr="00DA6EB8">
        <w:rPr>
          <w:rFonts w:ascii="Times New Roman" w:hAnsi="Times New Roman" w:cs="Times New Roman"/>
          <w:sz w:val="20"/>
          <w:szCs w:val="20"/>
        </w:rPr>
        <w:t>)</w:t>
      </w:r>
      <w:r w:rsidRPr="00DA6EB8">
        <w:rPr>
          <w:rFonts w:ascii="Times New Roman" w:hAnsi="Times New Roman" w:cs="Times New Roman"/>
          <w:sz w:val="20"/>
          <w:szCs w:val="20"/>
        </w:rPr>
        <w:t xml:space="preserve"> have been used since ancient times and are still widely used for the</w:t>
      </w:r>
      <w:r w:rsidR="00703966"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irbiological</w:t>
      </w:r>
      <w:proofErr w:type="spellEnd"/>
      <w:r w:rsidRPr="00DA6EB8">
        <w:rPr>
          <w:rFonts w:ascii="Times New Roman" w:hAnsi="Times New Roman" w:cs="Times New Roman"/>
          <w:sz w:val="20"/>
          <w:szCs w:val="20"/>
        </w:rPr>
        <w:t xml:space="preserve"> properties </w:t>
      </w:r>
      <w:r w:rsidR="00125E36" w:rsidRPr="00DA6EB8">
        <w:rPr>
          <w:rFonts w:ascii="Times New Roman" w:hAnsi="Times New Roman" w:cs="Times New Roman"/>
          <w:sz w:val="20"/>
          <w:szCs w:val="20"/>
          <w:vertAlign w:val="superscript"/>
        </w:rPr>
        <w:t>(1,2)</w:t>
      </w:r>
      <w:r w:rsidRPr="00DA6EB8">
        <w:rPr>
          <w:rFonts w:ascii="Times New Roman" w:hAnsi="Times New Roman" w:cs="Times New Roman"/>
          <w:sz w:val="20"/>
          <w:szCs w:val="20"/>
        </w:rPr>
        <w:t xml:space="preserve"> and their applications in various industries</w:t>
      </w:r>
      <w:r w:rsidR="00D60F68" w:rsidRPr="00DA6EB8">
        <w:rPr>
          <w:rFonts w:ascii="Times New Roman" w:hAnsi="Times New Roman" w:cs="Times New Roman"/>
          <w:sz w:val="20"/>
          <w:szCs w:val="20"/>
        </w:rPr>
        <w:t>;</w:t>
      </w:r>
      <w:r w:rsidRPr="00DA6EB8">
        <w:rPr>
          <w:rFonts w:ascii="Times New Roman" w:hAnsi="Times New Roman" w:cs="Times New Roman"/>
          <w:sz w:val="20"/>
          <w:szCs w:val="20"/>
        </w:rPr>
        <w:t xml:space="preserve"> food, cosmetics, perfumery and</w:t>
      </w:r>
      <w:r w:rsidR="00703966" w:rsidRPr="00DA6EB8">
        <w:rPr>
          <w:rFonts w:ascii="Times New Roman" w:hAnsi="Times New Roman" w:cs="Times New Roman"/>
          <w:sz w:val="20"/>
          <w:szCs w:val="20"/>
        </w:rPr>
        <w:t xml:space="preserve"> </w:t>
      </w:r>
      <w:r w:rsidRPr="00DA6EB8">
        <w:rPr>
          <w:rFonts w:ascii="Times New Roman" w:hAnsi="Times New Roman" w:cs="Times New Roman"/>
          <w:sz w:val="20"/>
          <w:szCs w:val="20"/>
        </w:rPr>
        <w:t>pharmac</w:t>
      </w:r>
      <w:r w:rsidR="001841CD" w:rsidRPr="00DA6EB8">
        <w:rPr>
          <w:rFonts w:ascii="Times New Roman" w:hAnsi="Times New Roman" w:cs="Times New Roman"/>
          <w:sz w:val="20"/>
          <w:szCs w:val="20"/>
        </w:rPr>
        <w:t xml:space="preserve">y </w:t>
      </w:r>
      <w:r w:rsidR="001841CD" w:rsidRPr="00DA6EB8">
        <w:rPr>
          <w:rFonts w:ascii="Times New Roman" w:hAnsi="Times New Roman" w:cs="Times New Roman"/>
          <w:sz w:val="20"/>
          <w:szCs w:val="20"/>
          <w:vertAlign w:val="superscript"/>
        </w:rPr>
        <w:t>(</w:t>
      </w:r>
      <w:r w:rsidR="00125E36" w:rsidRPr="00DA6EB8">
        <w:rPr>
          <w:rFonts w:ascii="Times New Roman" w:hAnsi="Times New Roman" w:cs="Times New Roman"/>
          <w:sz w:val="20"/>
          <w:szCs w:val="20"/>
          <w:vertAlign w:val="superscript"/>
        </w:rPr>
        <w:t>3)</w:t>
      </w:r>
      <w:r w:rsidRPr="00DA6EB8">
        <w:rPr>
          <w:rFonts w:ascii="Times New Roman" w:hAnsi="Times New Roman" w:cs="Times New Roman"/>
          <w:sz w:val="20"/>
          <w:szCs w:val="20"/>
        </w:rPr>
        <w:t xml:space="preserve">. Nowadays, </w:t>
      </w:r>
      <w:proofErr w:type="spellStart"/>
      <w:r w:rsidRPr="00DA6EB8">
        <w:rPr>
          <w:rFonts w:ascii="Times New Roman" w:hAnsi="Times New Roman" w:cs="Times New Roman"/>
          <w:sz w:val="20"/>
          <w:szCs w:val="20"/>
        </w:rPr>
        <w:t>EOs</w:t>
      </w:r>
      <w:proofErr w:type="spellEnd"/>
      <w:r w:rsidRPr="00DA6EB8">
        <w:rPr>
          <w:rFonts w:ascii="Times New Roman" w:hAnsi="Times New Roman" w:cs="Times New Roman"/>
          <w:sz w:val="20"/>
          <w:szCs w:val="20"/>
        </w:rPr>
        <w:t xml:space="preserve"> are attracting substantial interest from scientists because of their use in</w:t>
      </w:r>
      <w:r w:rsidR="00703966" w:rsidRPr="00DA6EB8">
        <w:rPr>
          <w:rFonts w:ascii="Times New Roman" w:hAnsi="Times New Roman" w:cs="Times New Roman"/>
          <w:sz w:val="20"/>
          <w:szCs w:val="20"/>
        </w:rPr>
        <w:t xml:space="preserve"> </w:t>
      </w:r>
      <w:r w:rsidRPr="00DA6EB8">
        <w:rPr>
          <w:rFonts w:ascii="Times New Roman" w:hAnsi="Times New Roman" w:cs="Times New Roman"/>
          <w:sz w:val="20"/>
          <w:szCs w:val="20"/>
        </w:rPr>
        <w:t>the treatment of certain infectious diseases for which synthetic antibiotics are becoming less and less</w:t>
      </w:r>
      <w:r w:rsidR="00D655AC" w:rsidRPr="00DA6EB8">
        <w:rPr>
          <w:rFonts w:ascii="Times New Roman" w:hAnsi="Times New Roman" w:cs="Times New Roman"/>
          <w:sz w:val="20"/>
          <w:szCs w:val="20"/>
        </w:rPr>
        <w:t xml:space="preserve"> </w:t>
      </w:r>
      <w:r w:rsidRPr="00DA6EB8">
        <w:rPr>
          <w:rFonts w:ascii="Times New Roman" w:hAnsi="Times New Roman" w:cs="Times New Roman"/>
          <w:sz w:val="20"/>
          <w:szCs w:val="20"/>
        </w:rPr>
        <w:t>active, or for preserving food against oxidation as alternatives to synthetic chemicals.</w:t>
      </w:r>
    </w:p>
    <w:p w:rsidR="004E62B6" w:rsidRPr="00DA6EB8" w:rsidRDefault="006F70F2" w:rsidP="00BD6349">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Cinnamates</w:t>
      </w:r>
      <w:proofErr w:type="spellEnd"/>
      <w:r w:rsidRPr="00DA6EB8">
        <w:rPr>
          <w:rFonts w:ascii="Times New Roman" w:hAnsi="Times New Roman" w:cs="Times New Roman"/>
          <w:sz w:val="20"/>
          <w:szCs w:val="20"/>
        </w:rPr>
        <w:t xml:space="preserve"> found in nature as secondary metabolites widely distributed in the plant kingdom. They</w:t>
      </w:r>
      <w:r w:rsidR="00703966" w:rsidRPr="00DA6EB8">
        <w:rPr>
          <w:rFonts w:ascii="Times New Roman" w:hAnsi="Times New Roman" w:cs="Times New Roman"/>
          <w:sz w:val="20"/>
          <w:szCs w:val="20"/>
        </w:rPr>
        <w:t xml:space="preserve"> </w:t>
      </w:r>
      <w:r w:rsidRPr="00DA6EB8">
        <w:rPr>
          <w:rFonts w:ascii="Times New Roman" w:hAnsi="Times New Roman" w:cs="Times New Roman"/>
          <w:sz w:val="20"/>
          <w:szCs w:val="20"/>
        </w:rPr>
        <w:t>synthesized by plants and</w:t>
      </w:r>
      <w:r w:rsidR="00703966" w:rsidRPr="00DA6EB8">
        <w:rPr>
          <w:rFonts w:ascii="Times New Roman" w:hAnsi="Times New Roman" w:cs="Times New Roman"/>
          <w:sz w:val="20"/>
          <w:szCs w:val="20"/>
        </w:rPr>
        <w:t xml:space="preserve"> </w:t>
      </w:r>
      <w:r w:rsidRPr="00DA6EB8">
        <w:rPr>
          <w:rFonts w:ascii="Times New Roman" w:hAnsi="Times New Roman" w:cs="Times New Roman"/>
          <w:sz w:val="20"/>
          <w:szCs w:val="20"/>
        </w:rPr>
        <w:t>actually represent</w:t>
      </w:r>
      <w:r w:rsidR="00D10E3C" w:rsidRPr="00DA6EB8">
        <w:rPr>
          <w:rFonts w:ascii="Times New Roman" w:hAnsi="Times New Roman" w:cs="Times New Roman"/>
          <w:sz w:val="20"/>
          <w:szCs w:val="20"/>
        </w:rPr>
        <w:t>ed</w:t>
      </w:r>
      <w:r w:rsidRPr="00DA6EB8">
        <w:rPr>
          <w:rFonts w:ascii="Times New Roman" w:hAnsi="Times New Roman" w:cs="Times New Roman"/>
          <w:sz w:val="20"/>
          <w:szCs w:val="20"/>
        </w:rPr>
        <w:t xml:space="preserve"> components of essential oils. Numerous studies have demonstrated that essential oils with methyl </w:t>
      </w:r>
      <w:proofErr w:type="spellStart"/>
      <w:r w:rsidRPr="00DA6EB8">
        <w:rPr>
          <w:rFonts w:ascii="Times New Roman" w:hAnsi="Times New Roman" w:cs="Times New Roman"/>
          <w:sz w:val="20"/>
          <w:szCs w:val="20"/>
        </w:rPr>
        <w:t>cinnamate</w:t>
      </w:r>
      <w:proofErr w:type="spellEnd"/>
      <w:r w:rsidRPr="00DA6EB8">
        <w:rPr>
          <w:rFonts w:ascii="Times New Roman" w:hAnsi="Times New Roman" w:cs="Times New Roman"/>
          <w:sz w:val="20"/>
          <w:szCs w:val="20"/>
        </w:rPr>
        <w:t xml:space="preserve"> as one of the main components, exhibit different kind of biological activity, such as antibacterial, antifungal, antithrombotic, anti-inflammatory and </w:t>
      </w:r>
      <w:proofErr w:type="spellStart"/>
      <w:r w:rsidRPr="00DA6EB8">
        <w:rPr>
          <w:rFonts w:ascii="Times New Roman" w:hAnsi="Times New Roman" w:cs="Times New Roman"/>
          <w:sz w:val="20"/>
          <w:szCs w:val="20"/>
        </w:rPr>
        <w:t>antioxidative</w:t>
      </w:r>
      <w:proofErr w:type="spellEnd"/>
      <w:r w:rsidRPr="00DA6EB8">
        <w:rPr>
          <w:rFonts w:ascii="Times New Roman" w:hAnsi="Times New Roman" w:cs="Times New Roman"/>
          <w:sz w:val="20"/>
          <w:szCs w:val="20"/>
        </w:rPr>
        <w:t xml:space="preserve"> activity</w:t>
      </w:r>
      <w:r w:rsidR="00D655AC" w:rsidRPr="00DA6EB8">
        <w:rPr>
          <w:rFonts w:ascii="Times New Roman" w:hAnsi="Times New Roman" w:cs="Times New Roman"/>
          <w:sz w:val="20"/>
          <w:szCs w:val="20"/>
        </w:rPr>
        <w:t xml:space="preserve"> </w:t>
      </w:r>
      <w:r w:rsidRPr="00DA6EB8">
        <w:rPr>
          <w:rFonts w:ascii="Times New Roman" w:hAnsi="Times New Roman" w:cs="Times New Roman"/>
          <w:sz w:val="20"/>
          <w:szCs w:val="20"/>
          <w:vertAlign w:val="superscript"/>
        </w:rPr>
        <w:t>(4–8)</w:t>
      </w:r>
      <w:r w:rsidRPr="00DA6EB8">
        <w:rPr>
          <w:rFonts w:ascii="Times New Roman" w:hAnsi="Times New Roman" w:cs="Times New Roman"/>
          <w:sz w:val="20"/>
          <w:szCs w:val="20"/>
        </w:rPr>
        <w:t xml:space="preserve">. </w:t>
      </w:r>
      <w:r w:rsidR="004E62B6" w:rsidRPr="00DA6EB8">
        <w:rPr>
          <w:rFonts w:ascii="Times New Roman" w:hAnsi="Times New Roman" w:cs="Times New Roman"/>
          <w:sz w:val="20"/>
          <w:szCs w:val="20"/>
        </w:rPr>
        <w:t xml:space="preserve">According to </w:t>
      </w:r>
      <w:r w:rsidR="004E62B6" w:rsidRPr="00DA6EB8">
        <w:rPr>
          <w:rFonts w:ascii="Times New Roman" w:hAnsi="Times New Roman" w:cs="Times New Roman"/>
          <w:i/>
          <w:iCs/>
          <w:sz w:val="20"/>
          <w:szCs w:val="20"/>
        </w:rPr>
        <w:t xml:space="preserve">in vivo </w:t>
      </w:r>
      <w:r w:rsidR="004E62B6" w:rsidRPr="00DA6EB8">
        <w:rPr>
          <w:rFonts w:ascii="Times New Roman" w:hAnsi="Times New Roman" w:cs="Times New Roman"/>
          <w:sz w:val="20"/>
          <w:szCs w:val="20"/>
        </w:rPr>
        <w:t xml:space="preserve">observations, methyl </w:t>
      </w:r>
      <w:proofErr w:type="spellStart"/>
      <w:r w:rsidR="004E62B6" w:rsidRPr="00DA6EB8">
        <w:rPr>
          <w:rFonts w:ascii="Times New Roman" w:hAnsi="Times New Roman" w:cs="Times New Roman"/>
          <w:sz w:val="20"/>
          <w:szCs w:val="20"/>
        </w:rPr>
        <w:t>cinnamate</w:t>
      </w:r>
      <w:proofErr w:type="spellEnd"/>
      <w:r w:rsidR="004E62B6" w:rsidRPr="00DA6EB8">
        <w:rPr>
          <w:rFonts w:ascii="Times New Roman" w:hAnsi="Times New Roman" w:cs="Times New Roman"/>
          <w:sz w:val="20"/>
          <w:szCs w:val="20"/>
        </w:rPr>
        <w:t xml:space="preserve"> is not irritating to skin and mucous membrane </w:t>
      </w:r>
      <w:r w:rsidR="004E62B6" w:rsidRPr="00DA6EB8">
        <w:rPr>
          <w:rFonts w:ascii="Times New Roman" w:hAnsi="Times New Roman" w:cs="Times New Roman"/>
          <w:sz w:val="20"/>
          <w:szCs w:val="20"/>
          <w:vertAlign w:val="superscript"/>
        </w:rPr>
        <w:t>(9)</w:t>
      </w:r>
      <w:r w:rsidR="004E62B6" w:rsidRPr="00DA6EB8">
        <w:rPr>
          <w:rFonts w:ascii="Times New Roman" w:hAnsi="Times New Roman" w:cs="Times New Roman"/>
          <w:sz w:val="20"/>
          <w:szCs w:val="20"/>
        </w:rPr>
        <w:t xml:space="preserve">. </w:t>
      </w:r>
      <w:proofErr w:type="spellStart"/>
      <w:r w:rsidR="004E62B6" w:rsidRPr="00DA6EB8">
        <w:rPr>
          <w:rFonts w:ascii="Times New Roman" w:hAnsi="Times New Roman" w:cs="Times New Roman"/>
          <w:sz w:val="20"/>
          <w:szCs w:val="20"/>
        </w:rPr>
        <w:t>Cinnamates</w:t>
      </w:r>
      <w:proofErr w:type="spellEnd"/>
      <w:r w:rsidR="004E62B6" w:rsidRPr="00DA6EB8">
        <w:rPr>
          <w:rFonts w:ascii="Times New Roman" w:hAnsi="Times New Roman" w:cs="Times New Roman"/>
          <w:sz w:val="20"/>
          <w:szCs w:val="20"/>
        </w:rPr>
        <w:t xml:space="preserve"> have wide use in different areas of industry, especially in food industry.</w:t>
      </w:r>
      <w:r w:rsidR="001841CD" w:rsidRPr="00DA6EB8">
        <w:rPr>
          <w:rFonts w:ascii="Times New Roman" w:hAnsi="Times New Roman" w:cs="Times New Roman"/>
          <w:sz w:val="20"/>
          <w:szCs w:val="20"/>
        </w:rPr>
        <w:t xml:space="preserve"> </w:t>
      </w:r>
    </w:p>
    <w:p w:rsidR="006F70F2" w:rsidRPr="00DA6EB8" w:rsidRDefault="006F70F2" w:rsidP="00BD634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A6EB8">
        <w:rPr>
          <w:rFonts w:ascii="Times New Roman" w:hAnsi="Times New Roman" w:cs="Times New Roman"/>
          <w:sz w:val="20"/>
          <w:szCs w:val="20"/>
        </w:rPr>
        <w:lastRenderedPageBreak/>
        <w:t xml:space="preserve">Besides naturally occurring, the </w:t>
      </w:r>
      <w:proofErr w:type="spellStart"/>
      <w:r w:rsidRPr="00DA6EB8">
        <w:rPr>
          <w:rFonts w:ascii="Times New Roman" w:hAnsi="Times New Roman" w:cs="Times New Roman"/>
          <w:sz w:val="20"/>
          <w:szCs w:val="20"/>
        </w:rPr>
        <w:t>cinnamates</w:t>
      </w:r>
      <w:proofErr w:type="spellEnd"/>
      <w:r w:rsidRPr="00DA6EB8">
        <w:rPr>
          <w:rFonts w:ascii="Times New Roman" w:hAnsi="Times New Roman" w:cs="Times New Roman"/>
          <w:sz w:val="20"/>
          <w:szCs w:val="20"/>
        </w:rPr>
        <w:t xml:space="preserve"> can be synthesized using different methods: </w:t>
      </w:r>
      <w:proofErr w:type="spellStart"/>
      <w:r w:rsidRPr="00DA6EB8">
        <w:rPr>
          <w:rFonts w:ascii="Times New Roman" w:hAnsi="Times New Roman" w:cs="Times New Roman"/>
          <w:sz w:val="20"/>
          <w:szCs w:val="20"/>
        </w:rPr>
        <w:t>esterification</w:t>
      </w:r>
      <w:proofErr w:type="spellEnd"/>
      <w:r w:rsidRPr="00DA6EB8">
        <w:rPr>
          <w:rFonts w:ascii="Times New Roman" w:hAnsi="Times New Roman" w:cs="Times New Roman"/>
          <w:sz w:val="20"/>
          <w:szCs w:val="20"/>
        </w:rPr>
        <w:t xml:space="preserve"> of corresponding </w:t>
      </w:r>
      <w:proofErr w:type="spellStart"/>
      <w:r w:rsidRPr="00DA6EB8">
        <w:rPr>
          <w:rFonts w:ascii="Times New Roman" w:hAnsi="Times New Roman" w:cs="Times New Roman"/>
          <w:sz w:val="20"/>
          <w:szCs w:val="20"/>
        </w:rPr>
        <w:t>cinnamic</w:t>
      </w:r>
      <w:proofErr w:type="spellEnd"/>
      <w:r w:rsidRPr="00DA6EB8">
        <w:rPr>
          <w:rFonts w:ascii="Times New Roman" w:hAnsi="Times New Roman" w:cs="Times New Roman"/>
          <w:sz w:val="20"/>
          <w:szCs w:val="20"/>
        </w:rPr>
        <w:t xml:space="preserve"> acids with alcohols </w:t>
      </w:r>
      <w:r w:rsidRPr="00DA6EB8">
        <w:rPr>
          <w:rFonts w:ascii="Times New Roman" w:hAnsi="Times New Roman" w:cs="Times New Roman"/>
          <w:sz w:val="20"/>
          <w:szCs w:val="20"/>
          <w:vertAlign w:val="superscript"/>
        </w:rPr>
        <w:t>(</w:t>
      </w:r>
      <w:r w:rsidR="004E62B6" w:rsidRPr="00DA6EB8">
        <w:rPr>
          <w:rFonts w:ascii="Times New Roman" w:hAnsi="Times New Roman" w:cs="Times New Roman"/>
          <w:sz w:val="20"/>
          <w:szCs w:val="20"/>
          <w:vertAlign w:val="superscript"/>
        </w:rPr>
        <w:t>10</w:t>
      </w:r>
      <w:r w:rsidRPr="00DA6EB8">
        <w:rPr>
          <w:rFonts w:ascii="Times New Roman" w:hAnsi="Times New Roman" w:cs="Times New Roman"/>
          <w:sz w:val="20"/>
          <w:szCs w:val="20"/>
          <w:vertAlign w:val="superscript"/>
        </w:rPr>
        <w:t>)</w:t>
      </w:r>
      <w:r w:rsidRPr="00DA6EB8">
        <w:rPr>
          <w:rFonts w:ascii="Times New Roman" w:hAnsi="Times New Roman" w:cs="Times New Roman"/>
          <w:sz w:val="20"/>
          <w:szCs w:val="20"/>
        </w:rPr>
        <w:t xml:space="preserve">, Wittig reaction </w:t>
      </w:r>
      <w:r w:rsidRPr="00DA6EB8">
        <w:rPr>
          <w:rFonts w:ascii="Times New Roman" w:hAnsi="Times New Roman" w:cs="Times New Roman"/>
          <w:sz w:val="20"/>
          <w:szCs w:val="20"/>
          <w:vertAlign w:val="superscript"/>
        </w:rPr>
        <w:t>(1</w:t>
      </w:r>
      <w:r w:rsidR="004E62B6" w:rsidRPr="00DA6EB8">
        <w:rPr>
          <w:rFonts w:ascii="Times New Roman" w:hAnsi="Times New Roman" w:cs="Times New Roman"/>
          <w:sz w:val="20"/>
          <w:szCs w:val="20"/>
          <w:vertAlign w:val="superscript"/>
        </w:rPr>
        <w:t>1</w:t>
      </w:r>
      <w:r w:rsidRPr="00DA6EB8">
        <w:rPr>
          <w:rFonts w:ascii="Times New Roman" w:hAnsi="Times New Roman" w:cs="Times New Roman"/>
          <w:sz w:val="20"/>
          <w:szCs w:val="20"/>
          <w:vertAlign w:val="superscript"/>
        </w:rPr>
        <w:t>)</w:t>
      </w:r>
      <w:r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Reformatsky</w:t>
      </w:r>
      <w:proofErr w:type="spellEnd"/>
      <w:r w:rsidRPr="00DA6EB8">
        <w:rPr>
          <w:rFonts w:ascii="Times New Roman" w:hAnsi="Times New Roman" w:cs="Times New Roman"/>
          <w:sz w:val="20"/>
          <w:szCs w:val="20"/>
        </w:rPr>
        <w:t xml:space="preserve"> reaction </w:t>
      </w:r>
      <w:r w:rsidRPr="00DA6EB8">
        <w:rPr>
          <w:rFonts w:ascii="Times New Roman" w:hAnsi="Times New Roman" w:cs="Times New Roman"/>
          <w:sz w:val="20"/>
          <w:szCs w:val="20"/>
          <w:vertAlign w:val="superscript"/>
        </w:rPr>
        <w:t>(1</w:t>
      </w:r>
      <w:r w:rsidR="004E62B6" w:rsidRPr="00DA6EB8">
        <w:rPr>
          <w:rFonts w:ascii="Times New Roman" w:hAnsi="Times New Roman" w:cs="Times New Roman"/>
          <w:sz w:val="20"/>
          <w:szCs w:val="20"/>
          <w:vertAlign w:val="superscript"/>
        </w:rPr>
        <w:t>2</w:t>
      </w:r>
      <w:r w:rsidRPr="00DA6EB8">
        <w:rPr>
          <w:rFonts w:ascii="Times New Roman" w:hAnsi="Times New Roman" w:cs="Times New Roman"/>
          <w:sz w:val="20"/>
          <w:szCs w:val="20"/>
          <w:vertAlign w:val="superscript"/>
        </w:rPr>
        <w:t>)</w:t>
      </w:r>
      <w:r w:rsidRPr="00DA6EB8">
        <w:rPr>
          <w:rFonts w:ascii="Times New Roman" w:hAnsi="Times New Roman" w:cs="Times New Roman"/>
          <w:sz w:val="20"/>
          <w:szCs w:val="20"/>
        </w:rPr>
        <w:t xml:space="preserve">, Heck reaction </w:t>
      </w:r>
      <w:r w:rsidRPr="00DA6EB8">
        <w:rPr>
          <w:rFonts w:ascii="Times New Roman" w:hAnsi="Times New Roman" w:cs="Times New Roman"/>
          <w:sz w:val="20"/>
          <w:szCs w:val="20"/>
          <w:vertAlign w:val="superscript"/>
        </w:rPr>
        <w:t>(1</w:t>
      </w:r>
      <w:r w:rsidR="004E62B6" w:rsidRPr="00DA6EB8">
        <w:rPr>
          <w:rFonts w:ascii="Times New Roman" w:hAnsi="Times New Roman" w:cs="Times New Roman"/>
          <w:sz w:val="20"/>
          <w:szCs w:val="20"/>
          <w:vertAlign w:val="superscript"/>
        </w:rPr>
        <w:t>3</w:t>
      </w:r>
      <w:r w:rsidRPr="00DA6EB8">
        <w:rPr>
          <w:rFonts w:ascii="Times New Roman" w:hAnsi="Times New Roman" w:cs="Times New Roman"/>
          <w:sz w:val="20"/>
          <w:szCs w:val="20"/>
          <w:vertAlign w:val="superscript"/>
        </w:rPr>
        <w:t>)</w:t>
      </w:r>
      <w:r w:rsidRPr="00DA6EB8">
        <w:rPr>
          <w:rFonts w:ascii="Times New Roman" w:hAnsi="Times New Roman" w:cs="Times New Roman"/>
          <w:sz w:val="20"/>
          <w:szCs w:val="20"/>
        </w:rPr>
        <w:t xml:space="preserve">, as well as other methods </w:t>
      </w:r>
      <w:r w:rsidRPr="00DA6EB8">
        <w:rPr>
          <w:rFonts w:ascii="Times New Roman" w:hAnsi="Times New Roman" w:cs="Times New Roman"/>
          <w:sz w:val="20"/>
          <w:szCs w:val="20"/>
          <w:vertAlign w:val="superscript"/>
        </w:rPr>
        <w:t>(1</w:t>
      </w:r>
      <w:r w:rsidR="004E62B6" w:rsidRPr="00DA6EB8">
        <w:rPr>
          <w:rFonts w:ascii="Times New Roman" w:hAnsi="Times New Roman" w:cs="Times New Roman"/>
          <w:sz w:val="20"/>
          <w:szCs w:val="20"/>
          <w:vertAlign w:val="superscript"/>
        </w:rPr>
        <w:t>4</w:t>
      </w:r>
      <w:r w:rsidRPr="00DA6EB8">
        <w:rPr>
          <w:rFonts w:ascii="Times New Roman" w:hAnsi="Times New Roman" w:cs="Times New Roman"/>
          <w:sz w:val="20"/>
          <w:szCs w:val="20"/>
          <w:vertAlign w:val="superscript"/>
        </w:rPr>
        <w:t>)</w:t>
      </w:r>
      <w:r w:rsidRPr="00DA6EB8">
        <w:rPr>
          <w:rFonts w:ascii="Times New Roman" w:hAnsi="Times New Roman" w:cs="Times New Roman"/>
          <w:sz w:val="20"/>
          <w:szCs w:val="20"/>
        </w:rPr>
        <w:t xml:space="preserve">. Due to the characteristic flavor and fragrance, as well as high boiling point and stability, synthetic methyl, ethyl- and butyl </w:t>
      </w:r>
      <w:proofErr w:type="spellStart"/>
      <w:r w:rsidRPr="00DA6EB8">
        <w:rPr>
          <w:rFonts w:ascii="Times New Roman" w:hAnsi="Times New Roman" w:cs="Times New Roman"/>
          <w:sz w:val="20"/>
          <w:szCs w:val="20"/>
        </w:rPr>
        <w:t>cinnamate</w:t>
      </w:r>
      <w:proofErr w:type="spellEnd"/>
      <w:r w:rsidRPr="00DA6EB8">
        <w:rPr>
          <w:rFonts w:ascii="Times New Roman" w:hAnsi="Times New Roman" w:cs="Times New Roman"/>
          <w:sz w:val="20"/>
          <w:szCs w:val="20"/>
        </w:rPr>
        <w:t xml:space="preserve"> are widely used in food industry, especially for beverages and baked goods. Council of Europe </w:t>
      </w:r>
      <w:r w:rsidRPr="00DA6EB8">
        <w:rPr>
          <w:rFonts w:ascii="Times New Roman" w:hAnsi="Times New Roman" w:cs="Times New Roman"/>
          <w:sz w:val="20"/>
          <w:szCs w:val="20"/>
          <w:vertAlign w:val="superscript"/>
        </w:rPr>
        <w:t>(</w:t>
      </w:r>
      <w:r w:rsidR="004E62B6" w:rsidRPr="00DA6EB8">
        <w:rPr>
          <w:rFonts w:ascii="Times New Roman" w:hAnsi="Times New Roman" w:cs="Times New Roman"/>
          <w:sz w:val="20"/>
          <w:szCs w:val="20"/>
          <w:vertAlign w:val="superscript"/>
        </w:rPr>
        <w:t>9</w:t>
      </w:r>
      <w:r w:rsidRPr="00DA6EB8">
        <w:rPr>
          <w:rFonts w:ascii="Times New Roman" w:hAnsi="Times New Roman" w:cs="Times New Roman"/>
          <w:sz w:val="20"/>
          <w:szCs w:val="20"/>
          <w:vertAlign w:val="superscript"/>
        </w:rPr>
        <w:t xml:space="preserve">) </w:t>
      </w:r>
      <w:r w:rsidRPr="00DA6EB8">
        <w:rPr>
          <w:rFonts w:ascii="Times New Roman" w:hAnsi="Times New Roman" w:cs="Times New Roman"/>
          <w:sz w:val="20"/>
          <w:szCs w:val="20"/>
        </w:rPr>
        <w:t xml:space="preserve">included methyl </w:t>
      </w:r>
      <w:proofErr w:type="spellStart"/>
      <w:r w:rsidRPr="00DA6EB8">
        <w:rPr>
          <w:rFonts w:ascii="Times New Roman" w:hAnsi="Times New Roman" w:cs="Times New Roman"/>
          <w:sz w:val="20"/>
          <w:szCs w:val="20"/>
        </w:rPr>
        <w:t>cinnamate</w:t>
      </w:r>
      <w:proofErr w:type="spellEnd"/>
      <w:r w:rsidRPr="00DA6EB8">
        <w:rPr>
          <w:rFonts w:ascii="Times New Roman" w:hAnsi="Times New Roman" w:cs="Times New Roman"/>
          <w:sz w:val="20"/>
          <w:szCs w:val="20"/>
        </w:rPr>
        <w:t xml:space="preserve"> in the group of substances safe for use in foodstuffs. Application of </w:t>
      </w:r>
      <w:proofErr w:type="spellStart"/>
      <w:r w:rsidRPr="00DA6EB8">
        <w:rPr>
          <w:rFonts w:ascii="Times New Roman" w:hAnsi="Times New Roman" w:cs="Times New Roman"/>
          <w:sz w:val="20"/>
          <w:szCs w:val="20"/>
        </w:rPr>
        <w:t>cinnamic</w:t>
      </w:r>
      <w:proofErr w:type="spellEnd"/>
      <w:r w:rsidRPr="00DA6EB8">
        <w:rPr>
          <w:rFonts w:ascii="Times New Roman" w:hAnsi="Times New Roman" w:cs="Times New Roman"/>
          <w:sz w:val="20"/>
          <w:szCs w:val="20"/>
        </w:rPr>
        <w:t xml:space="preserve"> acid esters in cosmetic and pharmaceutical industry is also significant.</w:t>
      </w:r>
    </w:p>
    <w:p w:rsidR="008664E8" w:rsidRPr="00DA6EB8" w:rsidRDefault="00125E36" w:rsidP="00BD6349">
      <w:pPr>
        <w:autoSpaceDE w:val="0"/>
        <w:autoSpaceDN w:val="0"/>
        <w:adjustRightInd w:val="0"/>
        <w:snapToGrid w:val="0"/>
        <w:spacing w:after="0" w:line="240" w:lineRule="auto"/>
        <w:ind w:firstLine="425"/>
        <w:jc w:val="both"/>
        <w:rPr>
          <w:rFonts w:ascii="Times New Roman" w:hAnsi="Times New Roman" w:cs="Times New Roman"/>
          <w:sz w:val="20"/>
          <w:szCs w:val="20"/>
          <w:vertAlign w:val="superscript"/>
        </w:rPr>
      </w:pPr>
      <w:r w:rsidRPr="00DA6EB8">
        <w:rPr>
          <w:rFonts w:ascii="Times New Roman" w:hAnsi="Times New Roman" w:cs="Times New Roman"/>
          <w:sz w:val="20"/>
          <w:szCs w:val="20"/>
        </w:rPr>
        <w:t xml:space="preserve">Methyl </w:t>
      </w:r>
      <w:proofErr w:type="spellStart"/>
      <w:r w:rsidRPr="00DA6EB8">
        <w:rPr>
          <w:rFonts w:ascii="Times New Roman" w:hAnsi="Times New Roman" w:cs="Times New Roman"/>
          <w:sz w:val="20"/>
          <w:szCs w:val="20"/>
        </w:rPr>
        <w:t>cinnamate</w:t>
      </w:r>
      <w:proofErr w:type="spellEnd"/>
      <w:r w:rsidRPr="00DA6EB8">
        <w:rPr>
          <w:rFonts w:ascii="Times New Roman" w:hAnsi="Times New Roman" w:cs="Times New Roman"/>
          <w:sz w:val="20"/>
          <w:szCs w:val="20"/>
        </w:rPr>
        <w:t xml:space="preserve"> (MC) is a </w:t>
      </w:r>
      <w:proofErr w:type="spellStart"/>
      <w:r w:rsidRPr="00DA6EB8">
        <w:rPr>
          <w:rFonts w:ascii="Times New Roman" w:hAnsi="Times New Roman" w:cs="Times New Roman"/>
          <w:sz w:val="20"/>
          <w:szCs w:val="20"/>
        </w:rPr>
        <w:t>phenylpropanoid</w:t>
      </w:r>
      <w:proofErr w:type="spellEnd"/>
      <w:r w:rsidRPr="00DA6EB8">
        <w:rPr>
          <w:rFonts w:ascii="Times New Roman" w:hAnsi="Times New Roman" w:cs="Times New Roman"/>
          <w:sz w:val="20"/>
          <w:szCs w:val="20"/>
        </w:rPr>
        <w:t xml:space="preserve"> derivative that </w:t>
      </w:r>
      <w:proofErr w:type="spellStart"/>
      <w:r w:rsidRPr="00DA6EB8">
        <w:rPr>
          <w:rFonts w:ascii="Times New Roman" w:hAnsi="Times New Roman" w:cs="Times New Roman"/>
          <w:sz w:val="20"/>
          <w:szCs w:val="20"/>
        </w:rPr>
        <w:t>isabundant</w:t>
      </w:r>
      <w:proofErr w:type="spellEnd"/>
      <w:r w:rsidRPr="00DA6EB8">
        <w:rPr>
          <w:rFonts w:ascii="Times New Roman" w:hAnsi="Times New Roman" w:cs="Times New Roman"/>
          <w:sz w:val="20"/>
          <w:szCs w:val="20"/>
        </w:rPr>
        <w:t xml:space="preserve"> in the essential oil of several plants, such as </w:t>
      </w:r>
      <w:proofErr w:type="spellStart"/>
      <w:r w:rsidRPr="00DA6EB8">
        <w:rPr>
          <w:rFonts w:ascii="Times New Roman" w:hAnsi="Times New Roman" w:cs="Times New Roman"/>
          <w:i/>
          <w:iCs/>
          <w:sz w:val="20"/>
          <w:szCs w:val="20"/>
        </w:rPr>
        <w:t>Ocimummicranthum</w:t>
      </w:r>
      <w:proofErr w:type="spellEnd"/>
      <w:r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Willd</w:t>
      </w:r>
      <w:proofErr w:type="spellEnd"/>
      <w:r w:rsidRPr="00DA6EB8">
        <w:rPr>
          <w:rFonts w:ascii="Times New Roman" w:hAnsi="Times New Roman" w:cs="Times New Roman"/>
          <w:sz w:val="20"/>
          <w:szCs w:val="20"/>
        </w:rPr>
        <w:t>.</w:t>
      </w:r>
      <w:r w:rsidR="00703966" w:rsidRPr="00DA6EB8">
        <w:rPr>
          <w:rFonts w:ascii="Times New Roman" w:hAnsi="Times New Roman" w:cs="Times New Roman"/>
          <w:sz w:val="20"/>
          <w:szCs w:val="20"/>
        </w:rPr>
        <w:t>,</w:t>
      </w:r>
      <w:r w:rsidR="00703966" w:rsidRPr="00DA6EB8">
        <w:rPr>
          <w:rFonts w:ascii="Times New Roman" w:hAnsi="Times New Roman" w:cs="Times New Roman"/>
          <w:sz w:val="20"/>
          <w:szCs w:val="20"/>
          <w:vertAlign w:val="superscript"/>
        </w:rPr>
        <w:t xml:space="preserve"> (</w:t>
      </w:r>
      <w:r w:rsidR="004F1077" w:rsidRPr="00DA6EB8">
        <w:rPr>
          <w:rFonts w:ascii="Times New Roman" w:hAnsi="Times New Roman" w:cs="Times New Roman"/>
          <w:sz w:val="20"/>
          <w:szCs w:val="20"/>
          <w:vertAlign w:val="superscript"/>
        </w:rPr>
        <w:t>15</w:t>
      </w:r>
      <w:r w:rsidR="00703966" w:rsidRPr="00DA6EB8">
        <w:rPr>
          <w:rFonts w:ascii="Times New Roman" w:hAnsi="Times New Roman" w:cs="Times New Roman"/>
          <w:sz w:val="20"/>
          <w:szCs w:val="20"/>
          <w:vertAlign w:val="superscript"/>
        </w:rPr>
        <w:t>)</w:t>
      </w:r>
      <w:r w:rsidR="00703966" w:rsidRPr="00DA6EB8">
        <w:rPr>
          <w:rFonts w:ascii="Times New Roman" w:hAnsi="Times New Roman" w:cs="Times New Roman"/>
          <w:i/>
          <w:iCs/>
          <w:sz w:val="20"/>
          <w:szCs w:val="20"/>
        </w:rPr>
        <w:t xml:space="preserve"> </w:t>
      </w:r>
      <w:proofErr w:type="spellStart"/>
      <w:r w:rsidR="00703966" w:rsidRPr="00DA6EB8">
        <w:rPr>
          <w:rFonts w:ascii="Times New Roman" w:hAnsi="Times New Roman" w:cs="Times New Roman"/>
          <w:i/>
          <w:iCs/>
          <w:sz w:val="20"/>
          <w:szCs w:val="20"/>
        </w:rPr>
        <w:t>Alpina</w:t>
      </w:r>
      <w:proofErr w:type="spellEnd"/>
      <w:r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malaccensis</w:t>
      </w:r>
      <w:proofErr w:type="spellEnd"/>
      <w:r w:rsidRPr="00DA6EB8">
        <w:rPr>
          <w:rFonts w:ascii="Times New Roman" w:hAnsi="Times New Roman" w:cs="Times New Roman"/>
          <w:sz w:val="20"/>
          <w:szCs w:val="20"/>
        </w:rPr>
        <w:t xml:space="preserve"> var. </w:t>
      </w:r>
      <w:proofErr w:type="spellStart"/>
      <w:r w:rsidRPr="00DA6EB8">
        <w:rPr>
          <w:rFonts w:ascii="Times New Roman" w:hAnsi="Times New Roman" w:cs="Times New Roman"/>
          <w:sz w:val="20"/>
          <w:szCs w:val="20"/>
        </w:rPr>
        <w:t>Nobilis</w:t>
      </w:r>
      <w:proofErr w:type="spellEnd"/>
      <w:r w:rsidRPr="00DA6EB8">
        <w:rPr>
          <w:rFonts w:ascii="Times New Roman" w:hAnsi="Times New Roman" w:cs="Times New Roman"/>
          <w:sz w:val="20"/>
          <w:szCs w:val="20"/>
        </w:rPr>
        <w:t>,</w:t>
      </w:r>
      <w:r w:rsidR="00555270" w:rsidRPr="00DA6EB8">
        <w:rPr>
          <w:rFonts w:ascii="Times New Roman" w:hAnsi="Times New Roman" w:cs="Times New Roman"/>
          <w:sz w:val="20"/>
          <w:szCs w:val="20"/>
          <w:vertAlign w:val="superscript"/>
        </w:rPr>
        <w:t xml:space="preserve"> (16)</w:t>
      </w:r>
      <w:r w:rsidR="00D655AC" w:rsidRPr="00DA6EB8">
        <w:rPr>
          <w:rFonts w:ascii="Times New Roman" w:hAnsi="Times New Roman" w:cs="Times New Roman"/>
          <w:sz w:val="20"/>
          <w:szCs w:val="20"/>
          <w:vertAlign w:val="superscript"/>
        </w:rPr>
        <w:t xml:space="preserve"> </w:t>
      </w:r>
      <w:proofErr w:type="spellStart"/>
      <w:r w:rsidRPr="00DA6EB8">
        <w:rPr>
          <w:rFonts w:ascii="Times New Roman" w:hAnsi="Times New Roman" w:cs="Times New Roman"/>
          <w:i/>
          <w:iCs/>
          <w:sz w:val="20"/>
          <w:szCs w:val="20"/>
        </w:rPr>
        <w:t>Alpiniazerumbet</w:t>
      </w:r>
      <w:proofErr w:type="spellEnd"/>
      <w:r w:rsidR="00D655AC" w:rsidRPr="00DA6EB8">
        <w:rPr>
          <w:rFonts w:ascii="Times New Roman" w:hAnsi="Times New Roman" w:cs="Times New Roman"/>
          <w:sz w:val="20"/>
          <w:szCs w:val="20"/>
          <w:vertAlign w:val="superscript"/>
        </w:rPr>
        <w:t xml:space="preserve"> </w:t>
      </w:r>
      <w:r w:rsidRPr="00DA6EB8">
        <w:rPr>
          <w:rFonts w:ascii="Times New Roman" w:hAnsi="Times New Roman" w:cs="Times New Roman"/>
          <w:sz w:val="20"/>
          <w:szCs w:val="20"/>
          <w:vertAlign w:val="superscript"/>
        </w:rPr>
        <w:t>(</w:t>
      </w:r>
      <w:r w:rsidR="004F1077" w:rsidRPr="00DA6EB8">
        <w:rPr>
          <w:rFonts w:ascii="Times New Roman" w:hAnsi="Times New Roman" w:cs="Times New Roman"/>
          <w:sz w:val="20"/>
          <w:szCs w:val="20"/>
          <w:vertAlign w:val="superscript"/>
        </w:rPr>
        <w:t>1</w:t>
      </w:r>
      <w:r w:rsidR="00555270" w:rsidRPr="00DA6EB8">
        <w:rPr>
          <w:rFonts w:ascii="Times New Roman" w:hAnsi="Times New Roman" w:cs="Times New Roman"/>
          <w:sz w:val="20"/>
          <w:szCs w:val="20"/>
          <w:vertAlign w:val="superscript"/>
        </w:rPr>
        <w:t>7</w:t>
      </w:r>
      <w:r w:rsidRPr="00DA6EB8">
        <w:rPr>
          <w:rFonts w:ascii="Times New Roman" w:hAnsi="Times New Roman" w:cs="Times New Roman"/>
          <w:sz w:val="20"/>
          <w:szCs w:val="20"/>
          <w:vertAlign w:val="superscript"/>
        </w:rPr>
        <w:t>)</w:t>
      </w:r>
      <w:r w:rsidR="00D655AC" w:rsidRPr="00DA6EB8">
        <w:rPr>
          <w:rFonts w:ascii="Times New Roman" w:hAnsi="Times New Roman" w:cs="Times New Roman"/>
          <w:sz w:val="20"/>
          <w:szCs w:val="20"/>
          <w:vertAlign w:val="superscript"/>
        </w:rPr>
        <w:t xml:space="preserve"> </w:t>
      </w:r>
      <w:r w:rsidRPr="00DA6EB8">
        <w:rPr>
          <w:rFonts w:ascii="Times New Roman" w:hAnsi="Times New Roman" w:cs="Times New Roman"/>
          <w:sz w:val="20"/>
          <w:szCs w:val="20"/>
        </w:rPr>
        <w:t xml:space="preserve">and </w:t>
      </w:r>
      <w:proofErr w:type="spellStart"/>
      <w:r w:rsidRPr="00DA6EB8">
        <w:rPr>
          <w:rFonts w:ascii="Times New Roman" w:hAnsi="Times New Roman" w:cs="Times New Roman"/>
          <w:i/>
          <w:iCs/>
          <w:sz w:val="20"/>
          <w:szCs w:val="20"/>
        </w:rPr>
        <w:t>Kaempferia</w:t>
      </w:r>
      <w:proofErr w:type="spellEnd"/>
      <w:r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galanga</w:t>
      </w:r>
      <w:proofErr w:type="spellEnd"/>
      <w:r w:rsidRPr="00DA6EB8">
        <w:rPr>
          <w:rFonts w:ascii="Times New Roman" w:hAnsi="Times New Roman" w:cs="Times New Roman"/>
          <w:sz w:val="20"/>
          <w:szCs w:val="20"/>
        </w:rPr>
        <w:t xml:space="preserve"> L. (</w:t>
      </w:r>
      <w:proofErr w:type="spellStart"/>
      <w:r w:rsidRPr="00DA6EB8">
        <w:rPr>
          <w:rFonts w:ascii="Times New Roman" w:hAnsi="Times New Roman" w:cs="Times New Roman"/>
          <w:sz w:val="20"/>
          <w:szCs w:val="20"/>
        </w:rPr>
        <w:t>Zingiberaceae</w:t>
      </w:r>
      <w:proofErr w:type="spellEnd"/>
      <w:r w:rsidRPr="00DA6EB8">
        <w:rPr>
          <w:rFonts w:ascii="Times New Roman" w:hAnsi="Times New Roman" w:cs="Times New Roman"/>
          <w:sz w:val="20"/>
          <w:szCs w:val="20"/>
        </w:rPr>
        <w:t>)</w:t>
      </w:r>
      <w:r w:rsidR="00D655AC"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vertAlign w:val="superscript"/>
        </w:rPr>
        <w:t>(18)</w:t>
      </w:r>
      <w:r w:rsidRPr="00DA6EB8">
        <w:rPr>
          <w:rFonts w:ascii="Times New Roman" w:hAnsi="Times New Roman" w:cs="Times New Roman"/>
          <w:sz w:val="20"/>
          <w:szCs w:val="20"/>
        </w:rPr>
        <w:t>.</w:t>
      </w:r>
      <w:r w:rsidR="00960A6F" w:rsidRPr="00DA6EB8">
        <w:rPr>
          <w:rFonts w:ascii="Times New Roman" w:hAnsi="Times New Roman" w:cs="Times New Roman"/>
          <w:sz w:val="20"/>
          <w:szCs w:val="20"/>
        </w:rPr>
        <w:t xml:space="preserve"> In addition, a pleasant and strongly aromatic constituent of fruits (e.g. strawberries) and culinary spices (e.g. basil)</w:t>
      </w:r>
      <w:r w:rsidRPr="00DA6EB8">
        <w:rPr>
          <w:rFonts w:ascii="Times New Roman" w:hAnsi="Times New Roman" w:cs="Times New Roman"/>
          <w:sz w:val="20"/>
          <w:szCs w:val="20"/>
        </w:rPr>
        <w:t xml:space="preserve"> is</w:t>
      </w:r>
      <w:r w:rsidR="00703966" w:rsidRPr="00DA6EB8">
        <w:rPr>
          <w:rFonts w:ascii="Times New Roman" w:hAnsi="Times New Roman" w:cs="Times New Roman"/>
          <w:sz w:val="20"/>
          <w:szCs w:val="20"/>
        </w:rPr>
        <w:t xml:space="preserve"> </w:t>
      </w:r>
      <w:r w:rsidRPr="00DA6EB8">
        <w:rPr>
          <w:rFonts w:ascii="Times New Roman" w:hAnsi="Times New Roman" w:cs="Times New Roman"/>
          <w:sz w:val="20"/>
          <w:szCs w:val="20"/>
        </w:rPr>
        <w:t xml:space="preserve">used in the </w:t>
      </w:r>
      <w:proofErr w:type="spellStart"/>
      <w:r w:rsidRPr="00DA6EB8">
        <w:rPr>
          <w:rFonts w:ascii="Times New Roman" w:hAnsi="Times New Roman" w:cs="Times New Roman"/>
          <w:sz w:val="20"/>
          <w:szCs w:val="20"/>
        </w:rPr>
        <w:t>ﬂavorindustry</w:t>
      </w:r>
      <w:proofErr w:type="spellEnd"/>
      <w:r w:rsidRPr="00DA6EB8">
        <w:rPr>
          <w:rFonts w:ascii="Times New Roman" w:hAnsi="Times New Roman" w:cs="Times New Roman"/>
          <w:sz w:val="20"/>
          <w:szCs w:val="20"/>
        </w:rPr>
        <w:t>. Because of its in vitro antifungal activity</w:t>
      </w:r>
      <w:r w:rsidR="001841CD" w:rsidRPr="00DA6EB8">
        <w:rPr>
          <w:rFonts w:ascii="Times New Roman" w:hAnsi="Times New Roman" w:cs="Times New Roman"/>
          <w:sz w:val="20"/>
          <w:szCs w:val="20"/>
        </w:rPr>
        <w:t xml:space="preserve">, </w:t>
      </w:r>
      <w:r w:rsidR="001841CD" w:rsidRPr="00DA6EB8">
        <w:rPr>
          <w:rFonts w:ascii="Times New Roman" w:hAnsi="Times New Roman" w:cs="Times New Roman"/>
          <w:sz w:val="20"/>
          <w:szCs w:val="20"/>
          <w:vertAlign w:val="superscript"/>
        </w:rPr>
        <w:t>(</w:t>
      </w:r>
      <w:r w:rsidR="00555270" w:rsidRPr="00DA6EB8">
        <w:rPr>
          <w:rFonts w:ascii="Times New Roman" w:hAnsi="Times New Roman" w:cs="Times New Roman"/>
          <w:sz w:val="20"/>
          <w:szCs w:val="20"/>
          <w:vertAlign w:val="superscript"/>
        </w:rPr>
        <w:t>19</w:t>
      </w:r>
      <w:r w:rsidR="00B51E6A" w:rsidRPr="00DA6EB8">
        <w:rPr>
          <w:rFonts w:ascii="Times New Roman" w:hAnsi="Times New Roman" w:cs="Times New Roman"/>
          <w:sz w:val="20"/>
          <w:szCs w:val="20"/>
          <w:vertAlign w:val="superscript"/>
        </w:rPr>
        <w:t xml:space="preserve">) </w:t>
      </w:r>
      <w:r w:rsidR="00B51E6A" w:rsidRPr="00DA6EB8">
        <w:rPr>
          <w:rFonts w:ascii="Times New Roman" w:hAnsi="Times New Roman" w:cs="Times New Roman"/>
          <w:sz w:val="20"/>
          <w:szCs w:val="20"/>
        </w:rPr>
        <w:t>M</w:t>
      </w:r>
      <w:r w:rsidRPr="00DA6EB8">
        <w:rPr>
          <w:rFonts w:ascii="Times New Roman" w:hAnsi="Times New Roman" w:cs="Times New Roman"/>
          <w:sz w:val="20"/>
          <w:szCs w:val="20"/>
        </w:rPr>
        <w:t xml:space="preserve">C </w:t>
      </w:r>
      <w:proofErr w:type="spellStart"/>
      <w:r w:rsidRPr="00DA6EB8">
        <w:rPr>
          <w:rFonts w:ascii="Times New Roman" w:hAnsi="Times New Roman" w:cs="Times New Roman"/>
          <w:sz w:val="20"/>
          <w:szCs w:val="20"/>
        </w:rPr>
        <w:t>vaporsreleased</w:t>
      </w:r>
      <w:proofErr w:type="spellEnd"/>
      <w:r w:rsidRPr="00DA6EB8">
        <w:rPr>
          <w:rFonts w:ascii="Times New Roman" w:hAnsi="Times New Roman" w:cs="Times New Roman"/>
          <w:sz w:val="20"/>
          <w:szCs w:val="20"/>
        </w:rPr>
        <w:t xml:space="preserve"> from </w:t>
      </w:r>
      <w:r w:rsidRPr="00DA6EB8">
        <w:rPr>
          <w:rFonts w:ascii="Times New Roman" w:hAnsi="Times New Roman" w:cs="Times New Roman"/>
          <w:sz w:val="20"/>
          <w:szCs w:val="20"/>
        </w:rPr>
        <w:lastRenderedPageBreak/>
        <w:t xml:space="preserve">the edible </w:t>
      </w:r>
      <w:proofErr w:type="spellStart"/>
      <w:r w:rsidRPr="00DA6EB8">
        <w:rPr>
          <w:rFonts w:ascii="Times New Roman" w:hAnsi="Times New Roman" w:cs="Times New Roman"/>
          <w:sz w:val="20"/>
          <w:szCs w:val="20"/>
        </w:rPr>
        <w:t>ﬁlm</w:t>
      </w:r>
      <w:proofErr w:type="spellEnd"/>
      <w:r w:rsidRPr="00DA6EB8">
        <w:rPr>
          <w:rFonts w:ascii="Times New Roman" w:hAnsi="Times New Roman" w:cs="Times New Roman"/>
          <w:sz w:val="20"/>
          <w:szCs w:val="20"/>
        </w:rPr>
        <w:t xml:space="preserve"> of strawberry puree extend the</w:t>
      </w:r>
      <w:r w:rsidR="00703966" w:rsidRPr="00DA6EB8">
        <w:rPr>
          <w:rFonts w:ascii="Times New Roman" w:hAnsi="Times New Roman" w:cs="Times New Roman"/>
          <w:sz w:val="20"/>
          <w:szCs w:val="20"/>
        </w:rPr>
        <w:t xml:space="preserve"> </w:t>
      </w:r>
      <w:r w:rsidR="00D10E3C" w:rsidRPr="00DA6EB8">
        <w:rPr>
          <w:rFonts w:ascii="Times New Roman" w:hAnsi="Times New Roman" w:cs="Times New Roman"/>
          <w:sz w:val="20"/>
          <w:szCs w:val="20"/>
        </w:rPr>
        <w:t>shelf life</w:t>
      </w:r>
      <w:r w:rsidRPr="00DA6EB8">
        <w:rPr>
          <w:rFonts w:ascii="Times New Roman" w:hAnsi="Times New Roman" w:cs="Times New Roman"/>
          <w:sz w:val="20"/>
          <w:szCs w:val="20"/>
        </w:rPr>
        <w:t xml:space="preserve"> of strawberries</w:t>
      </w:r>
      <w:r w:rsidR="00D655AC"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vertAlign w:val="superscript"/>
        </w:rPr>
        <w:t>(20)</w:t>
      </w:r>
      <w:r w:rsidRPr="00DA6EB8">
        <w:rPr>
          <w:rFonts w:ascii="Times New Roman" w:hAnsi="Times New Roman" w:cs="Times New Roman"/>
          <w:sz w:val="20"/>
          <w:szCs w:val="20"/>
        </w:rPr>
        <w:t>.</w:t>
      </w:r>
    </w:p>
    <w:p w:rsidR="00E84C49" w:rsidRPr="00DA6EB8" w:rsidRDefault="00555270" w:rsidP="00BD634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A6EB8">
        <w:rPr>
          <w:rFonts w:ascii="Times New Roman" w:hAnsi="Times New Roman" w:cs="Times New Roman"/>
          <w:sz w:val="20"/>
          <w:szCs w:val="20"/>
        </w:rPr>
        <w:t>Vegetables are important components of the human diet since they provide essential nutrients that are required for</w:t>
      </w:r>
      <w:r w:rsidR="00703966" w:rsidRPr="00DA6EB8">
        <w:rPr>
          <w:rFonts w:ascii="Times New Roman" w:hAnsi="Times New Roman" w:cs="Times New Roman"/>
          <w:sz w:val="20"/>
          <w:szCs w:val="20"/>
        </w:rPr>
        <w:t xml:space="preserve"> </w:t>
      </w:r>
      <w:r w:rsidRPr="00DA6EB8">
        <w:rPr>
          <w:rFonts w:ascii="Times New Roman" w:hAnsi="Times New Roman" w:cs="Times New Roman"/>
          <w:sz w:val="20"/>
          <w:szCs w:val="20"/>
        </w:rPr>
        <w:t>most of the reactions occurring in the body. Like other crops, vegetables attacked by</w:t>
      </w:r>
      <w:r w:rsidR="00703966" w:rsidRPr="00DA6EB8">
        <w:rPr>
          <w:rFonts w:ascii="Times New Roman" w:hAnsi="Times New Roman" w:cs="Times New Roman"/>
          <w:sz w:val="20"/>
          <w:szCs w:val="20"/>
        </w:rPr>
        <w:t xml:space="preserve"> </w:t>
      </w:r>
      <w:r w:rsidRPr="00DA6EB8">
        <w:rPr>
          <w:rFonts w:ascii="Times New Roman" w:hAnsi="Times New Roman" w:cs="Times New Roman"/>
          <w:sz w:val="20"/>
          <w:szCs w:val="20"/>
        </w:rPr>
        <w:t>pests and diseases during</w:t>
      </w:r>
      <w:r w:rsidR="00703966" w:rsidRPr="00DA6EB8">
        <w:rPr>
          <w:rFonts w:ascii="Times New Roman" w:hAnsi="Times New Roman" w:cs="Times New Roman"/>
          <w:sz w:val="20"/>
          <w:szCs w:val="20"/>
        </w:rPr>
        <w:t xml:space="preserve"> </w:t>
      </w:r>
      <w:r w:rsidRPr="00DA6EB8">
        <w:rPr>
          <w:rFonts w:ascii="Times New Roman" w:hAnsi="Times New Roman" w:cs="Times New Roman"/>
          <w:sz w:val="20"/>
          <w:szCs w:val="20"/>
        </w:rPr>
        <w:t xml:space="preserve">production and storage leading to damages that reduce the quality and the yield </w:t>
      </w:r>
      <w:r w:rsidR="00BB06DD" w:rsidRPr="00DA6EB8">
        <w:rPr>
          <w:rFonts w:ascii="Times New Roman" w:hAnsi="Times New Roman" w:cs="Times New Roman"/>
          <w:sz w:val="20"/>
          <w:szCs w:val="20"/>
          <w:vertAlign w:val="superscript"/>
        </w:rPr>
        <w:t>(21)</w:t>
      </w:r>
      <w:r w:rsidRPr="00DA6EB8">
        <w:rPr>
          <w:rFonts w:ascii="Times New Roman" w:hAnsi="Times New Roman" w:cs="Times New Roman"/>
          <w:sz w:val="20"/>
          <w:szCs w:val="20"/>
        </w:rPr>
        <w:t>. In order to reduce the</w:t>
      </w:r>
      <w:r w:rsidR="00703966" w:rsidRPr="00DA6EB8">
        <w:rPr>
          <w:rFonts w:ascii="Times New Roman" w:hAnsi="Times New Roman" w:cs="Times New Roman"/>
          <w:sz w:val="20"/>
          <w:szCs w:val="20"/>
        </w:rPr>
        <w:t xml:space="preserve"> </w:t>
      </w:r>
      <w:r w:rsidRPr="00DA6EB8">
        <w:rPr>
          <w:rFonts w:ascii="Times New Roman" w:hAnsi="Times New Roman" w:cs="Times New Roman"/>
          <w:sz w:val="20"/>
          <w:szCs w:val="20"/>
        </w:rPr>
        <w:t>loss and maintain the quality of vegetables harvest, pesticides used together with other pest management</w:t>
      </w:r>
      <w:r w:rsidR="00703966" w:rsidRPr="00DA6EB8">
        <w:rPr>
          <w:rFonts w:ascii="Times New Roman" w:hAnsi="Times New Roman" w:cs="Times New Roman"/>
          <w:sz w:val="20"/>
          <w:szCs w:val="20"/>
        </w:rPr>
        <w:t xml:space="preserve"> </w:t>
      </w:r>
      <w:r w:rsidRPr="00DA6EB8">
        <w:rPr>
          <w:rFonts w:ascii="Times New Roman" w:hAnsi="Times New Roman" w:cs="Times New Roman"/>
          <w:sz w:val="20"/>
          <w:szCs w:val="20"/>
        </w:rPr>
        <w:t>techniques</w:t>
      </w:r>
      <w:r w:rsidR="00703966" w:rsidRPr="00DA6EB8">
        <w:rPr>
          <w:rFonts w:ascii="Times New Roman" w:hAnsi="Times New Roman" w:cs="Times New Roman"/>
          <w:sz w:val="20"/>
          <w:szCs w:val="20"/>
        </w:rPr>
        <w:t xml:space="preserve"> </w:t>
      </w:r>
      <w:r w:rsidRPr="00DA6EB8">
        <w:rPr>
          <w:rFonts w:ascii="Times New Roman" w:hAnsi="Times New Roman" w:cs="Times New Roman"/>
          <w:sz w:val="20"/>
          <w:szCs w:val="20"/>
        </w:rPr>
        <w:t xml:space="preserve">to the presence of </w:t>
      </w:r>
      <w:r w:rsidR="00703966" w:rsidRPr="00DA6EB8">
        <w:rPr>
          <w:rFonts w:ascii="Times New Roman" w:hAnsi="Times New Roman" w:cs="Times New Roman"/>
          <w:sz w:val="20"/>
          <w:szCs w:val="20"/>
        </w:rPr>
        <w:t>pesticide residues</w:t>
      </w:r>
      <w:r w:rsidRPr="00DA6EB8">
        <w:rPr>
          <w:rFonts w:ascii="Times New Roman" w:hAnsi="Times New Roman" w:cs="Times New Roman"/>
          <w:sz w:val="20"/>
          <w:szCs w:val="20"/>
        </w:rPr>
        <w:t xml:space="preserve"> in vegetables after harves</w:t>
      </w:r>
      <w:r w:rsidR="001841CD" w:rsidRPr="00DA6EB8">
        <w:rPr>
          <w:rFonts w:ascii="Times New Roman" w:hAnsi="Times New Roman" w:cs="Times New Roman"/>
          <w:sz w:val="20"/>
          <w:szCs w:val="20"/>
        </w:rPr>
        <w:t xml:space="preserve">t </w:t>
      </w:r>
      <w:r w:rsidR="001841CD" w:rsidRPr="00DA6EB8">
        <w:rPr>
          <w:rFonts w:ascii="Times New Roman" w:hAnsi="Times New Roman" w:cs="Times New Roman"/>
          <w:sz w:val="20"/>
          <w:szCs w:val="20"/>
          <w:vertAlign w:val="superscript"/>
        </w:rPr>
        <w:t>(</w:t>
      </w:r>
      <w:r w:rsidR="00BB06DD" w:rsidRPr="00DA6EB8">
        <w:rPr>
          <w:rFonts w:ascii="Times New Roman" w:hAnsi="Times New Roman" w:cs="Times New Roman"/>
          <w:sz w:val="20"/>
          <w:szCs w:val="20"/>
          <w:vertAlign w:val="superscript"/>
        </w:rPr>
        <w:t>23)</w:t>
      </w:r>
      <w:r w:rsidRPr="00DA6EB8">
        <w:rPr>
          <w:rFonts w:ascii="Times New Roman" w:hAnsi="Times New Roman" w:cs="Times New Roman"/>
          <w:sz w:val="20"/>
          <w:szCs w:val="20"/>
        </w:rPr>
        <w:t>.</w:t>
      </w:r>
    </w:p>
    <w:p w:rsidR="00C3179A" w:rsidRPr="00DA6EB8" w:rsidRDefault="00555270" w:rsidP="00BD634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A6EB8">
        <w:rPr>
          <w:rFonts w:ascii="Times New Roman" w:hAnsi="Times New Roman" w:cs="Times New Roman"/>
          <w:sz w:val="20"/>
          <w:szCs w:val="20"/>
        </w:rPr>
        <w:t xml:space="preserve">Pesticides in developing countries in Asia and </w:t>
      </w:r>
      <w:r w:rsidR="00703966" w:rsidRPr="00DA6EB8">
        <w:rPr>
          <w:rFonts w:ascii="Times New Roman" w:hAnsi="Times New Roman" w:cs="Times New Roman"/>
          <w:sz w:val="20"/>
          <w:szCs w:val="20"/>
        </w:rPr>
        <w:t>Pacific region</w:t>
      </w:r>
      <w:r w:rsidRPr="00DA6EB8">
        <w:rPr>
          <w:rFonts w:ascii="Times New Roman" w:hAnsi="Times New Roman" w:cs="Times New Roman"/>
          <w:sz w:val="20"/>
          <w:szCs w:val="20"/>
        </w:rPr>
        <w:t xml:space="preserve"> are mainly available as dust, wet</w:t>
      </w:r>
      <w:r w:rsidR="00703966" w:rsidRPr="00DA6EB8">
        <w:rPr>
          <w:rFonts w:ascii="Times New Roman" w:hAnsi="Times New Roman" w:cs="Times New Roman"/>
          <w:sz w:val="20"/>
          <w:szCs w:val="20"/>
        </w:rPr>
        <w:t xml:space="preserve"> </w:t>
      </w:r>
      <w:r w:rsidRPr="00DA6EB8">
        <w:rPr>
          <w:rFonts w:ascii="Times New Roman" w:hAnsi="Times New Roman" w:cs="Times New Roman"/>
          <w:sz w:val="20"/>
          <w:szCs w:val="20"/>
        </w:rPr>
        <w:t>table powder,</w:t>
      </w:r>
      <w:r w:rsidR="00703966"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emulsifiable</w:t>
      </w:r>
      <w:proofErr w:type="spellEnd"/>
      <w:r w:rsidRPr="00DA6EB8">
        <w:rPr>
          <w:rFonts w:ascii="Times New Roman" w:hAnsi="Times New Roman" w:cs="Times New Roman"/>
          <w:sz w:val="20"/>
          <w:szCs w:val="20"/>
        </w:rPr>
        <w:t xml:space="preserve"> concentrates, solutions, etc</w:t>
      </w:r>
      <w:r w:rsidR="00D10E3C" w:rsidRPr="00DA6EB8">
        <w:rPr>
          <w:rFonts w:ascii="Times New Roman" w:hAnsi="Times New Roman" w:cs="Times New Roman"/>
          <w:sz w:val="20"/>
          <w:szCs w:val="20"/>
        </w:rPr>
        <w:t>.</w:t>
      </w:r>
      <w:r w:rsidRPr="00DA6EB8">
        <w:rPr>
          <w:rFonts w:ascii="Times New Roman" w:hAnsi="Times New Roman" w:cs="Times New Roman"/>
          <w:sz w:val="20"/>
          <w:szCs w:val="20"/>
        </w:rPr>
        <w:t xml:space="preserve"> for vegetable </w:t>
      </w:r>
      <w:r w:rsidR="00703966" w:rsidRPr="00DA6EB8">
        <w:rPr>
          <w:rFonts w:ascii="Times New Roman" w:hAnsi="Times New Roman" w:cs="Times New Roman"/>
          <w:sz w:val="20"/>
          <w:szCs w:val="20"/>
        </w:rPr>
        <w:t>pest management</w:t>
      </w:r>
      <w:r w:rsidRPr="00DA6EB8">
        <w:rPr>
          <w:rFonts w:ascii="Times New Roman" w:hAnsi="Times New Roman" w:cs="Times New Roman"/>
          <w:sz w:val="20"/>
          <w:szCs w:val="20"/>
        </w:rPr>
        <w:t xml:space="preserve">. These types of formulations are </w:t>
      </w:r>
      <w:r w:rsidR="00703966" w:rsidRPr="00DA6EB8">
        <w:rPr>
          <w:rFonts w:ascii="Times New Roman" w:hAnsi="Times New Roman" w:cs="Times New Roman"/>
          <w:sz w:val="20"/>
          <w:szCs w:val="20"/>
        </w:rPr>
        <w:t>regarded now</w:t>
      </w:r>
      <w:r w:rsidRPr="00DA6EB8">
        <w:rPr>
          <w:rFonts w:ascii="Times New Roman" w:hAnsi="Times New Roman" w:cs="Times New Roman"/>
          <w:sz w:val="20"/>
          <w:szCs w:val="20"/>
        </w:rPr>
        <w:t xml:space="preserve"> as in </w:t>
      </w:r>
      <w:r w:rsidR="00A83596" w:rsidRPr="00DA6EB8">
        <w:rPr>
          <w:rFonts w:ascii="Times New Roman" w:hAnsi="Times New Roman" w:cs="Times New Roman"/>
          <w:sz w:val="20"/>
          <w:szCs w:val="20"/>
        </w:rPr>
        <w:t>conventional”, “old technology”, “classical”,</w:t>
      </w:r>
      <w:r w:rsidRPr="00DA6EB8">
        <w:rPr>
          <w:rFonts w:ascii="Times New Roman" w:hAnsi="Times New Roman" w:cs="Times New Roman"/>
          <w:sz w:val="20"/>
          <w:szCs w:val="20"/>
        </w:rPr>
        <w:t xml:space="preserve"> or</w:t>
      </w:r>
      <w:r w:rsidR="00703966" w:rsidRPr="00DA6EB8">
        <w:rPr>
          <w:rFonts w:ascii="Times New Roman" w:hAnsi="Times New Roman" w:cs="Times New Roman"/>
          <w:sz w:val="20"/>
          <w:szCs w:val="20"/>
        </w:rPr>
        <w:t xml:space="preserve"> </w:t>
      </w:r>
      <w:r w:rsidR="00A83596" w:rsidRPr="00DA6EB8">
        <w:rPr>
          <w:rFonts w:ascii="Times New Roman" w:hAnsi="Times New Roman" w:cs="Times New Roman"/>
          <w:sz w:val="20"/>
          <w:szCs w:val="20"/>
        </w:rPr>
        <w:t>“</w:t>
      </w:r>
      <w:r w:rsidR="00BB06DD" w:rsidRPr="00DA6EB8">
        <w:rPr>
          <w:rFonts w:ascii="Times New Roman" w:hAnsi="Times New Roman" w:cs="Times New Roman"/>
          <w:sz w:val="20"/>
          <w:szCs w:val="20"/>
        </w:rPr>
        <w:t>traditional‟ because of their increased dose rate or repeated applications to get desired bio efficacy. These higher doses and repeated applications lead to accumulate pesticide residues in vegetable commodities along with environmental pollution</w:t>
      </w:r>
      <w:r w:rsidR="004E62B6" w:rsidRPr="00DA6EB8">
        <w:rPr>
          <w:rFonts w:ascii="Times New Roman" w:hAnsi="Times New Roman" w:cs="Times New Roman"/>
          <w:sz w:val="20"/>
          <w:szCs w:val="20"/>
        </w:rPr>
        <w:t xml:space="preserve"> and increase the resistance of insects towards the pesticides </w:t>
      </w:r>
      <w:r w:rsidR="00BB06DD" w:rsidRPr="00DA6EB8">
        <w:rPr>
          <w:rFonts w:ascii="Times New Roman" w:hAnsi="Times New Roman" w:cs="Times New Roman"/>
          <w:sz w:val="20"/>
          <w:szCs w:val="20"/>
          <w:vertAlign w:val="superscript"/>
        </w:rPr>
        <w:t>(24)</w:t>
      </w:r>
      <w:r w:rsidR="00BB06DD" w:rsidRPr="00DA6EB8">
        <w:rPr>
          <w:rFonts w:ascii="Times New Roman" w:hAnsi="Times New Roman" w:cs="Times New Roman"/>
          <w:sz w:val="20"/>
          <w:szCs w:val="20"/>
        </w:rPr>
        <w:t xml:space="preserve">. </w:t>
      </w:r>
    </w:p>
    <w:p w:rsidR="00F209F7" w:rsidRPr="00DA6EB8" w:rsidRDefault="00F209F7" w:rsidP="00BD6349">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Microemulsions</w:t>
      </w:r>
      <w:proofErr w:type="spellEnd"/>
      <w:r w:rsidRPr="00DA6EB8">
        <w:rPr>
          <w:rFonts w:ascii="Times New Roman" w:hAnsi="Times New Roman" w:cs="Times New Roman"/>
          <w:sz w:val="20"/>
          <w:szCs w:val="20"/>
        </w:rPr>
        <w:t xml:space="preserve"> are very attractive alternatives to O/W emulsions for agrochemical </w:t>
      </w:r>
      <w:r w:rsidR="00703966" w:rsidRPr="00DA6EB8">
        <w:rPr>
          <w:rFonts w:ascii="Times New Roman" w:hAnsi="Times New Roman" w:cs="Times New Roman"/>
          <w:sz w:val="20"/>
          <w:szCs w:val="20"/>
        </w:rPr>
        <w:t>formulations</w:t>
      </w:r>
      <w:r w:rsidR="00703966" w:rsidRPr="00DA6EB8">
        <w:rPr>
          <w:rFonts w:ascii="Times New Roman" w:hAnsi="Times New Roman" w:cs="Times New Roman"/>
          <w:sz w:val="20"/>
          <w:szCs w:val="20"/>
          <w:vertAlign w:val="superscript"/>
        </w:rPr>
        <w:t xml:space="preserve"> (</w:t>
      </w:r>
      <w:r w:rsidRPr="00DA6EB8">
        <w:rPr>
          <w:rFonts w:ascii="Times New Roman" w:hAnsi="Times New Roman" w:cs="Times New Roman"/>
          <w:sz w:val="20"/>
          <w:szCs w:val="20"/>
          <w:vertAlign w:val="superscript"/>
        </w:rPr>
        <w:t>25, 26)</w:t>
      </w:r>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The solutions can be prepared by simply mixing the components without resource to high energy and expensive equipment.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The formulations do not separate in storage, and easily pour and disperse on dilution.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 xml:space="preserve">Another important </w:t>
      </w:r>
      <w:r w:rsidR="00D54375" w:rsidRPr="00DA6EB8">
        <w:rPr>
          <w:rFonts w:ascii="Times New Roman" w:hAnsi="Times New Roman" w:cs="Times New Roman"/>
          <w:sz w:val="20"/>
          <w:szCs w:val="20"/>
        </w:rPr>
        <w:t xml:space="preserve">evidence of </w:t>
      </w:r>
      <w:proofErr w:type="spellStart"/>
      <w:r w:rsidR="00D54375" w:rsidRPr="00DA6EB8">
        <w:rPr>
          <w:rFonts w:ascii="Times New Roman" w:hAnsi="Times New Roman" w:cs="Times New Roman"/>
          <w:sz w:val="20"/>
          <w:szCs w:val="20"/>
        </w:rPr>
        <w:t>microemulsion</w:t>
      </w:r>
      <w:proofErr w:type="spellEnd"/>
      <w:r w:rsidR="00D54375" w:rsidRPr="00DA6EB8">
        <w:rPr>
          <w:rFonts w:ascii="Times New Roman" w:hAnsi="Times New Roman" w:cs="Times New Roman"/>
          <w:sz w:val="20"/>
          <w:szCs w:val="20"/>
        </w:rPr>
        <w:t xml:space="preserve"> formulations </w:t>
      </w:r>
      <w:r w:rsidRPr="00DA6EB8">
        <w:rPr>
          <w:rFonts w:ascii="Times New Roman" w:hAnsi="Times New Roman" w:cs="Times New Roman"/>
          <w:sz w:val="20"/>
          <w:szCs w:val="20"/>
        </w:rPr>
        <w:t xml:space="preserve">is their synergistic effect on the biological efficacy of pesticides by </w:t>
      </w:r>
      <w:proofErr w:type="spellStart"/>
      <w:r w:rsidRPr="00DA6EB8">
        <w:rPr>
          <w:rFonts w:ascii="Times New Roman" w:hAnsi="Times New Roman" w:cs="Times New Roman"/>
          <w:sz w:val="20"/>
          <w:szCs w:val="20"/>
        </w:rPr>
        <w:t>solubilizing</w:t>
      </w:r>
      <w:proofErr w:type="spellEnd"/>
      <w:r w:rsidRPr="00DA6EB8">
        <w:rPr>
          <w:rFonts w:ascii="Times New Roman" w:hAnsi="Times New Roman" w:cs="Times New Roman"/>
          <w:sz w:val="20"/>
          <w:szCs w:val="20"/>
        </w:rPr>
        <w:t xml:space="preserve"> the active ingredient (the chemical in pesticide known as the active ingredient in the terminology) in the </w:t>
      </w:r>
      <w:proofErr w:type="spellStart"/>
      <w:r w:rsidRPr="00DA6EB8">
        <w:rPr>
          <w:rFonts w:ascii="Times New Roman" w:hAnsi="Times New Roman" w:cs="Times New Roman"/>
          <w:sz w:val="20"/>
          <w:szCs w:val="20"/>
        </w:rPr>
        <w:t>microemulsion</w:t>
      </w:r>
      <w:proofErr w:type="spellEnd"/>
      <w:r w:rsidRPr="00DA6EB8">
        <w:rPr>
          <w:rFonts w:ascii="Times New Roman" w:hAnsi="Times New Roman" w:cs="Times New Roman"/>
          <w:sz w:val="20"/>
          <w:szCs w:val="20"/>
        </w:rPr>
        <w:t xml:space="preserve"> droplets.</w:t>
      </w:r>
    </w:p>
    <w:p w:rsidR="00F209F7" w:rsidRPr="00DA6EB8" w:rsidRDefault="00F209F7" w:rsidP="00BD634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A6EB8">
        <w:rPr>
          <w:rFonts w:ascii="Times New Roman" w:hAnsi="Times New Roman" w:cs="Times New Roman"/>
          <w:sz w:val="20"/>
          <w:szCs w:val="20"/>
        </w:rPr>
        <w:t xml:space="preserve">There is a growing interest in replacing petroleum-based ingredients with natural materials, such as long and medium chain triglycerides and alkyl esters because of their many advantages </w:t>
      </w:r>
      <w:r w:rsidRPr="00DA6EB8">
        <w:rPr>
          <w:rFonts w:ascii="Times New Roman" w:hAnsi="Times New Roman" w:cs="Times New Roman"/>
          <w:sz w:val="20"/>
          <w:szCs w:val="20"/>
          <w:vertAlign w:val="superscript"/>
        </w:rPr>
        <w:t>(27</w:t>
      </w:r>
      <w:r w:rsidR="00421F49" w:rsidRPr="00DA6EB8">
        <w:rPr>
          <w:rFonts w:ascii="Times New Roman" w:hAnsi="Times New Roman" w:cs="Times New Roman"/>
          <w:sz w:val="20"/>
          <w:szCs w:val="20"/>
          <w:vertAlign w:val="superscript"/>
        </w:rPr>
        <w:t>-</w:t>
      </w:r>
      <w:r w:rsidR="00C54D0F" w:rsidRPr="00DA6EB8">
        <w:rPr>
          <w:rFonts w:ascii="Times New Roman" w:hAnsi="Times New Roman" w:cs="Times New Roman"/>
          <w:sz w:val="20"/>
          <w:szCs w:val="20"/>
          <w:vertAlign w:val="superscript"/>
        </w:rPr>
        <w:t xml:space="preserve"> 30</w:t>
      </w:r>
      <w:r w:rsidRPr="00DA6EB8">
        <w:rPr>
          <w:rFonts w:ascii="Times New Roman" w:hAnsi="Times New Roman" w:cs="Times New Roman"/>
          <w:sz w:val="20"/>
          <w:szCs w:val="20"/>
          <w:vertAlign w:val="superscript"/>
        </w:rPr>
        <w:t>)</w:t>
      </w:r>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 xml:space="preserve">Natural oils and their derivatives are renewable, biodegradable, harmless to the environment, and less of an irritant to the users </w:t>
      </w:r>
      <w:r w:rsidRPr="00DA6EB8">
        <w:rPr>
          <w:rFonts w:ascii="Times New Roman" w:hAnsi="Times New Roman" w:cs="Times New Roman"/>
          <w:sz w:val="20"/>
          <w:szCs w:val="20"/>
          <w:vertAlign w:val="superscript"/>
        </w:rPr>
        <w:t>(</w:t>
      </w:r>
      <w:r w:rsidR="00C54D0F" w:rsidRPr="00DA6EB8">
        <w:rPr>
          <w:rFonts w:ascii="Times New Roman" w:hAnsi="Times New Roman" w:cs="Times New Roman"/>
          <w:sz w:val="20"/>
          <w:szCs w:val="20"/>
          <w:vertAlign w:val="superscript"/>
        </w:rPr>
        <w:t>31, 32)</w:t>
      </w:r>
      <w:r w:rsidR="00C54D0F" w:rsidRPr="00DA6EB8">
        <w:rPr>
          <w:rFonts w:ascii="Times New Roman" w:hAnsi="Times New Roman" w:cs="Times New Roman"/>
          <w:sz w:val="20"/>
          <w:szCs w:val="20"/>
        </w:rPr>
        <w:t>.</w:t>
      </w:r>
    </w:p>
    <w:p w:rsidR="00D54375" w:rsidRPr="00DA6EB8" w:rsidRDefault="001340AF" w:rsidP="00BD634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A6EB8">
        <w:rPr>
          <w:rFonts w:ascii="Times New Roman" w:hAnsi="Times New Roman" w:cs="Times New Roman"/>
          <w:sz w:val="20"/>
          <w:szCs w:val="20"/>
        </w:rPr>
        <w:t xml:space="preserve">According to the consensus – building, in the present study we </w:t>
      </w:r>
      <w:r w:rsidR="00D54375" w:rsidRPr="00DA6EB8">
        <w:rPr>
          <w:rFonts w:ascii="Times New Roman" w:hAnsi="Times New Roman" w:cs="Times New Roman"/>
          <w:sz w:val="20"/>
          <w:szCs w:val="20"/>
        </w:rPr>
        <w:t xml:space="preserve">prepare </w:t>
      </w:r>
      <w:proofErr w:type="spellStart"/>
      <w:r w:rsidR="00D54375" w:rsidRPr="00DA6EB8">
        <w:rPr>
          <w:rFonts w:ascii="Times New Roman" w:hAnsi="Times New Roman" w:cs="Times New Roman"/>
          <w:sz w:val="20"/>
          <w:szCs w:val="20"/>
        </w:rPr>
        <w:t>microemulsion</w:t>
      </w:r>
      <w:proofErr w:type="spellEnd"/>
      <w:r w:rsidR="00D54375" w:rsidRPr="00DA6EB8">
        <w:rPr>
          <w:rFonts w:ascii="Times New Roman" w:hAnsi="Times New Roman" w:cs="Times New Roman"/>
          <w:sz w:val="20"/>
          <w:szCs w:val="20"/>
        </w:rPr>
        <w:t xml:space="preserve"> formulation (ME 10%) of </w:t>
      </w:r>
      <w:r w:rsidR="00D54375" w:rsidRPr="00DA6EB8">
        <w:rPr>
          <w:rFonts w:ascii="Times New Roman" w:hAnsi="Times New Roman" w:cs="Times New Roman"/>
          <w:i/>
          <w:iCs/>
          <w:sz w:val="20"/>
          <w:szCs w:val="20"/>
        </w:rPr>
        <w:t>trans-</w:t>
      </w:r>
      <w:r w:rsidR="00D54375" w:rsidRPr="00DA6EB8">
        <w:rPr>
          <w:rFonts w:ascii="Times New Roman" w:hAnsi="Times New Roman" w:cs="Times New Roman"/>
          <w:sz w:val="20"/>
          <w:szCs w:val="20"/>
        </w:rPr>
        <w:t xml:space="preserve">methyl </w:t>
      </w:r>
      <w:proofErr w:type="spellStart"/>
      <w:r w:rsidR="00D54375" w:rsidRPr="00DA6EB8">
        <w:rPr>
          <w:rFonts w:ascii="Times New Roman" w:hAnsi="Times New Roman" w:cs="Times New Roman"/>
          <w:sz w:val="20"/>
          <w:szCs w:val="20"/>
        </w:rPr>
        <w:t>cinnamate</w:t>
      </w:r>
      <w:proofErr w:type="spellEnd"/>
      <w:r w:rsidR="00D54375" w:rsidRPr="00DA6EB8">
        <w:rPr>
          <w:rFonts w:ascii="Times New Roman" w:hAnsi="Times New Roman" w:cs="Times New Roman"/>
          <w:sz w:val="20"/>
          <w:szCs w:val="20"/>
        </w:rPr>
        <w:t xml:space="preserve"> and determine its physical properties while the fungicidal potency were evaluated for both active substance and the local prepared formulation.</w:t>
      </w:r>
    </w:p>
    <w:p w:rsidR="00BD6349" w:rsidRPr="00DA6EB8" w:rsidRDefault="00BD6349" w:rsidP="00BD6349">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A83596" w:rsidRPr="00DA6EB8" w:rsidRDefault="005573FC" w:rsidP="00BD6349">
      <w:pPr>
        <w:autoSpaceDE w:val="0"/>
        <w:autoSpaceDN w:val="0"/>
        <w:adjustRightInd w:val="0"/>
        <w:snapToGrid w:val="0"/>
        <w:spacing w:after="0" w:line="240" w:lineRule="auto"/>
        <w:jc w:val="both"/>
        <w:rPr>
          <w:rFonts w:ascii="Times New Roman" w:hAnsi="Times New Roman" w:cs="Times New Roman"/>
          <w:b/>
          <w:bCs/>
          <w:sz w:val="20"/>
          <w:szCs w:val="20"/>
        </w:rPr>
      </w:pPr>
      <w:r w:rsidRPr="00DA6EB8">
        <w:rPr>
          <w:rFonts w:ascii="Times New Roman" w:hAnsi="Times New Roman" w:cs="Times New Roman"/>
          <w:b/>
          <w:bCs/>
          <w:sz w:val="20"/>
          <w:szCs w:val="20"/>
        </w:rPr>
        <w:t>2. Materials and Methods:</w:t>
      </w:r>
    </w:p>
    <w:p w:rsidR="00680EB5" w:rsidRPr="00DA6EB8" w:rsidRDefault="00680EB5" w:rsidP="00BD6349">
      <w:pPr>
        <w:autoSpaceDE w:val="0"/>
        <w:autoSpaceDN w:val="0"/>
        <w:adjustRightInd w:val="0"/>
        <w:snapToGrid w:val="0"/>
        <w:spacing w:after="0" w:line="240" w:lineRule="auto"/>
        <w:jc w:val="both"/>
        <w:rPr>
          <w:rFonts w:ascii="Times New Roman" w:hAnsi="Times New Roman" w:cs="Times New Roman"/>
          <w:b/>
          <w:bCs/>
          <w:sz w:val="20"/>
          <w:szCs w:val="20"/>
        </w:rPr>
      </w:pPr>
      <w:r w:rsidRPr="00DA6EB8">
        <w:rPr>
          <w:rFonts w:ascii="Times New Roman" w:hAnsi="Times New Roman" w:cs="Times New Roman"/>
          <w:b/>
          <w:bCs/>
          <w:sz w:val="20"/>
          <w:szCs w:val="20"/>
        </w:rPr>
        <w:t xml:space="preserve">I. Materials: </w:t>
      </w:r>
    </w:p>
    <w:p w:rsidR="00A83596" w:rsidRPr="00DA6EB8" w:rsidRDefault="00A83596" w:rsidP="00BD6349">
      <w:pPr>
        <w:pStyle w:val="ListParagraph"/>
        <w:numPr>
          <w:ilvl w:val="0"/>
          <w:numId w:val="10"/>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DA6EB8">
        <w:rPr>
          <w:rFonts w:ascii="Times New Roman" w:hAnsi="Times New Roman" w:cs="Times New Roman"/>
          <w:b/>
          <w:bCs/>
          <w:sz w:val="20"/>
          <w:szCs w:val="20"/>
        </w:rPr>
        <w:t>Chemical Compound:</w:t>
      </w:r>
    </w:p>
    <w:p w:rsidR="00AC1008" w:rsidRPr="00DA6EB8" w:rsidRDefault="00AC1008" w:rsidP="00BD6349">
      <w:pPr>
        <w:snapToGrid w:val="0"/>
        <w:spacing w:after="0" w:line="240" w:lineRule="auto"/>
        <w:ind w:firstLine="425"/>
        <w:jc w:val="both"/>
        <w:rPr>
          <w:rFonts w:ascii="Times New Roman" w:hAnsi="Times New Roman" w:cs="Times New Roman"/>
          <w:sz w:val="20"/>
          <w:szCs w:val="20"/>
          <w:lang w:eastAsia="zh-CN" w:bidi="ar-EG"/>
        </w:rPr>
      </w:pPr>
      <w:r w:rsidRPr="00DA6EB8">
        <w:rPr>
          <w:rFonts w:ascii="Times New Roman" w:hAnsi="Times New Roman" w:cs="Times New Roman"/>
          <w:i/>
          <w:iCs/>
          <w:sz w:val="20"/>
          <w:szCs w:val="20"/>
          <w:lang w:bidi="ar-EG"/>
        </w:rPr>
        <w:t>Trans</w:t>
      </w:r>
      <w:r w:rsidRPr="00DA6EB8">
        <w:rPr>
          <w:rFonts w:ascii="Times New Roman" w:hAnsi="Times New Roman" w:cs="Times New Roman"/>
          <w:sz w:val="20"/>
          <w:szCs w:val="20"/>
          <w:lang w:bidi="ar-EG"/>
        </w:rPr>
        <w:t xml:space="preserve">-methyl </w:t>
      </w:r>
      <w:proofErr w:type="spellStart"/>
      <w:r w:rsidRPr="00DA6EB8">
        <w:rPr>
          <w:rFonts w:ascii="Times New Roman" w:hAnsi="Times New Roman" w:cs="Times New Roman"/>
          <w:sz w:val="20"/>
          <w:szCs w:val="20"/>
          <w:lang w:bidi="ar-EG"/>
        </w:rPr>
        <w:t>cinnamate</w:t>
      </w:r>
      <w:proofErr w:type="spellEnd"/>
      <w:r w:rsidR="00183F46" w:rsidRPr="00DA6EB8">
        <w:rPr>
          <w:rFonts w:ascii="Times New Roman" w:hAnsi="Times New Roman" w:cs="Times New Roman"/>
          <w:sz w:val="20"/>
          <w:szCs w:val="20"/>
          <w:lang w:bidi="ar-EG"/>
        </w:rPr>
        <w:t xml:space="preserve"> 99%</w:t>
      </w:r>
      <w:r w:rsidRPr="00DA6EB8">
        <w:rPr>
          <w:rFonts w:ascii="Times New Roman" w:hAnsi="Times New Roman" w:cs="Times New Roman"/>
          <w:sz w:val="20"/>
          <w:szCs w:val="20"/>
          <w:lang w:bidi="ar-EG"/>
        </w:rPr>
        <w:t>; (</w:t>
      </w:r>
      <w:r w:rsidR="00D54375" w:rsidRPr="00DA6EB8">
        <w:rPr>
          <w:rFonts w:ascii="Times New Roman" w:hAnsi="Times New Roman" w:cs="Times New Roman"/>
          <w:sz w:val="20"/>
          <w:szCs w:val="20"/>
          <w:lang w:bidi="ar-EG"/>
        </w:rPr>
        <w:t xml:space="preserve">M. formula </w:t>
      </w:r>
      <w:r w:rsidRPr="00DA6EB8">
        <w:rPr>
          <w:rFonts w:ascii="Times New Roman" w:hAnsi="Times New Roman" w:cs="Times New Roman"/>
          <w:sz w:val="20"/>
          <w:szCs w:val="20"/>
          <w:lang w:bidi="ar-EG"/>
        </w:rPr>
        <w:t>C</w:t>
      </w:r>
      <w:r w:rsidRPr="00DA6EB8">
        <w:rPr>
          <w:rFonts w:ascii="Times New Roman" w:hAnsi="Times New Roman" w:cs="Times New Roman"/>
          <w:sz w:val="20"/>
          <w:szCs w:val="20"/>
          <w:vertAlign w:val="subscript"/>
          <w:lang w:bidi="ar-EG"/>
        </w:rPr>
        <w:t>10</w:t>
      </w:r>
      <w:r w:rsidRPr="00DA6EB8">
        <w:rPr>
          <w:rFonts w:ascii="Times New Roman" w:hAnsi="Times New Roman" w:cs="Times New Roman"/>
          <w:sz w:val="20"/>
          <w:szCs w:val="20"/>
          <w:lang w:bidi="ar-EG"/>
        </w:rPr>
        <w:t>H</w:t>
      </w:r>
      <w:r w:rsidRPr="00DA6EB8">
        <w:rPr>
          <w:rFonts w:ascii="Times New Roman" w:hAnsi="Times New Roman" w:cs="Times New Roman"/>
          <w:sz w:val="20"/>
          <w:szCs w:val="20"/>
          <w:vertAlign w:val="subscript"/>
          <w:lang w:bidi="ar-EG"/>
        </w:rPr>
        <w:t>10</w:t>
      </w:r>
      <w:r w:rsidRPr="00DA6EB8">
        <w:rPr>
          <w:rFonts w:ascii="Times New Roman" w:hAnsi="Times New Roman" w:cs="Times New Roman"/>
          <w:sz w:val="20"/>
          <w:szCs w:val="20"/>
          <w:lang w:bidi="ar-EG"/>
        </w:rPr>
        <w:t>O</w:t>
      </w:r>
      <w:r w:rsidRPr="00DA6EB8">
        <w:rPr>
          <w:rFonts w:ascii="Times New Roman" w:hAnsi="Times New Roman" w:cs="Times New Roman"/>
          <w:sz w:val="20"/>
          <w:szCs w:val="20"/>
          <w:vertAlign w:val="subscript"/>
          <w:lang w:bidi="ar-EG"/>
        </w:rPr>
        <w:t>2</w:t>
      </w:r>
      <w:r w:rsidR="00D54375"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 xml:space="preserve">MP. 34 – 37 ºC purchased from Alfa </w:t>
      </w:r>
      <w:proofErr w:type="spellStart"/>
      <w:r w:rsidRPr="00DA6EB8">
        <w:rPr>
          <w:rFonts w:ascii="Times New Roman" w:hAnsi="Times New Roman" w:cs="Times New Roman"/>
          <w:sz w:val="20"/>
          <w:szCs w:val="20"/>
          <w:lang w:bidi="ar-EG"/>
        </w:rPr>
        <w:t>Aesar</w:t>
      </w:r>
      <w:proofErr w:type="spellEnd"/>
      <w:r w:rsidRPr="00DA6EB8">
        <w:rPr>
          <w:rFonts w:ascii="Times New Roman" w:hAnsi="Times New Roman" w:cs="Times New Roman"/>
          <w:sz w:val="20"/>
          <w:szCs w:val="20"/>
          <w:lang w:bidi="ar-EG"/>
        </w:rPr>
        <w:t>, Germany.</w:t>
      </w:r>
    </w:p>
    <w:p w:rsidR="00BD6349" w:rsidRPr="00DA6EB8" w:rsidRDefault="00BD6349" w:rsidP="00BD6349">
      <w:pPr>
        <w:snapToGrid w:val="0"/>
        <w:spacing w:after="0" w:line="240" w:lineRule="auto"/>
        <w:ind w:firstLine="425"/>
        <w:jc w:val="both"/>
        <w:rPr>
          <w:rFonts w:ascii="Times New Roman" w:hAnsi="Times New Roman" w:cs="Times New Roman"/>
          <w:sz w:val="20"/>
          <w:szCs w:val="20"/>
          <w:lang w:eastAsia="zh-CN" w:bidi="ar-EG"/>
        </w:rPr>
      </w:pPr>
    </w:p>
    <w:p w:rsidR="005573FC" w:rsidRPr="00DA6EB8" w:rsidRDefault="005573FC" w:rsidP="00BD6349">
      <w:pPr>
        <w:autoSpaceDE w:val="0"/>
        <w:autoSpaceDN w:val="0"/>
        <w:adjustRightInd w:val="0"/>
        <w:snapToGrid w:val="0"/>
        <w:spacing w:after="0" w:line="240" w:lineRule="auto"/>
        <w:jc w:val="center"/>
        <w:rPr>
          <w:rFonts w:ascii="Times New Roman" w:hAnsi="Times New Roman" w:cs="Times New Roman"/>
          <w:b/>
          <w:bCs/>
          <w:sz w:val="20"/>
          <w:szCs w:val="20"/>
        </w:rPr>
      </w:pPr>
      <w:r w:rsidRPr="00DA6EB8">
        <w:rPr>
          <w:rFonts w:ascii="Times New Roman" w:hAnsi="Times New Roman" w:cs="Times New Roman"/>
          <w:b/>
          <w:bCs/>
          <w:noProof/>
          <w:sz w:val="20"/>
          <w:szCs w:val="20"/>
          <w:lang w:eastAsia="zh-CN"/>
        </w:rPr>
        <w:drawing>
          <wp:inline distT="0" distB="0" distL="0" distR="0">
            <wp:extent cx="1672558" cy="927652"/>
            <wp:effectExtent l="19050" t="0" r="3842"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cstate="print"/>
                    <a:srcRect/>
                    <a:stretch>
                      <a:fillRect/>
                    </a:stretch>
                  </pic:blipFill>
                  <pic:spPr bwMode="auto">
                    <a:xfrm>
                      <a:off x="0" y="0"/>
                      <a:ext cx="1677514" cy="930401"/>
                    </a:xfrm>
                    <a:prstGeom prst="rect">
                      <a:avLst/>
                    </a:prstGeom>
                    <a:noFill/>
                    <a:ln w="9525">
                      <a:noFill/>
                      <a:miter lim="800000"/>
                      <a:headEnd/>
                      <a:tailEnd/>
                    </a:ln>
                  </pic:spPr>
                </pic:pic>
              </a:graphicData>
            </a:graphic>
          </wp:inline>
        </w:drawing>
      </w:r>
    </w:p>
    <w:p w:rsidR="0042684F" w:rsidRPr="00DA6EB8" w:rsidRDefault="00AC1008" w:rsidP="00BD6349">
      <w:pPr>
        <w:autoSpaceDE w:val="0"/>
        <w:autoSpaceDN w:val="0"/>
        <w:adjustRightInd w:val="0"/>
        <w:snapToGrid w:val="0"/>
        <w:spacing w:after="0" w:line="240" w:lineRule="auto"/>
        <w:jc w:val="both"/>
        <w:rPr>
          <w:rFonts w:ascii="Times New Roman" w:hAnsi="Times New Roman" w:cs="Times New Roman"/>
          <w:b/>
          <w:bCs/>
          <w:sz w:val="20"/>
          <w:szCs w:val="20"/>
        </w:rPr>
      </w:pPr>
      <w:r w:rsidRPr="00DA6EB8">
        <w:rPr>
          <w:rFonts w:ascii="Times New Roman" w:hAnsi="Times New Roman" w:cs="Times New Roman"/>
          <w:b/>
          <w:bCs/>
          <w:sz w:val="20"/>
          <w:szCs w:val="20"/>
        </w:rPr>
        <w:tab/>
      </w:r>
      <w:r w:rsidR="002F5546" w:rsidRPr="00DA6EB8">
        <w:rPr>
          <w:rFonts w:ascii="Times New Roman" w:hAnsi="Times New Roman" w:cs="Times New Roman"/>
          <w:b/>
          <w:bCs/>
          <w:sz w:val="20"/>
          <w:szCs w:val="20"/>
        </w:rPr>
        <w:tab/>
      </w:r>
      <w:r w:rsidR="002F5546" w:rsidRPr="00DA6EB8">
        <w:rPr>
          <w:rFonts w:ascii="Times New Roman" w:hAnsi="Times New Roman" w:cs="Times New Roman"/>
          <w:b/>
          <w:bCs/>
          <w:sz w:val="20"/>
          <w:szCs w:val="20"/>
        </w:rPr>
        <w:tab/>
      </w:r>
    </w:p>
    <w:p w:rsidR="00264489" w:rsidRPr="00DA6EB8" w:rsidRDefault="00264489" w:rsidP="00BD6349">
      <w:pPr>
        <w:pStyle w:val="ListParagraph"/>
        <w:numPr>
          <w:ilvl w:val="0"/>
          <w:numId w:val="10"/>
        </w:numPr>
        <w:autoSpaceDE w:val="0"/>
        <w:autoSpaceDN w:val="0"/>
        <w:adjustRightInd w:val="0"/>
        <w:snapToGrid w:val="0"/>
        <w:spacing w:after="0" w:line="240" w:lineRule="auto"/>
        <w:ind w:left="0" w:firstLine="0"/>
        <w:jc w:val="both"/>
        <w:rPr>
          <w:rFonts w:ascii="Times New Roman" w:hAnsi="Times New Roman" w:cs="Times New Roman"/>
          <w:sz w:val="20"/>
          <w:szCs w:val="20"/>
        </w:rPr>
      </w:pPr>
      <w:r w:rsidRPr="00DA6EB8">
        <w:rPr>
          <w:rFonts w:ascii="Times New Roman" w:hAnsi="Times New Roman" w:cs="Times New Roman"/>
          <w:b/>
          <w:bCs/>
          <w:sz w:val="20"/>
          <w:szCs w:val="20"/>
        </w:rPr>
        <w:t>Tested Fungi:</w:t>
      </w:r>
    </w:p>
    <w:p w:rsidR="00427306" w:rsidRPr="00DA6EB8" w:rsidRDefault="001E5347" w:rsidP="00BD634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A6EB8">
        <w:rPr>
          <w:rFonts w:ascii="Times New Roman" w:hAnsi="Times New Roman" w:cs="Times New Roman"/>
          <w:sz w:val="20"/>
          <w:szCs w:val="20"/>
          <w:lang w:bidi="ar-EG"/>
        </w:rPr>
        <w:t>Five</w:t>
      </w:r>
      <w:r w:rsidR="00E33F72" w:rsidRPr="00DA6EB8">
        <w:rPr>
          <w:rFonts w:ascii="Times New Roman" w:hAnsi="Times New Roman" w:cs="Times New Roman"/>
          <w:sz w:val="20"/>
          <w:szCs w:val="20"/>
          <w:lang w:bidi="ar-EG"/>
        </w:rPr>
        <w:t xml:space="preserve"> fungal isolates </w:t>
      </w:r>
      <w:proofErr w:type="spellStart"/>
      <w:r w:rsidR="00421F49" w:rsidRPr="00DA6EB8">
        <w:rPr>
          <w:rFonts w:ascii="Times New Roman" w:hAnsi="Times New Roman" w:cs="Times New Roman"/>
          <w:i/>
          <w:iCs/>
          <w:sz w:val="20"/>
          <w:szCs w:val="20"/>
          <w:lang w:bidi="ar-EG"/>
        </w:rPr>
        <w:t>Sclortium</w:t>
      </w:r>
      <w:proofErr w:type="spellEnd"/>
      <w:r w:rsidR="00421F49" w:rsidRPr="00DA6EB8">
        <w:rPr>
          <w:rFonts w:ascii="Times New Roman" w:hAnsi="Times New Roman" w:cs="Times New Roman"/>
          <w:i/>
          <w:iCs/>
          <w:sz w:val="20"/>
          <w:szCs w:val="20"/>
          <w:lang w:bidi="ar-EG"/>
        </w:rPr>
        <w:t xml:space="preserve"> </w:t>
      </w:r>
      <w:proofErr w:type="spellStart"/>
      <w:r w:rsidR="00421F49" w:rsidRPr="00DA6EB8">
        <w:rPr>
          <w:rFonts w:ascii="Times New Roman" w:hAnsi="Times New Roman" w:cs="Times New Roman"/>
          <w:i/>
          <w:iCs/>
          <w:sz w:val="20"/>
          <w:szCs w:val="20"/>
          <w:lang w:bidi="ar-EG"/>
        </w:rPr>
        <w:t>rolfsii</w:t>
      </w:r>
      <w:proofErr w:type="spellEnd"/>
      <w:r w:rsidR="00421F49" w:rsidRPr="00DA6EB8">
        <w:rPr>
          <w:rFonts w:ascii="Times New Roman" w:hAnsi="Times New Roman" w:cs="Times New Roman"/>
          <w:i/>
          <w:iCs/>
          <w:sz w:val="20"/>
          <w:szCs w:val="20"/>
          <w:lang w:bidi="ar-EG"/>
        </w:rPr>
        <w:t xml:space="preserve">, </w:t>
      </w:r>
      <w:proofErr w:type="spellStart"/>
      <w:r w:rsidR="00421F49" w:rsidRPr="00DA6EB8">
        <w:rPr>
          <w:rFonts w:ascii="Times New Roman" w:hAnsi="Times New Roman" w:cs="Times New Roman"/>
          <w:i/>
          <w:iCs/>
          <w:sz w:val="20"/>
          <w:szCs w:val="20"/>
          <w:lang w:bidi="ar-EG"/>
        </w:rPr>
        <w:t>Rhizoctonia</w:t>
      </w:r>
      <w:proofErr w:type="spellEnd"/>
      <w:r w:rsidR="00421F49" w:rsidRPr="00DA6EB8">
        <w:rPr>
          <w:rFonts w:ascii="Times New Roman" w:hAnsi="Times New Roman" w:cs="Times New Roman"/>
          <w:i/>
          <w:iCs/>
          <w:sz w:val="20"/>
          <w:szCs w:val="20"/>
          <w:lang w:bidi="ar-EG"/>
        </w:rPr>
        <w:t xml:space="preserve"> </w:t>
      </w:r>
      <w:proofErr w:type="spellStart"/>
      <w:r w:rsidR="00421F49" w:rsidRPr="00DA6EB8">
        <w:rPr>
          <w:rFonts w:ascii="Times New Roman" w:hAnsi="Times New Roman" w:cs="Times New Roman"/>
          <w:i/>
          <w:iCs/>
          <w:sz w:val="20"/>
          <w:szCs w:val="20"/>
          <w:lang w:bidi="ar-EG"/>
        </w:rPr>
        <w:t>solani</w:t>
      </w:r>
      <w:proofErr w:type="spellEnd"/>
      <w:r w:rsidR="00421F49" w:rsidRPr="00DA6EB8">
        <w:rPr>
          <w:rFonts w:ascii="Times New Roman" w:hAnsi="Times New Roman" w:cs="Times New Roman"/>
          <w:i/>
          <w:iCs/>
          <w:sz w:val="20"/>
          <w:szCs w:val="20"/>
          <w:lang w:bidi="ar-EG"/>
        </w:rPr>
        <w:t xml:space="preserve">, </w:t>
      </w:r>
      <w:proofErr w:type="spellStart"/>
      <w:r w:rsidR="00421F49" w:rsidRPr="00DA6EB8">
        <w:rPr>
          <w:rFonts w:ascii="Times New Roman" w:hAnsi="Times New Roman" w:cs="Times New Roman"/>
          <w:i/>
          <w:iCs/>
          <w:sz w:val="20"/>
          <w:szCs w:val="20"/>
          <w:lang w:bidi="ar-EG"/>
        </w:rPr>
        <w:t>Alternaria</w:t>
      </w:r>
      <w:proofErr w:type="spellEnd"/>
      <w:r w:rsidR="00421F49" w:rsidRPr="00DA6EB8">
        <w:rPr>
          <w:rFonts w:ascii="Times New Roman" w:hAnsi="Times New Roman" w:cs="Times New Roman"/>
          <w:i/>
          <w:iCs/>
          <w:sz w:val="20"/>
          <w:szCs w:val="20"/>
          <w:lang w:bidi="ar-EG"/>
        </w:rPr>
        <w:t xml:space="preserve"> </w:t>
      </w:r>
      <w:proofErr w:type="spellStart"/>
      <w:r w:rsidR="00421F49" w:rsidRPr="00DA6EB8">
        <w:rPr>
          <w:rFonts w:ascii="Times New Roman" w:hAnsi="Times New Roman" w:cs="Times New Roman"/>
          <w:i/>
          <w:iCs/>
          <w:sz w:val="20"/>
          <w:szCs w:val="20"/>
          <w:lang w:bidi="ar-EG"/>
        </w:rPr>
        <w:t>solani</w:t>
      </w:r>
      <w:proofErr w:type="spellEnd"/>
      <w:r w:rsidR="00421F49" w:rsidRPr="00DA6EB8">
        <w:rPr>
          <w:rFonts w:ascii="Times New Roman" w:hAnsi="Times New Roman" w:cs="Times New Roman"/>
          <w:i/>
          <w:iCs/>
          <w:sz w:val="20"/>
          <w:szCs w:val="20"/>
          <w:lang w:bidi="ar-EG"/>
        </w:rPr>
        <w:t xml:space="preserve"> </w:t>
      </w:r>
      <w:proofErr w:type="spellStart"/>
      <w:r w:rsidR="00421F49" w:rsidRPr="00DA6EB8">
        <w:rPr>
          <w:rFonts w:ascii="Times New Roman" w:hAnsi="Times New Roman" w:cs="Times New Roman"/>
          <w:sz w:val="20"/>
          <w:szCs w:val="20"/>
          <w:lang w:bidi="ar-EG"/>
        </w:rPr>
        <w:t>and</w:t>
      </w:r>
      <w:r w:rsidR="00E33F72" w:rsidRPr="00DA6EB8">
        <w:rPr>
          <w:rFonts w:ascii="Times New Roman" w:hAnsi="Times New Roman" w:cs="Times New Roman"/>
          <w:i/>
          <w:iCs/>
          <w:sz w:val="20"/>
          <w:szCs w:val="20"/>
          <w:lang w:bidi="ar-EG"/>
        </w:rPr>
        <w:t>Fusarium</w:t>
      </w:r>
      <w:proofErr w:type="spellEnd"/>
      <w:r w:rsidR="00E33F72" w:rsidRPr="00DA6EB8">
        <w:rPr>
          <w:rFonts w:ascii="Times New Roman" w:hAnsi="Times New Roman" w:cs="Times New Roman"/>
          <w:i/>
          <w:iCs/>
          <w:sz w:val="20"/>
          <w:szCs w:val="20"/>
          <w:lang w:bidi="ar-EG"/>
        </w:rPr>
        <w:t xml:space="preserve"> </w:t>
      </w:r>
      <w:proofErr w:type="spellStart"/>
      <w:r w:rsidR="00421F49" w:rsidRPr="00DA6EB8">
        <w:rPr>
          <w:rFonts w:ascii="Times New Roman" w:hAnsi="Times New Roman" w:cs="Times New Roman"/>
          <w:i/>
          <w:iCs/>
          <w:sz w:val="20"/>
          <w:szCs w:val="20"/>
          <w:lang w:bidi="ar-EG"/>
        </w:rPr>
        <w:t>solani</w:t>
      </w:r>
      <w:r w:rsidR="00E33F72" w:rsidRPr="00DA6EB8">
        <w:rPr>
          <w:rFonts w:ascii="Times New Roman" w:hAnsi="Times New Roman" w:cs="Times New Roman"/>
          <w:sz w:val="20"/>
          <w:szCs w:val="20"/>
          <w:lang w:bidi="ar-EG"/>
        </w:rPr>
        <w:t>obtained</w:t>
      </w:r>
      <w:proofErr w:type="spellEnd"/>
      <w:r w:rsidR="00E33F72" w:rsidRPr="00DA6EB8">
        <w:rPr>
          <w:rFonts w:ascii="Times New Roman" w:hAnsi="Times New Roman" w:cs="Times New Roman"/>
          <w:sz w:val="20"/>
          <w:szCs w:val="20"/>
          <w:lang w:bidi="ar-EG"/>
        </w:rPr>
        <w:t xml:space="preserve"> from plant protection </w:t>
      </w:r>
      <w:r w:rsidRPr="00DA6EB8">
        <w:rPr>
          <w:rFonts w:ascii="Times New Roman" w:hAnsi="Times New Roman" w:cs="Times New Roman"/>
          <w:sz w:val="20"/>
          <w:szCs w:val="20"/>
          <w:lang w:bidi="ar-EG"/>
        </w:rPr>
        <w:t>department, Faculty of Agriculture, Al-</w:t>
      </w:r>
      <w:proofErr w:type="spellStart"/>
      <w:r w:rsidRPr="00DA6EB8">
        <w:rPr>
          <w:rFonts w:ascii="Times New Roman" w:hAnsi="Times New Roman" w:cs="Times New Roman"/>
          <w:sz w:val="20"/>
          <w:szCs w:val="20"/>
          <w:lang w:bidi="ar-EG"/>
        </w:rPr>
        <w:t>Azhar</w:t>
      </w:r>
      <w:proofErr w:type="spellEnd"/>
      <w:r w:rsidRPr="00DA6EB8">
        <w:rPr>
          <w:rFonts w:ascii="Times New Roman" w:hAnsi="Times New Roman" w:cs="Times New Roman"/>
          <w:sz w:val="20"/>
          <w:szCs w:val="20"/>
          <w:lang w:bidi="ar-EG"/>
        </w:rPr>
        <w:t xml:space="preserve"> University.</w:t>
      </w:r>
    </w:p>
    <w:p w:rsidR="00680EB5" w:rsidRPr="00DA6EB8" w:rsidRDefault="00680EB5" w:rsidP="00BD6349">
      <w:pPr>
        <w:widowControl w:val="0"/>
        <w:autoSpaceDE w:val="0"/>
        <w:autoSpaceDN w:val="0"/>
        <w:adjustRightInd w:val="0"/>
        <w:snapToGrid w:val="0"/>
        <w:spacing w:after="0" w:line="240" w:lineRule="auto"/>
        <w:jc w:val="both"/>
        <w:rPr>
          <w:rFonts w:ascii="Times New Roman" w:eastAsia="Calibri" w:hAnsi="Times New Roman" w:cs="Times New Roman"/>
          <w:b/>
          <w:bCs/>
          <w:sz w:val="20"/>
          <w:szCs w:val="20"/>
        </w:rPr>
      </w:pPr>
      <w:r w:rsidRPr="00DA6EB8">
        <w:rPr>
          <w:rFonts w:ascii="Times New Roman" w:eastAsia="Calibri" w:hAnsi="Times New Roman" w:cs="Times New Roman"/>
          <w:b/>
          <w:bCs/>
          <w:sz w:val="20"/>
          <w:szCs w:val="20"/>
        </w:rPr>
        <w:t>II. Methods:</w:t>
      </w:r>
    </w:p>
    <w:p w:rsidR="00680EB5" w:rsidRPr="00DA6EB8" w:rsidRDefault="00680EB5" w:rsidP="00BD6349">
      <w:pPr>
        <w:pStyle w:val="ListParagraph"/>
        <w:numPr>
          <w:ilvl w:val="0"/>
          <w:numId w:val="14"/>
        </w:numPr>
        <w:autoSpaceDE w:val="0"/>
        <w:autoSpaceDN w:val="0"/>
        <w:adjustRightInd w:val="0"/>
        <w:snapToGrid w:val="0"/>
        <w:spacing w:after="0" w:line="240" w:lineRule="auto"/>
        <w:ind w:left="0" w:firstLine="0"/>
        <w:jc w:val="both"/>
        <w:rPr>
          <w:rFonts w:ascii="Times New Roman" w:hAnsi="Times New Roman" w:cs="Times New Roman"/>
          <w:sz w:val="20"/>
          <w:szCs w:val="20"/>
        </w:rPr>
      </w:pPr>
      <w:r w:rsidRPr="00DA6EB8">
        <w:rPr>
          <w:rFonts w:ascii="Times New Roman" w:hAnsi="Times New Roman" w:cs="Times New Roman"/>
          <w:b/>
          <w:bCs/>
          <w:sz w:val="20"/>
          <w:szCs w:val="20"/>
        </w:rPr>
        <w:t xml:space="preserve">Preparation of the </w:t>
      </w:r>
      <w:proofErr w:type="spellStart"/>
      <w:r w:rsidRPr="00DA6EB8">
        <w:rPr>
          <w:rFonts w:ascii="Times New Roman" w:hAnsi="Times New Roman" w:cs="Times New Roman"/>
          <w:b/>
          <w:bCs/>
          <w:sz w:val="20"/>
          <w:szCs w:val="20"/>
        </w:rPr>
        <w:t>Microemulsion</w:t>
      </w:r>
      <w:proofErr w:type="spellEnd"/>
      <w:r w:rsidRPr="00DA6EB8">
        <w:rPr>
          <w:rFonts w:ascii="Times New Roman" w:hAnsi="Times New Roman" w:cs="Times New Roman"/>
          <w:b/>
          <w:bCs/>
          <w:sz w:val="20"/>
          <w:szCs w:val="20"/>
        </w:rPr>
        <w:t xml:space="preserve"> Base and </w:t>
      </w:r>
      <w:proofErr w:type="spellStart"/>
      <w:r w:rsidRPr="00DA6EB8">
        <w:rPr>
          <w:rFonts w:ascii="Times New Roman" w:hAnsi="Times New Roman" w:cs="Times New Roman"/>
          <w:b/>
          <w:bCs/>
          <w:sz w:val="20"/>
          <w:szCs w:val="20"/>
        </w:rPr>
        <w:t>Microemulsion</w:t>
      </w:r>
      <w:proofErr w:type="spellEnd"/>
      <w:r w:rsidRPr="00DA6EB8">
        <w:rPr>
          <w:rFonts w:ascii="Times New Roman" w:hAnsi="Times New Roman" w:cs="Times New Roman"/>
          <w:b/>
          <w:bCs/>
          <w:sz w:val="20"/>
          <w:szCs w:val="20"/>
        </w:rPr>
        <w:t xml:space="preserve"> Systems</w:t>
      </w:r>
      <w:r w:rsidR="001374BA" w:rsidRPr="00DA6EB8">
        <w:rPr>
          <w:rFonts w:ascii="Times New Roman" w:hAnsi="Times New Roman" w:cs="Times New Roman"/>
          <w:b/>
          <w:bCs/>
          <w:sz w:val="20"/>
          <w:szCs w:val="20"/>
        </w:rPr>
        <w:t xml:space="preserve"> (Phase Inversion </w:t>
      </w:r>
      <w:r w:rsidR="00421F49" w:rsidRPr="00DA6EB8">
        <w:rPr>
          <w:rFonts w:ascii="Times New Roman" w:hAnsi="Times New Roman" w:cs="Times New Roman"/>
          <w:b/>
          <w:bCs/>
          <w:sz w:val="20"/>
          <w:szCs w:val="20"/>
        </w:rPr>
        <w:t>Method</w:t>
      </w:r>
      <w:r w:rsidR="001374BA" w:rsidRPr="00DA6EB8">
        <w:rPr>
          <w:rFonts w:ascii="Times New Roman" w:hAnsi="Times New Roman" w:cs="Times New Roman"/>
          <w:b/>
          <w:bCs/>
          <w:sz w:val="20"/>
          <w:szCs w:val="20"/>
        </w:rPr>
        <w:t>)</w:t>
      </w:r>
      <w:r w:rsidRPr="00DA6EB8">
        <w:rPr>
          <w:rFonts w:ascii="Times New Roman" w:hAnsi="Times New Roman" w:cs="Times New Roman"/>
          <w:b/>
          <w:bCs/>
          <w:sz w:val="20"/>
          <w:szCs w:val="20"/>
        </w:rPr>
        <w:t>:</w:t>
      </w:r>
    </w:p>
    <w:p w:rsidR="00680EB5" w:rsidRPr="00DA6EB8" w:rsidRDefault="001374BA" w:rsidP="00BD6349">
      <w:pPr>
        <w:snapToGrid w:val="0"/>
        <w:spacing w:after="0" w:line="240" w:lineRule="auto"/>
        <w:ind w:firstLine="425"/>
        <w:jc w:val="both"/>
        <w:rPr>
          <w:rFonts w:ascii="Times New Roman" w:hAnsi="Times New Roman" w:cs="Times New Roman"/>
          <w:sz w:val="20"/>
          <w:szCs w:val="20"/>
        </w:rPr>
      </w:pPr>
      <w:r w:rsidRPr="00DA6EB8">
        <w:rPr>
          <w:rFonts w:ascii="Times New Roman" w:hAnsi="Times New Roman" w:cs="Times New Roman"/>
          <w:sz w:val="20"/>
          <w:szCs w:val="20"/>
        </w:rPr>
        <w:t xml:space="preserve">The </w:t>
      </w:r>
      <w:r w:rsidR="00421F49" w:rsidRPr="00DA6EB8">
        <w:rPr>
          <w:rFonts w:ascii="Times New Roman" w:hAnsi="Times New Roman" w:cs="Times New Roman"/>
          <w:sz w:val="20"/>
          <w:szCs w:val="20"/>
        </w:rPr>
        <w:t xml:space="preserve">method </w:t>
      </w:r>
      <w:r w:rsidRPr="00DA6EB8">
        <w:rPr>
          <w:rFonts w:ascii="Times New Roman" w:hAnsi="Times New Roman" w:cs="Times New Roman"/>
          <w:sz w:val="20"/>
          <w:szCs w:val="20"/>
        </w:rPr>
        <w:t>carried out at room temperature</w:t>
      </w:r>
      <w:r w:rsidR="001D3DF1"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 xml:space="preserve">10 grams </w:t>
      </w:r>
      <w:proofErr w:type="spellStart"/>
      <w:r w:rsidRPr="00DA6EB8">
        <w:rPr>
          <w:rFonts w:ascii="Times New Roman" w:hAnsi="Times New Roman" w:cs="Times New Roman"/>
          <w:i/>
          <w:iCs/>
          <w:sz w:val="20"/>
          <w:szCs w:val="20"/>
        </w:rPr>
        <w:t>Trasn</w:t>
      </w:r>
      <w:proofErr w:type="spellEnd"/>
      <w:r w:rsidRPr="00DA6EB8">
        <w:rPr>
          <w:rFonts w:ascii="Times New Roman" w:hAnsi="Times New Roman" w:cs="Times New Roman"/>
          <w:i/>
          <w:iCs/>
          <w:sz w:val="20"/>
          <w:szCs w:val="20"/>
        </w:rPr>
        <w:t>-</w:t>
      </w:r>
      <w:r w:rsidRPr="00DA6EB8">
        <w:rPr>
          <w:rFonts w:ascii="Times New Roman" w:hAnsi="Times New Roman" w:cs="Times New Roman"/>
          <w:sz w:val="20"/>
          <w:szCs w:val="20"/>
        </w:rPr>
        <w:t xml:space="preserve">methyl </w:t>
      </w:r>
      <w:proofErr w:type="spellStart"/>
      <w:r w:rsidRPr="00DA6EB8">
        <w:rPr>
          <w:rFonts w:ascii="Times New Roman" w:hAnsi="Times New Roman" w:cs="Times New Roman"/>
          <w:sz w:val="20"/>
          <w:szCs w:val="20"/>
        </w:rPr>
        <w:t>cinnamate</w:t>
      </w:r>
      <w:proofErr w:type="spellEnd"/>
      <w:r w:rsidRPr="00DA6EB8">
        <w:rPr>
          <w:rFonts w:ascii="Times New Roman" w:hAnsi="Times New Roman" w:cs="Times New Roman"/>
          <w:sz w:val="20"/>
          <w:szCs w:val="20"/>
        </w:rPr>
        <w:t xml:space="preserve"> 99% dissolved in</w:t>
      </w:r>
      <w:r w:rsidR="00293760" w:rsidRPr="00DA6EB8">
        <w:rPr>
          <w:rFonts w:ascii="Times New Roman" w:hAnsi="Times New Roman" w:cs="Times New Roman"/>
          <w:sz w:val="20"/>
          <w:szCs w:val="20"/>
        </w:rPr>
        <w:t xml:space="preserve"> 15% wt. of </w:t>
      </w:r>
      <w:r w:rsidRPr="00DA6EB8">
        <w:rPr>
          <w:rFonts w:ascii="Times New Roman" w:hAnsi="Times New Roman" w:cs="Times New Roman"/>
          <w:sz w:val="20"/>
          <w:szCs w:val="20"/>
        </w:rPr>
        <w:t>solves</w:t>
      </w:r>
      <w:r w:rsidR="00703966" w:rsidRPr="00DA6EB8">
        <w:rPr>
          <w:rFonts w:ascii="Times New Roman" w:hAnsi="Times New Roman" w:cs="Times New Roman"/>
          <w:sz w:val="20"/>
          <w:szCs w:val="20"/>
        </w:rPr>
        <w:t xml:space="preserve"> </w:t>
      </w:r>
      <w:r w:rsidRPr="00DA6EB8">
        <w:rPr>
          <w:rFonts w:ascii="Times New Roman" w:hAnsi="Times New Roman" w:cs="Times New Roman"/>
          <w:sz w:val="20"/>
          <w:szCs w:val="20"/>
        </w:rPr>
        <w:t xml:space="preserve">so 100 and </w:t>
      </w:r>
      <w:r w:rsidR="00293760" w:rsidRPr="00DA6EB8">
        <w:rPr>
          <w:rFonts w:ascii="Times New Roman" w:hAnsi="Times New Roman" w:cs="Times New Roman"/>
          <w:sz w:val="20"/>
          <w:szCs w:val="20"/>
        </w:rPr>
        <w:t>22.5% wt.</w:t>
      </w:r>
      <w:r w:rsidR="001841CD" w:rsidRPr="00DA6EB8">
        <w:rPr>
          <w:rFonts w:ascii="Times New Roman" w:hAnsi="Times New Roman" w:cs="Times New Roman"/>
          <w:sz w:val="20"/>
          <w:szCs w:val="20"/>
        </w:rPr>
        <w:t xml:space="preserve"> </w:t>
      </w:r>
      <w:r w:rsidR="005B5DA9" w:rsidRPr="00DA6EB8">
        <w:rPr>
          <w:rFonts w:ascii="Times New Roman" w:hAnsi="Times New Roman" w:cs="Times New Roman"/>
          <w:sz w:val="20"/>
          <w:szCs w:val="20"/>
        </w:rPr>
        <w:t>Surfactants</w:t>
      </w:r>
      <w:r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Tween</w:t>
      </w:r>
      <w:proofErr w:type="spellEnd"/>
      <w:r w:rsidRPr="00DA6EB8">
        <w:rPr>
          <w:rFonts w:ascii="Times New Roman" w:hAnsi="Times New Roman" w:cs="Times New Roman"/>
          <w:sz w:val="20"/>
          <w:szCs w:val="20"/>
        </w:rPr>
        <w:t xml:space="preserve"> 20 and </w:t>
      </w:r>
      <w:proofErr w:type="spellStart"/>
      <w:r w:rsidRPr="00DA6EB8">
        <w:rPr>
          <w:rFonts w:ascii="Times New Roman" w:hAnsi="Times New Roman" w:cs="Times New Roman"/>
          <w:sz w:val="20"/>
          <w:szCs w:val="20"/>
        </w:rPr>
        <w:t>Rhodical</w:t>
      </w:r>
      <w:proofErr w:type="spellEnd"/>
      <w:r w:rsidRPr="00DA6EB8">
        <w:rPr>
          <w:rFonts w:ascii="Times New Roman" w:hAnsi="Times New Roman" w:cs="Times New Roman"/>
          <w:sz w:val="20"/>
          <w:szCs w:val="20"/>
        </w:rPr>
        <w:t xml:space="preserve"> BR/60) poured together in a beaker. The surfactant concentration optimized in order to obtain </w:t>
      </w:r>
      <w:r w:rsidR="00D10E3C" w:rsidRPr="00DA6EB8">
        <w:rPr>
          <w:rFonts w:ascii="Times New Roman" w:hAnsi="Times New Roman" w:cs="Times New Roman"/>
          <w:sz w:val="20"/>
          <w:szCs w:val="20"/>
        </w:rPr>
        <w:t>long-term</w:t>
      </w:r>
      <w:r w:rsidRPr="00DA6EB8">
        <w:rPr>
          <w:rFonts w:ascii="Times New Roman" w:hAnsi="Times New Roman" w:cs="Times New Roman"/>
          <w:sz w:val="20"/>
          <w:szCs w:val="20"/>
        </w:rPr>
        <w:t xml:space="preserve"> stability. Water then added drop by drop until a concentration of </w:t>
      </w:r>
      <w:r w:rsidR="00293760" w:rsidRPr="00DA6EB8">
        <w:rPr>
          <w:rFonts w:ascii="Times New Roman" w:hAnsi="Times New Roman" w:cs="Times New Roman"/>
          <w:sz w:val="20"/>
          <w:szCs w:val="20"/>
        </w:rPr>
        <w:t>50 - 95</w:t>
      </w:r>
      <w:r w:rsidRPr="00DA6EB8">
        <w:rPr>
          <w:rFonts w:ascii="Times New Roman" w:hAnsi="Times New Roman" w:cs="Times New Roman"/>
          <w:sz w:val="20"/>
          <w:szCs w:val="20"/>
        </w:rPr>
        <w:t xml:space="preserve">% </w:t>
      </w:r>
      <w:r w:rsidR="00293760" w:rsidRPr="00DA6EB8">
        <w:rPr>
          <w:rFonts w:ascii="Times New Roman" w:hAnsi="Times New Roman" w:cs="Times New Roman"/>
          <w:sz w:val="20"/>
          <w:szCs w:val="20"/>
        </w:rPr>
        <w:t>wt.</w:t>
      </w:r>
      <w:r w:rsidRPr="00DA6EB8">
        <w:rPr>
          <w:rFonts w:ascii="Times New Roman" w:hAnsi="Times New Roman" w:cs="Times New Roman"/>
          <w:sz w:val="20"/>
          <w:szCs w:val="20"/>
        </w:rPr>
        <w:t xml:space="preserve"> reached. The vessel was agitated with a magnetic stirrer at 250 </w:t>
      </w:r>
      <w:r w:rsidR="007674CF" w:rsidRPr="00DA6EB8">
        <w:rPr>
          <w:rFonts w:ascii="Times New Roman" w:hAnsi="Times New Roman" w:cs="Times New Roman"/>
          <w:sz w:val="20"/>
          <w:szCs w:val="20"/>
        </w:rPr>
        <w:t>rpm that</w:t>
      </w:r>
      <w:r w:rsidRPr="00DA6EB8">
        <w:rPr>
          <w:rFonts w:ascii="Times New Roman" w:hAnsi="Times New Roman" w:cs="Times New Roman"/>
          <w:sz w:val="20"/>
          <w:szCs w:val="20"/>
        </w:rPr>
        <w:t xml:space="preserve"> is the minimum speed required to ensure emulsion stability (low energy mixing</w:t>
      </w:r>
      <w:r w:rsidR="001841CD" w:rsidRPr="00DA6EB8">
        <w:rPr>
          <w:rFonts w:ascii="Times New Roman" w:hAnsi="Times New Roman" w:cs="Times New Roman"/>
          <w:sz w:val="20"/>
          <w:szCs w:val="20"/>
        </w:rPr>
        <w:t xml:space="preserve">) </w:t>
      </w:r>
      <w:r w:rsidR="001841CD" w:rsidRPr="00DA6EB8">
        <w:rPr>
          <w:rFonts w:ascii="Times New Roman" w:hAnsi="Times New Roman" w:cs="Times New Roman"/>
          <w:b/>
          <w:bCs/>
          <w:sz w:val="20"/>
          <w:szCs w:val="20"/>
          <w:vertAlign w:val="superscript"/>
        </w:rPr>
        <w:t>(</w:t>
      </w:r>
      <w:r w:rsidR="00D54375" w:rsidRPr="00DA6EB8">
        <w:rPr>
          <w:rFonts w:ascii="Times New Roman" w:hAnsi="Times New Roman" w:cs="Times New Roman"/>
          <w:b/>
          <w:bCs/>
          <w:sz w:val="20"/>
          <w:szCs w:val="20"/>
          <w:vertAlign w:val="superscript"/>
        </w:rPr>
        <w:t>33)</w:t>
      </w:r>
      <w:r w:rsidRPr="00DA6EB8">
        <w:rPr>
          <w:rFonts w:ascii="Times New Roman" w:hAnsi="Times New Roman" w:cs="Times New Roman"/>
          <w:sz w:val="20"/>
          <w:szCs w:val="20"/>
        </w:rPr>
        <w:t xml:space="preserve">. </w:t>
      </w:r>
    </w:p>
    <w:p w:rsidR="00F00944" w:rsidRPr="00DA6EB8" w:rsidRDefault="00703966" w:rsidP="00BD6349">
      <w:pPr>
        <w:pStyle w:val="ListParagraph"/>
        <w:widowControl w:val="0"/>
        <w:numPr>
          <w:ilvl w:val="0"/>
          <w:numId w:val="14"/>
        </w:numPr>
        <w:autoSpaceDE w:val="0"/>
        <w:autoSpaceDN w:val="0"/>
        <w:adjustRightInd w:val="0"/>
        <w:snapToGrid w:val="0"/>
        <w:spacing w:after="0" w:line="240" w:lineRule="auto"/>
        <w:ind w:left="0" w:firstLine="0"/>
        <w:jc w:val="both"/>
        <w:rPr>
          <w:rFonts w:ascii="Times New Roman" w:eastAsia="Calibri" w:hAnsi="Times New Roman" w:cs="Times New Roman"/>
          <w:sz w:val="20"/>
          <w:szCs w:val="20"/>
        </w:rPr>
      </w:pPr>
      <w:r w:rsidRPr="00DA6EB8">
        <w:rPr>
          <w:rFonts w:ascii="Times New Roman" w:eastAsia="Calibri" w:hAnsi="Times New Roman" w:cs="Times New Roman"/>
          <w:b/>
          <w:bCs/>
          <w:sz w:val="20"/>
          <w:szCs w:val="20"/>
        </w:rPr>
        <w:t>Physical Parameters</w:t>
      </w:r>
      <w:r w:rsidR="00F00944" w:rsidRPr="00DA6EB8">
        <w:rPr>
          <w:rFonts w:ascii="Times New Roman" w:eastAsia="Calibri" w:hAnsi="Times New Roman" w:cs="Times New Roman"/>
          <w:b/>
          <w:bCs/>
          <w:sz w:val="20"/>
          <w:szCs w:val="20"/>
        </w:rPr>
        <w:t>:</w:t>
      </w:r>
    </w:p>
    <w:p w:rsidR="00EF56F5" w:rsidRPr="00DA6EB8" w:rsidRDefault="00EF56F5" w:rsidP="00BD6349">
      <w:pPr>
        <w:pStyle w:val="ListParagraph"/>
        <w:numPr>
          <w:ilvl w:val="0"/>
          <w:numId w:val="21"/>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DA6EB8">
        <w:rPr>
          <w:rFonts w:ascii="Times New Roman" w:hAnsi="Times New Roman" w:cs="Times New Roman"/>
          <w:b/>
          <w:bCs/>
          <w:sz w:val="20"/>
          <w:szCs w:val="20"/>
        </w:rPr>
        <w:t xml:space="preserve">Mean droplet size and </w:t>
      </w:r>
      <w:proofErr w:type="spellStart"/>
      <w:r w:rsidRPr="00DA6EB8">
        <w:rPr>
          <w:rFonts w:ascii="Times New Roman" w:hAnsi="Times New Roman" w:cs="Times New Roman"/>
          <w:b/>
          <w:bCs/>
          <w:sz w:val="20"/>
          <w:szCs w:val="20"/>
        </w:rPr>
        <w:t>polydispersity</w:t>
      </w:r>
      <w:proofErr w:type="spellEnd"/>
      <w:r w:rsidRPr="00DA6EB8">
        <w:rPr>
          <w:rFonts w:ascii="Times New Roman" w:hAnsi="Times New Roman" w:cs="Times New Roman"/>
          <w:b/>
          <w:bCs/>
          <w:sz w:val="20"/>
          <w:szCs w:val="20"/>
        </w:rPr>
        <w:t xml:space="preserve"> index</w:t>
      </w:r>
      <w:r w:rsidR="0092407A" w:rsidRPr="00DA6EB8">
        <w:rPr>
          <w:rFonts w:ascii="Times New Roman" w:hAnsi="Times New Roman" w:cs="Times New Roman"/>
          <w:b/>
          <w:bCs/>
          <w:sz w:val="20"/>
          <w:szCs w:val="20"/>
        </w:rPr>
        <w:t>:</w:t>
      </w:r>
    </w:p>
    <w:p w:rsidR="00EF56F5" w:rsidRPr="00DA6EB8" w:rsidRDefault="00EF56F5" w:rsidP="00BD634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A6EB8">
        <w:rPr>
          <w:rFonts w:ascii="Times New Roman" w:hAnsi="Times New Roman" w:cs="Times New Roman"/>
          <w:sz w:val="20"/>
          <w:szCs w:val="20"/>
        </w:rPr>
        <w:t xml:space="preserve">The mean droplet size and </w:t>
      </w:r>
      <w:proofErr w:type="spellStart"/>
      <w:r w:rsidRPr="00DA6EB8">
        <w:rPr>
          <w:rFonts w:ascii="Times New Roman" w:hAnsi="Times New Roman" w:cs="Times New Roman"/>
          <w:sz w:val="20"/>
          <w:szCs w:val="20"/>
        </w:rPr>
        <w:t>polydispersity</w:t>
      </w:r>
      <w:proofErr w:type="spellEnd"/>
      <w:r w:rsidRPr="00DA6EB8">
        <w:rPr>
          <w:rFonts w:ascii="Times New Roman" w:hAnsi="Times New Roman" w:cs="Times New Roman"/>
          <w:sz w:val="20"/>
          <w:szCs w:val="20"/>
        </w:rPr>
        <w:t xml:space="preserve"> index (PDI) of trans-methyl </w:t>
      </w:r>
      <w:proofErr w:type="spellStart"/>
      <w:r w:rsidRPr="00DA6EB8">
        <w:rPr>
          <w:rFonts w:ascii="Times New Roman" w:hAnsi="Times New Roman" w:cs="Times New Roman"/>
          <w:sz w:val="20"/>
          <w:szCs w:val="20"/>
        </w:rPr>
        <w:t>cinnamate</w:t>
      </w:r>
      <w:proofErr w:type="spellEnd"/>
      <w:r w:rsidRPr="00DA6EB8">
        <w:rPr>
          <w:rFonts w:ascii="Times New Roman" w:hAnsi="Times New Roman" w:cs="Times New Roman"/>
          <w:sz w:val="20"/>
          <w:szCs w:val="20"/>
        </w:rPr>
        <w:t xml:space="preserve"> 10% ME formulation was performed by a dynamic light scattering method using </w:t>
      </w:r>
      <w:proofErr w:type="spellStart"/>
      <w:r w:rsidRPr="00DA6EB8">
        <w:rPr>
          <w:rFonts w:ascii="Times New Roman" w:hAnsi="Times New Roman" w:cs="Times New Roman"/>
          <w:sz w:val="20"/>
          <w:szCs w:val="20"/>
        </w:rPr>
        <w:t>Zetasizer</w:t>
      </w:r>
      <w:proofErr w:type="spellEnd"/>
      <w:r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Nano</w:t>
      </w:r>
      <w:proofErr w:type="spellEnd"/>
      <w:r w:rsidRPr="00DA6EB8">
        <w:rPr>
          <w:rFonts w:ascii="Times New Roman" w:hAnsi="Times New Roman" w:cs="Times New Roman"/>
          <w:sz w:val="20"/>
          <w:szCs w:val="20"/>
        </w:rPr>
        <w:t xml:space="preserve"> ZS (Malvern Instruments, UK) at room temperature. Formulated emulsion diluted with </w:t>
      </w:r>
      <w:proofErr w:type="spellStart"/>
      <w:r w:rsidR="00421F49" w:rsidRPr="00DA6EB8">
        <w:rPr>
          <w:rFonts w:ascii="Times New Roman" w:hAnsi="Times New Roman" w:cs="Times New Roman"/>
          <w:sz w:val="20"/>
          <w:szCs w:val="20"/>
        </w:rPr>
        <w:t>deionized</w:t>
      </w:r>
      <w:proofErr w:type="spellEnd"/>
      <w:r w:rsidR="00421F49" w:rsidRPr="00DA6EB8">
        <w:rPr>
          <w:rFonts w:ascii="Times New Roman" w:hAnsi="Times New Roman" w:cs="Times New Roman"/>
          <w:sz w:val="20"/>
          <w:szCs w:val="20"/>
        </w:rPr>
        <w:t xml:space="preserve"> water using Millipore Corporation </w:t>
      </w:r>
      <w:r w:rsidRPr="00DA6EB8">
        <w:rPr>
          <w:rFonts w:ascii="Times New Roman" w:hAnsi="Times New Roman" w:cs="Times New Roman"/>
          <w:sz w:val="20"/>
          <w:szCs w:val="20"/>
        </w:rPr>
        <w:t>(</w:t>
      </w:r>
      <w:proofErr w:type="spellStart"/>
      <w:r w:rsidR="00421F49" w:rsidRPr="00DA6EB8">
        <w:rPr>
          <w:rFonts w:ascii="Times New Roman" w:hAnsi="Times New Roman" w:cs="Times New Roman"/>
          <w:sz w:val="20"/>
          <w:szCs w:val="20"/>
        </w:rPr>
        <w:t>milli</w:t>
      </w:r>
      <w:proofErr w:type="spellEnd"/>
      <w:r w:rsidR="00421F49" w:rsidRPr="00DA6EB8">
        <w:rPr>
          <w:rFonts w:ascii="Times New Roman" w:hAnsi="Times New Roman" w:cs="Times New Roman"/>
          <w:sz w:val="20"/>
          <w:szCs w:val="20"/>
        </w:rPr>
        <w:t>-Q</w:t>
      </w:r>
      <w:r w:rsidRPr="00DA6EB8">
        <w:rPr>
          <w:rFonts w:ascii="Times New Roman" w:hAnsi="Times New Roman" w:cs="Times New Roman"/>
          <w:sz w:val="20"/>
          <w:szCs w:val="20"/>
        </w:rPr>
        <w:t>) to avoid multiple scattering effects</w:t>
      </w:r>
      <w:r w:rsidR="00D655AC" w:rsidRPr="00DA6EB8">
        <w:rPr>
          <w:rFonts w:ascii="Times New Roman" w:hAnsi="Times New Roman" w:cs="Times New Roman"/>
          <w:sz w:val="20"/>
          <w:szCs w:val="20"/>
        </w:rPr>
        <w:t xml:space="preserve"> </w:t>
      </w:r>
      <w:r w:rsidR="00D54375" w:rsidRPr="00DA6EB8">
        <w:rPr>
          <w:rFonts w:ascii="Times New Roman" w:hAnsi="Times New Roman" w:cs="Times New Roman"/>
          <w:b/>
          <w:bCs/>
          <w:sz w:val="20"/>
          <w:szCs w:val="20"/>
          <w:vertAlign w:val="superscript"/>
        </w:rPr>
        <w:t>(34)</w:t>
      </w:r>
      <w:r w:rsidRPr="00DA6EB8">
        <w:rPr>
          <w:rFonts w:ascii="Times New Roman" w:hAnsi="Times New Roman" w:cs="Times New Roman"/>
          <w:sz w:val="20"/>
          <w:szCs w:val="20"/>
        </w:rPr>
        <w:t>.</w:t>
      </w:r>
    </w:p>
    <w:p w:rsidR="005F4EF9" w:rsidRPr="00DA6EB8" w:rsidRDefault="005F4EF9" w:rsidP="00BD6349">
      <w:pPr>
        <w:pStyle w:val="ListParagraph"/>
        <w:numPr>
          <w:ilvl w:val="0"/>
          <w:numId w:val="21"/>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DA6EB8">
        <w:rPr>
          <w:rFonts w:ascii="Times New Roman" w:hAnsi="Times New Roman" w:cs="Times New Roman"/>
          <w:b/>
          <w:bCs/>
          <w:sz w:val="20"/>
          <w:szCs w:val="20"/>
        </w:rPr>
        <w:t>Physical Properties of Formulation:</w:t>
      </w:r>
    </w:p>
    <w:p w:rsidR="00055218" w:rsidRPr="00DA6EB8" w:rsidRDefault="005F4EF9" w:rsidP="00BD6349">
      <w:pPr>
        <w:widowControl w:val="0"/>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DA6EB8">
        <w:rPr>
          <w:rFonts w:ascii="Times New Roman" w:eastAsia="Calibri" w:hAnsi="Times New Roman" w:cs="Times New Roman"/>
          <w:sz w:val="20"/>
          <w:szCs w:val="20"/>
        </w:rPr>
        <w:t>The</w:t>
      </w:r>
      <w:r w:rsidR="005573FC" w:rsidRPr="00DA6EB8">
        <w:rPr>
          <w:rFonts w:ascii="Times New Roman" w:eastAsia="Calibri" w:hAnsi="Times New Roman" w:cs="Times New Roman"/>
          <w:sz w:val="20"/>
          <w:szCs w:val="20"/>
        </w:rPr>
        <w:t xml:space="preserve"> </w:t>
      </w:r>
      <w:proofErr w:type="spellStart"/>
      <w:r w:rsidRPr="00DA6EB8">
        <w:rPr>
          <w:rFonts w:ascii="Times New Roman" w:eastAsia="Calibri" w:hAnsi="Times New Roman" w:cs="Times New Roman"/>
          <w:sz w:val="20"/>
          <w:szCs w:val="20"/>
        </w:rPr>
        <w:t>physicalproperties</w:t>
      </w:r>
      <w:proofErr w:type="spellEnd"/>
      <w:r w:rsidR="00703966" w:rsidRPr="00DA6EB8">
        <w:rPr>
          <w:rFonts w:ascii="Times New Roman" w:eastAsia="Calibri" w:hAnsi="Times New Roman" w:cs="Times New Roman"/>
          <w:sz w:val="20"/>
          <w:szCs w:val="20"/>
        </w:rPr>
        <w:t xml:space="preserve"> </w:t>
      </w:r>
      <w:r w:rsidRPr="00DA6EB8">
        <w:rPr>
          <w:rFonts w:ascii="Times New Roman" w:eastAsia="Calibri" w:hAnsi="Times New Roman" w:cs="Times New Roman"/>
          <w:sz w:val="20"/>
          <w:szCs w:val="20"/>
        </w:rPr>
        <w:t>of</w:t>
      </w:r>
      <w:r w:rsidR="00703966" w:rsidRPr="00DA6EB8">
        <w:rPr>
          <w:rFonts w:ascii="Times New Roman" w:eastAsia="Calibri" w:hAnsi="Times New Roman" w:cs="Times New Roman"/>
          <w:sz w:val="20"/>
          <w:szCs w:val="20"/>
        </w:rPr>
        <w:t xml:space="preserve"> </w:t>
      </w:r>
      <w:r w:rsidRPr="00DA6EB8">
        <w:rPr>
          <w:rFonts w:ascii="Times New Roman" w:hAnsi="Times New Roman" w:cs="Times New Roman"/>
          <w:i/>
          <w:iCs/>
          <w:sz w:val="20"/>
          <w:szCs w:val="20"/>
        </w:rPr>
        <w:t>trans-</w:t>
      </w:r>
      <w:r w:rsidRPr="00DA6EB8">
        <w:rPr>
          <w:rFonts w:ascii="Times New Roman" w:hAnsi="Times New Roman" w:cs="Times New Roman"/>
          <w:sz w:val="20"/>
          <w:szCs w:val="20"/>
        </w:rPr>
        <w:t xml:space="preserve">methyl </w:t>
      </w:r>
      <w:proofErr w:type="spellStart"/>
      <w:r w:rsidRPr="00DA6EB8">
        <w:rPr>
          <w:rFonts w:ascii="Times New Roman" w:hAnsi="Times New Roman" w:cs="Times New Roman"/>
          <w:sz w:val="20"/>
          <w:szCs w:val="20"/>
        </w:rPr>
        <w:t>cinnamate</w:t>
      </w:r>
      <w:proofErr w:type="spellEnd"/>
      <w:r w:rsidRPr="00DA6EB8">
        <w:rPr>
          <w:rFonts w:ascii="Times New Roman" w:hAnsi="Times New Roman" w:cs="Times New Roman"/>
          <w:sz w:val="20"/>
          <w:szCs w:val="20"/>
        </w:rPr>
        <w:t xml:space="preserve"> 10% ME was carried out at initial, after storage at 0 °C for 7 days and after storage at 54 ± 2 ° for 14 days to detect storage stability at elevated temperatur</w:t>
      </w:r>
      <w:r w:rsidR="001841CD" w:rsidRPr="00DA6EB8">
        <w:rPr>
          <w:rFonts w:ascii="Times New Roman" w:hAnsi="Times New Roman" w:cs="Times New Roman"/>
          <w:sz w:val="20"/>
          <w:szCs w:val="20"/>
        </w:rPr>
        <w:t xml:space="preserve">e </w:t>
      </w:r>
      <w:r w:rsidR="001841CD" w:rsidRPr="00DA6EB8">
        <w:rPr>
          <w:rFonts w:ascii="Times New Roman" w:hAnsi="Times New Roman" w:cs="Times New Roman"/>
          <w:sz w:val="20"/>
          <w:szCs w:val="20"/>
          <w:vertAlign w:val="superscript"/>
        </w:rPr>
        <w:t>(</w:t>
      </w:r>
      <w:r w:rsidR="00C5286D" w:rsidRPr="00DA6EB8">
        <w:rPr>
          <w:rFonts w:ascii="Times New Roman" w:hAnsi="Times New Roman" w:cs="Times New Roman"/>
          <w:sz w:val="20"/>
          <w:szCs w:val="20"/>
          <w:vertAlign w:val="superscript"/>
        </w:rPr>
        <w:t>35)</w:t>
      </w:r>
      <w:r w:rsidRPr="00DA6EB8">
        <w:rPr>
          <w:rFonts w:ascii="Times New Roman" w:eastAsia="Calibri" w:hAnsi="Times New Roman" w:cs="Times New Roman"/>
          <w:b/>
          <w:bCs/>
          <w:sz w:val="20"/>
          <w:szCs w:val="20"/>
        </w:rPr>
        <w:t xml:space="preserve">. </w:t>
      </w:r>
      <w:r w:rsidR="001E5347" w:rsidRPr="00DA6EB8">
        <w:rPr>
          <w:rFonts w:ascii="Times New Roman" w:eastAsia="Calibri" w:hAnsi="Times New Roman" w:cs="Times New Roman"/>
          <w:sz w:val="20"/>
          <w:szCs w:val="20"/>
        </w:rPr>
        <w:t>In addition</w:t>
      </w:r>
      <w:r w:rsidRPr="00DA6EB8">
        <w:rPr>
          <w:rFonts w:ascii="Times New Roman" w:eastAsia="Calibri" w:hAnsi="Times New Roman" w:cs="Times New Roman"/>
          <w:sz w:val="20"/>
          <w:szCs w:val="20"/>
        </w:rPr>
        <w:t xml:space="preserve">, </w:t>
      </w:r>
      <w:r w:rsidR="001E5347" w:rsidRPr="00DA6EB8">
        <w:rPr>
          <w:rFonts w:ascii="Times New Roman" w:eastAsia="Calibri" w:hAnsi="Times New Roman" w:cs="Times New Roman"/>
          <w:sz w:val="20"/>
          <w:szCs w:val="20"/>
        </w:rPr>
        <w:t>the physical properties of the formulation done as follow:</w:t>
      </w:r>
    </w:p>
    <w:p w:rsidR="00BD6349" w:rsidRPr="00DA6EB8" w:rsidRDefault="00BD6349" w:rsidP="00BD6349">
      <w:pPr>
        <w:pStyle w:val="ListParagraph"/>
        <w:widowControl w:val="0"/>
        <w:numPr>
          <w:ilvl w:val="0"/>
          <w:numId w:val="21"/>
        </w:numPr>
        <w:autoSpaceDE w:val="0"/>
        <w:autoSpaceDN w:val="0"/>
        <w:adjustRightInd w:val="0"/>
        <w:snapToGrid w:val="0"/>
        <w:spacing w:after="0" w:line="240" w:lineRule="auto"/>
        <w:ind w:left="0" w:firstLine="0"/>
        <w:jc w:val="both"/>
        <w:rPr>
          <w:rFonts w:ascii="Times New Roman" w:eastAsia="Calibri" w:hAnsi="Times New Roman" w:cs="Times New Roman"/>
          <w:b/>
          <w:bCs/>
          <w:sz w:val="20"/>
          <w:szCs w:val="20"/>
        </w:rPr>
      </w:pPr>
      <w:r w:rsidRPr="00DA6EB8">
        <w:rPr>
          <w:rFonts w:ascii="Times New Roman" w:eastAsia="Calibri" w:hAnsi="Times New Roman" w:cs="Times New Roman"/>
          <w:b/>
          <w:bCs/>
          <w:sz w:val="20"/>
          <w:szCs w:val="20"/>
        </w:rPr>
        <w:t>Physical Properties of Spray Solutions:</w:t>
      </w:r>
    </w:p>
    <w:p w:rsidR="00BD6349" w:rsidRPr="00DA6EB8" w:rsidRDefault="00BD6349" w:rsidP="00BD6349">
      <w:pPr>
        <w:widowControl w:val="0"/>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DA6EB8">
        <w:rPr>
          <w:rFonts w:ascii="Times New Roman" w:eastAsia="Calibri" w:hAnsi="Times New Roman" w:cs="Times New Roman"/>
          <w:sz w:val="20"/>
          <w:szCs w:val="20"/>
        </w:rPr>
        <w:t xml:space="preserve">The physical properties of 5% spray solutions of prepared </w:t>
      </w:r>
      <w:r w:rsidRPr="00DA6EB8">
        <w:rPr>
          <w:rFonts w:ascii="Times New Roman" w:eastAsia="Calibri" w:hAnsi="Times New Roman" w:cs="Times New Roman"/>
          <w:i/>
          <w:iCs/>
          <w:sz w:val="20"/>
          <w:szCs w:val="20"/>
        </w:rPr>
        <w:t>Trans-</w:t>
      </w:r>
      <w:r w:rsidRPr="00DA6EB8">
        <w:rPr>
          <w:rFonts w:ascii="Times New Roman" w:eastAsia="Calibri" w:hAnsi="Times New Roman" w:cs="Times New Roman"/>
          <w:sz w:val="20"/>
          <w:szCs w:val="20"/>
        </w:rPr>
        <w:t xml:space="preserve">methyl </w:t>
      </w:r>
      <w:proofErr w:type="spellStart"/>
      <w:r w:rsidRPr="00DA6EB8">
        <w:rPr>
          <w:rFonts w:ascii="Times New Roman" w:eastAsia="Calibri" w:hAnsi="Times New Roman" w:cs="Times New Roman"/>
          <w:sz w:val="20"/>
          <w:szCs w:val="20"/>
        </w:rPr>
        <w:t>cinnamate</w:t>
      </w:r>
      <w:proofErr w:type="spellEnd"/>
      <w:r w:rsidRPr="00DA6EB8">
        <w:rPr>
          <w:rFonts w:ascii="Times New Roman" w:eastAsia="Calibri" w:hAnsi="Times New Roman" w:cs="Times New Roman"/>
          <w:sz w:val="20"/>
          <w:szCs w:val="20"/>
        </w:rPr>
        <w:t xml:space="preserve"> 10% </w:t>
      </w:r>
      <w:proofErr w:type="spellStart"/>
      <w:r w:rsidRPr="00DA6EB8">
        <w:rPr>
          <w:rFonts w:ascii="Times New Roman" w:eastAsia="Calibri" w:hAnsi="Times New Roman" w:cs="Times New Roman"/>
          <w:sz w:val="20"/>
          <w:szCs w:val="20"/>
        </w:rPr>
        <w:t>MEin</w:t>
      </w:r>
      <w:proofErr w:type="spellEnd"/>
      <w:r w:rsidRPr="00DA6EB8">
        <w:rPr>
          <w:rFonts w:ascii="Times New Roman" w:eastAsia="Calibri" w:hAnsi="Times New Roman" w:cs="Times New Roman"/>
          <w:sz w:val="20"/>
          <w:szCs w:val="20"/>
        </w:rPr>
        <w:t xml:space="preserve"> both soft and hard water</w:t>
      </w:r>
      <w:r w:rsidRPr="00DA6EB8">
        <w:rPr>
          <w:rFonts w:ascii="Times New Roman" w:eastAsia="Calibri" w:hAnsi="Times New Roman" w:cs="Times New Roman"/>
          <w:b/>
          <w:bCs/>
          <w:sz w:val="20"/>
          <w:szCs w:val="20"/>
        </w:rPr>
        <w:t>;</w:t>
      </w:r>
      <w:r w:rsidRPr="00DA6EB8">
        <w:rPr>
          <w:rFonts w:ascii="Times New Roman" w:hAnsi="Times New Roman" w:cs="Times New Roman"/>
          <w:sz w:val="20"/>
          <w:szCs w:val="20"/>
        </w:rPr>
        <w:t xml:space="preserve"> persistent foam, emulsion stability and re-emulsification,</w:t>
      </w:r>
      <w:r w:rsidRPr="00DA6EB8">
        <w:rPr>
          <w:rFonts w:ascii="Times New Roman" w:eastAsia="Calibri" w:hAnsi="Times New Roman" w:cs="Times New Roman"/>
          <w:sz w:val="20"/>
          <w:szCs w:val="20"/>
        </w:rPr>
        <w:t xml:space="preserve"> conductivity </w:t>
      </w:r>
      <w:r w:rsidRPr="00DA6EB8">
        <w:rPr>
          <w:rFonts w:ascii="Times New Roman" w:hAnsi="Times New Roman" w:cs="Times New Roman"/>
          <w:sz w:val="20"/>
          <w:szCs w:val="20"/>
          <w:vertAlign w:val="superscript"/>
        </w:rPr>
        <w:t>(35)</w:t>
      </w:r>
      <w:r w:rsidRPr="00DA6EB8">
        <w:rPr>
          <w:rFonts w:ascii="Times New Roman" w:hAnsi="Times New Roman" w:cs="Times New Roman"/>
          <w:sz w:val="20"/>
          <w:szCs w:val="20"/>
        </w:rPr>
        <w:t xml:space="preserve">, </w:t>
      </w:r>
      <w:r w:rsidRPr="00DA6EB8">
        <w:rPr>
          <w:rFonts w:ascii="Times New Roman" w:eastAsia="Calibri" w:hAnsi="Times New Roman" w:cs="Times New Roman"/>
          <w:sz w:val="20"/>
          <w:szCs w:val="20"/>
        </w:rPr>
        <w:t xml:space="preserve">pH </w:t>
      </w:r>
      <w:r w:rsidRPr="00DA6EB8">
        <w:rPr>
          <w:rFonts w:ascii="Times New Roman" w:hAnsi="Times New Roman" w:cs="Times New Roman"/>
          <w:sz w:val="20"/>
          <w:szCs w:val="20"/>
          <w:vertAlign w:val="superscript"/>
        </w:rPr>
        <w:t>(36)</w:t>
      </w:r>
      <w:r w:rsidRPr="00DA6EB8">
        <w:rPr>
          <w:rFonts w:ascii="Times New Roman" w:hAnsi="Times New Roman" w:cs="Times New Roman"/>
          <w:sz w:val="20"/>
          <w:szCs w:val="20"/>
        </w:rPr>
        <w:t xml:space="preserve"> and</w:t>
      </w:r>
      <w:r w:rsidRPr="00DA6EB8">
        <w:rPr>
          <w:rFonts w:ascii="Times New Roman" w:eastAsia="Calibri" w:hAnsi="Times New Roman" w:cs="Times New Roman"/>
          <w:sz w:val="20"/>
          <w:szCs w:val="20"/>
        </w:rPr>
        <w:t xml:space="preserve"> surface tension </w:t>
      </w:r>
      <w:r w:rsidRPr="00DA6EB8">
        <w:rPr>
          <w:rFonts w:ascii="Times New Roman" w:hAnsi="Times New Roman" w:cs="Times New Roman"/>
          <w:sz w:val="20"/>
          <w:szCs w:val="20"/>
          <w:vertAlign w:val="superscript"/>
        </w:rPr>
        <w:t xml:space="preserve">(38) </w:t>
      </w:r>
      <w:r w:rsidRPr="00DA6EB8">
        <w:rPr>
          <w:rFonts w:ascii="Times New Roman" w:eastAsia="Calibri" w:hAnsi="Times New Roman" w:cs="Times New Roman"/>
          <w:sz w:val="20"/>
          <w:szCs w:val="20"/>
        </w:rPr>
        <w:t>recorded</w:t>
      </w:r>
      <w:r w:rsidRPr="00DA6EB8">
        <w:rPr>
          <w:rFonts w:ascii="Times New Roman" w:eastAsia="Calibri" w:hAnsi="Times New Roman" w:cs="Times New Roman"/>
          <w:b/>
          <w:bCs/>
          <w:sz w:val="20"/>
          <w:szCs w:val="20"/>
        </w:rPr>
        <w:t>.</w:t>
      </w:r>
    </w:p>
    <w:p w:rsidR="00BD6349" w:rsidRPr="00DA6EB8" w:rsidRDefault="00BD6349" w:rsidP="00BD6349">
      <w:pPr>
        <w:pStyle w:val="ListParagraph"/>
        <w:numPr>
          <w:ilvl w:val="0"/>
          <w:numId w:val="14"/>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DA6EB8">
        <w:rPr>
          <w:rFonts w:ascii="Times New Roman" w:hAnsi="Times New Roman" w:cs="Times New Roman"/>
          <w:b/>
          <w:bCs/>
          <w:sz w:val="20"/>
          <w:szCs w:val="20"/>
        </w:rPr>
        <w:t>Antifungal Assay:</w:t>
      </w:r>
    </w:p>
    <w:p w:rsidR="00BD6349" w:rsidRPr="00DA6EB8" w:rsidRDefault="00BD6349" w:rsidP="00BD6349">
      <w:pPr>
        <w:pStyle w:val="BodyText3"/>
        <w:snapToGrid w:val="0"/>
        <w:spacing w:line="240" w:lineRule="auto"/>
        <w:ind w:firstLine="425"/>
        <w:jc w:val="both"/>
        <w:rPr>
          <w:rFonts w:cs="Times New Roman"/>
          <w:sz w:val="20"/>
          <w:szCs w:val="20"/>
          <w:lang w:bidi="ar-EG"/>
        </w:rPr>
      </w:pPr>
      <w:r w:rsidRPr="00DA6EB8">
        <w:rPr>
          <w:rFonts w:cs="Times New Roman"/>
          <w:sz w:val="20"/>
          <w:szCs w:val="20"/>
          <w:lang w:bidi="ar-EG"/>
        </w:rPr>
        <w:t xml:space="preserve">The </w:t>
      </w:r>
      <w:r w:rsidRPr="00DA6EB8">
        <w:rPr>
          <w:rFonts w:cs="Times New Roman"/>
          <w:i/>
          <w:iCs/>
          <w:sz w:val="20"/>
          <w:szCs w:val="20"/>
          <w:lang w:bidi="ar-EG"/>
        </w:rPr>
        <w:t>trans</w:t>
      </w:r>
      <w:r w:rsidRPr="00DA6EB8">
        <w:rPr>
          <w:rFonts w:cs="Times New Roman"/>
          <w:sz w:val="20"/>
          <w:szCs w:val="20"/>
          <w:lang w:bidi="ar-EG"/>
        </w:rPr>
        <w:t xml:space="preserve">-methyl </w:t>
      </w:r>
      <w:proofErr w:type="spellStart"/>
      <w:r w:rsidRPr="00DA6EB8">
        <w:rPr>
          <w:rFonts w:cs="Times New Roman"/>
          <w:sz w:val="20"/>
          <w:szCs w:val="20"/>
          <w:lang w:bidi="ar-EG"/>
        </w:rPr>
        <w:t>cinnamate</w:t>
      </w:r>
      <w:proofErr w:type="spellEnd"/>
      <w:r w:rsidRPr="00DA6EB8">
        <w:rPr>
          <w:rFonts w:cs="Times New Roman"/>
          <w:sz w:val="20"/>
          <w:szCs w:val="20"/>
          <w:lang w:bidi="ar-EG"/>
        </w:rPr>
        <w:t xml:space="preserve"> prepared in </w:t>
      </w:r>
      <w:proofErr w:type="spellStart"/>
      <w:r w:rsidRPr="00DA6EB8">
        <w:rPr>
          <w:rFonts w:cs="Times New Roman"/>
          <w:sz w:val="20"/>
          <w:szCs w:val="20"/>
          <w:lang w:bidi="ar-EG"/>
        </w:rPr>
        <w:t>dimethyl</w:t>
      </w:r>
      <w:proofErr w:type="spellEnd"/>
      <w:r w:rsidRPr="00DA6EB8">
        <w:rPr>
          <w:rFonts w:cs="Times New Roman"/>
          <w:sz w:val="20"/>
          <w:szCs w:val="20"/>
          <w:lang w:bidi="ar-EG"/>
        </w:rPr>
        <w:t xml:space="preserve"> </w:t>
      </w:r>
      <w:proofErr w:type="spellStart"/>
      <w:r w:rsidRPr="00DA6EB8">
        <w:rPr>
          <w:rFonts w:cs="Times New Roman"/>
          <w:sz w:val="20"/>
          <w:szCs w:val="20"/>
          <w:lang w:bidi="ar-EG"/>
        </w:rPr>
        <w:t>sulfoxide</w:t>
      </w:r>
      <w:proofErr w:type="spellEnd"/>
      <w:r w:rsidRPr="00DA6EB8">
        <w:rPr>
          <w:rFonts w:cs="Times New Roman"/>
          <w:sz w:val="20"/>
          <w:szCs w:val="20"/>
          <w:lang w:bidi="ar-EG"/>
        </w:rPr>
        <w:t xml:space="preserve"> (DMSO) and tested for </w:t>
      </w:r>
      <w:proofErr w:type="spellStart"/>
      <w:r w:rsidRPr="00DA6EB8">
        <w:rPr>
          <w:rFonts w:cs="Times New Roman"/>
          <w:sz w:val="20"/>
          <w:szCs w:val="20"/>
          <w:lang w:bidi="ar-EG"/>
        </w:rPr>
        <w:t>mycelial</w:t>
      </w:r>
      <w:proofErr w:type="spellEnd"/>
      <w:r w:rsidRPr="00DA6EB8">
        <w:rPr>
          <w:rFonts w:cs="Times New Roman"/>
          <w:sz w:val="20"/>
          <w:szCs w:val="20"/>
          <w:lang w:bidi="ar-EG"/>
        </w:rPr>
        <w:t xml:space="preserve"> growth inhibition activity against four fungal isolates </w:t>
      </w:r>
      <w:proofErr w:type="spellStart"/>
      <w:r w:rsidRPr="00DA6EB8">
        <w:rPr>
          <w:rFonts w:cs="Times New Roman"/>
          <w:i/>
          <w:iCs/>
          <w:sz w:val="20"/>
          <w:szCs w:val="20"/>
          <w:lang w:bidi="ar-EG"/>
        </w:rPr>
        <w:t>Sclortium</w:t>
      </w:r>
      <w:proofErr w:type="spellEnd"/>
      <w:r w:rsidRPr="00DA6EB8">
        <w:rPr>
          <w:rFonts w:cs="Times New Roman"/>
          <w:i/>
          <w:iCs/>
          <w:sz w:val="20"/>
          <w:szCs w:val="20"/>
          <w:lang w:bidi="ar-EG"/>
        </w:rPr>
        <w:t xml:space="preserve"> </w:t>
      </w:r>
      <w:proofErr w:type="spellStart"/>
      <w:r w:rsidRPr="00DA6EB8">
        <w:rPr>
          <w:rFonts w:cs="Times New Roman"/>
          <w:i/>
          <w:iCs/>
          <w:sz w:val="20"/>
          <w:szCs w:val="20"/>
          <w:lang w:bidi="ar-EG"/>
        </w:rPr>
        <w:t>rolfsii</w:t>
      </w:r>
      <w:proofErr w:type="spellEnd"/>
      <w:r w:rsidRPr="00DA6EB8">
        <w:rPr>
          <w:rFonts w:cs="Times New Roman"/>
          <w:i/>
          <w:iCs/>
          <w:sz w:val="20"/>
          <w:szCs w:val="20"/>
          <w:lang w:bidi="ar-EG"/>
        </w:rPr>
        <w:t xml:space="preserve">, </w:t>
      </w:r>
      <w:proofErr w:type="spellStart"/>
      <w:r w:rsidRPr="00DA6EB8">
        <w:rPr>
          <w:rFonts w:cs="Times New Roman"/>
          <w:i/>
          <w:iCs/>
          <w:sz w:val="20"/>
          <w:szCs w:val="20"/>
          <w:lang w:bidi="ar-EG"/>
        </w:rPr>
        <w:t>Rhizoctonia</w:t>
      </w:r>
      <w:proofErr w:type="spellEnd"/>
      <w:r w:rsidRPr="00DA6EB8">
        <w:rPr>
          <w:rFonts w:cs="Times New Roman"/>
          <w:i/>
          <w:iCs/>
          <w:sz w:val="20"/>
          <w:szCs w:val="20"/>
          <w:lang w:bidi="ar-EG"/>
        </w:rPr>
        <w:t xml:space="preserve"> </w:t>
      </w:r>
      <w:proofErr w:type="spellStart"/>
      <w:r w:rsidRPr="00DA6EB8">
        <w:rPr>
          <w:rFonts w:cs="Times New Roman"/>
          <w:i/>
          <w:iCs/>
          <w:sz w:val="20"/>
          <w:szCs w:val="20"/>
          <w:lang w:bidi="ar-EG"/>
        </w:rPr>
        <w:t>solani</w:t>
      </w:r>
      <w:proofErr w:type="spellEnd"/>
      <w:r w:rsidRPr="00DA6EB8">
        <w:rPr>
          <w:rFonts w:cs="Times New Roman"/>
          <w:i/>
          <w:iCs/>
          <w:sz w:val="20"/>
          <w:szCs w:val="20"/>
          <w:lang w:bidi="ar-EG"/>
        </w:rPr>
        <w:t xml:space="preserve">, </w:t>
      </w:r>
      <w:proofErr w:type="spellStart"/>
      <w:r w:rsidRPr="00DA6EB8">
        <w:rPr>
          <w:rFonts w:cs="Times New Roman"/>
          <w:i/>
          <w:iCs/>
          <w:sz w:val="20"/>
          <w:szCs w:val="20"/>
          <w:lang w:bidi="ar-EG"/>
        </w:rPr>
        <w:t>Fusarium</w:t>
      </w:r>
      <w:proofErr w:type="spellEnd"/>
      <w:r w:rsidRPr="00DA6EB8">
        <w:rPr>
          <w:rFonts w:cs="Times New Roman"/>
          <w:i/>
          <w:iCs/>
          <w:sz w:val="20"/>
          <w:szCs w:val="20"/>
          <w:lang w:bidi="ar-EG"/>
        </w:rPr>
        <w:t xml:space="preserve"> </w:t>
      </w:r>
      <w:proofErr w:type="spellStart"/>
      <w:r w:rsidRPr="00DA6EB8">
        <w:rPr>
          <w:rFonts w:cs="Times New Roman"/>
          <w:i/>
          <w:iCs/>
          <w:sz w:val="20"/>
          <w:szCs w:val="20"/>
          <w:lang w:bidi="ar-EG"/>
        </w:rPr>
        <w:t>solani</w:t>
      </w:r>
      <w:proofErr w:type="spellEnd"/>
      <w:r w:rsidR="00DA6EB8">
        <w:rPr>
          <w:rFonts w:eastAsia="宋体" w:cs="Times New Roman" w:hint="eastAsia"/>
          <w:i/>
          <w:iCs/>
          <w:sz w:val="20"/>
          <w:szCs w:val="20"/>
          <w:lang w:eastAsia="zh-CN" w:bidi="ar-EG"/>
        </w:rPr>
        <w:t xml:space="preserve"> </w:t>
      </w:r>
      <w:r w:rsidRPr="00DA6EB8">
        <w:rPr>
          <w:rFonts w:cs="Times New Roman"/>
          <w:sz w:val="20"/>
          <w:szCs w:val="20"/>
          <w:lang w:bidi="ar-EG"/>
        </w:rPr>
        <w:t>and</w:t>
      </w:r>
      <w:r w:rsidRPr="00DA6EB8">
        <w:rPr>
          <w:rFonts w:cs="Times New Roman"/>
          <w:i/>
          <w:iCs/>
          <w:sz w:val="20"/>
          <w:szCs w:val="20"/>
          <w:lang w:bidi="ar-EG"/>
        </w:rPr>
        <w:t xml:space="preserve"> </w:t>
      </w:r>
      <w:proofErr w:type="spellStart"/>
      <w:r w:rsidRPr="00DA6EB8">
        <w:rPr>
          <w:rFonts w:cs="Times New Roman"/>
          <w:i/>
          <w:iCs/>
          <w:sz w:val="20"/>
          <w:szCs w:val="20"/>
          <w:lang w:bidi="ar-EG"/>
        </w:rPr>
        <w:t>Alternaria</w:t>
      </w:r>
      <w:proofErr w:type="spellEnd"/>
      <w:r w:rsidRPr="00DA6EB8">
        <w:rPr>
          <w:rFonts w:cs="Times New Roman"/>
          <w:i/>
          <w:iCs/>
          <w:sz w:val="20"/>
          <w:szCs w:val="20"/>
          <w:lang w:bidi="ar-EG"/>
        </w:rPr>
        <w:t xml:space="preserve"> </w:t>
      </w:r>
      <w:proofErr w:type="spellStart"/>
      <w:r w:rsidRPr="00DA6EB8">
        <w:rPr>
          <w:rFonts w:cs="Times New Roman"/>
          <w:i/>
          <w:iCs/>
          <w:sz w:val="20"/>
          <w:szCs w:val="20"/>
          <w:lang w:bidi="ar-EG"/>
        </w:rPr>
        <w:t>solani</w:t>
      </w:r>
      <w:proofErr w:type="spellEnd"/>
      <w:r w:rsidRPr="00DA6EB8">
        <w:rPr>
          <w:rFonts w:cs="Times New Roman"/>
          <w:i/>
          <w:iCs/>
          <w:sz w:val="20"/>
          <w:szCs w:val="20"/>
          <w:lang w:bidi="ar-EG"/>
        </w:rPr>
        <w:t xml:space="preserve"> </w:t>
      </w:r>
      <w:r w:rsidRPr="00DA6EB8">
        <w:rPr>
          <w:rFonts w:cs="Times New Roman"/>
          <w:sz w:val="20"/>
          <w:szCs w:val="20"/>
          <w:lang w:bidi="ar-EG"/>
        </w:rPr>
        <w:t>using the food poison technique</w:t>
      </w:r>
      <w:r w:rsidR="00DA6EB8">
        <w:rPr>
          <w:rFonts w:eastAsia="宋体" w:cs="Times New Roman" w:hint="eastAsia"/>
          <w:sz w:val="20"/>
          <w:szCs w:val="20"/>
          <w:lang w:eastAsia="zh-CN" w:bidi="ar-EG"/>
        </w:rPr>
        <w:t xml:space="preserve"> </w:t>
      </w:r>
      <w:r w:rsidRPr="00DA6EB8">
        <w:rPr>
          <w:rFonts w:cs="Times New Roman"/>
          <w:sz w:val="20"/>
          <w:szCs w:val="20"/>
          <w:lang w:bidi="ar-EG"/>
        </w:rPr>
        <w:lastRenderedPageBreak/>
        <w:t>in Potato dextrose agar medium</w:t>
      </w:r>
      <w:r w:rsidRPr="00DA6EB8">
        <w:rPr>
          <w:rFonts w:cs="Times New Roman"/>
          <w:sz w:val="20"/>
          <w:szCs w:val="20"/>
          <w:vertAlign w:val="superscript"/>
          <w:lang w:bidi="ar-EG"/>
        </w:rPr>
        <w:t xml:space="preserve"> (42)</w:t>
      </w:r>
      <w:r w:rsidRPr="00DA6EB8">
        <w:rPr>
          <w:rFonts w:cs="Times New Roman"/>
          <w:sz w:val="20"/>
          <w:szCs w:val="20"/>
          <w:lang w:bidi="ar-EG"/>
        </w:rPr>
        <w:t>. To test the antifungal activities of the selected compounds, sterile Petri dishes containing the compound dissolved in DMSO/</w:t>
      </w:r>
      <w:proofErr w:type="spellStart"/>
      <w:r w:rsidRPr="00DA6EB8">
        <w:rPr>
          <w:rFonts w:cs="Times New Roman"/>
          <w:sz w:val="20"/>
          <w:szCs w:val="20"/>
          <w:lang w:bidi="ar-EG"/>
        </w:rPr>
        <w:t>Tween</w:t>
      </w:r>
      <w:proofErr w:type="spellEnd"/>
      <w:r w:rsidRPr="00DA6EB8">
        <w:rPr>
          <w:rFonts w:cs="Times New Roman"/>
          <w:sz w:val="20"/>
          <w:szCs w:val="20"/>
          <w:lang w:bidi="ar-EG"/>
        </w:rPr>
        <w:t xml:space="preserve"> 80 emulsifier (80/20 v/v) diluted in PDA medium prepared. The prepared 10% </w:t>
      </w:r>
      <w:proofErr w:type="spellStart"/>
      <w:r w:rsidRPr="00DA6EB8">
        <w:rPr>
          <w:rFonts w:cs="Times New Roman"/>
          <w:sz w:val="20"/>
          <w:szCs w:val="20"/>
          <w:lang w:bidi="ar-EG"/>
        </w:rPr>
        <w:t>microemulsion</w:t>
      </w:r>
      <w:proofErr w:type="spellEnd"/>
      <w:r w:rsidRPr="00DA6EB8">
        <w:rPr>
          <w:rFonts w:cs="Times New Roman"/>
          <w:sz w:val="20"/>
          <w:szCs w:val="20"/>
          <w:lang w:bidi="ar-EG"/>
        </w:rPr>
        <w:t xml:space="preserve"> formulation of </w:t>
      </w:r>
      <w:r w:rsidRPr="00DA6EB8">
        <w:rPr>
          <w:rFonts w:cs="Times New Roman"/>
          <w:i/>
          <w:iCs/>
          <w:sz w:val="20"/>
          <w:szCs w:val="20"/>
          <w:lang w:bidi="ar-EG"/>
        </w:rPr>
        <w:t>trans-</w:t>
      </w:r>
      <w:r w:rsidRPr="00DA6EB8">
        <w:rPr>
          <w:rFonts w:cs="Times New Roman"/>
          <w:sz w:val="20"/>
          <w:szCs w:val="20"/>
          <w:lang w:bidi="ar-EG"/>
        </w:rPr>
        <w:t xml:space="preserve">methyl </w:t>
      </w:r>
      <w:proofErr w:type="spellStart"/>
      <w:r w:rsidRPr="00DA6EB8">
        <w:rPr>
          <w:rFonts w:cs="Times New Roman"/>
          <w:sz w:val="20"/>
          <w:szCs w:val="20"/>
          <w:lang w:bidi="ar-EG"/>
        </w:rPr>
        <w:t>cinnamate</w:t>
      </w:r>
      <w:proofErr w:type="spellEnd"/>
      <w:r w:rsidRPr="00DA6EB8">
        <w:rPr>
          <w:rFonts w:cs="Times New Roman"/>
          <w:sz w:val="20"/>
          <w:szCs w:val="20"/>
          <w:lang w:bidi="ar-EG"/>
        </w:rPr>
        <w:t xml:space="preserve"> applied directly to the PDA media. </w:t>
      </w:r>
      <w:proofErr w:type="spellStart"/>
      <w:r w:rsidRPr="00DA6EB8">
        <w:rPr>
          <w:rFonts w:cs="Times New Roman"/>
          <w:sz w:val="20"/>
          <w:szCs w:val="20"/>
          <w:lang w:bidi="ar-EG"/>
        </w:rPr>
        <w:t>Tween</w:t>
      </w:r>
      <w:proofErr w:type="spellEnd"/>
      <w:r w:rsidRPr="00DA6EB8">
        <w:rPr>
          <w:rFonts w:cs="Times New Roman"/>
          <w:sz w:val="20"/>
          <w:szCs w:val="20"/>
          <w:lang w:bidi="ar-EG"/>
        </w:rPr>
        <w:t xml:space="preserve"> 80 alone as </w:t>
      </w:r>
      <w:r w:rsidRPr="00DA6EB8">
        <w:rPr>
          <w:rFonts w:cs="Times New Roman"/>
          <w:sz w:val="20"/>
          <w:szCs w:val="20"/>
          <w:lang w:bidi="ar-EG"/>
        </w:rPr>
        <w:lastRenderedPageBreak/>
        <w:t xml:space="preserve">a control (0.025% by volume) added to PDA medium as an emulsifier control. Plates containing media mixed with DMSO (0.1% by volume) included as a solvent control. Also, DMSO and </w:t>
      </w:r>
      <w:proofErr w:type="spellStart"/>
      <w:r w:rsidRPr="00DA6EB8">
        <w:rPr>
          <w:rFonts w:cs="Times New Roman"/>
          <w:sz w:val="20"/>
          <w:szCs w:val="20"/>
          <w:lang w:bidi="ar-EG"/>
        </w:rPr>
        <w:t>Tween</w:t>
      </w:r>
      <w:proofErr w:type="spellEnd"/>
      <w:r w:rsidRPr="00DA6EB8">
        <w:rPr>
          <w:rFonts w:cs="Times New Roman"/>
          <w:sz w:val="20"/>
          <w:szCs w:val="20"/>
          <w:lang w:bidi="ar-EG"/>
        </w:rPr>
        <w:t xml:space="preserve"> 80 (4/1 v/v) added to PDA medium as a solvent/emulsifier control. Finally, PDA plates treated with distilled water served as a negative control.</w:t>
      </w:r>
    </w:p>
    <w:p w:rsidR="00BD6349" w:rsidRPr="00DA6EB8" w:rsidRDefault="00BD6349" w:rsidP="00BD6349">
      <w:pPr>
        <w:widowControl w:val="0"/>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sectPr w:rsidR="00BD6349" w:rsidRPr="00DA6EB8" w:rsidSect="00BD6349">
          <w:type w:val="continuous"/>
          <w:pgSz w:w="12240" w:h="15840" w:code="1"/>
          <w:pgMar w:top="1440" w:right="1440" w:bottom="1440" w:left="1440" w:header="720" w:footer="720" w:gutter="0"/>
          <w:cols w:num="2" w:space="550"/>
          <w:docGrid w:linePitch="360"/>
        </w:sectPr>
      </w:pPr>
    </w:p>
    <w:p w:rsidR="001841CD" w:rsidRDefault="001841CD" w:rsidP="00BD6349">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DA6EB8" w:rsidRPr="00DA6EB8" w:rsidRDefault="00DA6EB8" w:rsidP="00BD6349">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tbl>
      <w:tblPr>
        <w:tblStyle w:val="TableGrid"/>
        <w:tblW w:w="5000" w:type="pct"/>
        <w:jc w:val="center"/>
        <w:tblCellMar>
          <w:left w:w="57" w:type="dxa"/>
          <w:right w:w="57" w:type="dxa"/>
        </w:tblCellMar>
        <w:tblLook w:val="04A0"/>
      </w:tblPr>
      <w:tblGrid>
        <w:gridCol w:w="2603"/>
        <w:gridCol w:w="4620"/>
        <w:gridCol w:w="2251"/>
      </w:tblGrid>
      <w:tr w:rsidR="00BA136D" w:rsidRPr="00DA6EB8" w:rsidTr="00BD6349">
        <w:trPr>
          <w:jc w:val="center"/>
        </w:trPr>
        <w:tc>
          <w:tcPr>
            <w:tcW w:w="1374" w:type="pct"/>
            <w:tcBorders>
              <w:left w:val="nil"/>
              <w:right w:val="nil"/>
            </w:tcBorders>
            <w:vAlign w:val="center"/>
          </w:tcPr>
          <w:p w:rsidR="00BA136D" w:rsidRPr="00DA6EB8" w:rsidRDefault="00BA136D" w:rsidP="00BD6349">
            <w:pPr>
              <w:widowControl w:val="0"/>
              <w:autoSpaceDE w:val="0"/>
              <w:autoSpaceDN w:val="0"/>
              <w:adjustRightInd w:val="0"/>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Test</w:t>
            </w:r>
          </w:p>
        </w:tc>
        <w:tc>
          <w:tcPr>
            <w:tcW w:w="2438" w:type="pct"/>
            <w:tcBorders>
              <w:left w:val="nil"/>
              <w:right w:val="nil"/>
            </w:tcBorders>
            <w:vAlign w:val="center"/>
          </w:tcPr>
          <w:p w:rsidR="00BA136D" w:rsidRPr="00DA6EB8" w:rsidRDefault="00BA136D" w:rsidP="00BD6349">
            <w:pPr>
              <w:widowControl w:val="0"/>
              <w:autoSpaceDE w:val="0"/>
              <w:autoSpaceDN w:val="0"/>
              <w:adjustRightInd w:val="0"/>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Instrument</w:t>
            </w:r>
          </w:p>
        </w:tc>
        <w:tc>
          <w:tcPr>
            <w:tcW w:w="1188" w:type="pct"/>
            <w:tcBorders>
              <w:left w:val="nil"/>
              <w:right w:val="nil"/>
            </w:tcBorders>
            <w:vAlign w:val="center"/>
          </w:tcPr>
          <w:p w:rsidR="00BA136D" w:rsidRPr="00DA6EB8" w:rsidRDefault="00CC71F9" w:rsidP="00BD6349">
            <w:pPr>
              <w:widowControl w:val="0"/>
              <w:autoSpaceDE w:val="0"/>
              <w:autoSpaceDN w:val="0"/>
              <w:adjustRightInd w:val="0"/>
              <w:snapToGrid w:val="0"/>
              <w:jc w:val="both"/>
              <w:rPr>
                <w:rFonts w:ascii="Times New Roman" w:eastAsia="Calibri" w:hAnsi="Times New Roman" w:cs="Times New Roman"/>
                <w:b/>
                <w:bCs/>
                <w:sz w:val="20"/>
                <w:szCs w:val="20"/>
              </w:rPr>
            </w:pPr>
            <w:r w:rsidRPr="00DA6EB8">
              <w:rPr>
                <w:rFonts w:ascii="Times New Roman" w:eastAsia="Calibri" w:hAnsi="Times New Roman" w:cs="Times New Roman"/>
                <w:b/>
                <w:bCs/>
                <w:sz w:val="20"/>
                <w:szCs w:val="20"/>
              </w:rPr>
              <w:t xml:space="preserve">Test Method </w:t>
            </w:r>
          </w:p>
        </w:tc>
      </w:tr>
      <w:tr w:rsidR="00BA136D" w:rsidRPr="00DA6EB8" w:rsidTr="00BD6349">
        <w:trPr>
          <w:jc w:val="center"/>
        </w:trPr>
        <w:tc>
          <w:tcPr>
            <w:tcW w:w="1374" w:type="pct"/>
            <w:tcBorders>
              <w:left w:val="nil"/>
              <w:bottom w:val="nil"/>
              <w:right w:val="nil"/>
            </w:tcBorders>
            <w:vAlign w:val="center"/>
          </w:tcPr>
          <w:p w:rsidR="00BA136D" w:rsidRPr="00DA6EB8" w:rsidRDefault="00BA136D" w:rsidP="00BD6349">
            <w:pPr>
              <w:widowControl w:val="0"/>
              <w:autoSpaceDE w:val="0"/>
              <w:autoSpaceDN w:val="0"/>
              <w:adjustRightInd w:val="0"/>
              <w:snapToGrid w:val="0"/>
              <w:jc w:val="both"/>
              <w:rPr>
                <w:rFonts w:ascii="Times New Roman" w:eastAsia="Calibri" w:hAnsi="Times New Roman" w:cs="Times New Roman"/>
                <w:sz w:val="20"/>
                <w:szCs w:val="20"/>
              </w:rPr>
            </w:pPr>
            <w:r w:rsidRPr="00DA6EB8">
              <w:rPr>
                <w:rFonts w:ascii="Times New Roman" w:hAnsi="Times New Roman" w:cs="Times New Roman"/>
                <w:b/>
                <w:bCs/>
                <w:sz w:val="20"/>
                <w:szCs w:val="20"/>
              </w:rPr>
              <w:t>Acidity /or alkalinity</w:t>
            </w:r>
          </w:p>
        </w:tc>
        <w:tc>
          <w:tcPr>
            <w:tcW w:w="2438" w:type="pct"/>
            <w:tcBorders>
              <w:left w:val="nil"/>
              <w:bottom w:val="nil"/>
              <w:right w:val="nil"/>
            </w:tcBorders>
            <w:vAlign w:val="center"/>
          </w:tcPr>
          <w:p w:rsidR="00BA136D" w:rsidRPr="00DA6EB8" w:rsidRDefault="00BA136D" w:rsidP="00BD6349">
            <w:pPr>
              <w:widowControl w:val="0"/>
              <w:autoSpaceDE w:val="0"/>
              <w:autoSpaceDN w:val="0"/>
              <w:adjustRightInd w:val="0"/>
              <w:snapToGrid w:val="0"/>
              <w:jc w:val="both"/>
              <w:rPr>
                <w:rFonts w:ascii="Times New Roman" w:eastAsia="Calibri" w:hAnsi="Times New Roman" w:cs="Times New Roman"/>
                <w:sz w:val="20"/>
                <w:szCs w:val="20"/>
              </w:rPr>
            </w:pPr>
            <w:r w:rsidRPr="00DA6EB8">
              <w:rPr>
                <w:rFonts w:ascii="Times New Roman" w:hAnsi="Times New Roman" w:cs="Times New Roman"/>
                <w:sz w:val="20"/>
                <w:szCs w:val="20"/>
              </w:rPr>
              <w:t xml:space="preserve">Automatic </w:t>
            </w:r>
            <w:proofErr w:type="spellStart"/>
            <w:r w:rsidRPr="00DA6EB8">
              <w:rPr>
                <w:rFonts w:ascii="Times New Roman" w:hAnsi="Times New Roman" w:cs="Times New Roman"/>
                <w:sz w:val="20"/>
                <w:szCs w:val="20"/>
              </w:rPr>
              <w:t>Titrator</w:t>
            </w:r>
            <w:proofErr w:type="spellEnd"/>
            <w:r w:rsidRPr="00DA6EB8">
              <w:rPr>
                <w:rFonts w:ascii="Times New Roman" w:hAnsi="Times New Roman" w:cs="Times New Roman"/>
                <w:sz w:val="20"/>
                <w:szCs w:val="20"/>
              </w:rPr>
              <w:t xml:space="preserve">, (Hanna model </w:t>
            </w:r>
            <w:r w:rsidRPr="00DA6EB8">
              <w:rPr>
                <w:rFonts w:ascii="Times New Roman" w:hAnsi="Times New Roman" w:cs="Times New Roman"/>
                <w:sz w:val="20"/>
                <w:szCs w:val="20"/>
                <w:lang w:bidi="ar-EG"/>
              </w:rPr>
              <w:t>HI 901)</w:t>
            </w:r>
          </w:p>
        </w:tc>
        <w:tc>
          <w:tcPr>
            <w:tcW w:w="1188" w:type="pct"/>
            <w:tcBorders>
              <w:left w:val="nil"/>
              <w:bottom w:val="nil"/>
              <w:right w:val="nil"/>
            </w:tcBorders>
            <w:vAlign w:val="center"/>
          </w:tcPr>
          <w:p w:rsidR="00BA136D" w:rsidRPr="00DA6EB8" w:rsidRDefault="00BA136D" w:rsidP="00BD6349">
            <w:pPr>
              <w:snapToGrid w:val="0"/>
              <w:jc w:val="both"/>
              <w:rPr>
                <w:rFonts w:ascii="Times New Roman" w:eastAsia="Calibri" w:hAnsi="Times New Roman" w:cs="Times New Roman"/>
                <w:sz w:val="20"/>
                <w:szCs w:val="20"/>
              </w:rPr>
            </w:pPr>
            <w:r w:rsidRPr="00DA6EB8">
              <w:rPr>
                <w:rFonts w:ascii="Times New Roman" w:hAnsi="Times New Roman" w:cs="Times New Roman"/>
                <w:b/>
                <w:bCs/>
                <w:sz w:val="20"/>
                <w:szCs w:val="20"/>
                <w:lang w:bidi="ar-EG"/>
              </w:rPr>
              <w:t>CIPAC (MT 191)</w:t>
            </w:r>
            <w:r w:rsidRPr="00DA6EB8">
              <w:rPr>
                <w:rFonts w:ascii="Times New Roman" w:hAnsi="Times New Roman" w:cs="Times New Roman"/>
                <w:sz w:val="20"/>
                <w:szCs w:val="20"/>
                <w:vertAlign w:val="superscript"/>
              </w:rPr>
              <w:t xml:space="preserve"> (36)</w:t>
            </w:r>
          </w:p>
        </w:tc>
      </w:tr>
      <w:tr w:rsidR="00BA136D" w:rsidRPr="00DA6EB8" w:rsidTr="00BD6349">
        <w:trPr>
          <w:jc w:val="center"/>
        </w:trPr>
        <w:tc>
          <w:tcPr>
            <w:tcW w:w="1374" w:type="pct"/>
            <w:tcBorders>
              <w:top w:val="nil"/>
              <w:left w:val="nil"/>
              <w:bottom w:val="nil"/>
              <w:right w:val="nil"/>
            </w:tcBorders>
            <w:vAlign w:val="center"/>
          </w:tcPr>
          <w:p w:rsidR="00BA136D" w:rsidRPr="00DA6EB8" w:rsidRDefault="00BA136D" w:rsidP="00BD6349">
            <w:pPr>
              <w:autoSpaceDE w:val="0"/>
              <w:autoSpaceDN w:val="0"/>
              <w:adjustRightInd w:val="0"/>
              <w:snapToGrid w:val="0"/>
              <w:jc w:val="both"/>
              <w:rPr>
                <w:rFonts w:ascii="Times New Roman" w:hAnsi="Times New Roman" w:cs="Times New Roman"/>
                <w:sz w:val="20"/>
                <w:szCs w:val="20"/>
              </w:rPr>
            </w:pPr>
            <w:r w:rsidRPr="00DA6EB8">
              <w:rPr>
                <w:rFonts w:ascii="Times New Roman" w:hAnsi="Times New Roman" w:cs="Times New Roman"/>
                <w:b/>
                <w:bCs/>
                <w:sz w:val="20"/>
                <w:szCs w:val="20"/>
              </w:rPr>
              <w:t>pH Measurement</w:t>
            </w:r>
          </w:p>
        </w:tc>
        <w:tc>
          <w:tcPr>
            <w:tcW w:w="2438" w:type="pct"/>
            <w:tcBorders>
              <w:top w:val="nil"/>
              <w:left w:val="nil"/>
              <w:bottom w:val="nil"/>
              <w:right w:val="nil"/>
            </w:tcBorders>
            <w:vAlign w:val="center"/>
          </w:tcPr>
          <w:p w:rsidR="00BA136D" w:rsidRPr="00DA6EB8" w:rsidRDefault="00BA136D" w:rsidP="00BD6349">
            <w:pPr>
              <w:widowControl w:val="0"/>
              <w:autoSpaceDE w:val="0"/>
              <w:autoSpaceDN w:val="0"/>
              <w:adjustRightInd w:val="0"/>
              <w:snapToGrid w:val="0"/>
              <w:jc w:val="both"/>
              <w:rPr>
                <w:rFonts w:ascii="Times New Roman" w:eastAsia="Calibri" w:hAnsi="Times New Roman" w:cs="Times New Roman"/>
                <w:sz w:val="20"/>
                <w:szCs w:val="20"/>
              </w:rPr>
            </w:pPr>
            <w:r w:rsidRPr="00DA6EB8">
              <w:rPr>
                <w:rFonts w:ascii="Times New Roman" w:hAnsi="Times New Roman" w:cs="Times New Roman"/>
                <w:sz w:val="20"/>
                <w:szCs w:val="20"/>
              </w:rPr>
              <w:t>pH Meter (</w:t>
            </w:r>
            <w:proofErr w:type="spellStart"/>
            <w:r w:rsidRPr="00DA6EB8">
              <w:rPr>
                <w:rFonts w:ascii="Times New Roman" w:hAnsi="Times New Roman" w:cs="Times New Roman"/>
                <w:sz w:val="20"/>
                <w:szCs w:val="20"/>
              </w:rPr>
              <w:t>Jenway</w:t>
            </w:r>
            <w:proofErr w:type="spellEnd"/>
            <w:r w:rsidRPr="00DA6EB8">
              <w:rPr>
                <w:rFonts w:ascii="Times New Roman" w:hAnsi="Times New Roman" w:cs="Times New Roman"/>
                <w:sz w:val="20"/>
                <w:szCs w:val="20"/>
              </w:rPr>
              <w:t xml:space="preserve"> model pH 3510)</w:t>
            </w:r>
          </w:p>
        </w:tc>
        <w:tc>
          <w:tcPr>
            <w:tcW w:w="1188" w:type="pct"/>
            <w:tcBorders>
              <w:top w:val="nil"/>
              <w:left w:val="nil"/>
              <w:bottom w:val="nil"/>
              <w:right w:val="nil"/>
            </w:tcBorders>
            <w:vAlign w:val="center"/>
          </w:tcPr>
          <w:p w:rsidR="00BA136D" w:rsidRPr="00DA6EB8" w:rsidRDefault="00BA136D" w:rsidP="00BD6349">
            <w:pPr>
              <w:widowControl w:val="0"/>
              <w:autoSpaceDE w:val="0"/>
              <w:autoSpaceDN w:val="0"/>
              <w:adjustRightInd w:val="0"/>
              <w:snapToGrid w:val="0"/>
              <w:jc w:val="both"/>
              <w:rPr>
                <w:rFonts w:ascii="Times New Roman" w:eastAsia="Calibri" w:hAnsi="Times New Roman" w:cs="Times New Roman"/>
                <w:sz w:val="20"/>
                <w:szCs w:val="20"/>
              </w:rPr>
            </w:pPr>
            <w:r w:rsidRPr="00DA6EB8">
              <w:rPr>
                <w:rFonts w:ascii="Times New Roman" w:hAnsi="Times New Roman" w:cs="Times New Roman"/>
                <w:b/>
                <w:bCs/>
                <w:sz w:val="20"/>
                <w:szCs w:val="20"/>
                <w:lang w:bidi="ar-EG"/>
              </w:rPr>
              <w:t>CIPAC (MT 75.3)</w:t>
            </w:r>
            <w:r w:rsidRPr="00DA6EB8">
              <w:rPr>
                <w:rFonts w:ascii="Times New Roman" w:hAnsi="Times New Roman" w:cs="Times New Roman"/>
                <w:sz w:val="20"/>
                <w:szCs w:val="20"/>
                <w:vertAlign w:val="superscript"/>
              </w:rPr>
              <w:t xml:space="preserve"> (36)</w:t>
            </w:r>
          </w:p>
        </w:tc>
      </w:tr>
      <w:tr w:rsidR="00BA136D" w:rsidRPr="00DA6EB8" w:rsidTr="00BD6349">
        <w:trPr>
          <w:jc w:val="center"/>
        </w:trPr>
        <w:tc>
          <w:tcPr>
            <w:tcW w:w="1374" w:type="pct"/>
            <w:tcBorders>
              <w:top w:val="nil"/>
              <w:left w:val="nil"/>
              <w:bottom w:val="nil"/>
              <w:right w:val="nil"/>
            </w:tcBorders>
            <w:vAlign w:val="center"/>
          </w:tcPr>
          <w:p w:rsidR="00BA136D" w:rsidRPr="00DA6EB8" w:rsidRDefault="00BA136D" w:rsidP="00BD6349">
            <w:pPr>
              <w:widowControl w:val="0"/>
              <w:autoSpaceDE w:val="0"/>
              <w:autoSpaceDN w:val="0"/>
              <w:adjustRightInd w:val="0"/>
              <w:snapToGrid w:val="0"/>
              <w:jc w:val="both"/>
              <w:rPr>
                <w:rFonts w:ascii="Times New Roman" w:eastAsia="Calibri" w:hAnsi="Times New Roman" w:cs="Times New Roman"/>
                <w:sz w:val="20"/>
                <w:szCs w:val="20"/>
              </w:rPr>
            </w:pPr>
            <w:r w:rsidRPr="00DA6EB8">
              <w:rPr>
                <w:rFonts w:ascii="Times New Roman" w:hAnsi="Times New Roman" w:cs="Times New Roman"/>
                <w:b/>
                <w:bCs/>
                <w:sz w:val="20"/>
                <w:szCs w:val="20"/>
              </w:rPr>
              <w:t>Viscosity</w:t>
            </w:r>
          </w:p>
        </w:tc>
        <w:tc>
          <w:tcPr>
            <w:tcW w:w="2438" w:type="pct"/>
            <w:tcBorders>
              <w:top w:val="nil"/>
              <w:left w:val="nil"/>
              <w:bottom w:val="nil"/>
              <w:right w:val="nil"/>
            </w:tcBorders>
            <w:vAlign w:val="center"/>
          </w:tcPr>
          <w:p w:rsidR="00BA136D" w:rsidRPr="00DA6EB8" w:rsidRDefault="00BA136D" w:rsidP="00BD6349">
            <w:pPr>
              <w:widowControl w:val="0"/>
              <w:autoSpaceDE w:val="0"/>
              <w:autoSpaceDN w:val="0"/>
              <w:adjustRightInd w:val="0"/>
              <w:snapToGrid w:val="0"/>
              <w:jc w:val="both"/>
              <w:rPr>
                <w:rFonts w:ascii="Times New Roman" w:eastAsia="Calibri" w:hAnsi="Times New Roman" w:cs="Times New Roman"/>
                <w:sz w:val="20"/>
                <w:szCs w:val="20"/>
              </w:rPr>
            </w:pPr>
            <w:r w:rsidRPr="00DA6EB8">
              <w:rPr>
                <w:rFonts w:ascii="Times New Roman" w:hAnsi="Times New Roman" w:cs="Times New Roman"/>
                <w:sz w:val="20"/>
                <w:szCs w:val="20"/>
                <w:lang w:bidi="ar-BH"/>
              </w:rPr>
              <w:t xml:space="preserve">Brookfield Viscometer </w:t>
            </w:r>
            <w:r w:rsidRPr="00DA6EB8">
              <w:rPr>
                <w:rFonts w:ascii="Times New Roman" w:hAnsi="Times New Roman" w:cs="Times New Roman"/>
                <w:sz w:val="20"/>
                <w:szCs w:val="20"/>
              </w:rPr>
              <w:t>DV-II + Pro, USA</w:t>
            </w:r>
          </w:p>
        </w:tc>
        <w:tc>
          <w:tcPr>
            <w:tcW w:w="1188" w:type="pct"/>
            <w:tcBorders>
              <w:top w:val="nil"/>
              <w:left w:val="nil"/>
              <w:bottom w:val="nil"/>
              <w:right w:val="nil"/>
            </w:tcBorders>
            <w:vAlign w:val="center"/>
          </w:tcPr>
          <w:p w:rsidR="00BA136D" w:rsidRPr="00DA6EB8" w:rsidRDefault="00BA136D" w:rsidP="00BD6349">
            <w:pPr>
              <w:snapToGrid w:val="0"/>
              <w:jc w:val="both"/>
              <w:rPr>
                <w:rFonts w:ascii="Times New Roman" w:eastAsia="Calibri" w:hAnsi="Times New Roman" w:cs="Times New Roman"/>
                <w:sz w:val="20"/>
                <w:szCs w:val="20"/>
              </w:rPr>
            </w:pPr>
            <w:r w:rsidRPr="00DA6EB8">
              <w:rPr>
                <w:rFonts w:ascii="Times New Roman" w:hAnsi="Times New Roman" w:cs="Times New Roman"/>
                <w:b/>
                <w:bCs/>
                <w:sz w:val="20"/>
                <w:szCs w:val="20"/>
                <w:lang w:bidi="ar-EG"/>
              </w:rPr>
              <w:t>ASTM (D 2196</w:t>
            </w:r>
            <w:r w:rsidR="003D6100" w:rsidRPr="00DA6EB8">
              <w:rPr>
                <w:rFonts w:ascii="Times New Roman" w:hAnsi="Times New Roman" w:cs="Times New Roman"/>
                <w:b/>
                <w:bCs/>
                <w:sz w:val="20"/>
                <w:szCs w:val="20"/>
                <w:lang w:bidi="ar-BH"/>
              </w:rPr>
              <w:t>–</w:t>
            </w:r>
            <w:r w:rsidRPr="00DA6EB8">
              <w:rPr>
                <w:rFonts w:ascii="Times New Roman" w:hAnsi="Times New Roman" w:cs="Times New Roman"/>
                <w:b/>
                <w:bCs/>
                <w:sz w:val="20"/>
                <w:szCs w:val="20"/>
                <w:lang w:bidi="ar-EG"/>
              </w:rPr>
              <w:t>15)</w:t>
            </w:r>
            <w:r w:rsidRPr="00DA6EB8">
              <w:rPr>
                <w:rFonts w:ascii="Times New Roman" w:hAnsi="Times New Roman" w:cs="Times New Roman"/>
                <w:sz w:val="20"/>
                <w:szCs w:val="20"/>
                <w:vertAlign w:val="superscript"/>
              </w:rPr>
              <w:t xml:space="preserve"> (37)</w:t>
            </w:r>
          </w:p>
        </w:tc>
      </w:tr>
      <w:tr w:rsidR="00BA136D" w:rsidRPr="00DA6EB8" w:rsidTr="00BD6349">
        <w:trPr>
          <w:jc w:val="center"/>
        </w:trPr>
        <w:tc>
          <w:tcPr>
            <w:tcW w:w="1374" w:type="pct"/>
            <w:tcBorders>
              <w:top w:val="nil"/>
              <w:left w:val="nil"/>
              <w:bottom w:val="nil"/>
              <w:right w:val="nil"/>
            </w:tcBorders>
            <w:vAlign w:val="center"/>
          </w:tcPr>
          <w:p w:rsidR="00BA136D" w:rsidRPr="00DA6EB8" w:rsidRDefault="00BA136D" w:rsidP="00BD6349">
            <w:pPr>
              <w:autoSpaceDE w:val="0"/>
              <w:autoSpaceDN w:val="0"/>
              <w:adjustRightInd w:val="0"/>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Surface Tension</w:t>
            </w:r>
          </w:p>
        </w:tc>
        <w:tc>
          <w:tcPr>
            <w:tcW w:w="2438" w:type="pct"/>
            <w:tcBorders>
              <w:top w:val="nil"/>
              <w:left w:val="nil"/>
              <w:bottom w:val="nil"/>
              <w:right w:val="nil"/>
            </w:tcBorders>
            <w:vAlign w:val="center"/>
          </w:tcPr>
          <w:p w:rsidR="00BA136D" w:rsidRPr="00DA6EB8" w:rsidRDefault="00BA136D" w:rsidP="00BD6349">
            <w:pPr>
              <w:widowControl w:val="0"/>
              <w:autoSpaceDE w:val="0"/>
              <w:autoSpaceDN w:val="0"/>
              <w:adjustRightInd w:val="0"/>
              <w:snapToGrid w:val="0"/>
              <w:jc w:val="both"/>
              <w:rPr>
                <w:rFonts w:ascii="Times New Roman" w:eastAsia="Calibri" w:hAnsi="Times New Roman" w:cs="Times New Roman"/>
                <w:sz w:val="20"/>
                <w:szCs w:val="20"/>
              </w:rPr>
            </w:pPr>
            <w:r w:rsidRPr="00DA6EB8">
              <w:rPr>
                <w:rFonts w:ascii="Times New Roman" w:hAnsi="Times New Roman" w:cs="Times New Roman"/>
                <w:sz w:val="20"/>
                <w:szCs w:val="20"/>
              </w:rPr>
              <w:t xml:space="preserve">“Sigma 700” by du </w:t>
            </w:r>
            <w:proofErr w:type="spellStart"/>
            <w:r w:rsidRPr="00DA6EB8">
              <w:rPr>
                <w:rFonts w:ascii="Times New Roman" w:hAnsi="Times New Roman" w:cs="Times New Roman"/>
                <w:sz w:val="20"/>
                <w:szCs w:val="20"/>
              </w:rPr>
              <w:t>Noüy</w:t>
            </w:r>
            <w:proofErr w:type="spellEnd"/>
            <w:r w:rsidRPr="00DA6EB8">
              <w:rPr>
                <w:rFonts w:ascii="Times New Roman" w:hAnsi="Times New Roman" w:cs="Times New Roman"/>
                <w:sz w:val="20"/>
                <w:szCs w:val="20"/>
              </w:rPr>
              <w:t xml:space="preserve"> Ring, a platinum/iridium ring</w:t>
            </w:r>
          </w:p>
        </w:tc>
        <w:tc>
          <w:tcPr>
            <w:tcW w:w="1188" w:type="pct"/>
            <w:tcBorders>
              <w:top w:val="nil"/>
              <w:left w:val="nil"/>
              <w:bottom w:val="nil"/>
              <w:right w:val="nil"/>
            </w:tcBorders>
            <w:vAlign w:val="center"/>
          </w:tcPr>
          <w:p w:rsidR="00BA136D" w:rsidRPr="00DA6EB8" w:rsidRDefault="00BA136D" w:rsidP="00BD6349">
            <w:pPr>
              <w:snapToGrid w:val="0"/>
              <w:jc w:val="both"/>
              <w:rPr>
                <w:rFonts w:ascii="Times New Roman" w:eastAsia="Calibri" w:hAnsi="Times New Roman" w:cs="Times New Roman"/>
                <w:sz w:val="20"/>
                <w:szCs w:val="20"/>
              </w:rPr>
            </w:pPr>
            <w:r w:rsidRPr="00DA6EB8">
              <w:rPr>
                <w:rFonts w:ascii="Times New Roman" w:hAnsi="Times New Roman" w:cs="Times New Roman"/>
                <w:b/>
                <w:bCs/>
                <w:sz w:val="20"/>
                <w:szCs w:val="20"/>
                <w:lang w:bidi="ar-BH"/>
              </w:rPr>
              <w:t>AST</w:t>
            </w:r>
            <w:r w:rsidR="001841CD" w:rsidRPr="00DA6EB8">
              <w:rPr>
                <w:rFonts w:ascii="Times New Roman" w:hAnsi="Times New Roman" w:cs="Times New Roman"/>
                <w:b/>
                <w:bCs/>
                <w:sz w:val="20"/>
                <w:szCs w:val="20"/>
                <w:lang w:bidi="ar-BH"/>
              </w:rPr>
              <w:t>M (</w:t>
            </w:r>
            <w:r w:rsidRPr="00DA6EB8">
              <w:rPr>
                <w:rFonts w:ascii="Times New Roman" w:hAnsi="Times New Roman" w:cs="Times New Roman"/>
                <w:b/>
                <w:bCs/>
                <w:sz w:val="20"/>
                <w:szCs w:val="20"/>
                <w:lang w:bidi="ar-BH"/>
              </w:rPr>
              <w:t>D1331 – 14)</w:t>
            </w:r>
            <w:r w:rsidRPr="00DA6EB8">
              <w:rPr>
                <w:rFonts w:ascii="Times New Roman" w:hAnsi="Times New Roman" w:cs="Times New Roman"/>
                <w:sz w:val="20"/>
                <w:szCs w:val="20"/>
                <w:vertAlign w:val="superscript"/>
              </w:rPr>
              <w:t xml:space="preserve"> (38)</w:t>
            </w:r>
          </w:p>
        </w:tc>
      </w:tr>
      <w:tr w:rsidR="00BA136D" w:rsidRPr="00DA6EB8" w:rsidTr="00BD6349">
        <w:trPr>
          <w:jc w:val="center"/>
        </w:trPr>
        <w:tc>
          <w:tcPr>
            <w:tcW w:w="1374" w:type="pct"/>
            <w:tcBorders>
              <w:top w:val="nil"/>
              <w:left w:val="nil"/>
              <w:bottom w:val="nil"/>
              <w:right w:val="nil"/>
            </w:tcBorders>
            <w:vAlign w:val="center"/>
          </w:tcPr>
          <w:p w:rsidR="00BA136D" w:rsidRPr="00DA6EB8" w:rsidRDefault="00BA136D" w:rsidP="00BD6349">
            <w:pPr>
              <w:tabs>
                <w:tab w:val="left" w:pos="360"/>
              </w:tabs>
              <w:autoSpaceDE w:val="0"/>
              <w:autoSpaceDN w:val="0"/>
              <w:adjustRightInd w:val="0"/>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Refractive Index</w:t>
            </w:r>
          </w:p>
        </w:tc>
        <w:tc>
          <w:tcPr>
            <w:tcW w:w="2438" w:type="pct"/>
            <w:tcBorders>
              <w:top w:val="nil"/>
              <w:left w:val="nil"/>
              <w:bottom w:val="nil"/>
              <w:right w:val="nil"/>
            </w:tcBorders>
            <w:vAlign w:val="center"/>
          </w:tcPr>
          <w:p w:rsidR="00BA136D" w:rsidRPr="00DA6EB8" w:rsidRDefault="00BA136D" w:rsidP="00BD6349">
            <w:pPr>
              <w:autoSpaceDE w:val="0"/>
              <w:autoSpaceDN w:val="0"/>
              <w:adjustRightInd w:val="0"/>
              <w:snapToGrid w:val="0"/>
              <w:jc w:val="both"/>
              <w:rPr>
                <w:rFonts w:ascii="Times New Roman" w:hAnsi="Times New Roman" w:cs="Times New Roman"/>
                <w:sz w:val="20"/>
                <w:szCs w:val="20"/>
              </w:rPr>
            </w:pPr>
            <w:r w:rsidRPr="00DA6EB8">
              <w:rPr>
                <w:rFonts w:ascii="Times New Roman" w:hAnsi="Times New Roman" w:cs="Times New Roman"/>
                <w:sz w:val="20"/>
                <w:szCs w:val="20"/>
              </w:rPr>
              <w:t xml:space="preserve">ABBE </w:t>
            </w:r>
            <w:proofErr w:type="spellStart"/>
            <w:r w:rsidRPr="00DA6EB8">
              <w:rPr>
                <w:rFonts w:ascii="Times New Roman" w:hAnsi="Times New Roman" w:cs="Times New Roman"/>
                <w:sz w:val="20"/>
                <w:szCs w:val="20"/>
              </w:rPr>
              <w:t>Refractometer</w:t>
            </w:r>
            <w:proofErr w:type="spellEnd"/>
            <w:r w:rsidRPr="00DA6EB8">
              <w:rPr>
                <w:rFonts w:ascii="Times New Roman" w:hAnsi="Times New Roman" w:cs="Times New Roman"/>
                <w:sz w:val="20"/>
                <w:szCs w:val="20"/>
              </w:rPr>
              <w:t>, ATAGO</w:t>
            </w:r>
          </w:p>
        </w:tc>
        <w:tc>
          <w:tcPr>
            <w:tcW w:w="1188" w:type="pct"/>
            <w:tcBorders>
              <w:top w:val="nil"/>
              <w:left w:val="nil"/>
              <w:bottom w:val="nil"/>
              <w:right w:val="nil"/>
            </w:tcBorders>
            <w:vAlign w:val="center"/>
          </w:tcPr>
          <w:p w:rsidR="00BA136D" w:rsidRPr="00DA6EB8" w:rsidRDefault="00BA136D" w:rsidP="00BD6349">
            <w:pPr>
              <w:snapToGrid w:val="0"/>
              <w:jc w:val="both"/>
              <w:rPr>
                <w:rFonts w:ascii="Times New Roman" w:eastAsia="Calibri" w:hAnsi="Times New Roman" w:cs="Times New Roman"/>
                <w:sz w:val="20"/>
                <w:szCs w:val="20"/>
              </w:rPr>
            </w:pPr>
            <w:r w:rsidRPr="00DA6EB8">
              <w:rPr>
                <w:rFonts w:ascii="Times New Roman" w:hAnsi="Times New Roman" w:cs="Times New Roman"/>
                <w:b/>
                <w:bCs/>
                <w:sz w:val="20"/>
                <w:szCs w:val="20"/>
                <w:lang w:bidi="ar-BH"/>
              </w:rPr>
              <w:t>ASTM (</w:t>
            </w:r>
            <w:r w:rsidRPr="00DA6EB8">
              <w:rPr>
                <w:rFonts w:ascii="Times New Roman" w:hAnsi="Times New Roman" w:cs="Times New Roman"/>
                <w:b/>
                <w:bCs/>
                <w:sz w:val="20"/>
                <w:szCs w:val="20"/>
                <w:lang w:bidi="ar-EG"/>
              </w:rPr>
              <w:t>D 1218</w:t>
            </w:r>
            <w:r w:rsidR="003D6100" w:rsidRPr="00DA6EB8">
              <w:rPr>
                <w:rFonts w:ascii="Times New Roman" w:hAnsi="Times New Roman" w:cs="Times New Roman"/>
                <w:b/>
                <w:bCs/>
                <w:sz w:val="20"/>
                <w:szCs w:val="20"/>
                <w:lang w:bidi="ar-BH"/>
              </w:rPr>
              <w:t>–</w:t>
            </w:r>
            <w:r w:rsidRPr="00DA6EB8">
              <w:rPr>
                <w:rFonts w:ascii="Times New Roman" w:hAnsi="Times New Roman" w:cs="Times New Roman"/>
                <w:b/>
                <w:bCs/>
                <w:sz w:val="20"/>
                <w:szCs w:val="20"/>
                <w:lang w:bidi="ar-EG"/>
              </w:rPr>
              <w:t>02)</w:t>
            </w:r>
            <w:r w:rsidRPr="00DA6EB8">
              <w:rPr>
                <w:rFonts w:ascii="Times New Roman" w:hAnsi="Times New Roman" w:cs="Times New Roman"/>
                <w:sz w:val="20"/>
                <w:szCs w:val="20"/>
                <w:vertAlign w:val="superscript"/>
              </w:rPr>
              <w:t xml:space="preserve"> (39)</w:t>
            </w:r>
          </w:p>
        </w:tc>
      </w:tr>
      <w:tr w:rsidR="00BA136D" w:rsidRPr="00DA6EB8" w:rsidTr="00BD6349">
        <w:trPr>
          <w:jc w:val="center"/>
        </w:trPr>
        <w:tc>
          <w:tcPr>
            <w:tcW w:w="1374" w:type="pct"/>
            <w:tcBorders>
              <w:top w:val="nil"/>
              <w:left w:val="nil"/>
              <w:bottom w:val="nil"/>
              <w:right w:val="nil"/>
            </w:tcBorders>
            <w:vAlign w:val="center"/>
          </w:tcPr>
          <w:p w:rsidR="00BA136D" w:rsidRPr="00DA6EB8" w:rsidRDefault="00BA136D" w:rsidP="00BD6349">
            <w:pPr>
              <w:tabs>
                <w:tab w:val="left" w:pos="360"/>
              </w:tabs>
              <w:autoSpaceDE w:val="0"/>
              <w:autoSpaceDN w:val="0"/>
              <w:adjustRightInd w:val="0"/>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Density and Specific Gravity</w:t>
            </w:r>
          </w:p>
        </w:tc>
        <w:tc>
          <w:tcPr>
            <w:tcW w:w="2438" w:type="pct"/>
            <w:tcBorders>
              <w:top w:val="nil"/>
              <w:left w:val="nil"/>
              <w:bottom w:val="nil"/>
              <w:right w:val="nil"/>
            </w:tcBorders>
            <w:vAlign w:val="center"/>
          </w:tcPr>
          <w:p w:rsidR="00BA136D" w:rsidRPr="00DA6EB8" w:rsidRDefault="00BA136D" w:rsidP="00BD6349">
            <w:pPr>
              <w:widowControl w:val="0"/>
              <w:autoSpaceDE w:val="0"/>
              <w:autoSpaceDN w:val="0"/>
              <w:adjustRightInd w:val="0"/>
              <w:snapToGrid w:val="0"/>
              <w:jc w:val="both"/>
              <w:rPr>
                <w:rFonts w:ascii="Times New Roman" w:eastAsia="Calibri" w:hAnsi="Times New Roman" w:cs="Times New Roman"/>
                <w:sz w:val="20"/>
                <w:szCs w:val="20"/>
              </w:rPr>
            </w:pPr>
            <w:proofErr w:type="spellStart"/>
            <w:r w:rsidRPr="00DA6EB8">
              <w:rPr>
                <w:rFonts w:ascii="Times New Roman" w:hAnsi="Times New Roman" w:cs="Times New Roman"/>
                <w:sz w:val="20"/>
                <w:szCs w:val="20"/>
              </w:rPr>
              <w:t>Rodulph</w:t>
            </w:r>
            <w:proofErr w:type="spellEnd"/>
            <w:r w:rsidRPr="00DA6EB8">
              <w:rPr>
                <w:rFonts w:ascii="Times New Roman" w:hAnsi="Times New Roman" w:cs="Times New Roman"/>
                <w:sz w:val="20"/>
                <w:szCs w:val="20"/>
              </w:rPr>
              <w:t xml:space="preserve"> Densitometer (</w:t>
            </w:r>
            <w:r w:rsidRPr="00DA6EB8">
              <w:rPr>
                <w:rFonts w:ascii="Times New Roman" w:hAnsi="Times New Roman" w:cs="Times New Roman"/>
                <w:sz w:val="20"/>
                <w:szCs w:val="20"/>
                <w:lang w:bidi="ar-EG"/>
              </w:rPr>
              <w:t>DDM 2910, USA)</w:t>
            </w:r>
          </w:p>
        </w:tc>
        <w:tc>
          <w:tcPr>
            <w:tcW w:w="1188" w:type="pct"/>
            <w:tcBorders>
              <w:top w:val="nil"/>
              <w:left w:val="nil"/>
              <w:bottom w:val="nil"/>
              <w:right w:val="nil"/>
            </w:tcBorders>
            <w:vAlign w:val="center"/>
          </w:tcPr>
          <w:p w:rsidR="00BA136D" w:rsidRPr="00DA6EB8" w:rsidRDefault="00BA136D" w:rsidP="00BD6349">
            <w:pPr>
              <w:snapToGrid w:val="0"/>
              <w:jc w:val="both"/>
              <w:rPr>
                <w:rFonts w:ascii="Times New Roman" w:eastAsia="Calibri" w:hAnsi="Times New Roman" w:cs="Times New Roman"/>
                <w:sz w:val="20"/>
                <w:szCs w:val="20"/>
              </w:rPr>
            </w:pPr>
            <w:r w:rsidRPr="00DA6EB8">
              <w:rPr>
                <w:rFonts w:ascii="Times New Roman" w:hAnsi="Times New Roman" w:cs="Times New Roman"/>
                <w:b/>
                <w:bCs/>
                <w:sz w:val="20"/>
                <w:szCs w:val="20"/>
                <w:lang w:bidi="ar-EG"/>
              </w:rPr>
              <w:t>ASTM (D 4052 – 11)</w:t>
            </w:r>
            <w:r w:rsidRPr="00DA6EB8">
              <w:rPr>
                <w:rFonts w:ascii="Times New Roman" w:hAnsi="Times New Roman" w:cs="Times New Roman"/>
                <w:sz w:val="20"/>
                <w:szCs w:val="20"/>
                <w:vertAlign w:val="superscript"/>
              </w:rPr>
              <w:t xml:space="preserve"> (40)</w:t>
            </w:r>
          </w:p>
        </w:tc>
      </w:tr>
      <w:tr w:rsidR="00BA136D" w:rsidRPr="00DA6EB8" w:rsidTr="00BD6349">
        <w:trPr>
          <w:jc w:val="center"/>
        </w:trPr>
        <w:tc>
          <w:tcPr>
            <w:tcW w:w="1374" w:type="pct"/>
            <w:tcBorders>
              <w:top w:val="nil"/>
              <w:left w:val="nil"/>
              <w:right w:val="nil"/>
            </w:tcBorders>
            <w:vAlign w:val="center"/>
          </w:tcPr>
          <w:p w:rsidR="00BA136D" w:rsidRPr="00DA6EB8" w:rsidRDefault="00BA136D" w:rsidP="00BD6349">
            <w:pPr>
              <w:autoSpaceDE w:val="0"/>
              <w:autoSpaceDN w:val="0"/>
              <w:adjustRightInd w:val="0"/>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Flash point</w:t>
            </w:r>
          </w:p>
        </w:tc>
        <w:tc>
          <w:tcPr>
            <w:tcW w:w="2438" w:type="pct"/>
            <w:tcBorders>
              <w:top w:val="nil"/>
              <w:left w:val="nil"/>
              <w:right w:val="nil"/>
            </w:tcBorders>
            <w:vAlign w:val="center"/>
          </w:tcPr>
          <w:p w:rsidR="00BA136D" w:rsidRPr="00DA6EB8" w:rsidRDefault="00BA136D" w:rsidP="00BD6349">
            <w:pPr>
              <w:widowControl w:val="0"/>
              <w:autoSpaceDE w:val="0"/>
              <w:autoSpaceDN w:val="0"/>
              <w:adjustRightInd w:val="0"/>
              <w:snapToGrid w:val="0"/>
              <w:jc w:val="both"/>
              <w:rPr>
                <w:rFonts w:ascii="Times New Roman" w:eastAsia="Calibri" w:hAnsi="Times New Roman" w:cs="Times New Roman"/>
                <w:sz w:val="20"/>
                <w:szCs w:val="20"/>
              </w:rPr>
            </w:pPr>
            <w:r w:rsidRPr="00DA6EB8">
              <w:rPr>
                <w:rFonts w:ascii="Times New Roman" w:hAnsi="Times New Roman" w:cs="Times New Roman"/>
                <w:sz w:val="20"/>
                <w:szCs w:val="20"/>
              </w:rPr>
              <w:t>Koehler instrument (tag closed-cup)</w:t>
            </w:r>
          </w:p>
        </w:tc>
        <w:tc>
          <w:tcPr>
            <w:tcW w:w="1188" w:type="pct"/>
            <w:tcBorders>
              <w:top w:val="nil"/>
              <w:left w:val="nil"/>
              <w:right w:val="nil"/>
            </w:tcBorders>
            <w:vAlign w:val="center"/>
          </w:tcPr>
          <w:p w:rsidR="00BA136D" w:rsidRPr="00DA6EB8" w:rsidRDefault="00BA136D" w:rsidP="00BD6349">
            <w:pPr>
              <w:widowControl w:val="0"/>
              <w:autoSpaceDE w:val="0"/>
              <w:autoSpaceDN w:val="0"/>
              <w:adjustRightInd w:val="0"/>
              <w:snapToGrid w:val="0"/>
              <w:jc w:val="both"/>
              <w:rPr>
                <w:rFonts w:ascii="Times New Roman" w:eastAsia="Calibri" w:hAnsi="Times New Roman" w:cs="Times New Roman"/>
                <w:sz w:val="20"/>
                <w:szCs w:val="20"/>
              </w:rPr>
            </w:pPr>
            <w:r w:rsidRPr="00DA6EB8">
              <w:rPr>
                <w:rFonts w:ascii="Times New Roman" w:hAnsi="Times New Roman" w:cs="Times New Roman"/>
                <w:b/>
                <w:bCs/>
                <w:sz w:val="20"/>
                <w:szCs w:val="20"/>
                <w:lang w:bidi="ar-EG"/>
              </w:rPr>
              <w:t>ASTM</w:t>
            </w:r>
            <w:r w:rsidRPr="00DA6EB8">
              <w:rPr>
                <w:rFonts w:ascii="Times New Roman" w:hAnsi="Times New Roman" w:cs="Times New Roman"/>
                <w:b/>
                <w:bCs/>
                <w:sz w:val="20"/>
                <w:szCs w:val="20"/>
                <w:lang w:bidi="ar-BH"/>
              </w:rPr>
              <w:t xml:space="preserve"> (</w:t>
            </w:r>
            <w:r w:rsidRPr="00DA6EB8">
              <w:rPr>
                <w:rFonts w:ascii="Times New Roman" w:hAnsi="Times New Roman" w:cs="Times New Roman"/>
                <w:b/>
                <w:bCs/>
                <w:sz w:val="20"/>
                <w:szCs w:val="20"/>
                <w:lang w:bidi="ar-EG"/>
              </w:rPr>
              <w:t>D 3828 – 12a)</w:t>
            </w:r>
            <w:r w:rsidRPr="00DA6EB8">
              <w:rPr>
                <w:rFonts w:ascii="Times New Roman" w:hAnsi="Times New Roman" w:cs="Times New Roman"/>
                <w:sz w:val="20"/>
                <w:szCs w:val="20"/>
                <w:vertAlign w:val="superscript"/>
              </w:rPr>
              <w:t xml:space="preserve"> (41)</w:t>
            </w:r>
          </w:p>
        </w:tc>
      </w:tr>
    </w:tbl>
    <w:p w:rsidR="001841CD" w:rsidRPr="00DA6EB8" w:rsidRDefault="001841CD" w:rsidP="00BD6349">
      <w:pPr>
        <w:pStyle w:val="ListParagraph"/>
        <w:widowControl w:val="0"/>
        <w:autoSpaceDE w:val="0"/>
        <w:autoSpaceDN w:val="0"/>
        <w:adjustRightInd w:val="0"/>
        <w:snapToGrid w:val="0"/>
        <w:spacing w:after="0" w:line="240" w:lineRule="auto"/>
        <w:ind w:left="0"/>
        <w:jc w:val="both"/>
        <w:rPr>
          <w:rFonts w:ascii="Times New Roman" w:eastAsia="Calibri" w:hAnsi="Times New Roman" w:cs="Times New Roman"/>
          <w:b/>
          <w:bCs/>
          <w:sz w:val="20"/>
          <w:szCs w:val="20"/>
        </w:rPr>
      </w:pPr>
    </w:p>
    <w:p w:rsidR="00BD6349" w:rsidRPr="00DA6EB8" w:rsidRDefault="00BD6349" w:rsidP="00BD6349">
      <w:pPr>
        <w:pStyle w:val="ListParagraph"/>
        <w:widowControl w:val="0"/>
        <w:numPr>
          <w:ilvl w:val="0"/>
          <w:numId w:val="21"/>
        </w:numPr>
        <w:autoSpaceDE w:val="0"/>
        <w:autoSpaceDN w:val="0"/>
        <w:adjustRightInd w:val="0"/>
        <w:snapToGrid w:val="0"/>
        <w:spacing w:after="0" w:line="240" w:lineRule="auto"/>
        <w:ind w:left="0" w:firstLine="0"/>
        <w:jc w:val="both"/>
        <w:rPr>
          <w:rFonts w:ascii="Times New Roman" w:eastAsia="Calibri" w:hAnsi="Times New Roman" w:cs="Times New Roman"/>
          <w:b/>
          <w:bCs/>
          <w:sz w:val="20"/>
          <w:szCs w:val="20"/>
        </w:rPr>
        <w:sectPr w:rsidR="00BD6349" w:rsidRPr="00DA6EB8" w:rsidSect="001841CD">
          <w:type w:val="continuous"/>
          <w:pgSz w:w="12240" w:h="15840" w:code="1"/>
          <w:pgMar w:top="1440" w:right="1440" w:bottom="1440" w:left="1440" w:header="720" w:footer="720" w:gutter="0"/>
          <w:cols w:space="720"/>
          <w:docGrid w:linePitch="360"/>
        </w:sectPr>
      </w:pPr>
    </w:p>
    <w:p w:rsidR="0019375E" w:rsidRPr="00DA6EB8" w:rsidRDefault="0019375E" w:rsidP="00BD6349">
      <w:pPr>
        <w:pStyle w:val="BodyText3"/>
        <w:snapToGrid w:val="0"/>
        <w:spacing w:line="240" w:lineRule="auto"/>
        <w:ind w:firstLine="425"/>
        <w:jc w:val="both"/>
        <w:rPr>
          <w:rFonts w:cs="Times New Roman"/>
          <w:b/>
          <w:bCs/>
          <w:sz w:val="20"/>
          <w:szCs w:val="20"/>
          <w:lang w:bidi="ar-EG"/>
        </w:rPr>
      </w:pPr>
      <w:r w:rsidRPr="00DA6EB8">
        <w:rPr>
          <w:rFonts w:cs="Times New Roman"/>
          <w:sz w:val="20"/>
          <w:szCs w:val="20"/>
          <w:lang w:bidi="ar-EG"/>
        </w:rPr>
        <w:lastRenderedPageBreak/>
        <w:t xml:space="preserve">Agar disks (5 mm in diameter) of the tested fungi cut from completely grown cultures and placed at the center of the plates containing antifungal substances of the used concentration in </w:t>
      </w:r>
      <w:proofErr w:type="spellStart"/>
      <w:r w:rsidRPr="00DA6EB8">
        <w:rPr>
          <w:rFonts w:cs="Times New Roman"/>
          <w:sz w:val="20"/>
          <w:szCs w:val="20"/>
          <w:lang w:bidi="ar-EG"/>
        </w:rPr>
        <w:t>ppm</w:t>
      </w:r>
      <w:proofErr w:type="spellEnd"/>
      <w:r w:rsidRPr="00DA6EB8">
        <w:rPr>
          <w:rFonts w:cs="Times New Roman"/>
          <w:sz w:val="20"/>
          <w:szCs w:val="20"/>
          <w:lang w:bidi="ar-EG"/>
        </w:rPr>
        <w:t xml:space="preserve"> (µg/ml)</w:t>
      </w:r>
      <w:r w:rsidRPr="00DA6EB8">
        <w:rPr>
          <w:rFonts w:cs="Times New Roman"/>
          <w:b/>
          <w:bCs/>
          <w:sz w:val="20"/>
          <w:szCs w:val="20"/>
          <w:lang w:bidi="ar-EG"/>
        </w:rPr>
        <w:t>.</w:t>
      </w:r>
    </w:p>
    <w:p w:rsidR="0019375E" w:rsidRPr="00DA6EB8" w:rsidRDefault="0019375E" w:rsidP="00BD6349">
      <w:pPr>
        <w:pStyle w:val="BodyText3"/>
        <w:snapToGrid w:val="0"/>
        <w:spacing w:line="240" w:lineRule="auto"/>
        <w:ind w:firstLine="425"/>
        <w:jc w:val="both"/>
        <w:rPr>
          <w:rFonts w:cs="Times New Roman"/>
          <w:b/>
          <w:bCs/>
          <w:sz w:val="20"/>
          <w:szCs w:val="20"/>
        </w:rPr>
      </w:pPr>
      <w:r w:rsidRPr="00DA6EB8">
        <w:rPr>
          <w:rFonts w:cs="Times New Roman"/>
          <w:sz w:val="20"/>
          <w:szCs w:val="20"/>
          <w:lang w:bidi="ar-EG"/>
        </w:rPr>
        <w:t>Four replicates of each concentration</w:t>
      </w:r>
      <w:r w:rsidR="00AA3592" w:rsidRPr="00DA6EB8">
        <w:rPr>
          <w:rFonts w:cs="Times New Roman"/>
          <w:sz w:val="20"/>
          <w:szCs w:val="20"/>
          <w:lang w:bidi="ar-EG"/>
        </w:rPr>
        <w:t xml:space="preserve"> 25,</w:t>
      </w:r>
      <w:r w:rsidRPr="00DA6EB8">
        <w:rPr>
          <w:rFonts w:cs="Times New Roman"/>
          <w:sz w:val="20"/>
          <w:szCs w:val="20"/>
          <w:lang w:bidi="ar-EG"/>
        </w:rPr>
        <w:t xml:space="preserve"> 50, 100, 200, 300 and 400 µg/ml </w:t>
      </w:r>
      <w:r w:rsidR="00D54375" w:rsidRPr="00DA6EB8">
        <w:rPr>
          <w:rFonts w:cs="Times New Roman"/>
          <w:sz w:val="20"/>
          <w:szCs w:val="20"/>
          <w:lang w:bidi="ar-EG"/>
        </w:rPr>
        <w:t xml:space="preserve">for </w:t>
      </w:r>
      <w:r w:rsidRPr="00DA6EB8">
        <w:rPr>
          <w:rFonts w:cs="Times New Roman"/>
          <w:sz w:val="20"/>
          <w:szCs w:val="20"/>
          <w:lang w:bidi="ar-EG"/>
        </w:rPr>
        <w:t>fungus incubated at 28ºC for all tested fungi.</w:t>
      </w:r>
      <w:r w:rsidR="001841CD" w:rsidRPr="00DA6EB8">
        <w:rPr>
          <w:rFonts w:cs="Times New Roman"/>
          <w:sz w:val="20"/>
          <w:szCs w:val="20"/>
          <w:lang w:bidi="ar-EG"/>
        </w:rPr>
        <w:t xml:space="preserve"> </w:t>
      </w:r>
      <w:r w:rsidRPr="00DA6EB8">
        <w:rPr>
          <w:rFonts w:cs="Times New Roman"/>
          <w:sz w:val="20"/>
          <w:szCs w:val="20"/>
          <w:lang w:bidi="ar-EG"/>
        </w:rPr>
        <w:t xml:space="preserve">Radial growth measured from the centers of the dishes sides </w:t>
      </w:r>
      <w:r w:rsidR="00D84CE4" w:rsidRPr="00DA6EB8">
        <w:rPr>
          <w:rFonts w:cs="Times New Roman"/>
          <w:sz w:val="20"/>
          <w:szCs w:val="20"/>
          <w:lang w:bidi="ar-EG"/>
        </w:rPr>
        <w:t xml:space="preserve">after the fungal growth of the control of each </w:t>
      </w:r>
      <w:r w:rsidR="00D973FD" w:rsidRPr="00DA6EB8">
        <w:rPr>
          <w:rFonts w:cs="Times New Roman"/>
          <w:sz w:val="20"/>
          <w:szCs w:val="20"/>
          <w:lang w:bidi="ar-EG"/>
        </w:rPr>
        <w:t>fungus</w:t>
      </w:r>
      <w:r w:rsidR="00D84CE4" w:rsidRPr="00DA6EB8">
        <w:rPr>
          <w:rFonts w:cs="Times New Roman"/>
          <w:sz w:val="20"/>
          <w:szCs w:val="20"/>
          <w:lang w:bidi="ar-EG"/>
        </w:rPr>
        <w:t xml:space="preserve"> completed </w:t>
      </w:r>
      <w:r w:rsidRPr="00DA6EB8">
        <w:rPr>
          <w:rFonts w:cs="Times New Roman"/>
          <w:sz w:val="20"/>
          <w:szCs w:val="20"/>
          <w:lang w:bidi="ar-EG"/>
        </w:rPr>
        <w:t>and the mean calculated of two perpendicular colony diameters in each replicate.</w:t>
      </w:r>
      <w:r w:rsidR="001841CD" w:rsidRPr="00DA6EB8">
        <w:rPr>
          <w:rFonts w:cs="Times New Roman"/>
          <w:sz w:val="20"/>
          <w:szCs w:val="20"/>
          <w:lang w:bidi="ar-EG"/>
        </w:rPr>
        <w:t xml:space="preserve"> </w:t>
      </w:r>
      <w:r w:rsidRPr="00DA6EB8">
        <w:rPr>
          <w:rFonts w:cs="Times New Roman"/>
          <w:sz w:val="20"/>
          <w:szCs w:val="20"/>
        </w:rPr>
        <w:t xml:space="preserve">Inhibition of growth calculated in relation to the growth in the control, according to the equation </w:t>
      </w:r>
      <w:r w:rsidRPr="00DA6EB8">
        <w:rPr>
          <w:rFonts w:cs="Times New Roman"/>
          <w:b/>
          <w:bCs/>
          <w:sz w:val="20"/>
          <w:szCs w:val="20"/>
          <w:vertAlign w:val="superscript"/>
        </w:rPr>
        <w:t>(</w:t>
      </w:r>
      <w:r w:rsidR="00A734DE" w:rsidRPr="00DA6EB8">
        <w:rPr>
          <w:rFonts w:cs="Times New Roman"/>
          <w:b/>
          <w:bCs/>
          <w:sz w:val="20"/>
          <w:szCs w:val="20"/>
          <w:vertAlign w:val="superscript"/>
        </w:rPr>
        <w:t>43</w:t>
      </w:r>
      <w:r w:rsidRPr="00DA6EB8">
        <w:rPr>
          <w:rFonts w:cs="Times New Roman"/>
          <w:b/>
          <w:bCs/>
          <w:sz w:val="20"/>
          <w:szCs w:val="20"/>
          <w:vertAlign w:val="superscript"/>
        </w:rPr>
        <w:t>)</w:t>
      </w:r>
      <w:r w:rsidRPr="00DA6EB8">
        <w:rPr>
          <w:rFonts w:cs="Times New Roman"/>
          <w:b/>
          <w:bCs/>
          <w:sz w:val="20"/>
          <w:szCs w:val="20"/>
        </w:rPr>
        <w:t>:</w:t>
      </w:r>
    </w:p>
    <w:p w:rsidR="00A67698" w:rsidRPr="00DA6EB8" w:rsidRDefault="005573FC" w:rsidP="00BD6349">
      <w:pPr>
        <w:pStyle w:val="BodyText3"/>
        <w:snapToGrid w:val="0"/>
        <w:spacing w:line="240" w:lineRule="auto"/>
        <w:jc w:val="center"/>
        <w:rPr>
          <w:rFonts w:cs="Times New Roman"/>
          <w:b/>
          <w:bCs/>
          <w:sz w:val="20"/>
          <w:szCs w:val="20"/>
        </w:rPr>
      </w:pPr>
      <w:r w:rsidRPr="00DA6EB8">
        <w:rPr>
          <w:rFonts w:cs="Times New Roman"/>
          <w:b/>
          <w:bCs/>
          <w:noProof/>
          <w:sz w:val="20"/>
          <w:szCs w:val="20"/>
          <w:lang w:eastAsia="zh-CN"/>
        </w:rPr>
        <w:drawing>
          <wp:inline distT="0" distB="0" distL="0" distR="0">
            <wp:extent cx="2717524" cy="490140"/>
            <wp:effectExtent l="19050" t="0" r="6626"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cstate="print"/>
                    <a:srcRect/>
                    <a:stretch>
                      <a:fillRect/>
                    </a:stretch>
                  </pic:blipFill>
                  <pic:spPr bwMode="auto">
                    <a:xfrm>
                      <a:off x="0" y="0"/>
                      <a:ext cx="2716825" cy="490014"/>
                    </a:xfrm>
                    <a:prstGeom prst="rect">
                      <a:avLst/>
                    </a:prstGeom>
                    <a:noFill/>
                    <a:ln w="9525">
                      <a:noFill/>
                      <a:miter lim="800000"/>
                      <a:headEnd/>
                      <a:tailEnd/>
                    </a:ln>
                  </pic:spPr>
                </pic:pic>
              </a:graphicData>
            </a:graphic>
          </wp:inline>
        </w:drawing>
      </w:r>
    </w:p>
    <w:p w:rsidR="0019375E" w:rsidRPr="00DA6EB8" w:rsidRDefault="0019375E" w:rsidP="00BD6349">
      <w:pPr>
        <w:pStyle w:val="BodyText3"/>
        <w:snapToGrid w:val="0"/>
        <w:spacing w:line="240" w:lineRule="auto"/>
        <w:ind w:firstLine="425"/>
        <w:jc w:val="both"/>
        <w:rPr>
          <w:rFonts w:cs="Times New Roman"/>
          <w:b/>
          <w:bCs/>
          <w:sz w:val="20"/>
          <w:szCs w:val="20"/>
          <w:lang w:bidi="ar-EG"/>
        </w:rPr>
      </w:pPr>
      <w:r w:rsidRPr="00DA6EB8">
        <w:rPr>
          <w:rFonts w:cs="Times New Roman"/>
          <w:sz w:val="20"/>
          <w:szCs w:val="20"/>
          <w:lang w:bidi="ar-EG"/>
        </w:rPr>
        <w:t>The corrected percentage of growth inhibition used to calculate the LC</w:t>
      </w:r>
      <w:r w:rsidRPr="00DA6EB8">
        <w:rPr>
          <w:rFonts w:cs="Times New Roman"/>
          <w:sz w:val="20"/>
          <w:szCs w:val="20"/>
          <w:vertAlign w:val="subscript"/>
          <w:lang w:bidi="ar-EG"/>
        </w:rPr>
        <w:t>50</w:t>
      </w:r>
      <w:r w:rsidRPr="00DA6EB8">
        <w:rPr>
          <w:rFonts w:cs="Times New Roman"/>
          <w:sz w:val="20"/>
          <w:szCs w:val="20"/>
          <w:lang w:bidi="ar-EG"/>
        </w:rPr>
        <w:t xml:space="preserve"> values </w:t>
      </w:r>
      <w:r w:rsidRPr="00DA6EB8">
        <w:rPr>
          <w:rFonts w:cs="Times New Roman"/>
          <w:b/>
          <w:bCs/>
          <w:sz w:val="20"/>
          <w:szCs w:val="20"/>
          <w:vertAlign w:val="superscript"/>
          <w:lang w:bidi="ar-EG"/>
        </w:rPr>
        <w:t>(</w:t>
      </w:r>
      <w:r w:rsidR="00A17D08" w:rsidRPr="00DA6EB8">
        <w:rPr>
          <w:rFonts w:cs="Times New Roman"/>
          <w:b/>
          <w:bCs/>
          <w:sz w:val="20"/>
          <w:szCs w:val="20"/>
          <w:vertAlign w:val="superscript"/>
          <w:lang w:bidi="ar-EG"/>
        </w:rPr>
        <w:t>44</w:t>
      </w:r>
      <w:r w:rsidRPr="00DA6EB8">
        <w:rPr>
          <w:rFonts w:cs="Times New Roman"/>
          <w:b/>
          <w:bCs/>
          <w:sz w:val="20"/>
          <w:szCs w:val="20"/>
          <w:vertAlign w:val="superscript"/>
          <w:lang w:bidi="ar-EG"/>
        </w:rPr>
        <w:t>)</w:t>
      </w:r>
      <w:r w:rsidRPr="00DA6EB8">
        <w:rPr>
          <w:rFonts w:cs="Times New Roman"/>
          <w:sz w:val="20"/>
          <w:szCs w:val="20"/>
          <w:lang w:bidi="ar-EG"/>
        </w:rPr>
        <w:t>.</w:t>
      </w:r>
      <w:r w:rsidR="001841CD" w:rsidRPr="00DA6EB8">
        <w:rPr>
          <w:rFonts w:cs="Times New Roman"/>
          <w:sz w:val="20"/>
          <w:szCs w:val="20"/>
          <w:lang w:bidi="ar-EG"/>
        </w:rPr>
        <w:t xml:space="preserve"> </w:t>
      </w:r>
      <w:r w:rsidRPr="00DA6EB8">
        <w:rPr>
          <w:rFonts w:cs="Times New Roman"/>
          <w:sz w:val="20"/>
          <w:szCs w:val="20"/>
          <w:lang w:bidi="ar-EG"/>
        </w:rPr>
        <w:t>The toxicity lines drawn for evaluating LC</w:t>
      </w:r>
      <w:r w:rsidRPr="00DA6EB8">
        <w:rPr>
          <w:rFonts w:cs="Times New Roman"/>
          <w:sz w:val="20"/>
          <w:szCs w:val="20"/>
          <w:vertAlign w:val="subscript"/>
          <w:lang w:bidi="ar-EG"/>
        </w:rPr>
        <w:t>25</w:t>
      </w:r>
      <w:r w:rsidRPr="00DA6EB8">
        <w:rPr>
          <w:rFonts w:cs="Times New Roman"/>
          <w:sz w:val="20"/>
          <w:szCs w:val="20"/>
          <w:lang w:bidi="ar-EG"/>
        </w:rPr>
        <w:t>, LC</w:t>
      </w:r>
      <w:r w:rsidRPr="00DA6EB8">
        <w:rPr>
          <w:rFonts w:cs="Times New Roman"/>
          <w:sz w:val="20"/>
          <w:szCs w:val="20"/>
          <w:vertAlign w:val="subscript"/>
          <w:lang w:bidi="ar-EG"/>
        </w:rPr>
        <w:t>50</w:t>
      </w:r>
      <w:r w:rsidRPr="00DA6EB8">
        <w:rPr>
          <w:rFonts w:cs="Times New Roman"/>
          <w:sz w:val="20"/>
          <w:szCs w:val="20"/>
          <w:lang w:bidi="ar-EG"/>
        </w:rPr>
        <w:t xml:space="preserve"> and LC</w:t>
      </w:r>
      <w:r w:rsidRPr="00DA6EB8">
        <w:rPr>
          <w:rFonts w:cs="Times New Roman"/>
          <w:sz w:val="20"/>
          <w:szCs w:val="20"/>
          <w:vertAlign w:val="subscript"/>
          <w:lang w:bidi="ar-EG"/>
        </w:rPr>
        <w:t>90</w:t>
      </w:r>
      <w:r w:rsidRPr="00DA6EB8">
        <w:rPr>
          <w:rFonts w:cs="Times New Roman"/>
          <w:sz w:val="20"/>
          <w:szCs w:val="20"/>
          <w:lang w:bidi="ar-EG"/>
        </w:rPr>
        <w:t xml:space="preserve"> and the slope for every treatment estimated.</w:t>
      </w:r>
      <w:r w:rsidR="001841CD" w:rsidRPr="00DA6EB8">
        <w:rPr>
          <w:rFonts w:cs="Times New Roman"/>
          <w:sz w:val="20"/>
          <w:szCs w:val="20"/>
          <w:lang w:bidi="ar-EG"/>
        </w:rPr>
        <w:t xml:space="preserve"> </w:t>
      </w:r>
      <w:r w:rsidRPr="00DA6EB8">
        <w:rPr>
          <w:rFonts w:cs="Times New Roman"/>
          <w:sz w:val="20"/>
          <w:szCs w:val="20"/>
          <w:lang w:bidi="ar-EG"/>
        </w:rPr>
        <w:t>The toxicity ind</w:t>
      </w:r>
      <w:r w:rsidR="009B4C10" w:rsidRPr="00DA6EB8">
        <w:rPr>
          <w:rFonts w:cs="Times New Roman"/>
          <w:sz w:val="20"/>
          <w:szCs w:val="20"/>
          <w:lang w:bidi="ar-EG"/>
        </w:rPr>
        <w:t>ic</w:t>
      </w:r>
      <w:r w:rsidRPr="00DA6EB8">
        <w:rPr>
          <w:rFonts w:cs="Times New Roman"/>
          <w:sz w:val="20"/>
          <w:szCs w:val="20"/>
          <w:lang w:bidi="ar-EG"/>
        </w:rPr>
        <w:t>es and relative potencies calculated according to</w:t>
      </w:r>
      <w:r w:rsidR="00A17D08" w:rsidRPr="00DA6EB8">
        <w:rPr>
          <w:rFonts w:cs="Times New Roman"/>
          <w:sz w:val="20"/>
          <w:szCs w:val="20"/>
          <w:lang w:bidi="ar-EG"/>
        </w:rPr>
        <w:t xml:space="preserve"> the equations </w:t>
      </w:r>
      <w:r w:rsidRPr="00DA6EB8">
        <w:rPr>
          <w:rFonts w:cs="Times New Roman"/>
          <w:b/>
          <w:bCs/>
          <w:sz w:val="20"/>
          <w:szCs w:val="20"/>
          <w:vertAlign w:val="superscript"/>
          <w:lang w:bidi="ar-EG"/>
        </w:rPr>
        <w:t>(</w:t>
      </w:r>
      <w:r w:rsidR="00A17D08" w:rsidRPr="00DA6EB8">
        <w:rPr>
          <w:rFonts w:cs="Times New Roman"/>
          <w:b/>
          <w:bCs/>
          <w:sz w:val="20"/>
          <w:szCs w:val="20"/>
          <w:vertAlign w:val="superscript"/>
          <w:lang w:bidi="ar-EG"/>
        </w:rPr>
        <w:t>45</w:t>
      </w:r>
      <w:r w:rsidRPr="00DA6EB8">
        <w:rPr>
          <w:rFonts w:cs="Times New Roman"/>
          <w:b/>
          <w:bCs/>
          <w:sz w:val="20"/>
          <w:szCs w:val="20"/>
          <w:vertAlign w:val="superscript"/>
          <w:lang w:bidi="ar-EG"/>
        </w:rPr>
        <w:t>)</w:t>
      </w:r>
      <w:r w:rsidRPr="00DA6EB8">
        <w:rPr>
          <w:rFonts w:cs="Times New Roman"/>
          <w:b/>
          <w:bCs/>
          <w:sz w:val="20"/>
          <w:szCs w:val="20"/>
          <w:lang w:bidi="ar-EG"/>
        </w:rPr>
        <w:t>.</w:t>
      </w:r>
    </w:p>
    <w:p w:rsidR="0019375E" w:rsidRPr="00DA6EB8" w:rsidRDefault="005573FC" w:rsidP="00BD6349">
      <w:pPr>
        <w:pStyle w:val="BodyText3"/>
        <w:snapToGrid w:val="0"/>
        <w:spacing w:line="240" w:lineRule="auto"/>
        <w:jc w:val="center"/>
        <w:rPr>
          <w:rFonts w:cs="Times New Roman"/>
          <w:b/>
          <w:bCs/>
          <w:sz w:val="20"/>
          <w:szCs w:val="20"/>
          <w:lang w:bidi="ar-EG"/>
        </w:rPr>
      </w:pPr>
      <w:r w:rsidRPr="00DA6EB8">
        <w:rPr>
          <w:rFonts w:cs="Times New Roman"/>
          <w:b/>
          <w:bCs/>
          <w:noProof/>
          <w:sz w:val="20"/>
          <w:szCs w:val="20"/>
          <w:lang w:eastAsia="zh-CN"/>
        </w:rPr>
        <w:drawing>
          <wp:inline distT="0" distB="0" distL="0" distR="0">
            <wp:extent cx="2861199" cy="855977"/>
            <wp:effectExtent l="1905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cstate="print"/>
                    <a:srcRect/>
                    <a:stretch>
                      <a:fillRect/>
                    </a:stretch>
                  </pic:blipFill>
                  <pic:spPr bwMode="auto">
                    <a:xfrm>
                      <a:off x="0" y="0"/>
                      <a:ext cx="2860799" cy="855857"/>
                    </a:xfrm>
                    <a:prstGeom prst="rect">
                      <a:avLst/>
                    </a:prstGeom>
                    <a:noFill/>
                    <a:ln w="9525">
                      <a:noFill/>
                      <a:miter lim="800000"/>
                      <a:headEnd/>
                      <a:tailEnd/>
                    </a:ln>
                  </pic:spPr>
                </pic:pic>
              </a:graphicData>
            </a:graphic>
          </wp:inline>
        </w:drawing>
      </w:r>
    </w:p>
    <w:p w:rsidR="00D655AC" w:rsidRPr="00DA6EB8" w:rsidRDefault="00D655AC" w:rsidP="00BD6349">
      <w:pPr>
        <w:snapToGrid w:val="0"/>
        <w:spacing w:after="0" w:line="240" w:lineRule="auto"/>
        <w:jc w:val="both"/>
        <w:rPr>
          <w:rFonts w:ascii="Times New Roman" w:hAnsi="Times New Roman" w:cs="Times New Roman"/>
          <w:b/>
          <w:bCs/>
          <w:sz w:val="20"/>
          <w:szCs w:val="20"/>
          <w:lang w:bidi="ar-EG"/>
        </w:rPr>
      </w:pPr>
    </w:p>
    <w:p w:rsidR="00C61900" w:rsidRPr="00DA6EB8" w:rsidRDefault="005573FC" w:rsidP="00BD6349">
      <w:pPr>
        <w:snapToGrid w:val="0"/>
        <w:spacing w:after="0" w:line="240" w:lineRule="auto"/>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t>3. Results and Discussion</w:t>
      </w:r>
    </w:p>
    <w:p w:rsidR="00D27629" w:rsidRPr="00DA6EB8" w:rsidRDefault="00D27629" w:rsidP="00BD6349">
      <w:pPr>
        <w:pStyle w:val="ListParagraph"/>
        <w:numPr>
          <w:ilvl w:val="0"/>
          <w:numId w:val="17"/>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DA6EB8">
        <w:rPr>
          <w:rFonts w:ascii="Times New Roman" w:hAnsi="Times New Roman" w:cs="Times New Roman"/>
          <w:b/>
          <w:bCs/>
          <w:sz w:val="20"/>
          <w:szCs w:val="20"/>
        </w:rPr>
        <w:t>Formulation characteristics:</w:t>
      </w:r>
    </w:p>
    <w:p w:rsidR="004B2EC5" w:rsidRPr="00DA6EB8" w:rsidRDefault="004B2EC5" w:rsidP="00BD634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A6EB8">
        <w:rPr>
          <w:rFonts w:ascii="Times New Roman" w:hAnsi="Times New Roman" w:cs="Times New Roman"/>
          <w:sz w:val="20"/>
          <w:szCs w:val="20"/>
        </w:rPr>
        <w:lastRenderedPageBreak/>
        <w:t xml:space="preserve">Micro-emulsion is clear, thermodynamically stable, isotropic liquid mixture. It is prepared by using oil, water, surfactant and a co-surfactant. It incorporates very small size particles up to </w:t>
      </w:r>
      <w:proofErr w:type="spellStart"/>
      <w:r w:rsidRPr="00DA6EB8">
        <w:rPr>
          <w:rFonts w:ascii="Times New Roman" w:hAnsi="Times New Roman" w:cs="Times New Roman"/>
          <w:sz w:val="20"/>
          <w:szCs w:val="20"/>
        </w:rPr>
        <w:t>nano</w:t>
      </w:r>
      <w:proofErr w:type="spellEnd"/>
      <w:r w:rsidRPr="00DA6EB8">
        <w:rPr>
          <w:rFonts w:ascii="Times New Roman" w:hAnsi="Times New Roman" w:cs="Times New Roman"/>
          <w:sz w:val="20"/>
          <w:szCs w:val="20"/>
        </w:rPr>
        <w:t xml:space="preserve"> size as compared to conventional emulsion. IUPAC defines micro-emulsion as dispersion made of water, oil, and surfactan</w:t>
      </w:r>
      <w:r w:rsidR="001841CD" w:rsidRPr="00DA6EB8">
        <w:rPr>
          <w:rFonts w:ascii="Times New Roman" w:hAnsi="Times New Roman" w:cs="Times New Roman"/>
          <w:sz w:val="20"/>
          <w:szCs w:val="20"/>
        </w:rPr>
        <w:t>t (</w:t>
      </w:r>
      <w:r w:rsidRPr="00DA6EB8">
        <w:rPr>
          <w:rFonts w:ascii="Times New Roman" w:hAnsi="Times New Roman" w:cs="Times New Roman"/>
          <w:sz w:val="20"/>
          <w:szCs w:val="20"/>
        </w:rPr>
        <w:t>s) that is an isotropic and thermodynamically stable system with dispersed domain diameter varying approximately from 1 to100 n</w:t>
      </w:r>
      <w:r w:rsidR="001841CD" w:rsidRPr="00DA6EB8">
        <w:rPr>
          <w:rFonts w:ascii="Times New Roman" w:hAnsi="Times New Roman" w:cs="Times New Roman"/>
          <w:sz w:val="20"/>
          <w:szCs w:val="20"/>
        </w:rPr>
        <w:t xml:space="preserve">m </w:t>
      </w:r>
      <w:r w:rsidR="001841CD" w:rsidRPr="00DA6EB8">
        <w:rPr>
          <w:rFonts w:ascii="Times New Roman" w:hAnsi="Times New Roman" w:cs="Times New Roman"/>
          <w:b/>
          <w:bCs/>
          <w:sz w:val="20"/>
          <w:szCs w:val="20"/>
          <w:vertAlign w:val="superscript"/>
          <w:lang w:bidi="ar-EG"/>
        </w:rPr>
        <w:t>(</w:t>
      </w:r>
      <w:r w:rsidR="002450F4" w:rsidRPr="00DA6EB8">
        <w:rPr>
          <w:rFonts w:ascii="Times New Roman" w:hAnsi="Times New Roman" w:cs="Times New Roman"/>
          <w:b/>
          <w:bCs/>
          <w:sz w:val="20"/>
          <w:szCs w:val="20"/>
          <w:vertAlign w:val="superscript"/>
          <w:lang w:bidi="ar-EG"/>
        </w:rPr>
        <w:t>4</w:t>
      </w:r>
      <w:r w:rsidR="009B4C10" w:rsidRPr="00DA6EB8">
        <w:rPr>
          <w:rFonts w:ascii="Times New Roman" w:hAnsi="Times New Roman" w:cs="Times New Roman"/>
          <w:b/>
          <w:bCs/>
          <w:sz w:val="20"/>
          <w:szCs w:val="20"/>
          <w:vertAlign w:val="superscript"/>
          <w:lang w:bidi="ar-EG"/>
        </w:rPr>
        <w:t>6 -</w:t>
      </w:r>
      <w:r w:rsidR="002450F4" w:rsidRPr="00DA6EB8">
        <w:rPr>
          <w:rFonts w:ascii="Times New Roman" w:hAnsi="Times New Roman" w:cs="Times New Roman"/>
          <w:b/>
          <w:bCs/>
          <w:sz w:val="20"/>
          <w:szCs w:val="20"/>
          <w:vertAlign w:val="superscript"/>
          <w:lang w:bidi="ar-EG"/>
        </w:rPr>
        <w:t>4</w:t>
      </w:r>
      <w:r w:rsidR="009B4C10" w:rsidRPr="00DA6EB8">
        <w:rPr>
          <w:rFonts w:ascii="Times New Roman" w:hAnsi="Times New Roman" w:cs="Times New Roman"/>
          <w:b/>
          <w:bCs/>
          <w:sz w:val="20"/>
          <w:szCs w:val="20"/>
          <w:vertAlign w:val="superscript"/>
          <w:lang w:bidi="ar-EG"/>
        </w:rPr>
        <w:t>8</w:t>
      </w:r>
      <w:r w:rsidR="002450F4" w:rsidRPr="00DA6EB8">
        <w:rPr>
          <w:rFonts w:ascii="Times New Roman" w:hAnsi="Times New Roman" w:cs="Times New Roman"/>
          <w:b/>
          <w:bCs/>
          <w:sz w:val="20"/>
          <w:szCs w:val="20"/>
          <w:vertAlign w:val="superscript"/>
          <w:lang w:bidi="ar-EG"/>
        </w:rPr>
        <w:t>)</w:t>
      </w:r>
      <w:r w:rsidR="00B51E6A" w:rsidRPr="00DA6EB8">
        <w:rPr>
          <w:rFonts w:ascii="Times New Roman" w:hAnsi="Times New Roman" w:cs="Times New Roman"/>
          <w:sz w:val="20"/>
          <w:szCs w:val="20"/>
        </w:rPr>
        <w:t>. T</w:t>
      </w:r>
      <w:r w:rsidR="00E90491" w:rsidRPr="00DA6EB8">
        <w:rPr>
          <w:rFonts w:ascii="Times New Roman" w:hAnsi="Times New Roman" w:cs="Times New Roman"/>
          <w:sz w:val="20"/>
          <w:szCs w:val="20"/>
        </w:rPr>
        <w:t xml:space="preserve">he </w:t>
      </w:r>
      <w:proofErr w:type="spellStart"/>
      <w:r w:rsidR="00E90491" w:rsidRPr="00DA6EB8">
        <w:rPr>
          <w:rFonts w:ascii="Times New Roman" w:hAnsi="Times New Roman" w:cs="Times New Roman"/>
          <w:sz w:val="20"/>
          <w:szCs w:val="20"/>
        </w:rPr>
        <w:t>polydispersity</w:t>
      </w:r>
      <w:proofErr w:type="spellEnd"/>
      <w:r w:rsidR="00E90491" w:rsidRPr="00DA6EB8">
        <w:rPr>
          <w:rFonts w:ascii="Times New Roman" w:hAnsi="Times New Roman" w:cs="Times New Roman"/>
          <w:sz w:val="20"/>
          <w:szCs w:val="20"/>
        </w:rPr>
        <w:t xml:space="preserve"> index (PDI) is an important characteristic of the </w:t>
      </w:r>
      <w:proofErr w:type="spellStart"/>
      <w:r w:rsidR="00E90491" w:rsidRPr="00DA6EB8">
        <w:rPr>
          <w:rFonts w:ascii="Times New Roman" w:hAnsi="Times New Roman" w:cs="Times New Roman"/>
          <w:sz w:val="20"/>
          <w:szCs w:val="20"/>
        </w:rPr>
        <w:t>microemulsion</w:t>
      </w:r>
      <w:proofErr w:type="spellEnd"/>
      <w:r w:rsidR="00E90491" w:rsidRPr="00DA6EB8">
        <w:rPr>
          <w:rFonts w:ascii="Times New Roman" w:hAnsi="Times New Roman" w:cs="Times New Roman"/>
          <w:sz w:val="20"/>
          <w:szCs w:val="20"/>
        </w:rPr>
        <w:t xml:space="preserve">. PDI is a measure of homogeneity and stability of the droplet size in the </w:t>
      </w:r>
      <w:proofErr w:type="spellStart"/>
      <w:r w:rsidR="00E90491" w:rsidRPr="00DA6EB8">
        <w:rPr>
          <w:rFonts w:ascii="Times New Roman" w:hAnsi="Times New Roman" w:cs="Times New Roman"/>
          <w:sz w:val="20"/>
          <w:szCs w:val="20"/>
        </w:rPr>
        <w:t>microemulsion</w:t>
      </w:r>
      <w:proofErr w:type="spellEnd"/>
      <w:r w:rsidR="00E90491" w:rsidRPr="00DA6EB8">
        <w:rPr>
          <w:rFonts w:ascii="Times New Roman" w:hAnsi="Times New Roman" w:cs="Times New Roman"/>
          <w:sz w:val="20"/>
          <w:szCs w:val="20"/>
        </w:rPr>
        <w:t xml:space="preserve"> system. PDI of the particle should be less than 0.5 that indicate the prepared partials are mono </w:t>
      </w:r>
      <w:r w:rsidR="00D655AC" w:rsidRPr="00DA6EB8">
        <w:rPr>
          <w:rFonts w:ascii="Times New Roman" w:hAnsi="Times New Roman" w:cs="Times New Roman"/>
          <w:sz w:val="20"/>
          <w:szCs w:val="20"/>
        </w:rPr>
        <w:t>disperse</w:t>
      </w:r>
      <w:r w:rsidR="00D655AC" w:rsidRPr="00DA6EB8">
        <w:rPr>
          <w:rFonts w:ascii="Times New Roman" w:hAnsi="Times New Roman" w:cs="Times New Roman"/>
          <w:b/>
          <w:bCs/>
          <w:sz w:val="20"/>
          <w:szCs w:val="20"/>
          <w:vertAlign w:val="superscript"/>
        </w:rPr>
        <w:t xml:space="preserve"> (</w:t>
      </w:r>
      <w:r w:rsidR="00E90491" w:rsidRPr="00DA6EB8">
        <w:rPr>
          <w:rFonts w:ascii="Times New Roman" w:hAnsi="Times New Roman" w:cs="Times New Roman"/>
          <w:b/>
          <w:bCs/>
          <w:sz w:val="20"/>
          <w:szCs w:val="20"/>
          <w:vertAlign w:val="superscript"/>
        </w:rPr>
        <w:t>48)</w:t>
      </w:r>
      <w:r w:rsidR="00E90491" w:rsidRPr="00DA6EB8">
        <w:rPr>
          <w:rFonts w:ascii="Times New Roman" w:hAnsi="Times New Roman" w:cs="Times New Roman"/>
          <w:sz w:val="20"/>
          <w:szCs w:val="20"/>
        </w:rPr>
        <w:t>.</w:t>
      </w:r>
      <w:r w:rsidR="00262BEB" w:rsidRPr="00DA6EB8">
        <w:rPr>
          <w:rFonts w:ascii="Times New Roman" w:hAnsi="Times New Roman" w:cs="Times New Roman"/>
          <w:sz w:val="20"/>
          <w:szCs w:val="20"/>
        </w:rPr>
        <w:t xml:space="preserve"> While in </w:t>
      </w:r>
      <w:r w:rsidR="00E90491" w:rsidRPr="00DA6EB8">
        <w:rPr>
          <w:rFonts w:ascii="Times New Roman" w:hAnsi="Times New Roman" w:cs="Times New Roman"/>
          <w:sz w:val="20"/>
          <w:szCs w:val="20"/>
        </w:rPr>
        <w:t>our study, t</w:t>
      </w:r>
      <w:r w:rsidR="002450F4" w:rsidRPr="00DA6EB8">
        <w:rPr>
          <w:rFonts w:ascii="Times New Roman" w:hAnsi="Times New Roman" w:cs="Times New Roman"/>
          <w:sz w:val="20"/>
          <w:szCs w:val="20"/>
        </w:rPr>
        <w:t xml:space="preserve">he mean droplet size of the prepared </w:t>
      </w:r>
      <w:proofErr w:type="spellStart"/>
      <w:r w:rsidR="002450F4" w:rsidRPr="00DA6EB8">
        <w:rPr>
          <w:rFonts w:ascii="Times New Roman" w:hAnsi="Times New Roman" w:cs="Times New Roman"/>
          <w:sz w:val="20"/>
          <w:szCs w:val="20"/>
        </w:rPr>
        <w:t>microemulsion</w:t>
      </w:r>
      <w:proofErr w:type="spellEnd"/>
      <w:r w:rsidR="002450F4" w:rsidRPr="00DA6EB8">
        <w:rPr>
          <w:rFonts w:ascii="Times New Roman" w:hAnsi="Times New Roman" w:cs="Times New Roman"/>
          <w:sz w:val="20"/>
          <w:szCs w:val="20"/>
        </w:rPr>
        <w:t xml:space="preserve"> formulation was</w:t>
      </w:r>
      <w:r w:rsidR="00773B40" w:rsidRPr="00DA6EB8">
        <w:rPr>
          <w:rFonts w:ascii="Times New Roman" w:hAnsi="Times New Roman" w:cs="Times New Roman"/>
          <w:sz w:val="20"/>
          <w:szCs w:val="20"/>
        </w:rPr>
        <w:t xml:space="preserve"> 55.1</w:t>
      </w:r>
      <w:r w:rsidR="00E90491" w:rsidRPr="00DA6EB8">
        <w:rPr>
          <w:rFonts w:ascii="Times New Roman" w:hAnsi="Times New Roman" w:cs="Times New Roman"/>
          <w:sz w:val="20"/>
          <w:szCs w:val="20"/>
        </w:rPr>
        <w:t xml:space="preserve"> nm and PDI value was 0.296.</w:t>
      </w:r>
      <w:r w:rsidR="001841CD" w:rsidRPr="00DA6EB8">
        <w:rPr>
          <w:rFonts w:ascii="Times New Roman" w:hAnsi="Times New Roman" w:cs="Times New Roman"/>
          <w:sz w:val="20"/>
          <w:szCs w:val="20"/>
        </w:rPr>
        <w:t xml:space="preserve"> </w:t>
      </w:r>
      <w:r w:rsidR="00E90491" w:rsidRPr="00DA6EB8">
        <w:rPr>
          <w:rFonts w:ascii="Times New Roman" w:hAnsi="Times New Roman" w:cs="Times New Roman"/>
          <w:sz w:val="20"/>
          <w:szCs w:val="20"/>
        </w:rPr>
        <w:t xml:space="preserve">Thus shown in Fig. (1) and </w:t>
      </w:r>
      <w:r w:rsidR="0042684F" w:rsidRPr="00DA6EB8">
        <w:rPr>
          <w:rFonts w:ascii="Times New Roman" w:hAnsi="Times New Roman" w:cs="Times New Roman"/>
          <w:sz w:val="20"/>
          <w:szCs w:val="20"/>
        </w:rPr>
        <w:t>Table (1)</w:t>
      </w:r>
      <w:r w:rsidR="002450F4" w:rsidRPr="00DA6EB8">
        <w:rPr>
          <w:rFonts w:ascii="Times New Roman" w:hAnsi="Times New Roman" w:cs="Times New Roman"/>
          <w:sz w:val="20"/>
          <w:szCs w:val="20"/>
        </w:rPr>
        <w:t xml:space="preserve">. </w:t>
      </w:r>
    </w:p>
    <w:p w:rsidR="00BD6349" w:rsidRPr="00DA6EB8" w:rsidRDefault="00BD6349" w:rsidP="00BD6349">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BD6349" w:rsidRPr="00DA6EB8" w:rsidRDefault="00BD6349" w:rsidP="00BD6349">
      <w:pPr>
        <w:pStyle w:val="ListParagraph"/>
        <w:snapToGrid w:val="0"/>
        <w:spacing w:after="0" w:line="240" w:lineRule="auto"/>
        <w:ind w:left="0"/>
        <w:jc w:val="center"/>
        <w:rPr>
          <w:rFonts w:ascii="Times New Roman" w:hAnsi="Times New Roman" w:cs="Times New Roman"/>
          <w:b/>
          <w:bCs/>
          <w:sz w:val="20"/>
          <w:szCs w:val="20"/>
          <w:lang w:bidi="ar-EG"/>
        </w:rPr>
      </w:pPr>
      <w:r w:rsidRPr="00DA6EB8">
        <w:rPr>
          <w:rFonts w:ascii="Times New Roman" w:hAnsi="Times New Roman" w:cs="Times New Roman"/>
          <w:noProof/>
          <w:sz w:val="20"/>
          <w:szCs w:val="20"/>
          <w:lang w:eastAsia="zh-CN"/>
        </w:rPr>
        <w:drawing>
          <wp:inline distT="0" distB="0" distL="0" distR="0">
            <wp:extent cx="2506319" cy="1277012"/>
            <wp:effectExtent l="19050" t="19050" r="27331" b="1838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rotWithShape="1">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3431" t="3386" r="3785" b="12913"/>
                    <a:stretch/>
                  </pic:blipFill>
                  <pic:spPr bwMode="auto">
                    <a:xfrm>
                      <a:off x="0" y="0"/>
                      <a:ext cx="2499539" cy="1273558"/>
                    </a:xfrm>
                    <a:prstGeom prst="rect">
                      <a:avLst/>
                    </a:prstGeom>
                    <a:noFill/>
                    <a:ln>
                      <a:solidFill>
                        <a:srgbClr val="0D0D0D"/>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BD6349" w:rsidRPr="00DA6EB8" w:rsidRDefault="00BD6349" w:rsidP="00B51E6A">
      <w:pPr>
        <w:snapToGrid w:val="0"/>
        <w:spacing w:after="0" w:line="240" w:lineRule="auto"/>
        <w:jc w:val="both"/>
        <w:rPr>
          <w:rFonts w:ascii="Times New Roman" w:hAnsi="Times New Roman" w:cs="Times New Roman"/>
          <w:sz w:val="20"/>
          <w:szCs w:val="20"/>
        </w:rPr>
      </w:pPr>
      <w:r w:rsidRPr="00DA6EB8">
        <w:rPr>
          <w:rFonts w:ascii="Times New Roman" w:hAnsi="Times New Roman" w:cs="Times New Roman"/>
          <w:b/>
          <w:bCs/>
          <w:sz w:val="20"/>
          <w:szCs w:val="20"/>
        </w:rPr>
        <w:t>Fig. 1</w:t>
      </w:r>
      <w:r w:rsidRPr="00DA6EB8">
        <w:rPr>
          <w:rFonts w:ascii="Times New Roman" w:hAnsi="Times New Roman" w:cs="Times New Roman"/>
          <w:sz w:val="20"/>
          <w:szCs w:val="20"/>
        </w:rPr>
        <w:t xml:space="preserve">. Mean droplet size of </w:t>
      </w:r>
      <w:r w:rsidRPr="00DA6EB8">
        <w:rPr>
          <w:rFonts w:ascii="Times New Roman" w:hAnsi="Times New Roman" w:cs="Times New Roman"/>
          <w:i/>
          <w:iCs/>
          <w:sz w:val="20"/>
          <w:szCs w:val="20"/>
        </w:rPr>
        <w:t>trans</w:t>
      </w:r>
      <w:r w:rsidRPr="00DA6EB8">
        <w:rPr>
          <w:rFonts w:ascii="Times New Roman" w:hAnsi="Times New Roman" w:cs="Times New Roman"/>
          <w:sz w:val="20"/>
          <w:szCs w:val="20"/>
        </w:rPr>
        <w:t xml:space="preserve">-methyl </w:t>
      </w:r>
      <w:proofErr w:type="spellStart"/>
      <w:r w:rsidRPr="00DA6EB8">
        <w:rPr>
          <w:rFonts w:ascii="Times New Roman" w:hAnsi="Times New Roman" w:cs="Times New Roman"/>
          <w:sz w:val="20"/>
          <w:szCs w:val="20"/>
        </w:rPr>
        <w:t>cinnamate</w:t>
      </w:r>
      <w:proofErr w:type="spellEnd"/>
      <w:r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microemulsion</w:t>
      </w:r>
      <w:proofErr w:type="spellEnd"/>
    </w:p>
    <w:p w:rsidR="00BD6349" w:rsidRPr="00DA6EB8" w:rsidRDefault="00BD6349" w:rsidP="00BD6349">
      <w:pPr>
        <w:autoSpaceDE w:val="0"/>
        <w:autoSpaceDN w:val="0"/>
        <w:adjustRightInd w:val="0"/>
        <w:snapToGrid w:val="0"/>
        <w:spacing w:after="0" w:line="240" w:lineRule="auto"/>
        <w:jc w:val="center"/>
        <w:rPr>
          <w:rFonts w:ascii="Times New Roman" w:hAnsi="Times New Roman" w:cs="Times New Roman"/>
          <w:b/>
          <w:bCs/>
          <w:sz w:val="20"/>
          <w:szCs w:val="20"/>
          <w:lang w:eastAsia="zh-CN"/>
        </w:rPr>
        <w:sectPr w:rsidR="00BD6349" w:rsidRPr="00DA6EB8" w:rsidSect="00BD6349">
          <w:type w:val="continuous"/>
          <w:pgSz w:w="12240" w:h="15840" w:code="1"/>
          <w:pgMar w:top="1440" w:right="1440" w:bottom="1440" w:left="1440" w:header="720" w:footer="720" w:gutter="0"/>
          <w:cols w:num="2" w:space="550"/>
          <w:docGrid w:linePitch="360"/>
        </w:sectPr>
      </w:pPr>
    </w:p>
    <w:p w:rsidR="005573FC" w:rsidRPr="00DA6EB8" w:rsidRDefault="005573FC" w:rsidP="00BD6349">
      <w:pPr>
        <w:autoSpaceDE w:val="0"/>
        <w:autoSpaceDN w:val="0"/>
        <w:adjustRightInd w:val="0"/>
        <w:snapToGrid w:val="0"/>
        <w:spacing w:after="0" w:line="240" w:lineRule="auto"/>
        <w:jc w:val="center"/>
        <w:rPr>
          <w:rFonts w:ascii="Times New Roman" w:hAnsi="Times New Roman" w:cs="Times New Roman"/>
          <w:b/>
          <w:bCs/>
          <w:sz w:val="20"/>
          <w:szCs w:val="20"/>
        </w:rPr>
      </w:pPr>
    </w:p>
    <w:p w:rsidR="0042684F" w:rsidRPr="00DA6EB8" w:rsidRDefault="0042684F" w:rsidP="00BD6349">
      <w:pPr>
        <w:autoSpaceDE w:val="0"/>
        <w:autoSpaceDN w:val="0"/>
        <w:adjustRightInd w:val="0"/>
        <w:snapToGrid w:val="0"/>
        <w:spacing w:after="0" w:line="240" w:lineRule="auto"/>
        <w:jc w:val="center"/>
        <w:rPr>
          <w:rFonts w:ascii="Times New Roman" w:hAnsi="Times New Roman" w:cs="Times New Roman"/>
          <w:b/>
          <w:bCs/>
          <w:sz w:val="20"/>
          <w:szCs w:val="20"/>
        </w:rPr>
      </w:pPr>
      <w:r w:rsidRPr="00DA6EB8">
        <w:rPr>
          <w:rFonts w:ascii="Times New Roman" w:hAnsi="Times New Roman" w:cs="Times New Roman"/>
          <w:b/>
          <w:bCs/>
          <w:sz w:val="20"/>
          <w:szCs w:val="20"/>
        </w:rPr>
        <w:t>Table (1):</w:t>
      </w:r>
      <w:r w:rsidRPr="00DA6EB8">
        <w:rPr>
          <w:rFonts w:ascii="Times New Roman" w:hAnsi="Times New Roman" w:cs="Times New Roman"/>
          <w:sz w:val="20"/>
          <w:szCs w:val="20"/>
        </w:rPr>
        <w:t xml:space="preserve"> Mean droplet size and </w:t>
      </w:r>
      <w:proofErr w:type="spellStart"/>
      <w:r w:rsidRPr="00DA6EB8">
        <w:rPr>
          <w:rFonts w:ascii="Times New Roman" w:hAnsi="Times New Roman" w:cs="Times New Roman"/>
          <w:sz w:val="20"/>
          <w:szCs w:val="20"/>
        </w:rPr>
        <w:t>polydispersity</w:t>
      </w:r>
      <w:proofErr w:type="spellEnd"/>
      <w:r w:rsidRPr="00DA6EB8">
        <w:rPr>
          <w:rFonts w:ascii="Times New Roman" w:hAnsi="Times New Roman" w:cs="Times New Roman"/>
          <w:sz w:val="20"/>
          <w:szCs w:val="20"/>
        </w:rPr>
        <w:t xml:space="preserve"> index of </w:t>
      </w:r>
      <w:r w:rsidRPr="00DA6EB8">
        <w:rPr>
          <w:rFonts w:ascii="Times New Roman" w:hAnsi="Times New Roman" w:cs="Times New Roman"/>
          <w:i/>
          <w:iCs/>
          <w:sz w:val="20"/>
          <w:szCs w:val="20"/>
        </w:rPr>
        <w:t>trans</w:t>
      </w:r>
      <w:r w:rsidRPr="00DA6EB8">
        <w:rPr>
          <w:rFonts w:ascii="Times New Roman" w:hAnsi="Times New Roman" w:cs="Times New Roman"/>
          <w:sz w:val="20"/>
          <w:szCs w:val="20"/>
        </w:rPr>
        <w:t xml:space="preserve">-methyl </w:t>
      </w:r>
      <w:proofErr w:type="spellStart"/>
      <w:r w:rsidRPr="00DA6EB8">
        <w:rPr>
          <w:rFonts w:ascii="Times New Roman" w:hAnsi="Times New Roman" w:cs="Times New Roman"/>
          <w:sz w:val="20"/>
          <w:szCs w:val="20"/>
        </w:rPr>
        <w:t>cinnamate</w:t>
      </w:r>
      <w:proofErr w:type="spellEnd"/>
      <w:r w:rsidRPr="00DA6EB8">
        <w:rPr>
          <w:rFonts w:ascii="Times New Roman" w:hAnsi="Times New Roman" w:cs="Times New Roman"/>
          <w:sz w:val="20"/>
          <w:szCs w:val="20"/>
        </w:rPr>
        <w:t xml:space="preserve"> 10% </w:t>
      </w:r>
      <w:proofErr w:type="spellStart"/>
      <w:r w:rsidRPr="00DA6EB8">
        <w:rPr>
          <w:rFonts w:ascii="Times New Roman" w:hAnsi="Times New Roman" w:cs="Times New Roman"/>
          <w:sz w:val="20"/>
          <w:szCs w:val="20"/>
        </w:rPr>
        <w:t>microemulsion</w:t>
      </w:r>
      <w:proofErr w:type="spellEnd"/>
    </w:p>
    <w:tbl>
      <w:tblPr>
        <w:tblStyle w:val="TableGrid"/>
        <w:tblW w:w="5000" w:type="pct"/>
        <w:jc w:val="center"/>
        <w:tblCellMar>
          <w:left w:w="57" w:type="dxa"/>
          <w:right w:w="57" w:type="dxa"/>
        </w:tblCellMar>
        <w:tblLook w:val="04A0"/>
      </w:tblPr>
      <w:tblGrid>
        <w:gridCol w:w="1405"/>
        <w:gridCol w:w="2182"/>
        <w:gridCol w:w="2194"/>
        <w:gridCol w:w="2490"/>
        <w:gridCol w:w="1203"/>
      </w:tblGrid>
      <w:tr w:rsidR="002B5904" w:rsidRPr="00DA6EB8" w:rsidTr="001841CD">
        <w:trPr>
          <w:jc w:val="center"/>
        </w:trPr>
        <w:tc>
          <w:tcPr>
            <w:tcW w:w="741" w:type="pct"/>
            <w:vAlign w:val="center"/>
          </w:tcPr>
          <w:p w:rsidR="002B5904" w:rsidRPr="00DA6EB8" w:rsidRDefault="002B5904" w:rsidP="00BD6349">
            <w:pPr>
              <w:pStyle w:val="ListParagraph"/>
              <w:snapToGrid w:val="0"/>
              <w:ind w:left="0"/>
              <w:jc w:val="both"/>
              <w:rPr>
                <w:rFonts w:ascii="Times New Roman" w:hAnsi="Times New Roman" w:cs="Times New Roman"/>
                <w:sz w:val="20"/>
                <w:szCs w:val="20"/>
                <w:lang w:bidi="ar-EG"/>
              </w:rPr>
            </w:pPr>
          </w:p>
        </w:tc>
        <w:tc>
          <w:tcPr>
            <w:tcW w:w="1151" w:type="pct"/>
            <w:vAlign w:val="center"/>
          </w:tcPr>
          <w:p w:rsidR="002B5904" w:rsidRPr="00DA6EB8" w:rsidRDefault="002B5904" w:rsidP="00BD6349">
            <w:pPr>
              <w:pStyle w:val="ListParagraph"/>
              <w:snapToGrid w:val="0"/>
              <w:ind w:left="0"/>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t>Size (d. nm)</w:t>
            </w:r>
          </w:p>
        </w:tc>
        <w:tc>
          <w:tcPr>
            <w:tcW w:w="1158" w:type="pct"/>
            <w:vAlign w:val="center"/>
          </w:tcPr>
          <w:p w:rsidR="002B5904" w:rsidRPr="00DA6EB8" w:rsidRDefault="002B5904" w:rsidP="00BD6349">
            <w:pPr>
              <w:pStyle w:val="ListParagraph"/>
              <w:snapToGrid w:val="0"/>
              <w:ind w:left="0"/>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t>% Number</w:t>
            </w:r>
          </w:p>
        </w:tc>
        <w:tc>
          <w:tcPr>
            <w:tcW w:w="1314" w:type="pct"/>
            <w:vAlign w:val="center"/>
          </w:tcPr>
          <w:p w:rsidR="002B5904" w:rsidRPr="00DA6EB8" w:rsidRDefault="002B5904" w:rsidP="00BD6349">
            <w:pPr>
              <w:pStyle w:val="ListParagraph"/>
              <w:snapToGrid w:val="0"/>
              <w:ind w:left="0"/>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t>Width (</w:t>
            </w:r>
            <w:proofErr w:type="spellStart"/>
            <w:r w:rsidRPr="00DA6EB8">
              <w:rPr>
                <w:rFonts w:ascii="Times New Roman" w:hAnsi="Times New Roman" w:cs="Times New Roman"/>
                <w:b/>
                <w:bCs/>
                <w:sz w:val="20"/>
                <w:szCs w:val="20"/>
                <w:lang w:bidi="ar-EG"/>
              </w:rPr>
              <w:t>d.nm</w:t>
            </w:r>
            <w:proofErr w:type="spellEnd"/>
            <w:r w:rsidRPr="00DA6EB8">
              <w:rPr>
                <w:rFonts w:ascii="Times New Roman" w:hAnsi="Times New Roman" w:cs="Times New Roman"/>
                <w:b/>
                <w:bCs/>
                <w:sz w:val="20"/>
                <w:szCs w:val="20"/>
                <w:lang w:bidi="ar-EG"/>
              </w:rPr>
              <w:t>)</w:t>
            </w:r>
          </w:p>
        </w:tc>
        <w:tc>
          <w:tcPr>
            <w:tcW w:w="635" w:type="pct"/>
            <w:vAlign w:val="center"/>
          </w:tcPr>
          <w:p w:rsidR="002B5904" w:rsidRPr="00DA6EB8" w:rsidRDefault="002B5904" w:rsidP="00BD6349">
            <w:pPr>
              <w:pStyle w:val="ListParagraph"/>
              <w:snapToGrid w:val="0"/>
              <w:ind w:left="0"/>
              <w:jc w:val="both"/>
              <w:rPr>
                <w:rFonts w:ascii="Times New Roman" w:hAnsi="Times New Roman" w:cs="Times New Roman"/>
                <w:b/>
                <w:bCs/>
                <w:sz w:val="20"/>
                <w:szCs w:val="20"/>
                <w:lang w:bidi="ar-EG"/>
              </w:rPr>
            </w:pPr>
            <w:proofErr w:type="spellStart"/>
            <w:r w:rsidRPr="00DA6EB8">
              <w:rPr>
                <w:rFonts w:ascii="Times New Roman" w:hAnsi="Times New Roman" w:cs="Times New Roman"/>
                <w:b/>
                <w:bCs/>
                <w:sz w:val="20"/>
                <w:szCs w:val="20"/>
                <w:lang w:bidi="ar-EG"/>
              </w:rPr>
              <w:t>PdI</w:t>
            </w:r>
            <w:proofErr w:type="spellEnd"/>
          </w:p>
        </w:tc>
      </w:tr>
      <w:tr w:rsidR="002B5904" w:rsidRPr="00DA6EB8" w:rsidTr="001841CD">
        <w:trPr>
          <w:jc w:val="center"/>
        </w:trPr>
        <w:tc>
          <w:tcPr>
            <w:tcW w:w="741" w:type="pct"/>
            <w:vAlign w:val="center"/>
          </w:tcPr>
          <w:p w:rsidR="002B5904" w:rsidRPr="00DA6EB8" w:rsidRDefault="002B5904" w:rsidP="00BD6349">
            <w:pPr>
              <w:pStyle w:val="ListParagraph"/>
              <w:snapToGrid w:val="0"/>
              <w:ind w:left="0"/>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t>Peak 1</w:t>
            </w:r>
          </w:p>
        </w:tc>
        <w:tc>
          <w:tcPr>
            <w:tcW w:w="1151" w:type="pct"/>
            <w:vAlign w:val="center"/>
          </w:tcPr>
          <w:p w:rsidR="002B5904" w:rsidRPr="00DA6EB8" w:rsidRDefault="002B5904" w:rsidP="00BD6349">
            <w:pPr>
              <w:pStyle w:val="ListParagraph"/>
              <w:snapToGrid w:val="0"/>
              <w:ind w:left="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55.21</w:t>
            </w:r>
          </w:p>
        </w:tc>
        <w:tc>
          <w:tcPr>
            <w:tcW w:w="1158" w:type="pct"/>
            <w:vAlign w:val="center"/>
          </w:tcPr>
          <w:p w:rsidR="002B5904" w:rsidRPr="00DA6EB8" w:rsidRDefault="002B5904" w:rsidP="00BD6349">
            <w:pPr>
              <w:pStyle w:val="ListParagraph"/>
              <w:snapToGrid w:val="0"/>
              <w:ind w:left="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100</w:t>
            </w:r>
          </w:p>
        </w:tc>
        <w:tc>
          <w:tcPr>
            <w:tcW w:w="1314" w:type="pct"/>
            <w:vAlign w:val="center"/>
          </w:tcPr>
          <w:p w:rsidR="002B5904" w:rsidRPr="00DA6EB8" w:rsidRDefault="002B5904" w:rsidP="00BD6349">
            <w:pPr>
              <w:pStyle w:val="ListParagraph"/>
              <w:snapToGrid w:val="0"/>
              <w:ind w:left="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19.68</w:t>
            </w:r>
          </w:p>
        </w:tc>
        <w:tc>
          <w:tcPr>
            <w:tcW w:w="635" w:type="pct"/>
            <w:vAlign w:val="center"/>
          </w:tcPr>
          <w:p w:rsidR="002B5904" w:rsidRPr="00DA6EB8" w:rsidRDefault="002B5904" w:rsidP="00BD6349">
            <w:pPr>
              <w:pStyle w:val="ListParagraph"/>
              <w:snapToGrid w:val="0"/>
              <w:ind w:left="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0.296</w:t>
            </w:r>
          </w:p>
        </w:tc>
      </w:tr>
    </w:tbl>
    <w:p w:rsidR="00A67698" w:rsidRDefault="00A67698" w:rsidP="00BD6349">
      <w:pPr>
        <w:pStyle w:val="ListParagraph"/>
        <w:snapToGrid w:val="0"/>
        <w:spacing w:after="0" w:line="240" w:lineRule="auto"/>
        <w:ind w:left="0"/>
        <w:jc w:val="both"/>
        <w:rPr>
          <w:rFonts w:ascii="Times New Roman" w:hAnsi="Times New Roman" w:cs="Times New Roman"/>
          <w:b/>
          <w:bCs/>
          <w:sz w:val="20"/>
          <w:szCs w:val="20"/>
          <w:lang w:eastAsia="zh-CN" w:bidi="ar-EG"/>
        </w:rPr>
      </w:pPr>
    </w:p>
    <w:p w:rsidR="00DA6EB8" w:rsidRDefault="00DA6EB8" w:rsidP="00BD6349">
      <w:pPr>
        <w:pStyle w:val="ListParagraph"/>
        <w:snapToGrid w:val="0"/>
        <w:spacing w:after="0" w:line="240" w:lineRule="auto"/>
        <w:ind w:left="0"/>
        <w:jc w:val="both"/>
        <w:rPr>
          <w:rFonts w:ascii="Times New Roman" w:hAnsi="Times New Roman" w:cs="Times New Roman"/>
          <w:b/>
          <w:bCs/>
          <w:sz w:val="20"/>
          <w:szCs w:val="20"/>
          <w:lang w:eastAsia="zh-CN" w:bidi="ar-EG"/>
        </w:rPr>
      </w:pPr>
    </w:p>
    <w:p w:rsidR="00DA6EB8" w:rsidRDefault="00DA6EB8" w:rsidP="00BD6349">
      <w:pPr>
        <w:pStyle w:val="ListParagraph"/>
        <w:snapToGrid w:val="0"/>
        <w:spacing w:after="0" w:line="240" w:lineRule="auto"/>
        <w:ind w:left="0"/>
        <w:jc w:val="both"/>
        <w:rPr>
          <w:rFonts w:ascii="Times New Roman" w:hAnsi="Times New Roman" w:cs="Times New Roman"/>
          <w:b/>
          <w:bCs/>
          <w:sz w:val="20"/>
          <w:szCs w:val="20"/>
          <w:lang w:eastAsia="zh-CN" w:bidi="ar-EG"/>
        </w:rPr>
      </w:pPr>
    </w:p>
    <w:p w:rsidR="00DA6EB8" w:rsidRPr="00DA6EB8" w:rsidRDefault="00DA6EB8" w:rsidP="00BD6349">
      <w:pPr>
        <w:pStyle w:val="ListParagraph"/>
        <w:snapToGrid w:val="0"/>
        <w:spacing w:after="0" w:line="240" w:lineRule="auto"/>
        <w:ind w:left="0"/>
        <w:jc w:val="both"/>
        <w:rPr>
          <w:rFonts w:ascii="Times New Roman" w:hAnsi="Times New Roman" w:cs="Times New Roman"/>
          <w:b/>
          <w:bCs/>
          <w:sz w:val="20"/>
          <w:szCs w:val="20"/>
          <w:lang w:eastAsia="zh-CN" w:bidi="ar-EG"/>
        </w:rPr>
      </w:pPr>
    </w:p>
    <w:p w:rsidR="00BD6349" w:rsidRPr="00DA6EB8" w:rsidRDefault="00BD6349" w:rsidP="00BD6349">
      <w:pPr>
        <w:pStyle w:val="ListParagraph"/>
        <w:snapToGrid w:val="0"/>
        <w:spacing w:after="0" w:line="240" w:lineRule="auto"/>
        <w:ind w:left="0"/>
        <w:jc w:val="center"/>
        <w:rPr>
          <w:rFonts w:ascii="Times New Roman" w:hAnsi="Times New Roman" w:cs="Times New Roman"/>
          <w:b/>
          <w:bCs/>
          <w:sz w:val="20"/>
          <w:szCs w:val="20"/>
          <w:lang w:bidi="ar-EG"/>
        </w:rPr>
        <w:sectPr w:rsidR="00BD6349" w:rsidRPr="00DA6EB8" w:rsidSect="001841CD">
          <w:type w:val="continuous"/>
          <w:pgSz w:w="12240" w:h="15840" w:code="1"/>
          <w:pgMar w:top="1440" w:right="1440" w:bottom="1440" w:left="1440" w:header="720" w:footer="720" w:gutter="0"/>
          <w:cols w:space="720"/>
          <w:docGrid w:linePitch="360"/>
        </w:sectPr>
      </w:pPr>
    </w:p>
    <w:p w:rsidR="007A7802" w:rsidRPr="00DA6EB8" w:rsidRDefault="007A7802" w:rsidP="00BD6349">
      <w:pPr>
        <w:pStyle w:val="ListParagraph"/>
        <w:numPr>
          <w:ilvl w:val="0"/>
          <w:numId w:val="19"/>
        </w:numPr>
        <w:snapToGrid w:val="0"/>
        <w:spacing w:after="0" w:line="240" w:lineRule="auto"/>
        <w:ind w:left="0" w:firstLine="0"/>
        <w:jc w:val="both"/>
        <w:rPr>
          <w:rFonts w:ascii="Times New Roman" w:hAnsi="Times New Roman" w:cs="Times New Roman"/>
          <w:b/>
          <w:bCs/>
          <w:sz w:val="20"/>
          <w:szCs w:val="20"/>
        </w:rPr>
      </w:pPr>
      <w:r w:rsidRPr="00DA6EB8">
        <w:rPr>
          <w:rFonts w:ascii="Times New Roman" w:hAnsi="Times New Roman" w:cs="Times New Roman"/>
          <w:b/>
          <w:bCs/>
          <w:sz w:val="20"/>
          <w:szCs w:val="20"/>
        </w:rPr>
        <w:lastRenderedPageBreak/>
        <w:t>Physical Properties of Formulation:</w:t>
      </w:r>
    </w:p>
    <w:p w:rsidR="00D75806" w:rsidRPr="00DA6EB8" w:rsidRDefault="00576F70" w:rsidP="00BD6349">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DA6EB8">
        <w:rPr>
          <w:rFonts w:ascii="Times New Roman" w:hAnsi="Times New Roman" w:cs="Times New Roman"/>
          <w:sz w:val="20"/>
          <w:szCs w:val="20"/>
        </w:rPr>
        <w:t xml:space="preserve">The most important parts of chemical stability are performances on accelerated testing and kinetics of pH profiles </w:t>
      </w:r>
      <w:r w:rsidR="000E5474" w:rsidRPr="00DA6EB8">
        <w:rPr>
          <w:rFonts w:ascii="Times New Roman" w:hAnsi="Times New Roman" w:cs="Times New Roman"/>
          <w:b/>
          <w:bCs/>
          <w:sz w:val="20"/>
          <w:szCs w:val="20"/>
          <w:vertAlign w:val="superscript"/>
        </w:rPr>
        <w:t>(4</w:t>
      </w:r>
      <w:r w:rsidR="00E56965" w:rsidRPr="00DA6EB8">
        <w:rPr>
          <w:rFonts w:ascii="Times New Roman" w:hAnsi="Times New Roman" w:cs="Times New Roman"/>
          <w:b/>
          <w:bCs/>
          <w:sz w:val="20"/>
          <w:szCs w:val="20"/>
          <w:vertAlign w:val="superscript"/>
        </w:rPr>
        <w:t>9</w:t>
      </w:r>
      <w:r w:rsidR="000E5474" w:rsidRPr="00DA6EB8">
        <w:rPr>
          <w:rFonts w:ascii="Times New Roman" w:hAnsi="Times New Roman" w:cs="Times New Roman"/>
          <w:b/>
          <w:bCs/>
          <w:sz w:val="20"/>
          <w:szCs w:val="20"/>
          <w:vertAlign w:val="superscript"/>
        </w:rPr>
        <w:t>)</w:t>
      </w:r>
      <w:r w:rsidRPr="00DA6EB8">
        <w:rPr>
          <w:rFonts w:ascii="Times New Roman" w:hAnsi="Times New Roman" w:cs="Times New Roman"/>
          <w:b/>
          <w:bCs/>
          <w:sz w:val="20"/>
          <w:szCs w:val="20"/>
        </w:rPr>
        <w:t>.</w:t>
      </w:r>
      <w:r w:rsidRPr="00DA6EB8">
        <w:rPr>
          <w:rFonts w:ascii="Times New Roman" w:hAnsi="Times New Roman" w:cs="Times New Roman"/>
          <w:sz w:val="20"/>
          <w:szCs w:val="20"/>
        </w:rPr>
        <w:t xml:space="preserve"> The formulation exhibited acidic pH value. The pH values of the prepared formulation were in range (4.</w:t>
      </w:r>
      <w:r w:rsidR="00843187" w:rsidRPr="00DA6EB8">
        <w:rPr>
          <w:rFonts w:ascii="Times New Roman" w:hAnsi="Times New Roman" w:cs="Times New Roman"/>
          <w:sz w:val="20"/>
          <w:szCs w:val="20"/>
        </w:rPr>
        <w:t xml:space="preserve">24 </w:t>
      </w:r>
      <w:r w:rsidRPr="00DA6EB8">
        <w:rPr>
          <w:rFonts w:ascii="Times New Roman" w:hAnsi="Times New Roman" w:cs="Times New Roman"/>
          <w:sz w:val="20"/>
          <w:szCs w:val="20"/>
        </w:rPr>
        <w:t>-4.</w:t>
      </w:r>
      <w:r w:rsidR="00843187" w:rsidRPr="00DA6EB8">
        <w:rPr>
          <w:rFonts w:ascii="Times New Roman" w:hAnsi="Times New Roman" w:cs="Times New Roman"/>
          <w:sz w:val="20"/>
          <w:szCs w:val="20"/>
        </w:rPr>
        <w:t>36</w:t>
      </w:r>
      <w:r w:rsidRPr="00DA6EB8">
        <w:rPr>
          <w:rFonts w:ascii="Times New Roman" w:hAnsi="Times New Roman" w:cs="Times New Roman"/>
          <w:sz w:val="20"/>
          <w:szCs w:val="20"/>
        </w:rPr>
        <w:t>),</w:t>
      </w:r>
      <w:r w:rsidR="000E5474" w:rsidRPr="00DA6EB8">
        <w:rPr>
          <w:rFonts w:ascii="Times New Roman" w:hAnsi="Times New Roman" w:cs="Times New Roman"/>
          <w:sz w:val="20"/>
          <w:szCs w:val="20"/>
        </w:rPr>
        <w:t xml:space="preserve"> and the free acidity values were in range of (0.1233 – 0.1764 % as H</w:t>
      </w:r>
      <w:r w:rsidR="000E5474" w:rsidRPr="00DA6EB8">
        <w:rPr>
          <w:rFonts w:ascii="Times New Roman" w:hAnsi="Times New Roman" w:cs="Times New Roman"/>
          <w:sz w:val="20"/>
          <w:szCs w:val="20"/>
          <w:vertAlign w:val="subscript"/>
        </w:rPr>
        <w:t>2</w:t>
      </w:r>
      <w:r w:rsidR="000E5474" w:rsidRPr="00DA6EB8">
        <w:rPr>
          <w:rFonts w:ascii="Times New Roman" w:hAnsi="Times New Roman" w:cs="Times New Roman"/>
          <w:sz w:val="20"/>
          <w:szCs w:val="20"/>
        </w:rPr>
        <w:t>SO</w:t>
      </w:r>
      <w:r w:rsidR="000E5474" w:rsidRPr="00DA6EB8">
        <w:rPr>
          <w:rFonts w:ascii="Times New Roman" w:hAnsi="Times New Roman" w:cs="Times New Roman"/>
          <w:sz w:val="20"/>
          <w:szCs w:val="20"/>
          <w:vertAlign w:val="subscript"/>
        </w:rPr>
        <w:t>4</w:t>
      </w:r>
      <w:r w:rsidR="000E5474" w:rsidRPr="00DA6EB8">
        <w:rPr>
          <w:rFonts w:ascii="Times New Roman" w:hAnsi="Times New Roman" w:cs="Times New Roman"/>
          <w:sz w:val="20"/>
          <w:szCs w:val="20"/>
        </w:rPr>
        <w:t xml:space="preserve">) </w:t>
      </w:r>
      <w:r w:rsidRPr="00DA6EB8">
        <w:rPr>
          <w:rFonts w:ascii="Times New Roman" w:hAnsi="Times New Roman" w:cs="Times New Roman"/>
          <w:sz w:val="20"/>
          <w:szCs w:val="20"/>
        </w:rPr>
        <w:t>indicating that the formulation having acidic character implying that it wil</w:t>
      </w:r>
      <w:r w:rsidR="00043C2C" w:rsidRPr="00DA6EB8">
        <w:rPr>
          <w:rFonts w:ascii="Times New Roman" w:hAnsi="Times New Roman" w:cs="Times New Roman"/>
          <w:sz w:val="20"/>
          <w:szCs w:val="20"/>
        </w:rPr>
        <w:t xml:space="preserve">l have good biological activity </w:t>
      </w:r>
      <w:r w:rsidR="00E56965" w:rsidRPr="00DA6EB8">
        <w:rPr>
          <w:rFonts w:ascii="Times New Roman" w:hAnsi="Times New Roman" w:cs="Times New Roman"/>
          <w:b/>
          <w:bCs/>
          <w:sz w:val="20"/>
          <w:szCs w:val="20"/>
          <w:vertAlign w:val="superscript"/>
        </w:rPr>
        <w:t>(50</w:t>
      </w:r>
      <w:r w:rsidR="000E5474" w:rsidRPr="00DA6EB8">
        <w:rPr>
          <w:rFonts w:ascii="Times New Roman" w:hAnsi="Times New Roman" w:cs="Times New Roman"/>
          <w:b/>
          <w:bCs/>
          <w:sz w:val="20"/>
          <w:szCs w:val="20"/>
          <w:vertAlign w:val="superscript"/>
        </w:rPr>
        <w:t>)</w:t>
      </w:r>
      <w:r w:rsidRPr="00DA6EB8">
        <w:rPr>
          <w:rFonts w:ascii="Times New Roman" w:hAnsi="Times New Roman" w:cs="Times New Roman"/>
          <w:b/>
          <w:bCs/>
          <w:sz w:val="20"/>
          <w:szCs w:val="20"/>
        </w:rPr>
        <w:t>.</w:t>
      </w:r>
      <w:r w:rsidRPr="00DA6EB8">
        <w:rPr>
          <w:rFonts w:ascii="Times New Roman" w:hAnsi="Times New Roman" w:cs="Times New Roman"/>
          <w:sz w:val="20"/>
          <w:szCs w:val="20"/>
        </w:rPr>
        <w:t xml:space="preserve"> The prepared formulation having the surface tension range (</w:t>
      </w:r>
      <w:r w:rsidR="00843187" w:rsidRPr="00DA6EB8">
        <w:rPr>
          <w:rFonts w:ascii="Times New Roman" w:hAnsi="Times New Roman" w:cs="Times New Roman"/>
          <w:sz w:val="20"/>
          <w:szCs w:val="20"/>
        </w:rPr>
        <w:t>27.025</w:t>
      </w:r>
      <w:r w:rsidRPr="00DA6EB8">
        <w:rPr>
          <w:rFonts w:ascii="Times New Roman" w:hAnsi="Times New Roman" w:cs="Times New Roman"/>
          <w:sz w:val="20"/>
          <w:szCs w:val="20"/>
        </w:rPr>
        <w:t>-</w:t>
      </w:r>
      <w:r w:rsidR="00843187" w:rsidRPr="00DA6EB8">
        <w:rPr>
          <w:rFonts w:ascii="Times New Roman" w:hAnsi="Times New Roman" w:cs="Times New Roman"/>
          <w:sz w:val="20"/>
          <w:szCs w:val="20"/>
        </w:rPr>
        <w:t>27.289</w:t>
      </w:r>
      <w:r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mN</w:t>
      </w:r>
      <w:proofErr w:type="spellEnd"/>
      <w:r w:rsidRPr="00DA6EB8">
        <w:rPr>
          <w:rFonts w:ascii="Times New Roman" w:hAnsi="Times New Roman" w:cs="Times New Roman"/>
          <w:sz w:val="20"/>
          <w:szCs w:val="20"/>
        </w:rPr>
        <w:t xml:space="preserve">/m). Lower surface tension is a desirable characteristic for most agricultural sprays because it facilitates the spreading of droplets upon impaction on leaves or other target surfaces, to </w:t>
      </w:r>
      <w:r w:rsidRPr="00DA6EB8">
        <w:rPr>
          <w:rFonts w:ascii="Times New Roman" w:hAnsi="Times New Roman" w:cs="Times New Roman"/>
          <w:sz w:val="20"/>
          <w:szCs w:val="20"/>
        </w:rPr>
        <w:lastRenderedPageBreak/>
        <w:t xml:space="preserve">increase the surface-active area and improves penetration and uptake of the product into the plant </w:t>
      </w:r>
      <w:r w:rsidR="000E5474" w:rsidRPr="00DA6EB8">
        <w:rPr>
          <w:rFonts w:ascii="Times New Roman" w:hAnsi="Times New Roman" w:cs="Times New Roman"/>
          <w:b/>
          <w:bCs/>
          <w:sz w:val="20"/>
          <w:szCs w:val="20"/>
          <w:vertAlign w:val="superscript"/>
        </w:rPr>
        <w:t>(5</w:t>
      </w:r>
      <w:r w:rsidR="00E56965" w:rsidRPr="00DA6EB8">
        <w:rPr>
          <w:rFonts w:ascii="Times New Roman" w:hAnsi="Times New Roman" w:cs="Times New Roman"/>
          <w:b/>
          <w:bCs/>
          <w:sz w:val="20"/>
          <w:szCs w:val="20"/>
          <w:vertAlign w:val="superscript"/>
        </w:rPr>
        <w:t>1</w:t>
      </w:r>
      <w:r w:rsidR="000E5474" w:rsidRPr="00DA6EB8">
        <w:rPr>
          <w:rFonts w:ascii="Times New Roman" w:hAnsi="Times New Roman" w:cs="Times New Roman"/>
          <w:b/>
          <w:bCs/>
          <w:sz w:val="20"/>
          <w:szCs w:val="20"/>
          <w:vertAlign w:val="superscript"/>
        </w:rPr>
        <w:t>)</w:t>
      </w:r>
      <w:r w:rsidR="00B51E6A" w:rsidRPr="00DA6EB8">
        <w:rPr>
          <w:rFonts w:ascii="Times New Roman" w:hAnsi="Times New Roman" w:cs="Times New Roman" w:hint="eastAsia"/>
          <w:b/>
          <w:bCs/>
          <w:sz w:val="20"/>
          <w:szCs w:val="20"/>
          <w:lang w:eastAsia="zh-CN"/>
        </w:rPr>
        <w:t>.</w:t>
      </w:r>
      <w:r w:rsidRPr="00DA6EB8">
        <w:rPr>
          <w:rFonts w:ascii="Times New Roman" w:hAnsi="Times New Roman" w:cs="Times New Roman"/>
          <w:sz w:val="20"/>
          <w:szCs w:val="20"/>
        </w:rPr>
        <w:t xml:space="preserve"> The prepared formulation in the all storage condition having high value of flash point more than 60°C and this is quite safe. </w:t>
      </w:r>
      <w:r w:rsidR="00A601AE" w:rsidRPr="00DA6EB8">
        <w:rPr>
          <w:rFonts w:ascii="Times New Roman" w:hAnsi="Times New Roman" w:cs="Times New Roman"/>
          <w:sz w:val="20"/>
          <w:szCs w:val="20"/>
        </w:rPr>
        <w:t>The refractive ind</w:t>
      </w:r>
      <w:r w:rsidR="006D67FC" w:rsidRPr="00DA6EB8">
        <w:rPr>
          <w:rFonts w:ascii="Times New Roman" w:hAnsi="Times New Roman" w:cs="Times New Roman"/>
          <w:sz w:val="20"/>
          <w:szCs w:val="20"/>
        </w:rPr>
        <w:t>ices</w:t>
      </w:r>
      <w:r w:rsidR="00A601AE" w:rsidRPr="00DA6EB8">
        <w:rPr>
          <w:rFonts w:ascii="Times New Roman" w:hAnsi="Times New Roman" w:cs="Times New Roman"/>
          <w:sz w:val="20"/>
          <w:szCs w:val="20"/>
        </w:rPr>
        <w:t xml:space="preserve"> of the prepared formulation were ranged (1.4253 – 1.4267)</w:t>
      </w:r>
      <w:r w:rsidR="00A22012" w:rsidRPr="00DA6EB8">
        <w:rPr>
          <w:rFonts w:ascii="Times New Roman" w:hAnsi="Times New Roman" w:cs="Times New Roman"/>
          <w:sz w:val="20"/>
          <w:szCs w:val="20"/>
        </w:rPr>
        <w:t>, the</w:t>
      </w:r>
      <w:r w:rsidR="00703966" w:rsidRPr="00DA6EB8">
        <w:rPr>
          <w:rFonts w:ascii="Times New Roman" w:hAnsi="Times New Roman" w:cs="Times New Roman"/>
          <w:sz w:val="20"/>
          <w:szCs w:val="20"/>
        </w:rPr>
        <w:t xml:space="preserve"> </w:t>
      </w:r>
      <w:r w:rsidR="00A22012" w:rsidRPr="00DA6EB8">
        <w:rPr>
          <w:rFonts w:ascii="Times New Roman" w:hAnsi="Times New Roman" w:cs="Times New Roman"/>
          <w:sz w:val="20"/>
          <w:szCs w:val="20"/>
        </w:rPr>
        <w:t>densities were ranged from 0.9877 to 0.9902 and specific gravities range were 0.9907 – 0.9932 that showed no valuable change according to different storage conditions. Viscosities</w:t>
      </w:r>
      <w:r w:rsidR="00A601AE" w:rsidRPr="00DA6EB8">
        <w:rPr>
          <w:rFonts w:ascii="Times New Roman" w:hAnsi="Times New Roman" w:cs="Times New Roman"/>
          <w:sz w:val="20"/>
          <w:szCs w:val="20"/>
        </w:rPr>
        <w:t xml:space="preserve"> were in range (18.75 – 19.71 </w:t>
      </w:r>
      <w:proofErr w:type="spellStart"/>
      <w:r w:rsidR="00A601AE" w:rsidRPr="00DA6EB8">
        <w:rPr>
          <w:rFonts w:ascii="Times New Roman" w:hAnsi="Times New Roman" w:cs="Times New Roman"/>
          <w:sz w:val="20"/>
          <w:szCs w:val="20"/>
        </w:rPr>
        <w:t>cP</w:t>
      </w:r>
      <w:proofErr w:type="spellEnd"/>
      <w:r w:rsidR="00A601AE" w:rsidRPr="00DA6EB8">
        <w:rPr>
          <w:rFonts w:ascii="Times New Roman" w:hAnsi="Times New Roman" w:cs="Times New Roman"/>
          <w:sz w:val="20"/>
          <w:szCs w:val="20"/>
        </w:rPr>
        <w:t>.)</w:t>
      </w:r>
      <w:r w:rsidR="00D75806"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D75806" w:rsidRPr="00DA6EB8">
        <w:rPr>
          <w:rFonts w:ascii="Times New Roman" w:hAnsi="Times New Roman" w:cs="Times New Roman"/>
          <w:sz w:val="20"/>
          <w:szCs w:val="20"/>
        </w:rPr>
        <w:t>Increasing viscosity of spray solution cause</w:t>
      </w:r>
      <w:r w:rsidR="00D10E3C" w:rsidRPr="00DA6EB8">
        <w:rPr>
          <w:rFonts w:ascii="Times New Roman" w:hAnsi="Times New Roman" w:cs="Times New Roman"/>
          <w:sz w:val="20"/>
          <w:szCs w:val="20"/>
        </w:rPr>
        <w:t>d</w:t>
      </w:r>
      <w:r w:rsidR="00D75806" w:rsidRPr="00DA6EB8">
        <w:rPr>
          <w:rFonts w:ascii="Times New Roman" w:hAnsi="Times New Roman" w:cs="Times New Roman"/>
          <w:sz w:val="20"/>
          <w:szCs w:val="20"/>
        </w:rPr>
        <w:t xml:space="preserve"> reduction drift and an increase in retention sticking and </w:t>
      </w:r>
      <w:proofErr w:type="spellStart"/>
      <w:r w:rsidR="00D75806" w:rsidRPr="00DA6EB8">
        <w:rPr>
          <w:rFonts w:ascii="Times New Roman" w:hAnsi="Times New Roman" w:cs="Times New Roman"/>
          <w:sz w:val="20"/>
          <w:szCs w:val="20"/>
        </w:rPr>
        <w:t>pesticidal</w:t>
      </w:r>
      <w:proofErr w:type="spellEnd"/>
      <w:r w:rsidR="00D75806" w:rsidRPr="00DA6EB8">
        <w:rPr>
          <w:rFonts w:ascii="Times New Roman" w:hAnsi="Times New Roman" w:cs="Times New Roman"/>
          <w:sz w:val="20"/>
          <w:szCs w:val="20"/>
        </w:rPr>
        <w:t xml:space="preserve"> efficiency </w:t>
      </w:r>
      <w:r w:rsidR="00D75806" w:rsidRPr="00DA6EB8">
        <w:rPr>
          <w:rFonts w:ascii="Times New Roman" w:hAnsi="Times New Roman" w:cs="Times New Roman"/>
          <w:b/>
          <w:bCs/>
          <w:sz w:val="20"/>
          <w:szCs w:val="20"/>
          <w:vertAlign w:val="superscript"/>
        </w:rPr>
        <w:t>(</w:t>
      </w:r>
      <w:r w:rsidR="00E56965" w:rsidRPr="00DA6EB8">
        <w:rPr>
          <w:rFonts w:ascii="Times New Roman" w:hAnsi="Times New Roman" w:cs="Times New Roman"/>
          <w:b/>
          <w:bCs/>
          <w:sz w:val="20"/>
          <w:szCs w:val="20"/>
          <w:vertAlign w:val="superscript"/>
        </w:rPr>
        <w:t>52</w:t>
      </w:r>
      <w:r w:rsidR="00D75806" w:rsidRPr="00DA6EB8">
        <w:rPr>
          <w:rFonts w:ascii="Times New Roman" w:hAnsi="Times New Roman" w:cs="Times New Roman"/>
          <w:b/>
          <w:bCs/>
          <w:sz w:val="20"/>
          <w:szCs w:val="20"/>
          <w:vertAlign w:val="superscript"/>
        </w:rPr>
        <w:t>)</w:t>
      </w:r>
      <w:r w:rsidR="00D75806" w:rsidRPr="00DA6EB8">
        <w:rPr>
          <w:rFonts w:ascii="Times New Roman" w:hAnsi="Times New Roman" w:cs="Times New Roman"/>
          <w:b/>
          <w:bCs/>
          <w:sz w:val="20"/>
          <w:szCs w:val="20"/>
        </w:rPr>
        <w:t>.</w:t>
      </w:r>
    </w:p>
    <w:p w:rsidR="00BD6349" w:rsidRPr="00DA6EB8" w:rsidRDefault="00BD6349" w:rsidP="00BD6349">
      <w:pPr>
        <w:snapToGrid w:val="0"/>
        <w:spacing w:after="0" w:line="240" w:lineRule="auto"/>
        <w:jc w:val="both"/>
        <w:rPr>
          <w:rFonts w:ascii="Times New Roman" w:hAnsi="Times New Roman" w:cs="Times New Roman"/>
          <w:b/>
          <w:bCs/>
          <w:sz w:val="20"/>
          <w:szCs w:val="20"/>
        </w:rPr>
        <w:sectPr w:rsidR="00BD6349" w:rsidRPr="00DA6EB8" w:rsidSect="00BD6349">
          <w:type w:val="continuous"/>
          <w:pgSz w:w="12240" w:h="15840" w:code="1"/>
          <w:pgMar w:top="1440" w:right="1440" w:bottom="1440" w:left="1440" w:header="720" w:footer="720" w:gutter="0"/>
          <w:cols w:num="2" w:space="550"/>
          <w:docGrid w:linePitch="360"/>
        </w:sectPr>
      </w:pPr>
    </w:p>
    <w:p w:rsidR="001841CD" w:rsidRPr="00DA6EB8" w:rsidRDefault="001841CD" w:rsidP="00BD6349">
      <w:pPr>
        <w:snapToGrid w:val="0"/>
        <w:spacing w:after="0" w:line="240" w:lineRule="auto"/>
        <w:jc w:val="both"/>
        <w:rPr>
          <w:rFonts w:ascii="Times New Roman" w:hAnsi="Times New Roman" w:cs="Times New Roman"/>
          <w:b/>
          <w:bCs/>
          <w:sz w:val="20"/>
          <w:szCs w:val="20"/>
        </w:rPr>
      </w:pPr>
    </w:p>
    <w:p w:rsidR="00DA6EB8" w:rsidRDefault="00DA6EB8" w:rsidP="00BD6349">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B40A86" w:rsidRPr="00DA6EB8" w:rsidRDefault="00B40A86" w:rsidP="00BD6349">
      <w:pPr>
        <w:autoSpaceDE w:val="0"/>
        <w:autoSpaceDN w:val="0"/>
        <w:adjustRightInd w:val="0"/>
        <w:snapToGrid w:val="0"/>
        <w:spacing w:after="0" w:line="240" w:lineRule="auto"/>
        <w:jc w:val="both"/>
        <w:rPr>
          <w:rFonts w:ascii="Times New Roman" w:hAnsi="Times New Roman" w:cs="Times New Roman"/>
          <w:b/>
          <w:bCs/>
          <w:sz w:val="20"/>
          <w:szCs w:val="20"/>
        </w:rPr>
      </w:pPr>
      <w:r w:rsidRPr="00DA6EB8">
        <w:rPr>
          <w:rFonts w:ascii="Times New Roman" w:hAnsi="Times New Roman" w:cs="Times New Roman"/>
          <w:b/>
          <w:bCs/>
          <w:sz w:val="20"/>
          <w:szCs w:val="20"/>
        </w:rPr>
        <w:t>Table (</w:t>
      </w:r>
      <w:r w:rsidR="0042684F" w:rsidRPr="00DA6EB8">
        <w:rPr>
          <w:rFonts w:ascii="Times New Roman" w:hAnsi="Times New Roman" w:cs="Times New Roman"/>
          <w:b/>
          <w:bCs/>
          <w:sz w:val="20"/>
          <w:szCs w:val="20"/>
        </w:rPr>
        <w:t>2</w:t>
      </w:r>
      <w:r w:rsidRPr="00DA6EB8">
        <w:rPr>
          <w:rFonts w:ascii="Times New Roman" w:hAnsi="Times New Roman" w:cs="Times New Roman"/>
          <w:b/>
          <w:bCs/>
          <w:sz w:val="20"/>
          <w:szCs w:val="20"/>
        </w:rPr>
        <w:t xml:space="preserve">): Physical Properties of </w:t>
      </w:r>
      <w:r w:rsidRPr="00DA6EB8">
        <w:rPr>
          <w:rFonts w:ascii="Times New Roman" w:hAnsi="Times New Roman" w:cs="Times New Roman"/>
          <w:b/>
          <w:bCs/>
          <w:i/>
          <w:iCs/>
          <w:sz w:val="20"/>
          <w:szCs w:val="20"/>
        </w:rPr>
        <w:t>trans-</w:t>
      </w:r>
      <w:r w:rsidRPr="00DA6EB8">
        <w:rPr>
          <w:rFonts w:ascii="Times New Roman" w:hAnsi="Times New Roman" w:cs="Times New Roman"/>
          <w:b/>
          <w:bCs/>
          <w:sz w:val="20"/>
          <w:szCs w:val="20"/>
        </w:rPr>
        <w:t xml:space="preserve">methyl </w:t>
      </w:r>
      <w:proofErr w:type="spellStart"/>
      <w:r w:rsidRPr="00DA6EB8">
        <w:rPr>
          <w:rFonts w:ascii="Times New Roman" w:hAnsi="Times New Roman" w:cs="Times New Roman"/>
          <w:b/>
          <w:bCs/>
          <w:sz w:val="20"/>
          <w:szCs w:val="20"/>
        </w:rPr>
        <w:t>cinnamate</w:t>
      </w:r>
      <w:proofErr w:type="spellEnd"/>
      <w:r w:rsidRPr="00DA6EB8">
        <w:rPr>
          <w:rFonts w:ascii="Times New Roman" w:hAnsi="Times New Roman" w:cs="Times New Roman"/>
          <w:b/>
          <w:bCs/>
          <w:sz w:val="20"/>
          <w:szCs w:val="20"/>
        </w:rPr>
        <w:t xml:space="preserve"> 10% ME at initial, after storage at 0 °C for 7 days and after accelerated hot storage at 54 ± 2 °C for 14 days</w:t>
      </w:r>
    </w:p>
    <w:tbl>
      <w:tblPr>
        <w:tblStyle w:val="TableGrid"/>
        <w:tblW w:w="5000" w:type="pct"/>
        <w:jc w:val="center"/>
        <w:tblCellMar>
          <w:left w:w="57" w:type="dxa"/>
          <w:right w:w="57" w:type="dxa"/>
        </w:tblCellMar>
        <w:tblLook w:val="04A0"/>
      </w:tblPr>
      <w:tblGrid>
        <w:gridCol w:w="2325"/>
        <w:gridCol w:w="1986"/>
        <w:gridCol w:w="2268"/>
        <w:gridCol w:w="2895"/>
      </w:tblGrid>
      <w:tr w:rsidR="005573FC" w:rsidRPr="00DA6EB8" w:rsidTr="00DA6EB8">
        <w:trPr>
          <w:jc w:val="center"/>
        </w:trPr>
        <w:tc>
          <w:tcPr>
            <w:tcW w:w="1227" w:type="pct"/>
            <w:vAlign w:val="center"/>
          </w:tcPr>
          <w:p w:rsidR="005573FC" w:rsidRPr="00DA6EB8" w:rsidRDefault="005573FC" w:rsidP="00DA6EB8">
            <w:pPr>
              <w:autoSpaceDE w:val="0"/>
              <w:autoSpaceDN w:val="0"/>
              <w:adjustRightInd w:val="0"/>
              <w:snapToGrid w:val="0"/>
              <w:rPr>
                <w:rFonts w:ascii="Times New Roman" w:hAnsi="Times New Roman" w:cs="Times New Roman"/>
                <w:b/>
                <w:bCs/>
                <w:sz w:val="20"/>
                <w:szCs w:val="20"/>
              </w:rPr>
            </w:pPr>
            <w:r w:rsidRPr="00DA6EB8">
              <w:rPr>
                <w:rFonts w:ascii="Times New Roman" w:hAnsi="Times New Roman" w:cs="Times New Roman"/>
                <w:b/>
                <w:bCs/>
                <w:sz w:val="20"/>
                <w:szCs w:val="20"/>
              </w:rPr>
              <w:t>Test</w:t>
            </w:r>
          </w:p>
        </w:tc>
        <w:tc>
          <w:tcPr>
            <w:tcW w:w="1048" w:type="pct"/>
            <w:vAlign w:val="center"/>
          </w:tcPr>
          <w:p w:rsidR="005573FC" w:rsidRPr="00DA6EB8" w:rsidRDefault="005573FC" w:rsidP="00DA6EB8">
            <w:pPr>
              <w:autoSpaceDE w:val="0"/>
              <w:autoSpaceDN w:val="0"/>
              <w:adjustRightInd w:val="0"/>
              <w:snapToGrid w:val="0"/>
              <w:rPr>
                <w:rFonts w:ascii="Times New Roman" w:hAnsi="Times New Roman" w:cs="Times New Roman"/>
                <w:b/>
                <w:bCs/>
                <w:sz w:val="20"/>
                <w:szCs w:val="20"/>
              </w:rPr>
            </w:pPr>
            <w:r w:rsidRPr="00DA6EB8">
              <w:rPr>
                <w:rFonts w:ascii="Times New Roman" w:hAnsi="Times New Roman" w:cs="Times New Roman"/>
                <w:b/>
                <w:bCs/>
                <w:sz w:val="20"/>
                <w:szCs w:val="20"/>
              </w:rPr>
              <w:t>Initial</w:t>
            </w:r>
          </w:p>
        </w:tc>
        <w:tc>
          <w:tcPr>
            <w:tcW w:w="1197" w:type="pct"/>
            <w:vAlign w:val="center"/>
          </w:tcPr>
          <w:p w:rsidR="005573FC" w:rsidRPr="00DA6EB8" w:rsidRDefault="005573FC" w:rsidP="00DA6EB8">
            <w:pPr>
              <w:autoSpaceDE w:val="0"/>
              <w:autoSpaceDN w:val="0"/>
              <w:adjustRightInd w:val="0"/>
              <w:snapToGrid w:val="0"/>
              <w:rPr>
                <w:rFonts w:ascii="Times New Roman" w:hAnsi="Times New Roman" w:cs="Times New Roman"/>
                <w:b/>
                <w:bCs/>
                <w:sz w:val="20"/>
                <w:szCs w:val="20"/>
              </w:rPr>
            </w:pPr>
            <w:r w:rsidRPr="00DA6EB8">
              <w:rPr>
                <w:rFonts w:ascii="Times New Roman" w:hAnsi="Times New Roman" w:cs="Times New Roman"/>
                <w:b/>
                <w:bCs/>
                <w:sz w:val="20"/>
                <w:szCs w:val="20"/>
              </w:rPr>
              <w:t>After storage at 0 °C for 7 days</w:t>
            </w:r>
          </w:p>
        </w:tc>
        <w:tc>
          <w:tcPr>
            <w:tcW w:w="1528" w:type="pct"/>
            <w:vAlign w:val="center"/>
          </w:tcPr>
          <w:p w:rsidR="005573FC" w:rsidRPr="00DA6EB8" w:rsidRDefault="005573FC" w:rsidP="00DA6EB8">
            <w:pPr>
              <w:snapToGrid w:val="0"/>
              <w:rPr>
                <w:rFonts w:ascii="Times New Roman" w:hAnsi="Times New Roman" w:cs="Times New Roman"/>
                <w:b/>
                <w:bCs/>
                <w:sz w:val="20"/>
                <w:szCs w:val="20"/>
              </w:rPr>
            </w:pPr>
            <w:r w:rsidRPr="00DA6EB8">
              <w:rPr>
                <w:rFonts w:ascii="Times New Roman" w:hAnsi="Times New Roman" w:cs="Times New Roman"/>
                <w:b/>
                <w:bCs/>
                <w:sz w:val="20"/>
                <w:szCs w:val="20"/>
              </w:rPr>
              <w:t>After accelerated hot storage at 54 ± 2 °C for 14 days</w:t>
            </w:r>
          </w:p>
        </w:tc>
      </w:tr>
      <w:tr w:rsidR="005573FC" w:rsidRPr="00DA6EB8" w:rsidTr="00DA6EB8">
        <w:trPr>
          <w:jc w:val="center"/>
        </w:trPr>
        <w:tc>
          <w:tcPr>
            <w:tcW w:w="1227" w:type="pct"/>
            <w:vAlign w:val="center"/>
          </w:tcPr>
          <w:p w:rsidR="005573FC" w:rsidRPr="00DA6EB8" w:rsidRDefault="005573FC" w:rsidP="00DA6EB8">
            <w:pPr>
              <w:autoSpaceDE w:val="0"/>
              <w:autoSpaceDN w:val="0"/>
              <w:adjustRightInd w:val="0"/>
              <w:snapToGrid w:val="0"/>
              <w:rPr>
                <w:rFonts w:ascii="Times New Roman" w:hAnsi="Times New Roman" w:cs="Times New Roman"/>
                <w:b/>
                <w:bCs/>
                <w:sz w:val="20"/>
                <w:szCs w:val="20"/>
              </w:rPr>
            </w:pPr>
            <w:r w:rsidRPr="00DA6EB8">
              <w:rPr>
                <w:rFonts w:ascii="Times New Roman" w:hAnsi="Times New Roman" w:cs="Times New Roman"/>
                <w:b/>
                <w:bCs/>
                <w:sz w:val="20"/>
                <w:szCs w:val="20"/>
              </w:rPr>
              <w:t>pH</w:t>
            </w:r>
          </w:p>
        </w:tc>
        <w:tc>
          <w:tcPr>
            <w:tcW w:w="1048" w:type="pct"/>
            <w:vAlign w:val="center"/>
          </w:tcPr>
          <w:p w:rsidR="005573FC" w:rsidRPr="00DA6EB8" w:rsidRDefault="005573FC" w:rsidP="00DA6EB8">
            <w:pPr>
              <w:snapToGrid w:val="0"/>
              <w:rPr>
                <w:rFonts w:ascii="Times New Roman" w:hAnsi="Times New Roman" w:cs="Times New Roman"/>
                <w:sz w:val="20"/>
                <w:szCs w:val="20"/>
              </w:rPr>
            </w:pPr>
            <w:r w:rsidRPr="00DA6EB8">
              <w:rPr>
                <w:rFonts w:ascii="Times New Roman" w:hAnsi="Times New Roman" w:cs="Times New Roman"/>
                <w:sz w:val="20"/>
                <w:szCs w:val="20"/>
              </w:rPr>
              <w:t>4.24 ± 0.03</w:t>
            </w:r>
          </w:p>
        </w:tc>
        <w:tc>
          <w:tcPr>
            <w:tcW w:w="1197" w:type="pct"/>
            <w:vAlign w:val="center"/>
          </w:tcPr>
          <w:p w:rsidR="005573FC" w:rsidRPr="00DA6EB8" w:rsidRDefault="005573FC" w:rsidP="00DA6EB8">
            <w:pPr>
              <w:snapToGrid w:val="0"/>
              <w:rPr>
                <w:rFonts w:ascii="Times New Roman" w:hAnsi="Times New Roman" w:cs="Times New Roman"/>
                <w:sz w:val="20"/>
                <w:szCs w:val="20"/>
              </w:rPr>
            </w:pPr>
            <w:r w:rsidRPr="00DA6EB8">
              <w:rPr>
                <w:rFonts w:ascii="Times New Roman" w:hAnsi="Times New Roman" w:cs="Times New Roman"/>
                <w:sz w:val="20"/>
                <w:szCs w:val="20"/>
              </w:rPr>
              <w:t>4.42 ± 0.02</w:t>
            </w:r>
          </w:p>
        </w:tc>
        <w:tc>
          <w:tcPr>
            <w:tcW w:w="1528" w:type="pct"/>
            <w:vAlign w:val="center"/>
          </w:tcPr>
          <w:p w:rsidR="005573FC" w:rsidRPr="00DA6EB8" w:rsidRDefault="005573FC" w:rsidP="00DA6EB8">
            <w:pPr>
              <w:snapToGrid w:val="0"/>
              <w:rPr>
                <w:rFonts w:ascii="Times New Roman" w:hAnsi="Times New Roman" w:cs="Times New Roman"/>
                <w:sz w:val="20"/>
                <w:szCs w:val="20"/>
              </w:rPr>
            </w:pPr>
            <w:r w:rsidRPr="00DA6EB8">
              <w:rPr>
                <w:rFonts w:ascii="Times New Roman" w:hAnsi="Times New Roman" w:cs="Times New Roman"/>
                <w:sz w:val="20"/>
                <w:szCs w:val="20"/>
              </w:rPr>
              <w:t>4.36 ± 0.1</w:t>
            </w:r>
          </w:p>
        </w:tc>
      </w:tr>
      <w:tr w:rsidR="005573FC" w:rsidRPr="00DA6EB8" w:rsidTr="00DA6EB8">
        <w:trPr>
          <w:jc w:val="center"/>
        </w:trPr>
        <w:tc>
          <w:tcPr>
            <w:tcW w:w="1227" w:type="pct"/>
            <w:vAlign w:val="center"/>
          </w:tcPr>
          <w:p w:rsidR="005573FC" w:rsidRPr="00DA6EB8" w:rsidRDefault="005573FC" w:rsidP="00DA6EB8">
            <w:pPr>
              <w:snapToGrid w:val="0"/>
              <w:rPr>
                <w:rFonts w:ascii="Times New Roman" w:hAnsi="Times New Roman" w:cs="Times New Roman"/>
                <w:sz w:val="20"/>
                <w:szCs w:val="20"/>
              </w:rPr>
            </w:pPr>
            <w:r w:rsidRPr="00DA6EB8">
              <w:rPr>
                <w:rFonts w:ascii="Times New Roman" w:hAnsi="Times New Roman" w:cs="Times New Roman"/>
                <w:b/>
                <w:bCs/>
                <w:sz w:val="20"/>
                <w:szCs w:val="20"/>
              </w:rPr>
              <w:t>Acidity</w:t>
            </w:r>
            <w:r w:rsidR="00D655AC" w:rsidRPr="00DA6EB8">
              <w:rPr>
                <w:rFonts w:ascii="Times New Roman" w:hAnsi="Times New Roman" w:cs="Times New Roman"/>
                <w:b/>
                <w:bCs/>
                <w:sz w:val="20"/>
                <w:szCs w:val="20"/>
              </w:rPr>
              <w:t xml:space="preserve"> (</w:t>
            </w:r>
            <w:r w:rsidRPr="00DA6EB8">
              <w:rPr>
                <w:rFonts w:ascii="Times New Roman" w:hAnsi="Times New Roman" w:cs="Times New Roman"/>
                <w:sz w:val="20"/>
                <w:szCs w:val="20"/>
              </w:rPr>
              <w:t>% as H</w:t>
            </w:r>
            <w:r w:rsidRPr="00DA6EB8">
              <w:rPr>
                <w:rFonts w:ascii="Times New Roman" w:hAnsi="Times New Roman" w:cs="Times New Roman"/>
                <w:sz w:val="20"/>
                <w:szCs w:val="20"/>
                <w:vertAlign w:val="subscript"/>
              </w:rPr>
              <w:t>2</w:t>
            </w:r>
            <w:r w:rsidRPr="00DA6EB8">
              <w:rPr>
                <w:rFonts w:ascii="Times New Roman" w:hAnsi="Times New Roman" w:cs="Times New Roman"/>
                <w:sz w:val="20"/>
                <w:szCs w:val="20"/>
              </w:rPr>
              <w:t>SO</w:t>
            </w:r>
            <w:r w:rsidRPr="00DA6EB8">
              <w:rPr>
                <w:rFonts w:ascii="Times New Roman" w:hAnsi="Times New Roman" w:cs="Times New Roman"/>
                <w:sz w:val="20"/>
                <w:szCs w:val="20"/>
                <w:vertAlign w:val="subscript"/>
              </w:rPr>
              <w:t>4</w:t>
            </w:r>
            <w:r w:rsidR="00D655AC" w:rsidRPr="00DA6EB8">
              <w:rPr>
                <w:rFonts w:ascii="Times New Roman" w:hAnsi="Times New Roman" w:cs="Times New Roman"/>
                <w:sz w:val="20"/>
                <w:szCs w:val="20"/>
              </w:rPr>
              <w:t>)</w:t>
            </w:r>
          </w:p>
        </w:tc>
        <w:tc>
          <w:tcPr>
            <w:tcW w:w="1048" w:type="pct"/>
            <w:vAlign w:val="center"/>
          </w:tcPr>
          <w:p w:rsidR="005573FC" w:rsidRPr="00DA6EB8" w:rsidRDefault="005573FC" w:rsidP="00DA6EB8">
            <w:pPr>
              <w:snapToGrid w:val="0"/>
              <w:rPr>
                <w:rFonts w:ascii="Times New Roman" w:hAnsi="Times New Roman" w:cs="Times New Roman"/>
                <w:sz w:val="20"/>
                <w:szCs w:val="20"/>
              </w:rPr>
            </w:pPr>
            <w:r w:rsidRPr="00DA6EB8">
              <w:rPr>
                <w:rFonts w:ascii="Times New Roman" w:hAnsi="Times New Roman" w:cs="Times New Roman"/>
                <w:sz w:val="20"/>
                <w:szCs w:val="20"/>
              </w:rPr>
              <w:t>0.1233 ±</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0.0032</w:t>
            </w:r>
          </w:p>
        </w:tc>
        <w:tc>
          <w:tcPr>
            <w:tcW w:w="1197" w:type="pct"/>
            <w:vAlign w:val="center"/>
          </w:tcPr>
          <w:p w:rsidR="005573FC" w:rsidRPr="00DA6EB8" w:rsidRDefault="005573FC" w:rsidP="00DA6EB8">
            <w:pPr>
              <w:snapToGrid w:val="0"/>
              <w:rPr>
                <w:rFonts w:ascii="Times New Roman" w:hAnsi="Times New Roman" w:cs="Times New Roman"/>
                <w:sz w:val="20"/>
                <w:szCs w:val="20"/>
              </w:rPr>
            </w:pPr>
            <w:r w:rsidRPr="00DA6EB8">
              <w:rPr>
                <w:rFonts w:ascii="Times New Roman" w:hAnsi="Times New Roman" w:cs="Times New Roman"/>
                <w:sz w:val="20"/>
                <w:szCs w:val="20"/>
              </w:rPr>
              <w:t>0.1666 ± 0.0012</w:t>
            </w:r>
          </w:p>
        </w:tc>
        <w:tc>
          <w:tcPr>
            <w:tcW w:w="1528" w:type="pct"/>
            <w:vAlign w:val="center"/>
          </w:tcPr>
          <w:p w:rsidR="005573FC" w:rsidRPr="00DA6EB8" w:rsidRDefault="005573FC" w:rsidP="00DA6EB8">
            <w:pPr>
              <w:snapToGrid w:val="0"/>
              <w:rPr>
                <w:rFonts w:ascii="Times New Roman" w:hAnsi="Times New Roman" w:cs="Times New Roman"/>
                <w:sz w:val="20"/>
                <w:szCs w:val="20"/>
              </w:rPr>
            </w:pPr>
            <w:r w:rsidRPr="00DA6EB8">
              <w:rPr>
                <w:rFonts w:ascii="Times New Roman" w:hAnsi="Times New Roman" w:cs="Times New Roman"/>
                <w:sz w:val="20"/>
                <w:szCs w:val="20"/>
              </w:rPr>
              <w:t>0.1764 ± 0.0011</w:t>
            </w:r>
          </w:p>
        </w:tc>
      </w:tr>
      <w:tr w:rsidR="005573FC" w:rsidRPr="00DA6EB8" w:rsidTr="00DA6EB8">
        <w:trPr>
          <w:jc w:val="center"/>
        </w:trPr>
        <w:tc>
          <w:tcPr>
            <w:tcW w:w="1227" w:type="pct"/>
            <w:vAlign w:val="center"/>
          </w:tcPr>
          <w:p w:rsidR="005573FC" w:rsidRPr="00DA6EB8" w:rsidRDefault="005573FC" w:rsidP="00DA6EB8">
            <w:pPr>
              <w:snapToGrid w:val="0"/>
              <w:rPr>
                <w:rFonts w:ascii="Times New Roman" w:hAnsi="Times New Roman" w:cs="Times New Roman"/>
                <w:sz w:val="20"/>
                <w:szCs w:val="20"/>
              </w:rPr>
            </w:pPr>
            <w:r w:rsidRPr="00DA6EB8">
              <w:rPr>
                <w:rFonts w:ascii="Times New Roman" w:hAnsi="Times New Roman" w:cs="Times New Roman"/>
                <w:b/>
                <w:bCs/>
                <w:sz w:val="20"/>
                <w:szCs w:val="20"/>
              </w:rPr>
              <w:t>Surface Tension</w:t>
            </w:r>
            <w:r w:rsidR="00D655AC" w:rsidRPr="00DA6EB8">
              <w:rPr>
                <w:rFonts w:ascii="Times New Roman" w:hAnsi="Times New Roman" w:cs="Times New Roman"/>
                <w:sz w:val="20"/>
                <w:szCs w:val="20"/>
              </w:rPr>
              <w:t xml:space="preserve"> </w:t>
            </w:r>
            <w:r w:rsidRPr="00DA6EB8">
              <w:rPr>
                <w:rFonts w:ascii="Times New Roman" w:hAnsi="Times New Roman" w:cs="Times New Roman"/>
                <w:sz w:val="20"/>
                <w:szCs w:val="20"/>
              </w:rPr>
              <w:t>(</w:t>
            </w:r>
            <w:proofErr w:type="spellStart"/>
            <w:r w:rsidRPr="00DA6EB8">
              <w:rPr>
                <w:rFonts w:ascii="Times New Roman" w:hAnsi="Times New Roman" w:cs="Times New Roman"/>
                <w:sz w:val="20"/>
                <w:szCs w:val="20"/>
              </w:rPr>
              <w:t>mN</w:t>
            </w:r>
            <w:proofErr w:type="spellEnd"/>
            <w:r w:rsidRPr="00DA6EB8">
              <w:rPr>
                <w:rFonts w:ascii="Times New Roman" w:hAnsi="Times New Roman" w:cs="Times New Roman"/>
                <w:sz w:val="20"/>
                <w:szCs w:val="20"/>
              </w:rPr>
              <w:t>/m)</w:t>
            </w:r>
          </w:p>
        </w:tc>
        <w:tc>
          <w:tcPr>
            <w:tcW w:w="1048" w:type="pct"/>
            <w:vAlign w:val="center"/>
          </w:tcPr>
          <w:p w:rsidR="005573FC" w:rsidRPr="00DA6EB8" w:rsidRDefault="005573FC" w:rsidP="00DA6EB8">
            <w:pPr>
              <w:snapToGrid w:val="0"/>
              <w:rPr>
                <w:rFonts w:ascii="Times New Roman" w:hAnsi="Times New Roman" w:cs="Times New Roman"/>
                <w:sz w:val="20"/>
                <w:szCs w:val="20"/>
              </w:rPr>
            </w:pPr>
            <w:r w:rsidRPr="00DA6EB8">
              <w:rPr>
                <w:rFonts w:ascii="Times New Roman" w:hAnsi="Times New Roman" w:cs="Times New Roman"/>
                <w:sz w:val="20"/>
                <w:szCs w:val="20"/>
              </w:rPr>
              <w:t>27.025 ± 0.004</w:t>
            </w:r>
          </w:p>
        </w:tc>
        <w:tc>
          <w:tcPr>
            <w:tcW w:w="1197" w:type="pct"/>
            <w:vAlign w:val="center"/>
          </w:tcPr>
          <w:p w:rsidR="005573FC" w:rsidRPr="00DA6EB8" w:rsidRDefault="005573FC" w:rsidP="00DA6EB8">
            <w:pPr>
              <w:snapToGrid w:val="0"/>
              <w:rPr>
                <w:rFonts w:ascii="Times New Roman" w:hAnsi="Times New Roman" w:cs="Times New Roman"/>
                <w:sz w:val="20"/>
                <w:szCs w:val="20"/>
              </w:rPr>
            </w:pPr>
            <w:r w:rsidRPr="00DA6EB8">
              <w:rPr>
                <w:rFonts w:ascii="Times New Roman" w:hAnsi="Times New Roman" w:cs="Times New Roman"/>
                <w:sz w:val="20"/>
                <w:szCs w:val="20"/>
              </w:rPr>
              <w:t xml:space="preserve">27.289 ± 0.014 </w:t>
            </w:r>
          </w:p>
        </w:tc>
        <w:tc>
          <w:tcPr>
            <w:tcW w:w="1528" w:type="pct"/>
            <w:vAlign w:val="center"/>
          </w:tcPr>
          <w:p w:rsidR="005573FC" w:rsidRPr="00DA6EB8" w:rsidRDefault="005573FC" w:rsidP="00DA6EB8">
            <w:pPr>
              <w:snapToGrid w:val="0"/>
              <w:rPr>
                <w:rFonts w:ascii="Times New Roman" w:hAnsi="Times New Roman" w:cs="Times New Roman"/>
                <w:sz w:val="20"/>
                <w:szCs w:val="20"/>
              </w:rPr>
            </w:pPr>
            <w:r w:rsidRPr="00DA6EB8">
              <w:rPr>
                <w:rFonts w:ascii="Times New Roman" w:hAnsi="Times New Roman" w:cs="Times New Roman"/>
                <w:sz w:val="20"/>
                <w:szCs w:val="20"/>
              </w:rPr>
              <w:t>27.006 ± 0.090</w:t>
            </w:r>
          </w:p>
        </w:tc>
      </w:tr>
      <w:tr w:rsidR="005573FC" w:rsidRPr="00DA6EB8" w:rsidTr="00DA6EB8">
        <w:trPr>
          <w:jc w:val="center"/>
        </w:trPr>
        <w:tc>
          <w:tcPr>
            <w:tcW w:w="1227" w:type="pct"/>
            <w:vAlign w:val="center"/>
          </w:tcPr>
          <w:p w:rsidR="005573FC" w:rsidRPr="00DA6EB8" w:rsidRDefault="005573FC" w:rsidP="00DA6EB8">
            <w:pPr>
              <w:snapToGrid w:val="0"/>
              <w:rPr>
                <w:rFonts w:ascii="Times New Roman" w:hAnsi="Times New Roman" w:cs="Times New Roman"/>
                <w:b/>
                <w:bCs/>
                <w:sz w:val="20"/>
                <w:szCs w:val="20"/>
              </w:rPr>
            </w:pPr>
            <w:r w:rsidRPr="00DA6EB8">
              <w:rPr>
                <w:rFonts w:ascii="Times New Roman" w:hAnsi="Times New Roman" w:cs="Times New Roman"/>
                <w:b/>
                <w:bCs/>
                <w:sz w:val="20"/>
                <w:szCs w:val="20"/>
              </w:rPr>
              <w:t>Density</w:t>
            </w:r>
            <w:r w:rsidR="00D655AC" w:rsidRPr="00DA6EB8">
              <w:rPr>
                <w:rFonts w:ascii="Times New Roman" w:hAnsi="Times New Roman" w:cs="Times New Roman"/>
                <w:sz w:val="20"/>
                <w:szCs w:val="20"/>
              </w:rPr>
              <w:t xml:space="preserve"> </w:t>
            </w:r>
            <w:r w:rsidRPr="00DA6EB8">
              <w:rPr>
                <w:rFonts w:ascii="Times New Roman" w:hAnsi="Times New Roman" w:cs="Times New Roman"/>
                <w:sz w:val="20"/>
                <w:szCs w:val="20"/>
              </w:rPr>
              <w:t>(gm/cm</w:t>
            </w:r>
            <w:r w:rsidRPr="00DA6EB8">
              <w:rPr>
                <w:rFonts w:ascii="Times New Roman" w:hAnsi="Times New Roman" w:cs="Times New Roman"/>
                <w:sz w:val="20"/>
                <w:szCs w:val="20"/>
                <w:vertAlign w:val="superscript"/>
              </w:rPr>
              <w:t>3</w:t>
            </w:r>
            <w:r w:rsidRPr="00DA6EB8">
              <w:rPr>
                <w:rFonts w:ascii="Times New Roman" w:hAnsi="Times New Roman" w:cs="Times New Roman"/>
                <w:sz w:val="20"/>
                <w:szCs w:val="20"/>
              </w:rPr>
              <w:t>)</w:t>
            </w:r>
          </w:p>
        </w:tc>
        <w:tc>
          <w:tcPr>
            <w:tcW w:w="1048" w:type="pct"/>
            <w:vAlign w:val="center"/>
          </w:tcPr>
          <w:p w:rsidR="005573FC" w:rsidRPr="00DA6EB8" w:rsidRDefault="005573FC" w:rsidP="00DA6EB8">
            <w:pPr>
              <w:snapToGrid w:val="0"/>
              <w:rPr>
                <w:rFonts w:ascii="Times New Roman" w:hAnsi="Times New Roman" w:cs="Times New Roman"/>
                <w:sz w:val="20"/>
                <w:szCs w:val="20"/>
              </w:rPr>
            </w:pPr>
            <w:r w:rsidRPr="00DA6EB8">
              <w:rPr>
                <w:rFonts w:ascii="Times New Roman" w:hAnsi="Times New Roman" w:cs="Times New Roman"/>
                <w:sz w:val="20"/>
                <w:szCs w:val="20"/>
              </w:rPr>
              <w:t>0.9877± 0.0000</w:t>
            </w:r>
          </w:p>
        </w:tc>
        <w:tc>
          <w:tcPr>
            <w:tcW w:w="1197" w:type="pct"/>
            <w:vAlign w:val="center"/>
          </w:tcPr>
          <w:p w:rsidR="005573FC" w:rsidRPr="00DA6EB8" w:rsidRDefault="005573FC" w:rsidP="00DA6EB8">
            <w:pPr>
              <w:snapToGrid w:val="0"/>
              <w:rPr>
                <w:rFonts w:ascii="Times New Roman" w:hAnsi="Times New Roman" w:cs="Times New Roman"/>
                <w:sz w:val="20"/>
                <w:szCs w:val="20"/>
              </w:rPr>
            </w:pPr>
            <w:r w:rsidRPr="00DA6EB8">
              <w:rPr>
                <w:rFonts w:ascii="Times New Roman" w:hAnsi="Times New Roman" w:cs="Times New Roman"/>
                <w:sz w:val="20"/>
                <w:szCs w:val="20"/>
              </w:rPr>
              <w:t>0.9886 ± 0.0000</w:t>
            </w:r>
          </w:p>
        </w:tc>
        <w:tc>
          <w:tcPr>
            <w:tcW w:w="1528" w:type="pct"/>
            <w:vAlign w:val="center"/>
          </w:tcPr>
          <w:p w:rsidR="005573FC" w:rsidRPr="00DA6EB8" w:rsidRDefault="005573FC" w:rsidP="00DA6EB8">
            <w:pPr>
              <w:snapToGrid w:val="0"/>
              <w:rPr>
                <w:rFonts w:ascii="Times New Roman" w:hAnsi="Times New Roman" w:cs="Times New Roman"/>
                <w:sz w:val="20"/>
                <w:szCs w:val="20"/>
              </w:rPr>
            </w:pPr>
            <w:r w:rsidRPr="00DA6EB8">
              <w:rPr>
                <w:rFonts w:ascii="Times New Roman" w:hAnsi="Times New Roman" w:cs="Times New Roman"/>
                <w:sz w:val="20"/>
                <w:szCs w:val="20"/>
              </w:rPr>
              <w:t>0.9902 ± 0.0000</w:t>
            </w:r>
          </w:p>
        </w:tc>
      </w:tr>
      <w:tr w:rsidR="003E71F7" w:rsidRPr="00DA6EB8" w:rsidTr="00DA6EB8">
        <w:trPr>
          <w:jc w:val="center"/>
        </w:trPr>
        <w:tc>
          <w:tcPr>
            <w:tcW w:w="1227" w:type="pct"/>
            <w:vAlign w:val="center"/>
          </w:tcPr>
          <w:p w:rsidR="003E71F7" w:rsidRPr="00DA6EB8" w:rsidRDefault="003E71F7" w:rsidP="00DA6EB8">
            <w:pPr>
              <w:snapToGrid w:val="0"/>
              <w:rPr>
                <w:rFonts w:ascii="Times New Roman" w:hAnsi="Times New Roman" w:cs="Times New Roman"/>
                <w:b/>
                <w:bCs/>
                <w:sz w:val="20"/>
                <w:szCs w:val="20"/>
              </w:rPr>
            </w:pPr>
            <w:r w:rsidRPr="00DA6EB8">
              <w:rPr>
                <w:rFonts w:ascii="Times New Roman" w:hAnsi="Times New Roman" w:cs="Times New Roman"/>
                <w:b/>
                <w:bCs/>
                <w:sz w:val="20"/>
                <w:szCs w:val="20"/>
              </w:rPr>
              <w:t>Specific Gravity</w:t>
            </w:r>
          </w:p>
        </w:tc>
        <w:tc>
          <w:tcPr>
            <w:tcW w:w="1048" w:type="pct"/>
            <w:vAlign w:val="center"/>
          </w:tcPr>
          <w:p w:rsidR="003E71F7" w:rsidRPr="00DA6EB8" w:rsidRDefault="003E71F7" w:rsidP="00DA6EB8">
            <w:pPr>
              <w:snapToGrid w:val="0"/>
              <w:rPr>
                <w:rFonts w:ascii="Times New Roman" w:hAnsi="Times New Roman" w:cs="Times New Roman"/>
                <w:sz w:val="20"/>
                <w:szCs w:val="20"/>
              </w:rPr>
            </w:pPr>
            <w:r w:rsidRPr="00DA6EB8">
              <w:rPr>
                <w:rFonts w:ascii="Times New Roman" w:hAnsi="Times New Roman" w:cs="Times New Roman"/>
                <w:sz w:val="20"/>
                <w:szCs w:val="20"/>
              </w:rPr>
              <w:t>0.9907 ± 0.0000</w:t>
            </w:r>
          </w:p>
        </w:tc>
        <w:tc>
          <w:tcPr>
            <w:tcW w:w="1197" w:type="pct"/>
            <w:vAlign w:val="center"/>
          </w:tcPr>
          <w:p w:rsidR="003E71F7" w:rsidRPr="00DA6EB8" w:rsidRDefault="003E71F7" w:rsidP="00DA6EB8">
            <w:pPr>
              <w:snapToGrid w:val="0"/>
              <w:rPr>
                <w:rFonts w:ascii="Times New Roman" w:hAnsi="Times New Roman" w:cs="Times New Roman"/>
                <w:sz w:val="20"/>
                <w:szCs w:val="20"/>
              </w:rPr>
            </w:pPr>
            <w:r w:rsidRPr="00DA6EB8">
              <w:rPr>
                <w:rFonts w:ascii="Times New Roman" w:hAnsi="Times New Roman" w:cs="Times New Roman"/>
                <w:sz w:val="20"/>
                <w:szCs w:val="20"/>
              </w:rPr>
              <w:t>0.9916 ± 0.0000</w:t>
            </w:r>
          </w:p>
        </w:tc>
        <w:tc>
          <w:tcPr>
            <w:tcW w:w="1528" w:type="pct"/>
            <w:vAlign w:val="center"/>
          </w:tcPr>
          <w:p w:rsidR="003E71F7" w:rsidRPr="00DA6EB8" w:rsidRDefault="003E71F7" w:rsidP="00DA6EB8">
            <w:pPr>
              <w:snapToGrid w:val="0"/>
              <w:rPr>
                <w:rFonts w:ascii="Times New Roman" w:hAnsi="Times New Roman" w:cs="Times New Roman"/>
                <w:sz w:val="20"/>
                <w:szCs w:val="20"/>
              </w:rPr>
            </w:pPr>
            <w:r w:rsidRPr="00DA6EB8">
              <w:rPr>
                <w:rFonts w:ascii="Times New Roman" w:hAnsi="Times New Roman" w:cs="Times New Roman"/>
                <w:sz w:val="20"/>
                <w:szCs w:val="20"/>
              </w:rPr>
              <w:t>0.9932 ± 0.0000</w:t>
            </w:r>
          </w:p>
        </w:tc>
      </w:tr>
      <w:tr w:rsidR="003E71F7" w:rsidRPr="00DA6EB8" w:rsidTr="00DA6EB8">
        <w:trPr>
          <w:jc w:val="center"/>
        </w:trPr>
        <w:tc>
          <w:tcPr>
            <w:tcW w:w="1227" w:type="pct"/>
            <w:vAlign w:val="center"/>
          </w:tcPr>
          <w:p w:rsidR="003E71F7" w:rsidRPr="00DA6EB8" w:rsidRDefault="003E71F7" w:rsidP="00DA6EB8">
            <w:pPr>
              <w:snapToGrid w:val="0"/>
              <w:rPr>
                <w:rFonts w:ascii="Times New Roman" w:hAnsi="Times New Roman" w:cs="Times New Roman"/>
                <w:b/>
                <w:bCs/>
                <w:sz w:val="20"/>
                <w:szCs w:val="20"/>
              </w:rPr>
            </w:pPr>
            <w:r w:rsidRPr="00DA6EB8">
              <w:rPr>
                <w:rFonts w:ascii="Times New Roman" w:hAnsi="Times New Roman" w:cs="Times New Roman"/>
                <w:b/>
                <w:bCs/>
                <w:sz w:val="20"/>
                <w:szCs w:val="20"/>
              </w:rPr>
              <w:t>Flash Point (ºC)</w:t>
            </w:r>
          </w:p>
        </w:tc>
        <w:tc>
          <w:tcPr>
            <w:tcW w:w="1048" w:type="pct"/>
            <w:vAlign w:val="center"/>
          </w:tcPr>
          <w:p w:rsidR="003E71F7" w:rsidRPr="00DA6EB8" w:rsidRDefault="003E71F7" w:rsidP="00DA6EB8">
            <w:pPr>
              <w:snapToGrid w:val="0"/>
              <w:rPr>
                <w:rFonts w:ascii="Times New Roman" w:hAnsi="Times New Roman" w:cs="Times New Roman"/>
                <w:sz w:val="20"/>
                <w:szCs w:val="20"/>
              </w:rPr>
            </w:pPr>
            <w:r w:rsidRPr="00DA6EB8">
              <w:rPr>
                <w:rFonts w:ascii="Times New Roman" w:hAnsi="Times New Roman" w:cs="Times New Roman"/>
                <w:sz w:val="20"/>
                <w:szCs w:val="20"/>
              </w:rPr>
              <w:t>Over 60</w:t>
            </w:r>
          </w:p>
        </w:tc>
        <w:tc>
          <w:tcPr>
            <w:tcW w:w="1197" w:type="pct"/>
            <w:vAlign w:val="center"/>
          </w:tcPr>
          <w:p w:rsidR="003E71F7" w:rsidRPr="00DA6EB8" w:rsidRDefault="003E71F7" w:rsidP="00DA6EB8">
            <w:pPr>
              <w:snapToGrid w:val="0"/>
              <w:rPr>
                <w:rFonts w:ascii="Times New Roman" w:hAnsi="Times New Roman" w:cs="Times New Roman"/>
                <w:sz w:val="20"/>
                <w:szCs w:val="20"/>
              </w:rPr>
            </w:pPr>
            <w:r w:rsidRPr="00DA6EB8">
              <w:rPr>
                <w:rFonts w:ascii="Times New Roman" w:hAnsi="Times New Roman" w:cs="Times New Roman"/>
                <w:sz w:val="20"/>
                <w:szCs w:val="20"/>
              </w:rPr>
              <w:t xml:space="preserve">Over 60 </w:t>
            </w:r>
          </w:p>
        </w:tc>
        <w:tc>
          <w:tcPr>
            <w:tcW w:w="1528" w:type="pct"/>
            <w:vAlign w:val="center"/>
          </w:tcPr>
          <w:p w:rsidR="003E71F7" w:rsidRPr="00DA6EB8" w:rsidRDefault="003E71F7" w:rsidP="00DA6EB8">
            <w:pPr>
              <w:snapToGrid w:val="0"/>
              <w:rPr>
                <w:rFonts w:ascii="Times New Roman" w:hAnsi="Times New Roman" w:cs="Times New Roman"/>
                <w:sz w:val="20"/>
                <w:szCs w:val="20"/>
              </w:rPr>
            </w:pPr>
            <w:r w:rsidRPr="00DA6EB8">
              <w:rPr>
                <w:rFonts w:ascii="Times New Roman" w:hAnsi="Times New Roman" w:cs="Times New Roman"/>
                <w:sz w:val="20"/>
                <w:szCs w:val="20"/>
              </w:rPr>
              <w:t xml:space="preserve">Over 60 </w:t>
            </w:r>
          </w:p>
        </w:tc>
      </w:tr>
      <w:tr w:rsidR="003E71F7" w:rsidRPr="00DA6EB8" w:rsidTr="00DA6EB8">
        <w:trPr>
          <w:jc w:val="center"/>
        </w:trPr>
        <w:tc>
          <w:tcPr>
            <w:tcW w:w="1227" w:type="pct"/>
            <w:vAlign w:val="center"/>
          </w:tcPr>
          <w:p w:rsidR="003E71F7" w:rsidRPr="00DA6EB8" w:rsidRDefault="003E71F7" w:rsidP="00DA6EB8">
            <w:pPr>
              <w:snapToGrid w:val="0"/>
              <w:rPr>
                <w:rFonts w:ascii="Times New Roman" w:hAnsi="Times New Roman" w:cs="Times New Roman"/>
                <w:b/>
                <w:bCs/>
                <w:sz w:val="20"/>
                <w:szCs w:val="20"/>
              </w:rPr>
            </w:pPr>
            <w:r w:rsidRPr="00DA6EB8">
              <w:rPr>
                <w:rFonts w:ascii="Times New Roman" w:hAnsi="Times New Roman" w:cs="Times New Roman"/>
                <w:b/>
                <w:bCs/>
                <w:sz w:val="20"/>
                <w:szCs w:val="20"/>
              </w:rPr>
              <w:t>Refractive Index</w:t>
            </w:r>
          </w:p>
        </w:tc>
        <w:tc>
          <w:tcPr>
            <w:tcW w:w="1048" w:type="pct"/>
            <w:vAlign w:val="center"/>
          </w:tcPr>
          <w:p w:rsidR="003E71F7" w:rsidRPr="00DA6EB8" w:rsidRDefault="003E71F7" w:rsidP="00DA6EB8">
            <w:pPr>
              <w:snapToGrid w:val="0"/>
              <w:rPr>
                <w:rFonts w:ascii="Times New Roman" w:hAnsi="Times New Roman" w:cs="Times New Roman"/>
                <w:sz w:val="20"/>
                <w:szCs w:val="20"/>
              </w:rPr>
            </w:pPr>
            <w:r w:rsidRPr="00DA6EB8">
              <w:rPr>
                <w:rFonts w:ascii="Times New Roman" w:hAnsi="Times New Roman" w:cs="Times New Roman"/>
                <w:sz w:val="20"/>
                <w:szCs w:val="20"/>
              </w:rPr>
              <w:t>1.4253 ± 0.0001</w:t>
            </w:r>
          </w:p>
        </w:tc>
        <w:tc>
          <w:tcPr>
            <w:tcW w:w="1197" w:type="pct"/>
            <w:vAlign w:val="center"/>
          </w:tcPr>
          <w:p w:rsidR="003E71F7" w:rsidRPr="00DA6EB8" w:rsidRDefault="003E71F7" w:rsidP="00DA6EB8">
            <w:pPr>
              <w:snapToGrid w:val="0"/>
              <w:rPr>
                <w:rFonts w:ascii="Times New Roman" w:hAnsi="Times New Roman" w:cs="Times New Roman"/>
                <w:sz w:val="20"/>
                <w:szCs w:val="20"/>
              </w:rPr>
            </w:pPr>
            <w:r w:rsidRPr="00DA6EB8">
              <w:rPr>
                <w:rFonts w:ascii="Times New Roman" w:hAnsi="Times New Roman" w:cs="Times New Roman"/>
                <w:sz w:val="20"/>
                <w:szCs w:val="20"/>
              </w:rPr>
              <w:t>1.4254 ± 0.0001</w:t>
            </w:r>
          </w:p>
        </w:tc>
        <w:tc>
          <w:tcPr>
            <w:tcW w:w="1528" w:type="pct"/>
            <w:vAlign w:val="center"/>
          </w:tcPr>
          <w:p w:rsidR="003E71F7" w:rsidRPr="00DA6EB8" w:rsidRDefault="003E71F7" w:rsidP="00DA6EB8">
            <w:pPr>
              <w:snapToGrid w:val="0"/>
              <w:rPr>
                <w:rFonts w:ascii="Times New Roman" w:hAnsi="Times New Roman" w:cs="Times New Roman"/>
                <w:sz w:val="20"/>
                <w:szCs w:val="20"/>
              </w:rPr>
            </w:pPr>
            <w:r w:rsidRPr="00DA6EB8">
              <w:rPr>
                <w:rFonts w:ascii="Times New Roman" w:hAnsi="Times New Roman" w:cs="Times New Roman"/>
                <w:sz w:val="20"/>
                <w:szCs w:val="20"/>
              </w:rPr>
              <w:t>1.4267 ±</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0.0001</w:t>
            </w:r>
          </w:p>
        </w:tc>
      </w:tr>
      <w:tr w:rsidR="003E71F7" w:rsidRPr="00DA6EB8" w:rsidTr="00DA6EB8">
        <w:trPr>
          <w:jc w:val="center"/>
        </w:trPr>
        <w:tc>
          <w:tcPr>
            <w:tcW w:w="1227" w:type="pct"/>
            <w:vAlign w:val="center"/>
          </w:tcPr>
          <w:p w:rsidR="003E71F7" w:rsidRPr="00DA6EB8" w:rsidRDefault="003E71F7" w:rsidP="00DA6EB8">
            <w:pPr>
              <w:snapToGrid w:val="0"/>
              <w:rPr>
                <w:rFonts w:ascii="Times New Roman" w:hAnsi="Times New Roman" w:cs="Times New Roman"/>
                <w:sz w:val="20"/>
                <w:szCs w:val="20"/>
              </w:rPr>
            </w:pPr>
            <w:r w:rsidRPr="00DA6EB8">
              <w:rPr>
                <w:rFonts w:ascii="Times New Roman" w:hAnsi="Times New Roman" w:cs="Times New Roman"/>
                <w:b/>
                <w:bCs/>
                <w:sz w:val="20"/>
                <w:szCs w:val="20"/>
              </w:rPr>
              <w:t>Viscosity</w:t>
            </w:r>
            <w:r w:rsidR="00D655AC" w:rsidRPr="00DA6EB8">
              <w:rPr>
                <w:rFonts w:ascii="Times New Roman" w:hAnsi="Times New Roman" w:cs="Times New Roman"/>
                <w:sz w:val="20"/>
                <w:szCs w:val="20"/>
              </w:rPr>
              <w:t xml:space="preserve"> </w:t>
            </w:r>
            <w:r w:rsidRPr="00DA6EB8">
              <w:rPr>
                <w:rFonts w:ascii="Times New Roman" w:hAnsi="Times New Roman" w:cs="Times New Roman"/>
                <w:sz w:val="20"/>
                <w:szCs w:val="20"/>
              </w:rPr>
              <w:t>(</w:t>
            </w:r>
            <w:proofErr w:type="spellStart"/>
            <w:r w:rsidRPr="00DA6EB8">
              <w:rPr>
                <w:rFonts w:ascii="Times New Roman" w:hAnsi="Times New Roman" w:cs="Times New Roman"/>
                <w:sz w:val="20"/>
                <w:szCs w:val="20"/>
              </w:rPr>
              <w:t>cP</w:t>
            </w:r>
            <w:proofErr w:type="spellEnd"/>
            <w:r w:rsidRPr="00DA6EB8">
              <w:rPr>
                <w:rFonts w:ascii="Times New Roman" w:hAnsi="Times New Roman" w:cs="Times New Roman"/>
                <w:sz w:val="20"/>
                <w:szCs w:val="20"/>
              </w:rPr>
              <w:t>.)</w:t>
            </w:r>
          </w:p>
        </w:tc>
        <w:tc>
          <w:tcPr>
            <w:tcW w:w="1048" w:type="pct"/>
            <w:vAlign w:val="center"/>
          </w:tcPr>
          <w:p w:rsidR="003E71F7" w:rsidRPr="00DA6EB8" w:rsidRDefault="003E71F7" w:rsidP="00DA6EB8">
            <w:pPr>
              <w:snapToGrid w:val="0"/>
              <w:rPr>
                <w:rFonts w:ascii="Times New Roman" w:hAnsi="Times New Roman" w:cs="Times New Roman"/>
                <w:sz w:val="20"/>
                <w:szCs w:val="20"/>
              </w:rPr>
            </w:pPr>
            <w:r w:rsidRPr="00DA6EB8">
              <w:rPr>
                <w:rFonts w:ascii="Times New Roman" w:hAnsi="Times New Roman" w:cs="Times New Roman"/>
                <w:sz w:val="20"/>
                <w:szCs w:val="20"/>
              </w:rPr>
              <w:t>18.75 ± 0.023</w:t>
            </w:r>
          </w:p>
        </w:tc>
        <w:tc>
          <w:tcPr>
            <w:tcW w:w="1197" w:type="pct"/>
            <w:vAlign w:val="center"/>
          </w:tcPr>
          <w:p w:rsidR="003E71F7" w:rsidRPr="00DA6EB8" w:rsidRDefault="003E71F7" w:rsidP="00DA6EB8">
            <w:pPr>
              <w:snapToGrid w:val="0"/>
              <w:rPr>
                <w:rFonts w:ascii="Times New Roman" w:hAnsi="Times New Roman" w:cs="Times New Roman"/>
                <w:sz w:val="20"/>
                <w:szCs w:val="20"/>
              </w:rPr>
            </w:pPr>
            <w:r w:rsidRPr="00DA6EB8">
              <w:rPr>
                <w:rFonts w:ascii="Times New Roman" w:hAnsi="Times New Roman" w:cs="Times New Roman"/>
                <w:sz w:val="20"/>
                <w:szCs w:val="20"/>
              </w:rPr>
              <w:t>19.71 ± 0.069</w:t>
            </w:r>
          </w:p>
        </w:tc>
        <w:tc>
          <w:tcPr>
            <w:tcW w:w="1528" w:type="pct"/>
            <w:vAlign w:val="center"/>
          </w:tcPr>
          <w:p w:rsidR="003E71F7" w:rsidRPr="00DA6EB8" w:rsidRDefault="003E71F7" w:rsidP="00DA6EB8">
            <w:pPr>
              <w:snapToGrid w:val="0"/>
              <w:rPr>
                <w:rFonts w:ascii="Times New Roman" w:hAnsi="Times New Roman" w:cs="Times New Roman"/>
                <w:sz w:val="20"/>
                <w:szCs w:val="20"/>
              </w:rPr>
            </w:pPr>
            <w:r w:rsidRPr="00DA6EB8">
              <w:rPr>
                <w:rFonts w:ascii="Times New Roman" w:hAnsi="Times New Roman" w:cs="Times New Roman"/>
                <w:sz w:val="20"/>
                <w:szCs w:val="20"/>
              </w:rPr>
              <w:t xml:space="preserve">19.18 ± 0.1 </w:t>
            </w:r>
          </w:p>
        </w:tc>
      </w:tr>
    </w:tbl>
    <w:p w:rsidR="003E71F7" w:rsidRPr="00DA6EB8" w:rsidRDefault="003E71F7" w:rsidP="00BD6349">
      <w:pPr>
        <w:snapToGrid w:val="0"/>
        <w:spacing w:after="0" w:line="240" w:lineRule="auto"/>
        <w:jc w:val="both"/>
        <w:rPr>
          <w:rFonts w:ascii="Times New Roman" w:hAnsi="Times New Roman" w:cs="Times New Roman"/>
          <w:sz w:val="20"/>
          <w:szCs w:val="20"/>
        </w:rPr>
      </w:pPr>
      <w:r w:rsidRPr="00DA6EB8">
        <w:rPr>
          <w:rFonts w:ascii="Times New Roman" w:hAnsi="Times New Roman" w:cs="Times New Roman"/>
          <w:sz w:val="20"/>
          <w:szCs w:val="20"/>
        </w:rPr>
        <w:t>* Results ± SD</w:t>
      </w:r>
    </w:p>
    <w:p w:rsidR="003E71F7" w:rsidRDefault="003E71F7" w:rsidP="00BD6349">
      <w:pPr>
        <w:snapToGrid w:val="0"/>
        <w:spacing w:after="0" w:line="240" w:lineRule="auto"/>
        <w:ind w:firstLine="425"/>
        <w:jc w:val="both"/>
        <w:rPr>
          <w:rFonts w:ascii="Times New Roman" w:hAnsi="Times New Roman" w:cs="Times New Roman"/>
          <w:sz w:val="20"/>
          <w:szCs w:val="20"/>
          <w:lang w:eastAsia="zh-CN"/>
        </w:rPr>
      </w:pPr>
    </w:p>
    <w:p w:rsidR="00DA6EB8" w:rsidRPr="00DA6EB8" w:rsidRDefault="00DA6EB8" w:rsidP="00BD6349">
      <w:pPr>
        <w:snapToGrid w:val="0"/>
        <w:spacing w:after="0" w:line="240" w:lineRule="auto"/>
        <w:ind w:firstLine="425"/>
        <w:jc w:val="both"/>
        <w:rPr>
          <w:rFonts w:ascii="Times New Roman" w:hAnsi="Times New Roman" w:cs="Times New Roman"/>
          <w:sz w:val="20"/>
          <w:szCs w:val="20"/>
          <w:lang w:eastAsia="zh-CN"/>
        </w:rPr>
      </w:pPr>
    </w:p>
    <w:p w:rsidR="00BD6349" w:rsidRPr="00DA6EB8" w:rsidRDefault="00BD6349" w:rsidP="00BD6349">
      <w:pPr>
        <w:pStyle w:val="ListParagraph"/>
        <w:numPr>
          <w:ilvl w:val="0"/>
          <w:numId w:val="19"/>
        </w:numPr>
        <w:snapToGrid w:val="0"/>
        <w:spacing w:after="0" w:line="240" w:lineRule="auto"/>
        <w:ind w:left="0" w:firstLine="0"/>
        <w:jc w:val="both"/>
        <w:rPr>
          <w:rFonts w:ascii="Times New Roman" w:hAnsi="Times New Roman" w:cs="Times New Roman"/>
          <w:b/>
          <w:bCs/>
          <w:sz w:val="20"/>
          <w:szCs w:val="20"/>
        </w:rPr>
        <w:sectPr w:rsidR="00BD6349" w:rsidRPr="00DA6EB8" w:rsidSect="001841CD">
          <w:type w:val="continuous"/>
          <w:pgSz w:w="12240" w:h="15840" w:code="1"/>
          <w:pgMar w:top="1440" w:right="1440" w:bottom="1440" w:left="1440" w:header="720" w:footer="720" w:gutter="0"/>
          <w:cols w:space="720"/>
          <w:docGrid w:linePitch="360"/>
        </w:sectPr>
      </w:pPr>
    </w:p>
    <w:p w:rsidR="007A7802" w:rsidRPr="00DA6EB8" w:rsidRDefault="007A7802" w:rsidP="00BD6349">
      <w:pPr>
        <w:pStyle w:val="ListParagraph"/>
        <w:numPr>
          <w:ilvl w:val="0"/>
          <w:numId w:val="19"/>
        </w:numPr>
        <w:snapToGrid w:val="0"/>
        <w:spacing w:after="0" w:line="240" w:lineRule="auto"/>
        <w:ind w:left="0" w:firstLine="0"/>
        <w:jc w:val="both"/>
        <w:rPr>
          <w:rFonts w:ascii="Times New Roman" w:hAnsi="Times New Roman" w:cs="Times New Roman"/>
          <w:b/>
          <w:bCs/>
          <w:sz w:val="20"/>
          <w:szCs w:val="20"/>
        </w:rPr>
      </w:pPr>
      <w:r w:rsidRPr="00DA6EB8">
        <w:rPr>
          <w:rFonts w:ascii="Times New Roman" w:hAnsi="Times New Roman" w:cs="Times New Roman"/>
          <w:b/>
          <w:bCs/>
          <w:sz w:val="20"/>
          <w:szCs w:val="20"/>
        </w:rPr>
        <w:lastRenderedPageBreak/>
        <w:t>Physical Properties of Spray Solutions:</w:t>
      </w:r>
    </w:p>
    <w:p w:rsidR="005B5DA9" w:rsidRPr="00DA6EB8" w:rsidRDefault="005B5DA9" w:rsidP="00BD634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A6EB8">
        <w:rPr>
          <w:rFonts w:ascii="Times New Roman" w:hAnsi="Times New Roman" w:cs="Times New Roman"/>
          <w:sz w:val="20"/>
          <w:szCs w:val="20"/>
        </w:rPr>
        <w:t xml:space="preserve">Table </w:t>
      </w:r>
      <w:r w:rsidR="00D241D5" w:rsidRPr="00DA6EB8">
        <w:rPr>
          <w:rFonts w:ascii="Times New Roman" w:hAnsi="Times New Roman" w:cs="Times New Roman"/>
          <w:sz w:val="20"/>
          <w:szCs w:val="20"/>
        </w:rPr>
        <w:t>(3)</w:t>
      </w:r>
      <w:r w:rsidRPr="00DA6EB8">
        <w:rPr>
          <w:rFonts w:ascii="Times New Roman" w:hAnsi="Times New Roman" w:cs="Times New Roman"/>
          <w:sz w:val="20"/>
          <w:szCs w:val="20"/>
        </w:rPr>
        <w:t xml:space="preserve"> showed the </w:t>
      </w:r>
      <w:proofErr w:type="spellStart"/>
      <w:r w:rsidRPr="00DA6EB8">
        <w:rPr>
          <w:rFonts w:ascii="Times New Roman" w:hAnsi="Times New Roman" w:cs="Times New Roman"/>
          <w:sz w:val="20"/>
          <w:szCs w:val="20"/>
        </w:rPr>
        <w:t>physico</w:t>
      </w:r>
      <w:proofErr w:type="spellEnd"/>
      <w:r w:rsidRPr="00DA6EB8">
        <w:rPr>
          <w:rFonts w:ascii="Times New Roman" w:hAnsi="Times New Roman" w:cs="Times New Roman"/>
          <w:sz w:val="20"/>
          <w:szCs w:val="20"/>
        </w:rPr>
        <w:t>-chemical properties of</w:t>
      </w:r>
      <w:r w:rsidR="00337A42" w:rsidRPr="00DA6EB8">
        <w:rPr>
          <w:rFonts w:ascii="Times New Roman" w:hAnsi="Times New Roman" w:cs="Times New Roman"/>
          <w:sz w:val="20"/>
          <w:szCs w:val="20"/>
        </w:rPr>
        <w:t xml:space="preserve"> spray solutions of</w:t>
      </w:r>
      <w:r w:rsidRPr="00DA6EB8">
        <w:rPr>
          <w:rFonts w:ascii="Times New Roman" w:hAnsi="Times New Roman" w:cs="Times New Roman"/>
          <w:sz w:val="20"/>
          <w:szCs w:val="20"/>
        </w:rPr>
        <w:t xml:space="preserve"> the prepared </w:t>
      </w:r>
      <w:r w:rsidR="00FD5E98" w:rsidRPr="00DA6EB8">
        <w:rPr>
          <w:rFonts w:ascii="Times New Roman" w:hAnsi="Times New Roman" w:cs="Times New Roman"/>
          <w:sz w:val="20"/>
          <w:szCs w:val="20"/>
        </w:rPr>
        <w:t xml:space="preserve">10% </w:t>
      </w:r>
      <w:r w:rsidR="00703966" w:rsidRPr="00DA6EB8">
        <w:rPr>
          <w:rFonts w:ascii="Times New Roman" w:hAnsi="Times New Roman" w:cs="Times New Roman"/>
          <w:sz w:val="20"/>
          <w:szCs w:val="20"/>
        </w:rPr>
        <w:t>ME formulation</w:t>
      </w:r>
      <w:r w:rsidR="00337A42" w:rsidRPr="00DA6EB8">
        <w:rPr>
          <w:rFonts w:ascii="Times New Roman" w:hAnsi="Times New Roman" w:cs="Times New Roman"/>
          <w:sz w:val="20"/>
          <w:szCs w:val="20"/>
        </w:rPr>
        <w:t xml:space="preserve"> in both soft and hard water at different storage conditions</w:t>
      </w:r>
      <w:r w:rsidRPr="00DA6EB8">
        <w:rPr>
          <w:rFonts w:ascii="Times New Roman" w:hAnsi="Times New Roman" w:cs="Times New Roman"/>
          <w:sz w:val="20"/>
          <w:szCs w:val="20"/>
        </w:rPr>
        <w:t>. The prepared formulation passed successfully emulsion stability test also there is no oil separation, precipitation or cream</w:t>
      </w:r>
      <w:r w:rsidR="00FD5E98" w:rsidRPr="00DA6EB8">
        <w:rPr>
          <w:rFonts w:ascii="Times New Roman" w:hAnsi="Times New Roman" w:cs="Times New Roman"/>
          <w:sz w:val="20"/>
          <w:szCs w:val="20"/>
        </w:rPr>
        <w:t>y</w:t>
      </w:r>
      <w:r w:rsidR="00703966" w:rsidRPr="00DA6EB8">
        <w:rPr>
          <w:rFonts w:ascii="Times New Roman" w:hAnsi="Times New Roman" w:cs="Times New Roman"/>
          <w:sz w:val="20"/>
          <w:szCs w:val="20"/>
        </w:rPr>
        <w:t xml:space="preserve"> </w:t>
      </w:r>
      <w:r w:rsidR="00FD5E98" w:rsidRPr="00DA6EB8">
        <w:rPr>
          <w:rFonts w:ascii="Times New Roman" w:hAnsi="Times New Roman" w:cs="Times New Roman"/>
          <w:sz w:val="20"/>
          <w:szCs w:val="20"/>
        </w:rPr>
        <w:t>layer</w:t>
      </w:r>
      <w:r w:rsidRPr="00DA6EB8">
        <w:rPr>
          <w:rFonts w:ascii="Times New Roman" w:hAnsi="Times New Roman" w:cs="Times New Roman"/>
          <w:sz w:val="20"/>
          <w:szCs w:val="20"/>
        </w:rPr>
        <w:t xml:space="preserve">. </w:t>
      </w:r>
      <w:r w:rsidR="00D241D5" w:rsidRPr="00DA6EB8">
        <w:rPr>
          <w:rFonts w:ascii="Times New Roman" w:hAnsi="Times New Roman" w:cs="Times New Roman"/>
          <w:sz w:val="20"/>
          <w:szCs w:val="20"/>
        </w:rPr>
        <w:t>In addition,</w:t>
      </w:r>
      <w:r w:rsidRPr="00DA6EB8">
        <w:rPr>
          <w:rFonts w:ascii="Times New Roman" w:hAnsi="Times New Roman" w:cs="Times New Roman"/>
          <w:sz w:val="20"/>
          <w:szCs w:val="20"/>
        </w:rPr>
        <w:t xml:space="preserve"> there were no </w:t>
      </w:r>
      <w:r w:rsidR="00D241D5" w:rsidRPr="00DA6EB8">
        <w:rPr>
          <w:rFonts w:ascii="Times New Roman" w:hAnsi="Times New Roman" w:cs="Times New Roman"/>
          <w:sz w:val="20"/>
          <w:szCs w:val="20"/>
        </w:rPr>
        <w:t xml:space="preserve">valuable </w:t>
      </w:r>
      <w:r w:rsidRPr="00DA6EB8">
        <w:rPr>
          <w:rFonts w:ascii="Times New Roman" w:hAnsi="Times New Roman" w:cs="Times New Roman"/>
          <w:sz w:val="20"/>
          <w:szCs w:val="20"/>
        </w:rPr>
        <w:t xml:space="preserve">changes in the </w:t>
      </w:r>
      <w:proofErr w:type="spellStart"/>
      <w:r w:rsidRPr="00DA6EB8">
        <w:rPr>
          <w:rFonts w:ascii="Times New Roman" w:hAnsi="Times New Roman" w:cs="Times New Roman"/>
          <w:sz w:val="20"/>
          <w:szCs w:val="20"/>
        </w:rPr>
        <w:t>physico</w:t>
      </w:r>
      <w:proofErr w:type="spellEnd"/>
      <w:r w:rsidRPr="00DA6EB8">
        <w:rPr>
          <w:rFonts w:ascii="Times New Roman" w:hAnsi="Times New Roman" w:cs="Times New Roman"/>
          <w:sz w:val="20"/>
          <w:szCs w:val="20"/>
        </w:rPr>
        <w:t>-chemical</w:t>
      </w:r>
      <w:r w:rsidR="00DA6EB8">
        <w:rPr>
          <w:rFonts w:ascii="Times New Roman" w:hAnsi="Times New Roman" w:cs="Times New Roman" w:hint="eastAsia"/>
          <w:sz w:val="20"/>
          <w:szCs w:val="20"/>
          <w:lang w:eastAsia="zh-CN"/>
        </w:rPr>
        <w:t xml:space="preserve"> </w:t>
      </w:r>
      <w:r w:rsidRPr="00DA6EB8">
        <w:rPr>
          <w:rFonts w:ascii="Times New Roman" w:hAnsi="Times New Roman" w:cs="Times New Roman"/>
          <w:sz w:val="20"/>
          <w:szCs w:val="20"/>
        </w:rPr>
        <w:t xml:space="preserve">properties of the prepared local </w:t>
      </w:r>
      <w:proofErr w:type="spellStart"/>
      <w:r w:rsidR="00D241D5" w:rsidRPr="00DA6EB8">
        <w:rPr>
          <w:rFonts w:ascii="Times New Roman" w:hAnsi="Times New Roman" w:cs="Times New Roman"/>
          <w:sz w:val="20"/>
          <w:szCs w:val="20"/>
        </w:rPr>
        <w:t>microemulsion</w:t>
      </w:r>
      <w:proofErr w:type="spellEnd"/>
      <w:r w:rsidR="00D241D5" w:rsidRPr="00DA6EB8">
        <w:rPr>
          <w:rFonts w:ascii="Times New Roman" w:hAnsi="Times New Roman" w:cs="Times New Roman"/>
          <w:sz w:val="20"/>
          <w:szCs w:val="20"/>
        </w:rPr>
        <w:t xml:space="preserve"> </w:t>
      </w:r>
      <w:r w:rsidRPr="00DA6EB8">
        <w:rPr>
          <w:rFonts w:ascii="Times New Roman" w:hAnsi="Times New Roman" w:cs="Times New Roman"/>
          <w:sz w:val="20"/>
          <w:szCs w:val="20"/>
        </w:rPr>
        <w:t>formulation before and</w:t>
      </w:r>
      <w:r w:rsidR="00703966" w:rsidRPr="00DA6EB8">
        <w:rPr>
          <w:rFonts w:ascii="Times New Roman" w:hAnsi="Times New Roman" w:cs="Times New Roman"/>
          <w:sz w:val="20"/>
          <w:szCs w:val="20"/>
        </w:rPr>
        <w:t xml:space="preserve"> </w:t>
      </w:r>
      <w:r w:rsidRPr="00DA6EB8">
        <w:rPr>
          <w:rFonts w:ascii="Times New Roman" w:hAnsi="Times New Roman" w:cs="Times New Roman"/>
          <w:sz w:val="20"/>
          <w:szCs w:val="20"/>
        </w:rPr>
        <w:t>after heat and cold storage test.</w:t>
      </w:r>
    </w:p>
    <w:p w:rsidR="00D241D5" w:rsidRPr="00DA6EB8" w:rsidRDefault="00FD5E98" w:rsidP="00BD634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A6EB8">
        <w:rPr>
          <w:rFonts w:ascii="Times New Roman" w:hAnsi="Times New Roman" w:cs="Times New Roman"/>
          <w:sz w:val="20"/>
          <w:szCs w:val="20"/>
        </w:rPr>
        <w:t>The</w:t>
      </w:r>
      <w:r w:rsidR="00703966" w:rsidRPr="00DA6EB8">
        <w:rPr>
          <w:rFonts w:ascii="Times New Roman" w:hAnsi="Times New Roman" w:cs="Times New Roman"/>
          <w:sz w:val="20"/>
          <w:szCs w:val="20"/>
        </w:rPr>
        <w:t xml:space="preserve"> </w:t>
      </w:r>
      <w:r w:rsidR="00043C2C" w:rsidRPr="00DA6EB8">
        <w:rPr>
          <w:rFonts w:ascii="Times New Roman" w:hAnsi="Times New Roman" w:cs="Times New Roman"/>
          <w:sz w:val="20"/>
          <w:szCs w:val="20"/>
        </w:rPr>
        <w:t xml:space="preserve">conductivity </w:t>
      </w:r>
      <w:r w:rsidR="00D241D5" w:rsidRPr="00DA6EB8">
        <w:rPr>
          <w:rFonts w:ascii="Times New Roman" w:hAnsi="Times New Roman" w:cs="Times New Roman"/>
          <w:sz w:val="20"/>
          <w:szCs w:val="20"/>
        </w:rPr>
        <w:t xml:space="preserve">of spray solution tests, showed the highest value </w:t>
      </w:r>
      <w:r w:rsidR="00043C2C" w:rsidRPr="00DA6EB8">
        <w:rPr>
          <w:rFonts w:ascii="Times New Roman" w:hAnsi="Times New Roman" w:cs="Times New Roman"/>
          <w:sz w:val="20"/>
          <w:szCs w:val="20"/>
        </w:rPr>
        <w:t>705</w:t>
      </w:r>
      <w:r w:rsidR="00D241D5" w:rsidRPr="00DA6EB8">
        <w:rPr>
          <w:rFonts w:ascii="Times New Roman" w:hAnsi="Times New Roman" w:cs="Times New Roman"/>
          <w:sz w:val="20"/>
          <w:szCs w:val="20"/>
        </w:rPr>
        <w:t xml:space="preserve"> µMHOS</w:t>
      </w:r>
      <w:r w:rsidR="00043C2C" w:rsidRPr="00DA6EB8">
        <w:rPr>
          <w:rFonts w:ascii="Times New Roman" w:hAnsi="Times New Roman" w:cs="Times New Roman"/>
          <w:sz w:val="20"/>
          <w:szCs w:val="20"/>
        </w:rPr>
        <w:t xml:space="preserve"> in hard water after hot storage.</w:t>
      </w:r>
      <w:r w:rsidR="001841CD" w:rsidRPr="00DA6EB8">
        <w:rPr>
          <w:rFonts w:ascii="Times New Roman" w:hAnsi="Times New Roman" w:cs="Times New Roman"/>
          <w:sz w:val="20"/>
          <w:szCs w:val="20"/>
        </w:rPr>
        <w:t xml:space="preserve"> </w:t>
      </w:r>
      <w:r w:rsidR="00043C2C" w:rsidRPr="00DA6EB8">
        <w:rPr>
          <w:rFonts w:ascii="Times New Roman" w:hAnsi="Times New Roman" w:cs="Times New Roman"/>
          <w:sz w:val="20"/>
          <w:szCs w:val="20"/>
        </w:rPr>
        <w:t>The highest values of surface tension and pH</w:t>
      </w:r>
      <w:r w:rsidR="00703966" w:rsidRPr="00DA6EB8">
        <w:rPr>
          <w:rFonts w:ascii="Times New Roman" w:hAnsi="Times New Roman" w:cs="Times New Roman"/>
          <w:sz w:val="20"/>
          <w:szCs w:val="20"/>
        </w:rPr>
        <w:t xml:space="preserve"> </w:t>
      </w:r>
      <w:r w:rsidR="00043C2C" w:rsidRPr="00DA6EB8">
        <w:rPr>
          <w:rFonts w:ascii="Times New Roman" w:hAnsi="Times New Roman" w:cs="Times New Roman"/>
          <w:sz w:val="20"/>
          <w:szCs w:val="20"/>
        </w:rPr>
        <w:t xml:space="preserve">were 29.18mN/m and 4.24 </w:t>
      </w:r>
      <w:r w:rsidR="00D241D5" w:rsidRPr="00DA6EB8">
        <w:rPr>
          <w:rFonts w:ascii="Times New Roman" w:hAnsi="Times New Roman" w:cs="Times New Roman"/>
          <w:sz w:val="20"/>
          <w:szCs w:val="20"/>
        </w:rPr>
        <w:t xml:space="preserve">in </w:t>
      </w:r>
      <w:r w:rsidR="00043C2C" w:rsidRPr="00DA6EB8">
        <w:rPr>
          <w:rFonts w:ascii="Times New Roman" w:hAnsi="Times New Roman" w:cs="Times New Roman"/>
          <w:sz w:val="20"/>
          <w:szCs w:val="20"/>
        </w:rPr>
        <w:t>soft water of cold stored</w:t>
      </w:r>
      <w:r w:rsidRPr="00DA6EB8">
        <w:rPr>
          <w:rFonts w:ascii="Times New Roman" w:hAnsi="Times New Roman" w:cs="Times New Roman"/>
          <w:sz w:val="20"/>
          <w:szCs w:val="20"/>
        </w:rPr>
        <w:t xml:space="preserve"> </w:t>
      </w:r>
      <w:r w:rsidRPr="00DA6EB8">
        <w:rPr>
          <w:rFonts w:ascii="Times New Roman" w:hAnsi="Times New Roman" w:cs="Times New Roman"/>
          <w:sz w:val="20"/>
          <w:szCs w:val="20"/>
        </w:rPr>
        <w:lastRenderedPageBreak/>
        <w:t>sample, respectively</w:t>
      </w:r>
      <w:r w:rsidR="00D241D5" w:rsidRPr="00DA6EB8">
        <w:rPr>
          <w:rFonts w:ascii="Times New Roman" w:hAnsi="Times New Roman" w:cs="Times New Roman"/>
          <w:sz w:val="20"/>
          <w:szCs w:val="20"/>
        </w:rPr>
        <w:t xml:space="preserve">. </w:t>
      </w:r>
      <w:r w:rsidRPr="00DA6EB8">
        <w:rPr>
          <w:rFonts w:ascii="Times New Roman" w:hAnsi="Times New Roman" w:cs="Times New Roman"/>
          <w:sz w:val="20"/>
          <w:szCs w:val="20"/>
        </w:rPr>
        <w:t>Increased electric conductivity of the spray solution coupled with increased mortality rate due to increased deposition and penetration of the formulated extracted particle</w:t>
      </w:r>
      <w:r w:rsidR="001841CD" w:rsidRPr="00DA6EB8">
        <w:rPr>
          <w:rFonts w:ascii="Times New Roman" w:hAnsi="Times New Roman" w:cs="Times New Roman"/>
          <w:sz w:val="20"/>
          <w:szCs w:val="20"/>
        </w:rPr>
        <w:t xml:space="preserve">s </w:t>
      </w:r>
      <w:r w:rsidR="001841CD" w:rsidRPr="00DA6EB8">
        <w:rPr>
          <w:rFonts w:ascii="Times New Roman" w:hAnsi="Times New Roman" w:cs="Times New Roman"/>
          <w:b/>
          <w:bCs/>
          <w:sz w:val="20"/>
          <w:szCs w:val="20"/>
          <w:vertAlign w:val="superscript"/>
        </w:rPr>
        <w:t>(</w:t>
      </w:r>
      <w:r w:rsidRPr="00DA6EB8">
        <w:rPr>
          <w:rFonts w:ascii="Times New Roman" w:hAnsi="Times New Roman" w:cs="Times New Roman"/>
          <w:b/>
          <w:bCs/>
          <w:sz w:val="20"/>
          <w:szCs w:val="20"/>
          <w:vertAlign w:val="superscript"/>
        </w:rPr>
        <w:t>5</w:t>
      </w:r>
      <w:r w:rsidR="00E56965" w:rsidRPr="00DA6EB8">
        <w:rPr>
          <w:rFonts w:ascii="Times New Roman" w:hAnsi="Times New Roman" w:cs="Times New Roman"/>
          <w:b/>
          <w:bCs/>
          <w:sz w:val="20"/>
          <w:szCs w:val="20"/>
          <w:vertAlign w:val="superscript"/>
        </w:rPr>
        <w:t>3</w:t>
      </w:r>
      <w:r w:rsidRPr="00DA6EB8">
        <w:rPr>
          <w:rFonts w:ascii="Times New Roman" w:hAnsi="Times New Roman" w:cs="Times New Roman"/>
          <w:b/>
          <w:bCs/>
          <w:sz w:val="20"/>
          <w:szCs w:val="20"/>
          <w:vertAlign w:val="superscript"/>
        </w:rPr>
        <w:t>)</w:t>
      </w:r>
      <w:r w:rsidR="00B51E6A" w:rsidRPr="00DA6EB8">
        <w:rPr>
          <w:rFonts w:ascii="Times New Roman" w:hAnsi="Times New Roman" w:cs="Times New Roman"/>
          <w:sz w:val="20"/>
          <w:szCs w:val="20"/>
        </w:rPr>
        <w:t>. I</w:t>
      </w:r>
      <w:r w:rsidRPr="00DA6EB8">
        <w:rPr>
          <w:rFonts w:ascii="Times New Roman" w:hAnsi="Times New Roman" w:cs="Times New Roman"/>
          <w:sz w:val="20"/>
          <w:szCs w:val="20"/>
        </w:rPr>
        <w:t xml:space="preserve">t also shown that the decrease in surface tension of </w:t>
      </w:r>
      <w:proofErr w:type="spellStart"/>
      <w:r w:rsidRPr="00DA6EB8">
        <w:rPr>
          <w:rFonts w:ascii="Times New Roman" w:hAnsi="Times New Roman" w:cs="Times New Roman"/>
          <w:sz w:val="20"/>
          <w:szCs w:val="20"/>
        </w:rPr>
        <w:t>pesticidal</w:t>
      </w:r>
      <w:proofErr w:type="spellEnd"/>
      <w:r w:rsidRPr="00DA6EB8">
        <w:rPr>
          <w:rFonts w:ascii="Times New Roman" w:hAnsi="Times New Roman" w:cs="Times New Roman"/>
          <w:sz w:val="20"/>
          <w:szCs w:val="20"/>
        </w:rPr>
        <w:t xml:space="preserve"> spray solution gives a prediction of increasing </w:t>
      </w:r>
      <w:proofErr w:type="spellStart"/>
      <w:r w:rsidRPr="00DA6EB8">
        <w:rPr>
          <w:rFonts w:ascii="Times New Roman" w:hAnsi="Times New Roman" w:cs="Times New Roman"/>
          <w:sz w:val="20"/>
          <w:szCs w:val="20"/>
        </w:rPr>
        <w:t>wettability</w:t>
      </w:r>
      <w:proofErr w:type="spellEnd"/>
      <w:r w:rsidRPr="00DA6EB8">
        <w:rPr>
          <w:rFonts w:ascii="Times New Roman" w:hAnsi="Times New Roman" w:cs="Times New Roman"/>
          <w:sz w:val="20"/>
          <w:szCs w:val="20"/>
        </w:rPr>
        <w:t xml:space="preserve"> and spreading over tested surface with increasing </w:t>
      </w:r>
      <w:proofErr w:type="spellStart"/>
      <w:r w:rsidRPr="00DA6EB8">
        <w:rPr>
          <w:rFonts w:ascii="Times New Roman" w:hAnsi="Times New Roman" w:cs="Times New Roman"/>
          <w:sz w:val="20"/>
          <w:szCs w:val="20"/>
        </w:rPr>
        <w:t>pesticidal</w:t>
      </w:r>
      <w:proofErr w:type="spellEnd"/>
      <w:r w:rsidRPr="00DA6EB8">
        <w:rPr>
          <w:rFonts w:ascii="Times New Roman" w:hAnsi="Times New Roman" w:cs="Times New Roman"/>
          <w:sz w:val="20"/>
          <w:szCs w:val="20"/>
        </w:rPr>
        <w:t xml:space="preserve"> efficienc</w:t>
      </w:r>
      <w:r w:rsidR="001841CD" w:rsidRPr="00DA6EB8">
        <w:rPr>
          <w:rFonts w:ascii="Times New Roman" w:hAnsi="Times New Roman" w:cs="Times New Roman"/>
          <w:sz w:val="20"/>
          <w:szCs w:val="20"/>
        </w:rPr>
        <w:t xml:space="preserve">y </w:t>
      </w:r>
      <w:r w:rsidR="001841CD" w:rsidRPr="00DA6EB8">
        <w:rPr>
          <w:rFonts w:ascii="Times New Roman" w:hAnsi="Times New Roman" w:cs="Times New Roman"/>
          <w:b/>
          <w:bCs/>
          <w:sz w:val="20"/>
          <w:szCs w:val="20"/>
          <w:vertAlign w:val="superscript"/>
        </w:rPr>
        <w:t>(</w:t>
      </w:r>
      <w:r w:rsidRPr="00DA6EB8">
        <w:rPr>
          <w:rFonts w:ascii="Times New Roman" w:hAnsi="Times New Roman" w:cs="Times New Roman"/>
          <w:b/>
          <w:bCs/>
          <w:sz w:val="20"/>
          <w:szCs w:val="20"/>
          <w:vertAlign w:val="superscript"/>
        </w:rPr>
        <w:t>5</w:t>
      </w:r>
      <w:r w:rsidR="00E56965" w:rsidRPr="00DA6EB8">
        <w:rPr>
          <w:rFonts w:ascii="Times New Roman" w:hAnsi="Times New Roman" w:cs="Times New Roman"/>
          <w:b/>
          <w:bCs/>
          <w:sz w:val="20"/>
          <w:szCs w:val="20"/>
          <w:vertAlign w:val="superscript"/>
        </w:rPr>
        <w:t>4</w:t>
      </w:r>
      <w:r w:rsidRPr="00DA6EB8">
        <w:rPr>
          <w:rFonts w:ascii="Times New Roman" w:hAnsi="Times New Roman" w:cs="Times New Roman"/>
          <w:b/>
          <w:bCs/>
          <w:sz w:val="20"/>
          <w:szCs w:val="20"/>
          <w:vertAlign w:val="superscript"/>
        </w:rPr>
        <w:t>)</w:t>
      </w:r>
      <w:r w:rsidR="00B51E6A" w:rsidRPr="00DA6EB8">
        <w:rPr>
          <w:rFonts w:ascii="Times New Roman" w:hAnsi="Times New Roman" w:cs="Times New Roman"/>
          <w:b/>
          <w:bCs/>
          <w:sz w:val="20"/>
          <w:szCs w:val="20"/>
        </w:rPr>
        <w:t xml:space="preserve">. </w:t>
      </w:r>
      <w:r w:rsidR="00B51E6A" w:rsidRPr="00DA6EB8">
        <w:rPr>
          <w:rFonts w:ascii="Times New Roman" w:hAnsi="Times New Roman" w:cs="Times New Roman"/>
          <w:sz w:val="20"/>
          <w:szCs w:val="20"/>
        </w:rPr>
        <w:t>T</w:t>
      </w:r>
      <w:r w:rsidR="00D241D5" w:rsidRPr="00DA6EB8">
        <w:rPr>
          <w:rFonts w:ascii="Times New Roman" w:hAnsi="Times New Roman" w:cs="Times New Roman"/>
          <w:sz w:val="20"/>
          <w:szCs w:val="20"/>
        </w:rPr>
        <w:t xml:space="preserve">he decrease pH value of spray solution would lead to the deionization of </w:t>
      </w:r>
      <w:r w:rsidRPr="00DA6EB8">
        <w:rPr>
          <w:rFonts w:ascii="Times New Roman" w:hAnsi="Times New Roman" w:cs="Times New Roman"/>
          <w:sz w:val="20"/>
          <w:szCs w:val="20"/>
        </w:rPr>
        <w:t>the content which increase</w:t>
      </w:r>
      <w:r w:rsidR="00D241D5" w:rsidRPr="00DA6EB8">
        <w:rPr>
          <w:rFonts w:ascii="Times New Roman" w:hAnsi="Times New Roman" w:cs="Times New Roman"/>
          <w:sz w:val="20"/>
          <w:szCs w:val="20"/>
        </w:rPr>
        <w:t xml:space="preserve"> in its deposit's and penetration in the tested surface with a consequence increase in their </w:t>
      </w:r>
      <w:proofErr w:type="spellStart"/>
      <w:r w:rsidRPr="00DA6EB8">
        <w:rPr>
          <w:rFonts w:ascii="Times New Roman" w:hAnsi="Times New Roman" w:cs="Times New Roman"/>
          <w:sz w:val="20"/>
          <w:szCs w:val="20"/>
        </w:rPr>
        <w:t>pesti</w:t>
      </w:r>
      <w:r w:rsidR="00D241D5" w:rsidRPr="00DA6EB8">
        <w:rPr>
          <w:rFonts w:ascii="Times New Roman" w:hAnsi="Times New Roman" w:cs="Times New Roman"/>
          <w:sz w:val="20"/>
          <w:szCs w:val="20"/>
        </w:rPr>
        <w:t>cidal</w:t>
      </w:r>
      <w:proofErr w:type="spellEnd"/>
      <w:r w:rsidR="00D241D5" w:rsidRPr="00DA6EB8">
        <w:rPr>
          <w:rFonts w:ascii="Times New Roman" w:hAnsi="Times New Roman" w:cs="Times New Roman"/>
          <w:sz w:val="20"/>
          <w:szCs w:val="20"/>
        </w:rPr>
        <w:t xml:space="preserve"> </w:t>
      </w:r>
      <w:r w:rsidR="00337A42" w:rsidRPr="00DA6EB8">
        <w:rPr>
          <w:rFonts w:ascii="Times New Roman" w:hAnsi="Times New Roman" w:cs="Times New Roman"/>
          <w:sz w:val="20"/>
          <w:szCs w:val="20"/>
        </w:rPr>
        <w:t>efficienc</w:t>
      </w:r>
      <w:r w:rsidR="001841CD" w:rsidRPr="00DA6EB8">
        <w:rPr>
          <w:rFonts w:ascii="Times New Roman" w:hAnsi="Times New Roman" w:cs="Times New Roman"/>
          <w:sz w:val="20"/>
          <w:szCs w:val="20"/>
        </w:rPr>
        <w:t xml:space="preserve">y </w:t>
      </w:r>
      <w:r w:rsidR="001841CD" w:rsidRPr="00DA6EB8">
        <w:rPr>
          <w:rFonts w:ascii="Times New Roman" w:hAnsi="Times New Roman" w:cs="Times New Roman"/>
          <w:b/>
          <w:bCs/>
          <w:sz w:val="20"/>
          <w:szCs w:val="20"/>
          <w:vertAlign w:val="superscript"/>
        </w:rPr>
        <w:t>(</w:t>
      </w:r>
      <w:r w:rsidR="00D75806" w:rsidRPr="00DA6EB8">
        <w:rPr>
          <w:rFonts w:ascii="Times New Roman" w:hAnsi="Times New Roman" w:cs="Times New Roman"/>
          <w:b/>
          <w:bCs/>
          <w:sz w:val="20"/>
          <w:szCs w:val="20"/>
          <w:vertAlign w:val="superscript"/>
        </w:rPr>
        <w:t>5</w:t>
      </w:r>
      <w:r w:rsidR="00E56965" w:rsidRPr="00DA6EB8">
        <w:rPr>
          <w:rFonts w:ascii="Times New Roman" w:hAnsi="Times New Roman" w:cs="Times New Roman"/>
          <w:b/>
          <w:bCs/>
          <w:sz w:val="20"/>
          <w:szCs w:val="20"/>
          <w:vertAlign w:val="superscript"/>
        </w:rPr>
        <w:t>5</w:t>
      </w:r>
      <w:r w:rsidR="00D241D5" w:rsidRPr="00DA6EB8">
        <w:rPr>
          <w:rFonts w:ascii="Times New Roman" w:hAnsi="Times New Roman" w:cs="Times New Roman"/>
          <w:b/>
          <w:bCs/>
          <w:sz w:val="20"/>
          <w:szCs w:val="20"/>
          <w:vertAlign w:val="superscript"/>
        </w:rPr>
        <w:t>)</w:t>
      </w:r>
      <w:r w:rsidR="00D241D5" w:rsidRPr="00DA6EB8">
        <w:rPr>
          <w:rFonts w:ascii="Times New Roman" w:hAnsi="Times New Roman" w:cs="Times New Roman"/>
          <w:b/>
          <w:bCs/>
          <w:sz w:val="20"/>
          <w:szCs w:val="20"/>
        </w:rPr>
        <w:t>.</w:t>
      </w:r>
    </w:p>
    <w:p w:rsidR="000307A0" w:rsidRPr="00DA6EB8" w:rsidRDefault="00D04670" w:rsidP="00BD634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A6EB8">
        <w:rPr>
          <w:rFonts w:ascii="Times New Roman" w:hAnsi="Times New Roman" w:cs="Times New Roman"/>
          <w:sz w:val="20"/>
          <w:szCs w:val="20"/>
        </w:rPr>
        <w:t>It is clear that cold and hot storage has no valuable effect on all tested physical properties of the prepared formulation.</w:t>
      </w:r>
    </w:p>
    <w:p w:rsidR="00BD6349" w:rsidRPr="00DA6EB8" w:rsidRDefault="00BD6349" w:rsidP="00BD6349">
      <w:pPr>
        <w:autoSpaceDE w:val="0"/>
        <w:autoSpaceDN w:val="0"/>
        <w:adjustRightInd w:val="0"/>
        <w:snapToGrid w:val="0"/>
        <w:spacing w:after="0" w:line="240" w:lineRule="auto"/>
        <w:jc w:val="both"/>
        <w:rPr>
          <w:rFonts w:ascii="Times New Roman" w:hAnsi="Times New Roman" w:cs="Times New Roman"/>
          <w:b/>
          <w:bCs/>
          <w:sz w:val="20"/>
          <w:szCs w:val="20"/>
        </w:rPr>
        <w:sectPr w:rsidR="00BD6349" w:rsidRPr="00DA6EB8" w:rsidSect="00BD6349">
          <w:type w:val="continuous"/>
          <w:pgSz w:w="12240" w:h="15840" w:code="1"/>
          <w:pgMar w:top="1440" w:right="1440" w:bottom="1440" w:left="1440" w:header="720" w:footer="720" w:gutter="0"/>
          <w:cols w:num="2" w:space="550"/>
          <w:docGrid w:linePitch="360"/>
        </w:sectPr>
      </w:pPr>
    </w:p>
    <w:p w:rsidR="001841CD" w:rsidRPr="00DA6EB8" w:rsidRDefault="001841CD" w:rsidP="00BD6349">
      <w:pPr>
        <w:autoSpaceDE w:val="0"/>
        <w:autoSpaceDN w:val="0"/>
        <w:adjustRightInd w:val="0"/>
        <w:snapToGrid w:val="0"/>
        <w:spacing w:after="0" w:line="240" w:lineRule="auto"/>
        <w:jc w:val="both"/>
        <w:rPr>
          <w:rFonts w:ascii="Times New Roman" w:hAnsi="Times New Roman" w:cs="Times New Roman"/>
          <w:b/>
          <w:bCs/>
          <w:sz w:val="20"/>
          <w:szCs w:val="20"/>
        </w:rPr>
      </w:pPr>
    </w:p>
    <w:p w:rsidR="00DA6EB8" w:rsidRDefault="00DA6EB8" w:rsidP="00BD6349">
      <w:pPr>
        <w:snapToGrid w:val="0"/>
        <w:spacing w:after="0" w:line="240" w:lineRule="auto"/>
        <w:jc w:val="both"/>
        <w:rPr>
          <w:rFonts w:ascii="Times New Roman" w:hAnsi="Times New Roman" w:cs="Times New Roman"/>
          <w:b/>
          <w:bCs/>
          <w:sz w:val="20"/>
          <w:szCs w:val="20"/>
          <w:lang w:eastAsia="zh-CN"/>
        </w:rPr>
      </w:pPr>
    </w:p>
    <w:p w:rsidR="00DA6EB8" w:rsidRDefault="00DA6EB8" w:rsidP="00BD6349">
      <w:pPr>
        <w:snapToGrid w:val="0"/>
        <w:spacing w:after="0" w:line="240" w:lineRule="auto"/>
        <w:jc w:val="both"/>
        <w:rPr>
          <w:rFonts w:ascii="Times New Roman" w:hAnsi="Times New Roman" w:cs="Times New Roman"/>
          <w:b/>
          <w:bCs/>
          <w:sz w:val="20"/>
          <w:szCs w:val="20"/>
          <w:lang w:eastAsia="zh-CN"/>
        </w:rPr>
      </w:pPr>
    </w:p>
    <w:p w:rsidR="00DA6EB8" w:rsidRDefault="00DA6EB8" w:rsidP="00BD6349">
      <w:pPr>
        <w:snapToGrid w:val="0"/>
        <w:spacing w:after="0" w:line="240" w:lineRule="auto"/>
        <w:jc w:val="both"/>
        <w:rPr>
          <w:rFonts w:ascii="Times New Roman" w:hAnsi="Times New Roman" w:cs="Times New Roman"/>
          <w:b/>
          <w:bCs/>
          <w:sz w:val="20"/>
          <w:szCs w:val="20"/>
          <w:lang w:eastAsia="zh-CN"/>
        </w:rPr>
      </w:pPr>
    </w:p>
    <w:p w:rsidR="00DA6EB8" w:rsidRDefault="00DA6EB8" w:rsidP="00BD6349">
      <w:pPr>
        <w:snapToGrid w:val="0"/>
        <w:spacing w:after="0" w:line="240" w:lineRule="auto"/>
        <w:jc w:val="both"/>
        <w:rPr>
          <w:rFonts w:ascii="Times New Roman" w:hAnsi="Times New Roman" w:cs="Times New Roman"/>
          <w:b/>
          <w:bCs/>
          <w:sz w:val="20"/>
          <w:szCs w:val="20"/>
          <w:lang w:eastAsia="zh-CN"/>
        </w:rPr>
      </w:pPr>
    </w:p>
    <w:p w:rsidR="00DA6EB8" w:rsidRDefault="00DA6EB8" w:rsidP="00BD6349">
      <w:pPr>
        <w:snapToGrid w:val="0"/>
        <w:spacing w:after="0" w:line="240" w:lineRule="auto"/>
        <w:jc w:val="both"/>
        <w:rPr>
          <w:rFonts w:ascii="Times New Roman" w:hAnsi="Times New Roman" w:cs="Times New Roman"/>
          <w:b/>
          <w:bCs/>
          <w:sz w:val="20"/>
          <w:szCs w:val="20"/>
          <w:lang w:eastAsia="zh-CN"/>
        </w:rPr>
      </w:pPr>
    </w:p>
    <w:p w:rsidR="00DA6EB8" w:rsidRDefault="00DA6EB8" w:rsidP="00BD6349">
      <w:pPr>
        <w:snapToGrid w:val="0"/>
        <w:spacing w:after="0" w:line="240" w:lineRule="auto"/>
        <w:jc w:val="both"/>
        <w:rPr>
          <w:rFonts w:ascii="Times New Roman" w:hAnsi="Times New Roman" w:cs="Times New Roman"/>
          <w:b/>
          <w:bCs/>
          <w:sz w:val="20"/>
          <w:szCs w:val="20"/>
          <w:lang w:eastAsia="zh-CN"/>
        </w:rPr>
      </w:pPr>
    </w:p>
    <w:p w:rsidR="00DA6EB8" w:rsidRDefault="00DA6EB8" w:rsidP="00BD6349">
      <w:pPr>
        <w:snapToGrid w:val="0"/>
        <w:spacing w:after="0" w:line="240" w:lineRule="auto"/>
        <w:jc w:val="both"/>
        <w:rPr>
          <w:rFonts w:ascii="Times New Roman" w:hAnsi="Times New Roman" w:cs="Times New Roman"/>
          <w:b/>
          <w:bCs/>
          <w:sz w:val="20"/>
          <w:szCs w:val="20"/>
          <w:lang w:eastAsia="zh-CN"/>
        </w:rPr>
      </w:pPr>
    </w:p>
    <w:p w:rsidR="00DA6EB8" w:rsidRDefault="00DA6EB8" w:rsidP="00BD6349">
      <w:pPr>
        <w:snapToGrid w:val="0"/>
        <w:spacing w:after="0" w:line="240" w:lineRule="auto"/>
        <w:jc w:val="both"/>
        <w:rPr>
          <w:rFonts w:ascii="Times New Roman" w:hAnsi="Times New Roman" w:cs="Times New Roman"/>
          <w:b/>
          <w:bCs/>
          <w:sz w:val="20"/>
          <w:szCs w:val="20"/>
          <w:lang w:eastAsia="zh-CN"/>
        </w:rPr>
      </w:pPr>
    </w:p>
    <w:p w:rsidR="001740BA" w:rsidRPr="00DA6EB8" w:rsidRDefault="001740BA" w:rsidP="00BD6349">
      <w:pPr>
        <w:snapToGrid w:val="0"/>
        <w:spacing w:after="0" w:line="240" w:lineRule="auto"/>
        <w:jc w:val="both"/>
        <w:rPr>
          <w:rFonts w:ascii="Times New Roman" w:hAnsi="Times New Roman" w:cs="Times New Roman"/>
          <w:b/>
          <w:bCs/>
          <w:sz w:val="20"/>
          <w:szCs w:val="20"/>
        </w:rPr>
      </w:pPr>
      <w:r w:rsidRPr="00DA6EB8">
        <w:rPr>
          <w:rFonts w:ascii="Times New Roman" w:hAnsi="Times New Roman" w:cs="Times New Roman"/>
          <w:b/>
          <w:bCs/>
          <w:sz w:val="20"/>
          <w:szCs w:val="20"/>
        </w:rPr>
        <w:t>Table (</w:t>
      </w:r>
      <w:r w:rsidR="0042684F" w:rsidRPr="00DA6EB8">
        <w:rPr>
          <w:rFonts w:ascii="Times New Roman" w:hAnsi="Times New Roman" w:cs="Times New Roman"/>
          <w:b/>
          <w:bCs/>
          <w:sz w:val="20"/>
          <w:szCs w:val="20"/>
        </w:rPr>
        <w:t>3</w:t>
      </w:r>
      <w:r w:rsidRPr="00DA6EB8">
        <w:rPr>
          <w:rFonts w:ascii="Times New Roman" w:hAnsi="Times New Roman" w:cs="Times New Roman"/>
          <w:b/>
          <w:bCs/>
          <w:sz w:val="20"/>
          <w:szCs w:val="20"/>
        </w:rPr>
        <w:t>): Physical Properties spray s</w:t>
      </w:r>
      <w:r w:rsidR="00DD19D1" w:rsidRPr="00DA6EB8">
        <w:rPr>
          <w:rFonts w:ascii="Times New Roman" w:hAnsi="Times New Roman" w:cs="Times New Roman"/>
          <w:b/>
          <w:bCs/>
          <w:sz w:val="20"/>
          <w:szCs w:val="20"/>
        </w:rPr>
        <w:t xml:space="preserve">olutions </w:t>
      </w:r>
      <w:r w:rsidR="004B4D2A" w:rsidRPr="00DA6EB8">
        <w:rPr>
          <w:rFonts w:ascii="Times New Roman" w:hAnsi="Times New Roman" w:cs="Times New Roman"/>
          <w:b/>
          <w:bCs/>
          <w:sz w:val="20"/>
          <w:szCs w:val="20"/>
        </w:rPr>
        <w:t xml:space="preserve">(soft and hard water) </w:t>
      </w:r>
      <w:r w:rsidRPr="00DA6EB8">
        <w:rPr>
          <w:rFonts w:ascii="Times New Roman" w:hAnsi="Times New Roman" w:cs="Times New Roman"/>
          <w:b/>
          <w:bCs/>
          <w:sz w:val="20"/>
          <w:szCs w:val="20"/>
        </w:rPr>
        <w:t xml:space="preserve">of </w:t>
      </w:r>
      <w:r w:rsidRPr="00DA6EB8">
        <w:rPr>
          <w:rFonts w:ascii="Times New Roman" w:hAnsi="Times New Roman" w:cs="Times New Roman"/>
          <w:b/>
          <w:bCs/>
          <w:i/>
          <w:iCs/>
          <w:sz w:val="20"/>
          <w:szCs w:val="20"/>
        </w:rPr>
        <w:t>trans-</w:t>
      </w:r>
      <w:r w:rsidRPr="00DA6EB8">
        <w:rPr>
          <w:rFonts w:ascii="Times New Roman" w:hAnsi="Times New Roman" w:cs="Times New Roman"/>
          <w:b/>
          <w:bCs/>
          <w:sz w:val="20"/>
          <w:szCs w:val="20"/>
        </w:rPr>
        <w:t xml:space="preserve">methyl </w:t>
      </w:r>
      <w:proofErr w:type="spellStart"/>
      <w:r w:rsidRPr="00DA6EB8">
        <w:rPr>
          <w:rFonts w:ascii="Times New Roman" w:hAnsi="Times New Roman" w:cs="Times New Roman"/>
          <w:b/>
          <w:bCs/>
          <w:sz w:val="20"/>
          <w:szCs w:val="20"/>
        </w:rPr>
        <w:t>cinnamate</w:t>
      </w:r>
      <w:proofErr w:type="spellEnd"/>
      <w:r w:rsidRPr="00DA6EB8">
        <w:rPr>
          <w:rFonts w:ascii="Times New Roman" w:hAnsi="Times New Roman" w:cs="Times New Roman"/>
          <w:b/>
          <w:bCs/>
          <w:sz w:val="20"/>
          <w:szCs w:val="20"/>
        </w:rPr>
        <w:t xml:space="preserve"> 10% ME at initial, after storage at 0 °C for 7 days and after accelerated hot storage at 54 ± 2 °C for 14 days</w:t>
      </w:r>
    </w:p>
    <w:tbl>
      <w:tblPr>
        <w:tblStyle w:val="TableGrid"/>
        <w:tblW w:w="5000" w:type="pct"/>
        <w:jc w:val="center"/>
        <w:tblCellMar>
          <w:left w:w="57" w:type="dxa"/>
          <w:right w:w="57" w:type="dxa"/>
        </w:tblCellMar>
        <w:tblLook w:val="04A0"/>
      </w:tblPr>
      <w:tblGrid>
        <w:gridCol w:w="1761"/>
        <w:gridCol w:w="860"/>
        <w:gridCol w:w="949"/>
        <w:gridCol w:w="1055"/>
        <w:gridCol w:w="1165"/>
        <w:gridCol w:w="1751"/>
        <w:gridCol w:w="1933"/>
      </w:tblGrid>
      <w:tr w:rsidR="00646583" w:rsidRPr="00DA6EB8" w:rsidTr="00B51E6A">
        <w:trPr>
          <w:jc w:val="center"/>
        </w:trPr>
        <w:tc>
          <w:tcPr>
            <w:tcW w:w="929" w:type="pct"/>
            <w:vMerge w:val="restart"/>
            <w:tcBorders>
              <w:tl2br w:val="single" w:sz="4" w:space="0" w:color="auto"/>
            </w:tcBorders>
            <w:vAlign w:val="center"/>
          </w:tcPr>
          <w:p w:rsidR="006970B2" w:rsidRPr="00DA6EB8" w:rsidRDefault="001841CD" w:rsidP="00DA6EB8">
            <w:pPr>
              <w:snapToGrid w:val="0"/>
              <w:jc w:val="right"/>
              <w:rPr>
                <w:rFonts w:ascii="Times New Roman" w:hAnsi="Times New Roman" w:cs="Times New Roman"/>
                <w:b/>
                <w:bCs/>
                <w:sz w:val="20"/>
                <w:szCs w:val="20"/>
                <w:lang w:eastAsia="zh-CN" w:bidi="ar-EG"/>
              </w:rPr>
            </w:pPr>
            <w:r w:rsidRPr="00DA6EB8">
              <w:rPr>
                <w:rFonts w:ascii="Times New Roman" w:hAnsi="Times New Roman" w:cs="Times New Roman"/>
                <w:b/>
                <w:bCs/>
                <w:sz w:val="20"/>
                <w:szCs w:val="20"/>
                <w:lang w:bidi="ar-EG"/>
              </w:rPr>
              <w:t xml:space="preserve"> </w:t>
            </w:r>
            <w:r w:rsidR="006970B2" w:rsidRPr="00DA6EB8">
              <w:rPr>
                <w:rFonts w:ascii="Times New Roman" w:hAnsi="Times New Roman" w:cs="Times New Roman"/>
                <w:b/>
                <w:bCs/>
                <w:sz w:val="20"/>
                <w:szCs w:val="20"/>
                <w:lang w:bidi="ar-EG"/>
              </w:rPr>
              <w:t xml:space="preserve">Storage Conditions </w:t>
            </w:r>
          </w:p>
          <w:p w:rsidR="006970B2" w:rsidRPr="00DA6EB8" w:rsidRDefault="006970B2" w:rsidP="00B51E6A">
            <w:pPr>
              <w:snapToGrid w:val="0"/>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t xml:space="preserve">Method </w:t>
            </w:r>
          </w:p>
        </w:tc>
        <w:tc>
          <w:tcPr>
            <w:tcW w:w="955" w:type="pct"/>
            <w:gridSpan w:val="2"/>
            <w:vAlign w:val="center"/>
          </w:tcPr>
          <w:p w:rsidR="00646583" w:rsidRPr="00DA6EB8" w:rsidRDefault="00646583"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Initial</w:t>
            </w:r>
          </w:p>
        </w:tc>
        <w:tc>
          <w:tcPr>
            <w:tcW w:w="1172" w:type="pct"/>
            <w:gridSpan w:val="2"/>
            <w:vAlign w:val="center"/>
          </w:tcPr>
          <w:p w:rsidR="00646583" w:rsidRPr="00DA6EB8" w:rsidRDefault="00646583"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After storage at 0 °C for 7 days</w:t>
            </w:r>
          </w:p>
        </w:tc>
        <w:tc>
          <w:tcPr>
            <w:tcW w:w="1944" w:type="pct"/>
            <w:gridSpan w:val="2"/>
            <w:vAlign w:val="center"/>
          </w:tcPr>
          <w:p w:rsidR="00646583" w:rsidRPr="00DA6EB8" w:rsidRDefault="00646583"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After accelerated hot storage at 54 ± 2 °C for 14 days</w:t>
            </w:r>
          </w:p>
        </w:tc>
      </w:tr>
      <w:tr w:rsidR="001841CD" w:rsidRPr="00DA6EB8" w:rsidTr="00BD6349">
        <w:trPr>
          <w:jc w:val="center"/>
        </w:trPr>
        <w:tc>
          <w:tcPr>
            <w:tcW w:w="929" w:type="pct"/>
            <w:vMerge/>
            <w:vAlign w:val="center"/>
          </w:tcPr>
          <w:p w:rsidR="00646583" w:rsidRPr="00DA6EB8" w:rsidRDefault="00646583" w:rsidP="00BD6349">
            <w:pPr>
              <w:snapToGrid w:val="0"/>
              <w:jc w:val="both"/>
              <w:rPr>
                <w:rFonts w:ascii="Times New Roman" w:hAnsi="Times New Roman" w:cs="Times New Roman"/>
                <w:b/>
                <w:bCs/>
                <w:sz w:val="20"/>
                <w:szCs w:val="20"/>
                <w:lang w:bidi="ar-EG"/>
              </w:rPr>
            </w:pPr>
          </w:p>
        </w:tc>
        <w:tc>
          <w:tcPr>
            <w:tcW w:w="454" w:type="pct"/>
            <w:vAlign w:val="center"/>
          </w:tcPr>
          <w:p w:rsidR="00646583" w:rsidRPr="00DA6EB8" w:rsidRDefault="00646583" w:rsidP="00BD6349">
            <w:pPr>
              <w:snapToGrid w:val="0"/>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t>Soft Water</w:t>
            </w:r>
          </w:p>
        </w:tc>
        <w:tc>
          <w:tcPr>
            <w:tcW w:w="501" w:type="pct"/>
            <w:vAlign w:val="center"/>
          </w:tcPr>
          <w:p w:rsidR="00646583" w:rsidRPr="00DA6EB8" w:rsidRDefault="00646583" w:rsidP="00BD6349">
            <w:pPr>
              <w:snapToGrid w:val="0"/>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t>Hard Water</w:t>
            </w:r>
          </w:p>
        </w:tc>
        <w:tc>
          <w:tcPr>
            <w:tcW w:w="557" w:type="pct"/>
            <w:vAlign w:val="center"/>
          </w:tcPr>
          <w:p w:rsidR="00646583" w:rsidRPr="00DA6EB8" w:rsidRDefault="00646583" w:rsidP="00BD6349">
            <w:pPr>
              <w:snapToGrid w:val="0"/>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t>Soft Water</w:t>
            </w:r>
          </w:p>
        </w:tc>
        <w:tc>
          <w:tcPr>
            <w:tcW w:w="615" w:type="pct"/>
            <w:vAlign w:val="center"/>
          </w:tcPr>
          <w:p w:rsidR="00646583" w:rsidRPr="00DA6EB8" w:rsidRDefault="00646583" w:rsidP="00BD6349">
            <w:pPr>
              <w:snapToGrid w:val="0"/>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t>Hard Water</w:t>
            </w:r>
          </w:p>
        </w:tc>
        <w:tc>
          <w:tcPr>
            <w:tcW w:w="924" w:type="pct"/>
            <w:vAlign w:val="center"/>
          </w:tcPr>
          <w:p w:rsidR="00646583" w:rsidRPr="00DA6EB8" w:rsidRDefault="00646583" w:rsidP="00BD6349">
            <w:pPr>
              <w:snapToGrid w:val="0"/>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t>Soft Water</w:t>
            </w:r>
          </w:p>
        </w:tc>
        <w:tc>
          <w:tcPr>
            <w:tcW w:w="1020" w:type="pct"/>
            <w:vAlign w:val="center"/>
          </w:tcPr>
          <w:p w:rsidR="00646583" w:rsidRPr="00DA6EB8" w:rsidRDefault="00646583" w:rsidP="00BD6349">
            <w:pPr>
              <w:snapToGrid w:val="0"/>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t>Hard Water</w:t>
            </w:r>
          </w:p>
        </w:tc>
      </w:tr>
      <w:tr w:rsidR="001841CD" w:rsidRPr="00DA6EB8" w:rsidTr="00BD6349">
        <w:trPr>
          <w:jc w:val="center"/>
        </w:trPr>
        <w:tc>
          <w:tcPr>
            <w:tcW w:w="929" w:type="pct"/>
            <w:vAlign w:val="center"/>
          </w:tcPr>
          <w:p w:rsidR="00043C2C" w:rsidRPr="00DA6EB8" w:rsidRDefault="009E3EF6" w:rsidP="00BD6349">
            <w:pPr>
              <w:snapToGrid w:val="0"/>
              <w:jc w:val="both"/>
              <w:rPr>
                <w:rFonts w:ascii="Times New Roman" w:hAnsi="Times New Roman" w:cs="Times New Roman"/>
                <w:sz w:val="20"/>
                <w:szCs w:val="20"/>
                <w:lang w:bidi="ar-EG"/>
              </w:rPr>
            </w:pPr>
            <w:r w:rsidRPr="00DA6EB8">
              <w:rPr>
                <w:rFonts w:ascii="Times New Roman" w:hAnsi="Times New Roman" w:cs="Times New Roman"/>
                <w:b/>
                <w:bCs/>
                <w:sz w:val="20"/>
                <w:szCs w:val="20"/>
                <w:lang w:bidi="ar-EG"/>
              </w:rPr>
              <w:t>Foaming</w:t>
            </w:r>
            <w:r w:rsidR="003E71F7" w:rsidRPr="00DA6EB8">
              <w:rPr>
                <w:rFonts w:ascii="Times New Roman" w:hAnsi="Times New Roman" w:cs="Times New Roman"/>
                <w:b/>
                <w:bCs/>
                <w:sz w:val="20"/>
                <w:szCs w:val="20"/>
                <w:lang w:bidi="ar-EG"/>
              </w:rPr>
              <w:t xml:space="preserve"> </w:t>
            </w:r>
            <w:r w:rsidR="00043C2C" w:rsidRPr="00DA6EB8">
              <w:rPr>
                <w:rFonts w:ascii="Times New Roman" w:hAnsi="Times New Roman" w:cs="Times New Roman"/>
                <w:sz w:val="20"/>
                <w:szCs w:val="20"/>
                <w:lang w:bidi="ar-EG"/>
              </w:rPr>
              <w:t>(ml)</w:t>
            </w:r>
          </w:p>
        </w:tc>
        <w:tc>
          <w:tcPr>
            <w:tcW w:w="454" w:type="pct"/>
            <w:vAlign w:val="center"/>
          </w:tcPr>
          <w:p w:rsidR="00646583" w:rsidRPr="00DA6EB8" w:rsidRDefault="00890856"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2</w:t>
            </w:r>
          </w:p>
        </w:tc>
        <w:tc>
          <w:tcPr>
            <w:tcW w:w="501" w:type="pct"/>
            <w:vAlign w:val="center"/>
          </w:tcPr>
          <w:p w:rsidR="00646583" w:rsidRPr="00DA6EB8" w:rsidRDefault="00890856"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2</w:t>
            </w:r>
          </w:p>
        </w:tc>
        <w:tc>
          <w:tcPr>
            <w:tcW w:w="557" w:type="pct"/>
            <w:vAlign w:val="center"/>
          </w:tcPr>
          <w:p w:rsidR="00646583" w:rsidRPr="00DA6EB8" w:rsidRDefault="00890856"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3</w:t>
            </w:r>
          </w:p>
        </w:tc>
        <w:tc>
          <w:tcPr>
            <w:tcW w:w="615" w:type="pct"/>
            <w:vAlign w:val="center"/>
          </w:tcPr>
          <w:p w:rsidR="00646583" w:rsidRPr="00DA6EB8" w:rsidRDefault="00890856"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2</w:t>
            </w:r>
          </w:p>
        </w:tc>
        <w:tc>
          <w:tcPr>
            <w:tcW w:w="924" w:type="pct"/>
            <w:vAlign w:val="center"/>
          </w:tcPr>
          <w:p w:rsidR="00646583" w:rsidRPr="00DA6EB8" w:rsidRDefault="00890856"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w:t>
            </w:r>
          </w:p>
        </w:tc>
        <w:tc>
          <w:tcPr>
            <w:tcW w:w="1020" w:type="pct"/>
            <w:vAlign w:val="center"/>
          </w:tcPr>
          <w:p w:rsidR="00646583" w:rsidRPr="00DA6EB8" w:rsidRDefault="00890856"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2</w:t>
            </w:r>
          </w:p>
        </w:tc>
      </w:tr>
      <w:tr w:rsidR="001841CD" w:rsidRPr="00DA6EB8" w:rsidTr="00BD6349">
        <w:trPr>
          <w:jc w:val="center"/>
        </w:trPr>
        <w:tc>
          <w:tcPr>
            <w:tcW w:w="929" w:type="pct"/>
            <w:vAlign w:val="center"/>
          </w:tcPr>
          <w:p w:rsidR="00646583" w:rsidRPr="00DA6EB8" w:rsidRDefault="009E3EF6" w:rsidP="00BD6349">
            <w:pPr>
              <w:snapToGrid w:val="0"/>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t>Emulsification</w:t>
            </w:r>
          </w:p>
        </w:tc>
        <w:tc>
          <w:tcPr>
            <w:tcW w:w="454" w:type="pct"/>
            <w:vAlign w:val="center"/>
          </w:tcPr>
          <w:p w:rsidR="00646583" w:rsidRPr="00DA6EB8" w:rsidRDefault="00AE76DB"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 xml:space="preserve">Pass </w:t>
            </w:r>
          </w:p>
        </w:tc>
        <w:tc>
          <w:tcPr>
            <w:tcW w:w="501" w:type="pct"/>
            <w:vAlign w:val="center"/>
          </w:tcPr>
          <w:p w:rsidR="00646583" w:rsidRPr="00DA6EB8" w:rsidRDefault="00AE76DB"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 xml:space="preserve">Pass </w:t>
            </w:r>
          </w:p>
        </w:tc>
        <w:tc>
          <w:tcPr>
            <w:tcW w:w="557" w:type="pct"/>
            <w:vAlign w:val="center"/>
          </w:tcPr>
          <w:p w:rsidR="00646583" w:rsidRPr="00DA6EB8" w:rsidRDefault="00AE76DB"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 xml:space="preserve">Pass </w:t>
            </w:r>
          </w:p>
        </w:tc>
        <w:tc>
          <w:tcPr>
            <w:tcW w:w="615" w:type="pct"/>
            <w:vAlign w:val="center"/>
          </w:tcPr>
          <w:p w:rsidR="00646583" w:rsidRPr="00DA6EB8" w:rsidRDefault="00AE76DB"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 xml:space="preserve">Pass </w:t>
            </w:r>
          </w:p>
        </w:tc>
        <w:tc>
          <w:tcPr>
            <w:tcW w:w="924" w:type="pct"/>
            <w:vAlign w:val="center"/>
          </w:tcPr>
          <w:p w:rsidR="00646583" w:rsidRPr="00DA6EB8" w:rsidRDefault="00AE76DB"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 xml:space="preserve">Pass </w:t>
            </w:r>
          </w:p>
        </w:tc>
        <w:tc>
          <w:tcPr>
            <w:tcW w:w="1020" w:type="pct"/>
            <w:vAlign w:val="center"/>
          </w:tcPr>
          <w:p w:rsidR="00646583" w:rsidRPr="00DA6EB8" w:rsidRDefault="00AE76DB"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 xml:space="preserve">Pass </w:t>
            </w:r>
          </w:p>
        </w:tc>
      </w:tr>
      <w:tr w:rsidR="001841CD" w:rsidRPr="00DA6EB8" w:rsidTr="00BD6349">
        <w:trPr>
          <w:jc w:val="center"/>
        </w:trPr>
        <w:tc>
          <w:tcPr>
            <w:tcW w:w="929" w:type="pct"/>
            <w:vAlign w:val="center"/>
          </w:tcPr>
          <w:p w:rsidR="00646583" w:rsidRPr="00DA6EB8" w:rsidRDefault="009E3EF6" w:rsidP="00BD6349">
            <w:pPr>
              <w:snapToGrid w:val="0"/>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t>pH</w:t>
            </w:r>
          </w:p>
        </w:tc>
        <w:tc>
          <w:tcPr>
            <w:tcW w:w="454" w:type="pct"/>
            <w:vAlign w:val="center"/>
          </w:tcPr>
          <w:p w:rsidR="00646583" w:rsidRPr="00DA6EB8" w:rsidRDefault="00890856"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4.18</w:t>
            </w:r>
          </w:p>
        </w:tc>
        <w:tc>
          <w:tcPr>
            <w:tcW w:w="501" w:type="pct"/>
            <w:vAlign w:val="center"/>
          </w:tcPr>
          <w:p w:rsidR="00646583" w:rsidRPr="00DA6EB8" w:rsidRDefault="00890856"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4.02</w:t>
            </w:r>
          </w:p>
        </w:tc>
        <w:tc>
          <w:tcPr>
            <w:tcW w:w="557" w:type="pct"/>
            <w:vAlign w:val="center"/>
          </w:tcPr>
          <w:p w:rsidR="00646583" w:rsidRPr="00DA6EB8" w:rsidRDefault="00890856"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4.24</w:t>
            </w:r>
          </w:p>
        </w:tc>
        <w:tc>
          <w:tcPr>
            <w:tcW w:w="615" w:type="pct"/>
            <w:vAlign w:val="center"/>
          </w:tcPr>
          <w:p w:rsidR="00646583" w:rsidRPr="00DA6EB8" w:rsidRDefault="00890856"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4.13</w:t>
            </w:r>
          </w:p>
        </w:tc>
        <w:tc>
          <w:tcPr>
            <w:tcW w:w="924" w:type="pct"/>
            <w:vAlign w:val="center"/>
          </w:tcPr>
          <w:p w:rsidR="00646583" w:rsidRPr="00DA6EB8" w:rsidRDefault="00EC54CF"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4.14</w:t>
            </w:r>
          </w:p>
        </w:tc>
        <w:tc>
          <w:tcPr>
            <w:tcW w:w="1020" w:type="pct"/>
            <w:vAlign w:val="center"/>
          </w:tcPr>
          <w:p w:rsidR="00646583" w:rsidRPr="00DA6EB8" w:rsidRDefault="00EC54CF"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3.95</w:t>
            </w:r>
          </w:p>
        </w:tc>
      </w:tr>
      <w:tr w:rsidR="001841CD" w:rsidRPr="00DA6EB8" w:rsidTr="00BD6349">
        <w:trPr>
          <w:jc w:val="center"/>
        </w:trPr>
        <w:tc>
          <w:tcPr>
            <w:tcW w:w="929" w:type="pct"/>
            <w:vAlign w:val="center"/>
          </w:tcPr>
          <w:p w:rsidR="00043C2C" w:rsidRPr="00DA6EB8" w:rsidRDefault="009E3EF6" w:rsidP="00BD6349">
            <w:pPr>
              <w:snapToGrid w:val="0"/>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t>Surface Tension</w:t>
            </w:r>
            <w:r w:rsidR="003E71F7" w:rsidRPr="00DA6EB8">
              <w:rPr>
                <w:rFonts w:ascii="Times New Roman" w:hAnsi="Times New Roman" w:cs="Times New Roman"/>
                <w:b/>
                <w:bCs/>
                <w:sz w:val="20"/>
                <w:szCs w:val="20"/>
                <w:lang w:bidi="ar-EG"/>
              </w:rPr>
              <w:t xml:space="preserve"> </w:t>
            </w:r>
            <w:r w:rsidR="00043C2C" w:rsidRPr="00DA6EB8">
              <w:rPr>
                <w:rFonts w:ascii="Times New Roman" w:hAnsi="Times New Roman" w:cs="Times New Roman"/>
                <w:sz w:val="20"/>
                <w:szCs w:val="20"/>
              </w:rPr>
              <w:t>(</w:t>
            </w:r>
            <w:proofErr w:type="spellStart"/>
            <w:r w:rsidR="00043C2C" w:rsidRPr="00DA6EB8">
              <w:rPr>
                <w:rFonts w:ascii="Times New Roman" w:hAnsi="Times New Roman" w:cs="Times New Roman"/>
                <w:sz w:val="20"/>
                <w:szCs w:val="20"/>
              </w:rPr>
              <w:t>mN</w:t>
            </w:r>
            <w:proofErr w:type="spellEnd"/>
            <w:r w:rsidR="00043C2C" w:rsidRPr="00DA6EB8">
              <w:rPr>
                <w:rFonts w:ascii="Times New Roman" w:hAnsi="Times New Roman" w:cs="Times New Roman"/>
                <w:sz w:val="20"/>
                <w:szCs w:val="20"/>
              </w:rPr>
              <w:t>/m)</w:t>
            </w:r>
          </w:p>
        </w:tc>
        <w:tc>
          <w:tcPr>
            <w:tcW w:w="454" w:type="pct"/>
            <w:vAlign w:val="center"/>
          </w:tcPr>
          <w:p w:rsidR="00646583" w:rsidRPr="00DA6EB8" w:rsidRDefault="00EC54CF"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27.34</w:t>
            </w:r>
          </w:p>
        </w:tc>
        <w:tc>
          <w:tcPr>
            <w:tcW w:w="501" w:type="pct"/>
            <w:vAlign w:val="center"/>
          </w:tcPr>
          <w:p w:rsidR="00646583" w:rsidRPr="00DA6EB8" w:rsidRDefault="00EC54CF"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28.82</w:t>
            </w:r>
          </w:p>
        </w:tc>
        <w:tc>
          <w:tcPr>
            <w:tcW w:w="557" w:type="pct"/>
            <w:vAlign w:val="center"/>
          </w:tcPr>
          <w:p w:rsidR="00646583" w:rsidRPr="00DA6EB8" w:rsidRDefault="00EC54CF"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29.18</w:t>
            </w:r>
          </w:p>
        </w:tc>
        <w:tc>
          <w:tcPr>
            <w:tcW w:w="615" w:type="pct"/>
            <w:vAlign w:val="center"/>
          </w:tcPr>
          <w:p w:rsidR="00646583" w:rsidRPr="00DA6EB8" w:rsidRDefault="00EC54CF"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29.14</w:t>
            </w:r>
          </w:p>
        </w:tc>
        <w:tc>
          <w:tcPr>
            <w:tcW w:w="924" w:type="pct"/>
            <w:vAlign w:val="center"/>
          </w:tcPr>
          <w:p w:rsidR="00646583" w:rsidRPr="00DA6EB8" w:rsidRDefault="00EC54CF"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28.23</w:t>
            </w:r>
          </w:p>
        </w:tc>
        <w:tc>
          <w:tcPr>
            <w:tcW w:w="1020" w:type="pct"/>
            <w:vAlign w:val="center"/>
          </w:tcPr>
          <w:p w:rsidR="00646583" w:rsidRPr="00DA6EB8" w:rsidRDefault="00EC54CF"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28.23</w:t>
            </w:r>
          </w:p>
        </w:tc>
      </w:tr>
      <w:tr w:rsidR="001841CD" w:rsidRPr="00DA6EB8" w:rsidTr="00BD6349">
        <w:trPr>
          <w:jc w:val="center"/>
        </w:trPr>
        <w:tc>
          <w:tcPr>
            <w:tcW w:w="929" w:type="pct"/>
            <w:vAlign w:val="center"/>
          </w:tcPr>
          <w:p w:rsidR="00043C2C" w:rsidRPr="00DA6EB8" w:rsidRDefault="009E3EF6" w:rsidP="00BD6349">
            <w:pPr>
              <w:snapToGrid w:val="0"/>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t>Conductivity</w:t>
            </w:r>
            <w:r w:rsidR="003E71F7" w:rsidRPr="00DA6EB8">
              <w:rPr>
                <w:rFonts w:ascii="Times New Roman" w:hAnsi="Times New Roman" w:cs="Times New Roman"/>
                <w:b/>
                <w:bCs/>
                <w:sz w:val="20"/>
                <w:szCs w:val="20"/>
                <w:lang w:bidi="ar-EG"/>
              </w:rPr>
              <w:t xml:space="preserve"> </w:t>
            </w:r>
            <w:r w:rsidR="00043C2C" w:rsidRPr="00DA6EB8">
              <w:rPr>
                <w:rFonts w:ascii="Times New Roman" w:hAnsi="Times New Roman" w:cs="Times New Roman"/>
                <w:sz w:val="20"/>
                <w:szCs w:val="20"/>
              </w:rPr>
              <w:t>(µMHOS)</w:t>
            </w:r>
          </w:p>
        </w:tc>
        <w:tc>
          <w:tcPr>
            <w:tcW w:w="454" w:type="pct"/>
            <w:vAlign w:val="center"/>
          </w:tcPr>
          <w:p w:rsidR="00646583" w:rsidRPr="00DA6EB8" w:rsidRDefault="00EC54CF"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148.3</w:t>
            </w:r>
          </w:p>
        </w:tc>
        <w:tc>
          <w:tcPr>
            <w:tcW w:w="501" w:type="pct"/>
            <w:vAlign w:val="center"/>
          </w:tcPr>
          <w:p w:rsidR="00646583" w:rsidRPr="00DA6EB8" w:rsidRDefault="00EC54CF"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694</w:t>
            </w:r>
          </w:p>
        </w:tc>
        <w:tc>
          <w:tcPr>
            <w:tcW w:w="557" w:type="pct"/>
            <w:vAlign w:val="center"/>
          </w:tcPr>
          <w:p w:rsidR="00646583" w:rsidRPr="00DA6EB8" w:rsidRDefault="00EC54CF"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145.8</w:t>
            </w:r>
          </w:p>
        </w:tc>
        <w:tc>
          <w:tcPr>
            <w:tcW w:w="615" w:type="pct"/>
            <w:vAlign w:val="center"/>
          </w:tcPr>
          <w:p w:rsidR="00646583" w:rsidRPr="00DA6EB8" w:rsidRDefault="00EC54CF"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691</w:t>
            </w:r>
          </w:p>
        </w:tc>
        <w:tc>
          <w:tcPr>
            <w:tcW w:w="924" w:type="pct"/>
            <w:vAlign w:val="center"/>
          </w:tcPr>
          <w:p w:rsidR="00646583" w:rsidRPr="00DA6EB8" w:rsidRDefault="00EC54CF"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205</w:t>
            </w:r>
          </w:p>
        </w:tc>
        <w:tc>
          <w:tcPr>
            <w:tcW w:w="1020" w:type="pct"/>
            <w:vAlign w:val="center"/>
          </w:tcPr>
          <w:p w:rsidR="00646583" w:rsidRPr="00DA6EB8" w:rsidRDefault="00EC54CF" w:rsidP="00BD6349">
            <w:pPr>
              <w:snapToGrid w:val="0"/>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705</w:t>
            </w:r>
          </w:p>
        </w:tc>
      </w:tr>
    </w:tbl>
    <w:p w:rsidR="001841CD" w:rsidRDefault="001841CD" w:rsidP="00BD6349">
      <w:pPr>
        <w:pStyle w:val="ListParagraph"/>
        <w:snapToGrid w:val="0"/>
        <w:spacing w:after="0" w:line="240" w:lineRule="auto"/>
        <w:ind w:left="0"/>
        <w:jc w:val="both"/>
        <w:rPr>
          <w:rFonts w:ascii="Times New Roman" w:hAnsi="Times New Roman" w:cs="Times New Roman"/>
          <w:b/>
          <w:bCs/>
          <w:sz w:val="20"/>
          <w:szCs w:val="20"/>
          <w:lang w:eastAsia="zh-CN" w:bidi="ar-EG"/>
        </w:rPr>
      </w:pPr>
    </w:p>
    <w:p w:rsidR="00DA6EB8" w:rsidRDefault="00DA6EB8" w:rsidP="00BD6349">
      <w:pPr>
        <w:pStyle w:val="ListParagraph"/>
        <w:snapToGrid w:val="0"/>
        <w:spacing w:after="0" w:line="240" w:lineRule="auto"/>
        <w:ind w:left="0"/>
        <w:jc w:val="both"/>
        <w:rPr>
          <w:rFonts w:ascii="Times New Roman" w:hAnsi="Times New Roman" w:cs="Times New Roman"/>
          <w:b/>
          <w:bCs/>
          <w:sz w:val="20"/>
          <w:szCs w:val="20"/>
          <w:lang w:eastAsia="zh-CN" w:bidi="ar-EG"/>
        </w:rPr>
      </w:pPr>
    </w:p>
    <w:p w:rsidR="00DA6EB8" w:rsidRPr="00DA6EB8" w:rsidRDefault="00DA6EB8" w:rsidP="00BD6349">
      <w:pPr>
        <w:pStyle w:val="ListParagraph"/>
        <w:snapToGrid w:val="0"/>
        <w:spacing w:after="0" w:line="240" w:lineRule="auto"/>
        <w:ind w:left="0"/>
        <w:jc w:val="both"/>
        <w:rPr>
          <w:rFonts w:ascii="Times New Roman" w:hAnsi="Times New Roman" w:cs="Times New Roman"/>
          <w:b/>
          <w:bCs/>
          <w:sz w:val="20"/>
          <w:szCs w:val="20"/>
          <w:lang w:eastAsia="zh-CN" w:bidi="ar-EG"/>
        </w:rPr>
      </w:pPr>
    </w:p>
    <w:p w:rsidR="00BD6349" w:rsidRPr="00DA6EB8" w:rsidRDefault="00BD6349" w:rsidP="00BD6349">
      <w:pPr>
        <w:pStyle w:val="ListParagraph"/>
        <w:numPr>
          <w:ilvl w:val="0"/>
          <w:numId w:val="17"/>
        </w:numPr>
        <w:snapToGrid w:val="0"/>
        <w:spacing w:after="0" w:line="240" w:lineRule="auto"/>
        <w:ind w:left="0" w:firstLine="0"/>
        <w:jc w:val="both"/>
        <w:rPr>
          <w:rFonts w:ascii="Times New Roman" w:hAnsi="Times New Roman" w:cs="Times New Roman"/>
          <w:b/>
          <w:bCs/>
          <w:sz w:val="20"/>
          <w:szCs w:val="20"/>
          <w:lang w:bidi="ar-EG"/>
        </w:rPr>
        <w:sectPr w:rsidR="00BD6349" w:rsidRPr="00DA6EB8" w:rsidSect="001841CD">
          <w:type w:val="continuous"/>
          <w:pgSz w:w="12240" w:h="15840" w:code="1"/>
          <w:pgMar w:top="1440" w:right="1440" w:bottom="1440" w:left="1440" w:header="720" w:footer="720" w:gutter="0"/>
          <w:cols w:space="720"/>
          <w:docGrid w:linePitch="360"/>
        </w:sectPr>
      </w:pPr>
    </w:p>
    <w:p w:rsidR="00217161" w:rsidRPr="00DA6EB8" w:rsidRDefault="00217161" w:rsidP="00BD6349">
      <w:pPr>
        <w:pStyle w:val="ListParagraph"/>
        <w:numPr>
          <w:ilvl w:val="0"/>
          <w:numId w:val="17"/>
        </w:numPr>
        <w:snapToGrid w:val="0"/>
        <w:spacing w:after="0" w:line="240" w:lineRule="auto"/>
        <w:ind w:left="0" w:firstLine="0"/>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lastRenderedPageBreak/>
        <w:t>Antifungal Assay:</w:t>
      </w:r>
    </w:p>
    <w:p w:rsidR="00AD1CE1" w:rsidRPr="00DA6EB8" w:rsidRDefault="00A3365F" w:rsidP="00BD6349">
      <w:pPr>
        <w:autoSpaceDE w:val="0"/>
        <w:autoSpaceDN w:val="0"/>
        <w:adjustRightInd w:val="0"/>
        <w:snapToGrid w:val="0"/>
        <w:spacing w:after="0" w:line="240" w:lineRule="auto"/>
        <w:ind w:firstLine="425"/>
        <w:jc w:val="both"/>
        <w:rPr>
          <w:rFonts w:ascii="Times New Roman" w:hAnsi="Times New Roman" w:cs="Times New Roman"/>
          <w:b/>
          <w:bCs/>
          <w:sz w:val="20"/>
          <w:szCs w:val="20"/>
          <w:lang w:bidi="ar-EG"/>
        </w:rPr>
      </w:pPr>
      <w:proofErr w:type="spellStart"/>
      <w:r w:rsidRPr="00DA6EB8">
        <w:rPr>
          <w:rFonts w:ascii="Times New Roman" w:eastAsia="Yu Gothic UI" w:hAnsi="Times New Roman" w:cs="Times New Roman"/>
          <w:sz w:val="20"/>
          <w:szCs w:val="20"/>
        </w:rPr>
        <w:t>Cinnamic</w:t>
      </w:r>
      <w:proofErr w:type="spellEnd"/>
      <w:r w:rsidRPr="00DA6EB8">
        <w:rPr>
          <w:rFonts w:ascii="Times New Roman" w:eastAsia="Yu Gothic UI" w:hAnsi="Times New Roman" w:cs="Times New Roman"/>
          <w:sz w:val="20"/>
          <w:szCs w:val="20"/>
        </w:rPr>
        <w:t xml:space="preserve"> acid esters and their derivatives are widely distributed in plants including cereals, legumes, oilseeds, fruits, vegetables and tea or coffee beverage</w:t>
      </w:r>
      <w:r w:rsidR="001841CD" w:rsidRPr="00DA6EB8">
        <w:rPr>
          <w:rFonts w:ascii="Times New Roman" w:eastAsia="Yu Gothic UI" w:hAnsi="Times New Roman" w:cs="Times New Roman"/>
          <w:sz w:val="20"/>
          <w:szCs w:val="20"/>
        </w:rPr>
        <w:t xml:space="preserve">s </w:t>
      </w:r>
      <w:r w:rsidR="001841CD" w:rsidRPr="00DA6EB8">
        <w:rPr>
          <w:rFonts w:ascii="Times New Roman" w:eastAsia="Yu Gothic UI" w:hAnsi="Times New Roman" w:cs="Times New Roman"/>
          <w:sz w:val="20"/>
          <w:szCs w:val="20"/>
          <w:vertAlign w:val="superscript"/>
        </w:rPr>
        <w:t>(</w:t>
      </w:r>
      <w:r w:rsidR="002C4DED" w:rsidRPr="00DA6EB8">
        <w:rPr>
          <w:rFonts w:ascii="Times New Roman" w:eastAsia="Yu Gothic UI" w:hAnsi="Times New Roman" w:cs="Times New Roman"/>
          <w:sz w:val="20"/>
          <w:szCs w:val="20"/>
          <w:vertAlign w:val="superscript"/>
        </w:rPr>
        <w:t>5</w:t>
      </w:r>
      <w:r w:rsidR="00E56965" w:rsidRPr="00DA6EB8">
        <w:rPr>
          <w:rFonts w:ascii="Times New Roman" w:eastAsia="Yu Gothic UI" w:hAnsi="Times New Roman" w:cs="Times New Roman"/>
          <w:sz w:val="20"/>
          <w:szCs w:val="20"/>
          <w:vertAlign w:val="superscript"/>
        </w:rPr>
        <w:t>6</w:t>
      </w:r>
      <w:r w:rsidR="002C4DED" w:rsidRPr="00DA6EB8">
        <w:rPr>
          <w:rFonts w:ascii="Times New Roman" w:eastAsia="Yu Gothic UI" w:hAnsi="Times New Roman" w:cs="Times New Roman"/>
          <w:sz w:val="20"/>
          <w:szCs w:val="20"/>
          <w:vertAlign w:val="superscript"/>
        </w:rPr>
        <w:t>)</w:t>
      </w:r>
      <w:r w:rsidRPr="00DA6EB8">
        <w:rPr>
          <w:rFonts w:ascii="Times New Roman" w:eastAsia="Yu Gothic UI" w:hAnsi="Times New Roman" w:cs="Times New Roman"/>
          <w:sz w:val="20"/>
          <w:szCs w:val="20"/>
        </w:rPr>
        <w:t xml:space="preserve">. Due to the common occurrence in plants and the low toxicity for humans, animals and environment </w:t>
      </w:r>
      <w:r w:rsidR="002C4DED" w:rsidRPr="00DA6EB8">
        <w:rPr>
          <w:rFonts w:ascii="Times New Roman" w:eastAsia="Yu Gothic UI" w:hAnsi="Times New Roman" w:cs="Times New Roman"/>
          <w:sz w:val="20"/>
          <w:szCs w:val="20"/>
          <w:vertAlign w:val="superscript"/>
        </w:rPr>
        <w:t>(5</w:t>
      </w:r>
      <w:r w:rsidR="00E56965" w:rsidRPr="00DA6EB8">
        <w:rPr>
          <w:rFonts w:ascii="Times New Roman" w:eastAsia="Yu Gothic UI" w:hAnsi="Times New Roman" w:cs="Times New Roman"/>
          <w:sz w:val="20"/>
          <w:szCs w:val="20"/>
          <w:vertAlign w:val="superscript"/>
        </w:rPr>
        <w:t>7</w:t>
      </w:r>
      <w:r w:rsidR="002C4DED" w:rsidRPr="00DA6EB8">
        <w:rPr>
          <w:rFonts w:ascii="Times New Roman" w:eastAsia="Yu Gothic UI" w:hAnsi="Times New Roman" w:cs="Times New Roman"/>
          <w:sz w:val="20"/>
          <w:szCs w:val="20"/>
          <w:vertAlign w:val="superscript"/>
        </w:rPr>
        <w:t>, 5</w:t>
      </w:r>
      <w:r w:rsidR="00E56965" w:rsidRPr="00DA6EB8">
        <w:rPr>
          <w:rFonts w:ascii="Times New Roman" w:eastAsia="Yu Gothic UI" w:hAnsi="Times New Roman" w:cs="Times New Roman"/>
          <w:sz w:val="20"/>
          <w:szCs w:val="20"/>
          <w:vertAlign w:val="superscript"/>
        </w:rPr>
        <w:t>8</w:t>
      </w:r>
      <w:r w:rsidR="002C4DED" w:rsidRPr="00DA6EB8">
        <w:rPr>
          <w:rFonts w:ascii="Times New Roman" w:eastAsia="Yu Gothic UI" w:hAnsi="Times New Roman" w:cs="Times New Roman"/>
          <w:sz w:val="20"/>
          <w:szCs w:val="20"/>
          <w:vertAlign w:val="superscript"/>
        </w:rPr>
        <w:t>)</w:t>
      </w:r>
      <w:r w:rsidRPr="00DA6EB8">
        <w:rPr>
          <w:rFonts w:ascii="Times New Roman" w:eastAsia="Yu Gothic UI" w:hAnsi="Times New Roman" w:cs="Times New Roman"/>
          <w:sz w:val="20"/>
          <w:szCs w:val="20"/>
        </w:rPr>
        <w:t xml:space="preserve">, </w:t>
      </w:r>
      <w:proofErr w:type="spellStart"/>
      <w:r w:rsidRPr="00DA6EB8">
        <w:rPr>
          <w:rFonts w:ascii="Times New Roman" w:eastAsia="Yu Gothic UI" w:hAnsi="Times New Roman" w:cs="Times New Roman"/>
          <w:sz w:val="20"/>
          <w:szCs w:val="20"/>
        </w:rPr>
        <w:t>cinnamic</w:t>
      </w:r>
      <w:proofErr w:type="spellEnd"/>
      <w:r w:rsidRPr="00DA6EB8">
        <w:rPr>
          <w:rFonts w:ascii="Times New Roman" w:eastAsia="Yu Gothic UI" w:hAnsi="Times New Roman" w:cs="Times New Roman"/>
          <w:sz w:val="20"/>
          <w:szCs w:val="20"/>
        </w:rPr>
        <w:t xml:space="preserve"> acid derivatives have attracted much attention of many pharmacologists. In the past decades, </w:t>
      </w:r>
      <w:proofErr w:type="spellStart"/>
      <w:r w:rsidRPr="00DA6EB8">
        <w:rPr>
          <w:rFonts w:ascii="Times New Roman" w:eastAsia="Yu Gothic UI" w:hAnsi="Times New Roman" w:cs="Times New Roman"/>
          <w:sz w:val="20"/>
          <w:szCs w:val="20"/>
        </w:rPr>
        <w:t>cinnamic</w:t>
      </w:r>
      <w:proofErr w:type="spellEnd"/>
      <w:r w:rsidRPr="00DA6EB8">
        <w:rPr>
          <w:rFonts w:ascii="Times New Roman" w:eastAsia="Yu Gothic UI" w:hAnsi="Times New Roman" w:cs="Times New Roman"/>
          <w:sz w:val="20"/>
          <w:szCs w:val="20"/>
        </w:rPr>
        <w:t xml:space="preserve"> acid derivatives including natural and non-natural compounds had proved to possess diverse pharmacological actions such as antimicrobia</w:t>
      </w:r>
      <w:r w:rsidR="001841CD" w:rsidRPr="00DA6EB8">
        <w:rPr>
          <w:rFonts w:ascii="Times New Roman" w:eastAsia="Yu Gothic UI" w:hAnsi="Times New Roman" w:cs="Times New Roman"/>
          <w:sz w:val="20"/>
          <w:szCs w:val="20"/>
        </w:rPr>
        <w:t xml:space="preserve">l </w:t>
      </w:r>
      <w:r w:rsidR="001841CD" w:rsidRPr="00DA6EB8">
        <w:rPr>
          <w:rFonts w:ascii="Times New Roman" w:eastAsia="Yu Gothic UI" w:hAnsi="Times New Roman" w:cs="Times New Roman"/>
          <w:sz w:val="20"/>
          <w:szCs w:val="20"/>
          <w:vertAlign w:val="superscript"/>
        </w:rPr>
        <w:t>(</w:t>
      </w:r>
      <w:r w:rsidR="00C42DF2" w:rsidRPr="00DA6EB8">
        <w:rPr>
          <w:rFonts w:ascii="Times New Roman" w:eastAsia="Yu Gothic UI" w:hAnsi="Times New Roman" w:cs="Times New Roman"/>
          <w:sz w:val="20"/>
          <w:szCs w:val="20"/>
          <w:vertAlign w:val="superscript"/>
        </w:rPr>
        <w:t>5</w:t>
      </w:r>
      <w:r w:rsidR="00E56965" w:rsidRPr="00DA6EB8">
        <w:rPr>
          <w:rFonts w:ascii="Times New Roman" w:eastAsia="Yu Gothic UI" w:hAnsi="Times New Roman" w:cs="Times New Roman"/>
          <w:sz w:val="20"/>
          <w:szCs w:val="20"/>
          <w:vertAlign w:val="superscript"/>
        </w:rPr>
        <w:t>9</w:t>
      </w:r>
      <w:r w:rsidR="00C42DF2" w:rsidRPr="00DA6EB8">
        <w:rPr>
          <w:rFonts w:ascii="Times New Roman" w:eastAsia="Yu Gothic UI" w:hAnsi="Times New Roman" w:cs="Times New Roman"/>
          <w:sz w:val="20"/>
          <w:szCs w:val="20"/>
          <w:vertAlign w:val="superscript"/>
        </w:rPr>
        <w:t xml:space="preserve">, </w:t>
      </w:r>
      <w:r w:rsidR="00E56965" w:rsidRPr="00DA6EB8">
        <w:rPr>
          <w:rFonts w:ascii="Times New Roman" w:eastAsia="Yu Gothic UI" w:hAnsi="Times New Roman" w:cs="Times New Roman"/>
          <w:sz w:val="20"/>
          <w:szCs w:val="20"/>
          <w:vertAlign w:val="superscript"/>
        </w:rPr>
        <w:t>60</w:t>
      </w:r>
      <w:r w:rsidR="00C42DF2" w:rsidRPr="00DA6EB8">
        <w:rPr>
          <w:rFonts w:ascii="Times New Roman" w:eastAsia="Yu Gothic UI" w:hAnsi="Times New Roman" w:cs="Times New Roman"/>
          <w:sz w:val="20"/>
          <w:szCs w:val="20"/>
          <w:vertAlign w:val="superscript"/>
        </w:rPr>
        <w:t>)</w:t>
      </w:r>
      <w:r w:rsidR="00B51E6A" w:rsidRPr="00DA6EB8">
        <w:rPr>
          <w:rFonts w:ascii="Times New Roman" w:eastAsia="Yu Gothic UI" w:hAnsi="Times New Roman" w:cs="Times New Roman"/>
          <w:sz w:val="20"/>
          <w:szCs w:val="20"/>
          <w:vertAlign w:val="superscript"/>
        </w:rPr>
        <w:t xml:space="preserve">. </w:t>
      </w:r>
      <w:r w:rsidR="00B51E6A" w:rsidRPr="00DA6EB8">
        <w:rPr>
          <w:rFonts w:ascii="Times New Roman" w:eastAsia="Yu Gothic UI" w:hAnsi="Times New Roman" w:cs="Times New Roman"/>
          <w:sz w:val="20"/>
          <w:szCs w:val="20"/>
        </w:rPr>
        <w:t>A</w:t>
      </w:r>
      <w:r w:rsidR="00C42DF2" w:rsidRPr="00DA6EB8">
        <w:rPr>
          <w:rFonts w:ascii="Times New Roman" w:eastAsia="Yu Gothic UI" w:hAnsi="Times New Roman" w:cs="Times New Roman"/>
          <w:sz w:val="20"/>
          <w:szCs w:val="20"/>
        </w:rPr>
        <w:t>lthough</w:t>
      </w:r>
      <w:r w:rsidRPr="00DA6EB8">
        <w:rPr>
          <w:rFonts w:ascii="Times New Roman" w:eastAsia="Yu Gothic UI" w:hAnsi="Times New Roman" w:cs="Times New Roman"/>
          <w:sz w:val="20"/>
          <w:szCs w:val="20"/>
        </w:rPr>
        <w:t xml:space="preserve"> </w:t>
      </w:r>
      <w:proofErr w:type="spellStart"/>
      <w:r w:rsidRPr="00DA6EB8">
        <w:rPr>
          <w:rFonts w:ascii="Times New Roman" w:eastAsia="Yu Gothic UI" w:hAnsi="Times New Roman" w:cs="Times New Roman"/>
          <w:sz w:val="20"/>
          <w:szCs w:val="20"/>
        </w:rPr>
        <w:t>cinnamic</w:t>
      </w:r>
      <w:proofErr w:type="spellEnd"/>
      <w:r w:rsidRPr="00DA6EB8">
        <w:rPr>
          <w:rFonts w:ascii="Times New Roman" w:eastAsia="Yu Gothic UI" w:hAnsi="Times New Roman" w:cs="Times New Roman"/>
          <w:sz w:val="20"/>
          <w:szCs w:val="20"/>
        </w:rPr>
        <w:t xml:space="preserve"> aci</w:t>
      </w:r>
      <w:r w:rsidR="00D10E3C" w:rsidRPr="00DA6EB8">
        <w:rPr>
          <w:rFonts w:ascii="Times New Roman" w:eastAsia="Yu Gothic UI" w:hAnsi="Times New Roman" w:cs="Times New Roman"/>
          <w:sz w:val="20"/>
          <w:szCs w:val="20"/>
        </w:rPr>
        <w:t xml:space="preserve">d itself and its derivative </w:t>
      </w:r>
      <w:proofErr w:type="spellStart"/>
      <w:r w:rsidR="00D10E3C" w:rsidRPr="00DA6EB8">
        <w:rPr>
          <w:rFonts w:ascii="Times New Roman" w:eastAsia="Yu Gothic UI" w:hAnsi="Times New Roman" w:cs="Times New Roman"/>
          <w:sz w:val="20"/>
          <w:szCs w:val="20"/>
        </w:rPr>
        <w:t>cinn</w:t>
      </w:r>
      <w:r w:rsidRPr="00DA6EB8">
        <w:rPr>
          <w:rFonts w:ascii="Times New Roman" w:eastAsia="Yu Gothic UI" w:hAnsi="Times New Roman" w:cs="Times New Roman"/>
          <w:sz w:val="20"/>
          <w:szCs w:val="20"/>
        </w:rPr>
        <w:t>a</w:t>
      </w:r>
      <w:r w:rsidR="00D10E3C" w:rsidRPr="00DA6EB8">
        <w:rPr>
          <w:rFonts w:ascii="Times New Roman" w:eastAsia="Yu Gothic UI" w:hAnsi="Times New Roman" w:cs="Times New Roman"/>
          <w:sz w:val="20"/>
          <w:szCs w:val="20"/>
        </w:rPr>
        <w:t>m</w:t>
      </w:r>
      <w:r w:rsidRPr="00DA6EB8">
        <w:rPr>
          <w:rFonts w:ascii="Times New Roman" w:eastAsia="Yu Gothic UI" w:hAnsi="Times New Roman" w:cs="Times New Roman"/>
          <w:sz w:val="20"/>
          <w:szCs w:val="20"/>
        </w:rPr>
        <w:t>ldehyde</w:t>
      </w:r>
      <w:proofErr w:type="spellEnd"/>
      <w:r w:rsidRPr="00DA6EB8">
        <w:rPr>
          <w:rFonts w:ascii="Times New Roman" w:eastAsia="Yu Gothic UI" w:hAnsi="Times New Roman" w:cs="Times New Roman"/>
          <w:sz w:val="20"/>
          <w:szCs w:val="20"/>
        </w:rPr>
        <w:t xml:space="preserve"> had found to have</w:t>
      </w:r>
      <w:r w:rsidR="00703966" w:rsidRPr="00DA6EB8">
        <w:rPr>
          <w:rFonts w:ascii="Times New Roman" w:eastAsia="Yu Gothic UI" w:hAnsi="Times New Roman" w:cs="Times New Roman"/>
          <w:sz w:val="20"/>
          <w:szCs w:val="20"/>
        </w:rPr>
        <w:t xml:space="preserve"> </w:t>
      </w:r>
      <w:r w:rsidRPr="00DA6EB8">
        <w:rPr>
          <w:rFonts w:ascii="Times New Roman" w:eastAsia="Yu Gothic UI" w:hAnsi="Times New Roman" w:cs="Times New Roman"/>
          <w:sz w:val="20"/>
          <w:szCs w:val="20"/>
        </w:rPr>
        <w:t xml:space="preserve">inhibition activity against some plant pathogenic fungi </w:t>
      </w:r>
      <w:r w:rsidR="00C42DF2" w:rsidRPr="00DA6EB8">
        <w:rPr>
          <w:rFonts w:ascii="Times New Roman" w:eastAsia="Yu Gothic UI" w:hAnsi="Times New Roman" w:cs="Times New Roman"/>
          <w:sz w:val="20"/>
          <w:szCs w:val="20"/>
          <w:vertAlign w:val="superscript"/>
        </w:rPr>
        <w:t>(</w:t>
      </w:r>
      <w:r w:rsidR="00310888" w:rsidRPr="00DA6EB8">
        <w:rPr>
          <w:rFonts w:ascii="Times New Roman" w:eastAsia="Yu Gothic UI" w:hAnsi="Times New Roman" w:cs="Times New Roman"/>
          <w:sz w:val="20"/>
          <w:szCs w:val="20"/>
          <w:vertAlign w:val="superscript"/>
        </w:rPr>
        <w:t>6</w:t>
      </w:r>
      <w:r w:rsidR="00E56965" w:rsidRPr="00DA6EB8">
        <w:rPr>
          <w:rFonts w:ascii="Times New Roman" w:eastAsia="Yu Gothic UI" w:hAnsi="Times New Roman" w:cs="Times New Roman"/>
          <w:sz w:val="20"/>
          <w:szCs w:val="20"/>
          <w:vertAlign w:val="superscript"/>
        </w:rPr>
        <w:t>1</w:t>
      </w:r>
      <w:r w:rsidR="00C42DF2" w:rsidRPr="00DA6EB8">
        <w:rPr>
          <w:rFonts w:ascii="Times New Roman" w:eastAsia="Yu Gothic UI" w:hAnsi="Times New Roman" w:cs="Times New Roman"/>
          <w:sz w:val="20"/>
          <w:szCs w:val="20"/>
          <w:vertAlign w:val="superscript"/>
        </w:rPr>
        <w:t xml:space="preserve">, </w:t>
      </w:r>
      <w:r w:rsidR="00310888" w:rsidRPr="00DA6EB8">
        <w:rPr>
          <w:rFonts w:ascii="Times New Roman" w:eastAsia="Yu Gothic UI" w:hAnsi="Times New Roman" w:cs="Times New Roman"/>
          <w:sz w:val="20"/>
          <w:szCs w:val="20"/>
          <w:vertAlign w:val="superscript"/>
        </w:rPr>
        <w:t>6</w:t>
      </w:r>
      <w:r w:rsidR="00E56965" w:rsidRPr="00DA6EB8">
        <w:rPr>
          <w:rFonts w:ascii="Times New Roman" w:eastAsia="Yu Gothic UI" w:hAnsi="Times New Roman" w:cs="Times New Roman"/>
          <w:sz w:val="20"/>
          <w:szCs w:val="20"/>
          <w:vertAlign w:val="superscript"/>
        </w:rPr>
        <w:t>2</w:t>
      </w:r>
      <w:r w:rsidR="00C42DF2" w:rsidRPr="00DA6EB8">
        <w:rPr>
          <w:rFonts w:ascii="Times New Roman" w:eastAsia="Yu Gothic UI" w:hAnsi="Times New Roman" w:cs="Times New Roman"/>
          <w:sz w:val="20"/>
          <w:szCs w:val="20"/>
          <w:vertAlign w:val="superscript"/>
        </w:rPr>
        <w:t>)</w:t>
      </w:r>
      <w:r w:rsidRPr="00DA6EB8">
        <w:rPr>
          <w:rFonts w:ascii="Times New Roman" w:eastAsia="Yu Gothic UI" w:hAnsi="Times New Roman" w:cs="Times New Roman"/>
          <w:sz w:val="20"/>
          <w:szCs w:val="20"/>
        </w:rPr>
        <w:t xml:space="preserve">, few reports have </w:t>
      </w:r>
      <w:proofErr w:type="spellStart"/>
      <w:r w:rsidRPr="00DA6EB8">
        <w:rPr>
          <w:rFonts w:ascii="Times New Roman" w:eastAsia="Yu Gothic UI" w:hAnsi="Times New Roman" w:cs="Times New Roman"/>
          <w:sz w:val="20"/>
          <w:szCs w:val="20"/>
        </w:rPr>
        <w:t>foundon</w:t>
      </w:r>
      <w:proofErr w:type="spellEnd"/>
      <w:r w:rsidRPr="00DA6EB8">
        <w:rPr>
          <w:rFonts w:ascii="Times New Roman" w:eastAsia="Yu Gothic UI" w:hAnsi="Times New Roman" w:cs="Times New Roman"/>
          <w:sz w:val="20"/>
          <w:szCs w:val="20"/>
        </w:rPr>
        <w:t xml:space="preserve"> systematic investigation on the activity of </w:t>
      </w:r>
      <w:proofErr w:type="spellStart"/>
      <w:r w:rsidRPr="00DA6EB8">
        <w:rPr>
          <w:rFonts w:ascii="Times New Roman" w:eastAsia="Yu Gothic UI" w:hAnsi="Times New Roman" w:cs="Times New Roman"/>
          <w:sz w:val="20"/>
          <w:szCs w:val="20"/>
        </w:rPr>
        <w:t>cinnamic</w:t>
      </w:r>
      <w:proofErr w:type="spellEnd"/>
      <w:r w:rsidRPr="00DA6EB8">
        <w:rPr>
          <w:rFonts w:ascii="Times New Roman" w:eastAsia="Yu Gothic UI" w:hAnsi="Times New Roman" w:cs="Times New Roman"/>
          <w:sz w:val="20"/>
          <w:szCs w:val="20"/>
        </w:rPr>
        <w:t xml:space="preserve"> acid esters against plant </w:t>
      </w:r>
      <w:proofErr w:type="spellStart"/>
      <w:r w:rsidRPr="00DA6EB8">
        <w:rPr>
          <w:rFonts w:ascii="Times New Roman" w:eastAsia="Yu Gothic UI" w:hAnsi="Times New Roman" w:cs="Times New Roman"/>
          <w:sz w:val="20"/>
          <w:szCs w:val="20"/>
        </w:rPr>
        <w:t>pathogenicfungi</w:t>
      </w:r>
      <w:proofErr w:type="spellEnd"/>
      <w:r w:rsidRPr="00DA6EB8">
        <w:rPr>
          <w:rFonts w:ascii="Times New Roman" w:eastAsia="Yu Gothic UI" w:hAnsi="Times New Roman" w:cs="Times New Roman"/>
          <w:sz w:val="20"/>
          <w:szCs w:val="20"/>
        </w:rPr>
        <w:t xml:space="preserve">. The purpose of the present research is to explore the bioactivity of a </w:t>
      </w:r>
      <w:r w:rsidR="00C42DF2" w:rsidRPr="00DA6EB8">
        <w:rPr>
          <w:rFonts w:ascii="Times New Roman" w:eastAsia="Yu Gothic UI" w:hAnsi="Times New Roman" w:cs="Times New Roman"/>
          <w:i/>
          <w:iCs/>
          <w:sz w:val="20"/>
          <w:szCs w:val="20"/>
        </w:rPr>
        <w:t>trans-</w:t>
      </w:r>
      <w:r w:rsidR="00C42DF2" w:rsidRPr="00DA6EB8">
        <w:rPr>
          <w:rFonts w:ascii="Times New Roman" w:eastAsia="Yu Gothic UI" w:hAnsi="Times New Roman" w:cs="Times New Roman"/>
          <w:sz w:val="20"/>
          <w:szCs w:val="20"/>
        </w:rPr>
        <w:t xml:space="preserve">methyl </w:t>
      </w:r>
      <w:proofErr w:type="spellStart"/>
      <w:r w:rsidR="00C42DF2" w:rsidRPr="00DA6EB8">
        <w:rPr>
          <w:rFonts w:ascii="Times New Roman" w:eastAsia="Yu Gothic UI" w:hAnsi="Times New Roman" w:cs="Times New Roman"/>
          <w:sz w:val="20"/>
          <w:szCs w:val="20"/>
        </w:rPr>
        <w:t>cinnamate</w:t>
      </w:r>
      <w:proofErr w:type="spellEnd"/>
      <w:r w:rsidRPr="00DA6EB8">
        <w:rPr>
          <w:rFonts w:ascii="Times New Roman" w:eastAsia="Yu Gothic UI" w:hAnsi="Times New Roman" w:cs="Times New Roman"/>
          <w:sz w:val="20"/>
          <w:szCs w:val="20"/>
        </w:rPr>
        <w:t xml:space="preserve"> against </w:t>
      </w:r>
      <w:proofErr w:type="spellStart"/>
      <w:r w:rsidRPr="00DA6EB8">
        <w:rPr>
          <w:rFonts w:ascii="Times New Roman" w:eastAsia="Yu Gothic UI" w:hAnsi="Times New Roman" w:cs="Times New Roman"/>
          <w:sz w:val="20"/>
          <w:szCs w:val="20"/>
        </w:rPr>
        <w:t>phyto</w:t>
      </w:r>
      <w:proofErr w:type="spellEnd"/>
      <w:r w:rsidRPr="00DA6EB8">
        <w:rPr>
          <w:rFonts w:ascii="Times New Roman" w:eastAsia="Yu Gothic UI" w:hAnsi="Times New Roman" w:cs="Times New Roman"/>
          <w:sz w:val="20"/>
          <w:szCs w:val="20"/>
        </w:rPr>
        <w:t>-pathogenic fungi, and meanwhile discover new potent antifungal compounds.</w:t>
      </w:r>
    </w:p>
    <w:p w:rsidR="00FC5D17" w:rsidRPr="00DA6EB8" w:rsidRDefault="00996A7A" w:rsidP="00BD634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A6EB8">
        <w:rPr>
          <w:rFonts w:ascii="Times New Roman" w:hAnsi="Times New Roman" w:cs="Times New Roman"/>
          <w:sz w:val="20"/>
          <w:szCs w:val="20"/>
        </w:rPr>
        <w:t xml:space="preserve">The </w:t>
      </w:r>
      <w:r w:rsidRPr="00DA6EB8">
        <w:rPr>
          <w:rFonts w:ascii="Times New Roman" w:hAnsi="Times New Roman" w:cs="Times New Roman"/>
          <w:i/>
          <w:iCs/>
          <w:sz w:val="20"/>
          <w:szCs w:val="20"/>
        </w:rPr>
        <w:t>in vitro</w:t>
      </w:r>
      <w:r w:rsidRPr="00DA6EB8">
        <w:rPr>
          <w:rFonts w:ascii="Times New Roman" w:hAnsi="Times New Roman" w:cs="Times New Roman"/>
          <w:sz w:val="20"/>
          <w:szCs w:val="20"/>
        </w:rPr>
        <w:t xml:space="preserve"> antifungal activity of </w:t>
      </w:r>
      <w:r w:rsidRPr="00DA6EB8">
        <w:rPr>
          <w:rFonts w:ascii="Times New Roman" w:hAnsi="Times New Roman" w:cs="Times New Roman"/>
          <w:i/>
          <w:iCs/>
          <w:sz w:val="20"/>
          <w:szCs w:val="20"/>
        </w:rPr>
        <w:t>trans</w:t>
      </w:r>
      <w:r w:rsidRPr="00DA6EB8">
        <w:rPr>
          <w:rFonts w:ascii="Times New Roman" w:hAnsi="Times New Roman" w:cs="Times New Roman"/>
          <w:sz w:val="20"/>
          <w:szCs w:val="20"/>
        </w:rPr>
        <w:t xml:space="preserve">-methyl </w:t>
      </w:r>
      <w:proofErr w:type="spellStart"/>
      <w:r w:rsidRPr="00DA6EB8">
        <w:rPr>
          <w:rFonts w:ascii="Times New Roman" w:hAnsi="Times New Roman" w:cs="Times New Roman"/>
          <w:sz w:val="20"/>
          <w:szCs w:val="20"/>
        </w:rPr>
        <w:t>cinnamate</w:t>
      </w:r>
      <w:proofErr w:type="spellEnd"/>
      <w:r w:rsidRPr="00DA6EB8">
        <w:rPr>
          <w:rFonts w:ascii="Times New Roman" w:hAnsi="Times New Roman" w:cs="Times New Roman"/>
          <w:sz w:val="20"/>
          <w:szCs w:val="20"/>
        </w:rPr>
        <w:t xml:space="preserve"> 99% and its prepared 10% </w:t>
      </w:r>
      <w:proofErr w:type="spellStart"/>
      <w:r w:rsidRPr="00DA6EB8">
        <w:rPr>
          <w:rFonts w:ascii="Times New Roman" w:hAnsi="Times New Roman" w:cs="Times New Roman"/>
          <w:sz w:val="20"/>
          <w:szCs w:val="20"/>
        </w:rPr>
        <w:t>microemulsion</w:t>
      </w:r>
      <w:proofErr w:type="spellEnd"/>
      <w:r w:rsidRPr="00DA6EB8">
        <w:rPr>
          <w:rFonts w:ascii="Times New Roman" w:hAnsi="Times New Roman" w:cs="Times New Roman"/>
          <w:sz w:val="20"/>
          <w:szCs w:val="20"/>
        </w:rPr>
        <w:t xml:space="preserve"> formulation by food poison techniques reported in Table </w:t>
      </w:r>
      <w:r w:rsidR="00337A42" w:rsidRPr="00DA6EB8">
        <w:rPr>
          <w:rFonts w:ascii="Times New Roman" w:hAnsi="Times New Roman" w:cs="Times New Roman"/>
          <w:sz w:val="20"/>
          <w:szCs w:val="20"/>
        </w:rPr>
        <w:t>4</w:t>
      </w:r>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 xml:space="preserve">The results indicated that as the concentration of the methyl </w:t>
      </w:r>
      <w:proofErr w:type="spellStart"/>
      <w:r w:rsidRPr="00DA6EB8">
        <w:rPr>
          <w:rFonts w:ascii="Times New Roman" w:hAnsi="Times New Roman" w:cs="Times New Roman"/>
          <w:sz w:val="20"/>
          <w:szCs w:val="20"/>
        </w:rPr>
        <w:t>cinnamate</w:t>
      </w:r>
      <w:proofErr w:type="spellEnd"/>
      <w:r w:rsidRPr="00DA6EB8">
        <w:rPr>
          <w:rFonts w:ascii="Times New Roman" w:hAnsi="Times New Roman" w:cs="Times New Roman"/>
          <w:sz w:val="20"/>
          <w:szCs w:val="20"/>
        </w:rPr>
        <w:t xml:space="preserve"> increases the percentage inhibition of </w:t>
      </w:r>
      <w:proofErr w:type="spellStart"/>
      <w:r w:rsidRPr="00DA6EB8">
        <w:rPr>
          <w:rFonts w:ascii="Times New Roman" w:hAnsi="Times New Roman" w:cs="Times New Roman"/>
          <w:sz w:val="20"/>
          <w:szCs w:val="20"/>
        </w:rPr>
        <w:t>mycelial</w:t>
      </w:r>
      <w:proofErr w:type="spellEnd"/>
      <w:r w:rsidRPr="00DA6EB8">
        <w:rPr>
          <w:rFonts w:ascii="Times New Roman" w:hAnsi="Times New Roman" w:cs="Times New Roman"/>
          <w:sz w:val="20"/>
          <w:szCs w:val="20"/>
        </w:rPr>
        <w:t xml:space="preserve"> growth increases suggesting that it inhibits the growth of all tested </w:t>
      </w:r>
      <w:proofErr w:type="spellStart"/>
      <w:r w:rsidRPr="00DA6EB8">
        <w:rPr>
          <w:rFonts w:ascii="Times New Roman" w:hAnsi="Times New Roman" w:cs="Times New Roman"/>
          <w:sz w:val="20"/>
          <w:szCs w:val="20"/>
        </w:rPr>
        <w:t>phytopathogenic</w:t>
      </w:r>
      <w:proofErr w:type="spellEnd"/>
      <w:r w:rsidRPr="00DA6EB8">
        <w:rPr>
          <w:rFonts w:ascii="Times New Roman" w:hAnsi="Times New Roman" w:cs="Times New Roman"/>
          <w:sz w:val="20"/>
          <w:szCs w:val="20"/>
        </w:rPr>
        <w:t xml:space="preserve"> fungi in a dose dependent manner. The prepared formulation demonstrated strong </w:t>
      </w:r>
      <w:proofErr w:type="spellStart"/>
      <w:r w:rsidRPr="00DA6EB8">
        <w:rPr>
          <w:rFonts w:ascii="Times New Roman" w:hAnsi="Times New Roman" w:cs="Times New Roman"/>
          <w:sz w:val="20"/>
          <w:szCs w:val="20"/>
        </w:rPr>
        <w:t>mycelial</w:t>
      </w:r>
      <w:proofErr w:type="spellEnd"/>
      <w:r w:rsidRPr="00DA6EB8">
        <w:rPr>
          <w:rFonts w:ascii="Times New Roman" w:hAnsi="Times New Roman" w:cs="Times New Roman"/>
          <w:sz w:val="20"/>
          <w:szCs w:val="20"/>
        </w:rPr>
        <w:t xml:space="preserve"> growth inhibition in all tested </w:t>
      </w:r>
      <w:proofErr w:type="spellStart"/>
      <w:r w:rsidRPr="00DA6EB8">
        <w:rPr>
          <w:rFonts w:ascii="Times New Roman" w:hAnsi="Times New Roman" w:cs="Times New Roman"/>
          <w:sz w:val="20"/>
          <w:szCs w:val="20"/>
        </w:rPr>
        <w:t>phytopathogenic</w:t>
      </w:r>
      <w:proofErr w:type="spellEnd"/>
      <w:r w:rsidRPr="00DA6EB8">
        <w:rPr>
          <w:rFonts w:ascii="Times New Roman" w:hAnsi="Times New Roman" w:cs="Times New Roman"/>
          <w:sz w:val="20"/>
          <w:szCs w:val="20"/>
        </w:rPr>
        <w:t xml:space="preserve"> fungi; the </w:t>
      </w:r>
      <w:r w:rsidRPr="00DA6EB8">
        <w:rPr>
          <w:rFonts w:ascii="Times New Roman" w:hAnsi="Times New Roman" w:cs="Times New Roman"/>
          <w:sz w:val="20"/>
          <w:szCs w:val="20"/>
        </w:rPr>
        <w:lastRenderedPageBreak/>
        <w:t>prepared formulation more effective than the corresponding active material regarding the value of LC</w:t>
      </w:r>
      <w:r w:rsidRPr="00DA6EB8">
        <w:rPr>
          <w:rFonts w:ascii="Times New Roman" w:hAnsi="Times New Roman" w:cs="Times New Roman"/>
          <w:sz w:val="20"/>
          <w:szCs w:val="20"/>
          <w:vertAlign w:val="subscript"/>
        </w:rPr>
        <w:t>50</w:t>
      </w:r>
      <w:r w:rsidRPr="00DA6EB8">
        <w:rPr>
          <w:rFonts w:ascii="Times New Roman" w:hAnsi="Times New Roman" w:cs="Times New Roman"/>
          <w:sz w:val="20"/>
          <w:szCs w:val="20"/>
        </w:rPr>
        <w:t xml:space="preserve"> in the case of all examined fungi. The lower the value of LC</w:t>
      </w:r>
      <w:r w:rsidRPr="00DA6EB8">
        <w:rPr>
          <w:rFonts w:ascii="Times New Roman" w:hAnsi="Times New Roman" w:cs="Times New Roman"/>
          <w:sz w:val="20"/>
          <w:szCs w:val="20"/>
          <w:vertAlign w:val="subscript"/>
        </w:rPr>
        <w:t>50</w:t>
      </w:r>
      <w:r w:rsidRPr="00DA6EB8">
        <w:rPr>
          <w:rFonts w:ascii="Times New Roman" w:hAnsi="Times New Roman" w:cs="Times New Roman"/>
          <w:sz w:val="20"/>
          <w:szCs w:val="20"/>
        </w:rPr>
        <w:t xml:space="preserve"> is the higher the efficacy of the tested material in the test under consideration. The LC</w:t>
      </w:r>
      <w:r w:rsidRPr="00DA6EB8">
        <w:rPr>
          <w:rFonts w:ascii="Times New Roman" w:hAnsi="Times New Roman" w:cs="Times New Roman"/>
          <w:sz w:val="20"/>
          <w:szCs w:val="20"/>
          <w:vertAlign w:val="subscript"/>
        </w:rPr>
        <w:t>50</w:t>
      </w:r>
      <w:r w:rsidRPr="00DA6EB8">
        <w:rPr>
          <w:rFonts w:ascii="Times New Roman" w:hAnsi="Times New Roman" w:cs="Times New Roman"/>
          <w:sz w:val="20"/>
          <w:szCs w:val="20"/>
        </w:rPr>
        <w:t xml:space="preserve"> values of </w:t>
      </w:r>
      <w:r w:rsidRPr="00DA6EB8">
        <w:rPr>
          <w:rFonts w:ascii="Times New Roman" w:hAnsi="Times New Roman" w:cs="Times New Roman"/>
          <w:i/>
          <w:iCs/>
          <w:sz w:val="20"/>
          <w:szCs w:val="20"/>
        </w:rPr>
        <w:t>trans-</w:t>
      </w:r>
      <w:r w:rsidRPr="00DA6EB8">
        <w:rPr>
          <w:rFonts w:ascii="Times New Roman" w:hAnsi="Times New Roman" w:cs="Times New Roman"/>
          <w:sz w:val="20"/>
          <w:szCs w:val="20"/>
        </w:rPr>
        <w:t xml:space="preserve">methyl </w:t>
      </w:r>
      <w:proofErr w:type="spellStart"/>
      <w:r w:rsidRPr="00DA6EB8">
        <w:rPr>
          <w:rFonts w:ascii="Times New Roman" w:hAnsi="Times New Roman" w:cs="Times New Roman"/>
          <w:sz w:val="20"/>
          <w:szCs w:val="20"/>
        </w:rPr>
        <w:t>cinnamate</w:t>
      </w:r>
      <w:proofErr w:type="spellEnd"/>
      <w:r w:rsidRPr="00DA6EB8">
        <w:rPr>
          <w:rFonts w:ascii="Times New Roman" w:hAnsi="Times New Roman" w:cs="Times New Roman"/>
          <w:sz w:val="20"/>
          <w:szCs w:val="20"/>
        </w:rPr>
        <w:t xml:space="preserve"> on the tested </w:t>
      </w:r>
      <w:proofErr w:type="spellStart"/>
      <w:r w:rsidRPr="00DA6EB8">
        <w:rPr>
          <w:rFonts w:ascii="Times New Roman" w:hAnsi="Times New Roman" w:cs="Times New Roman"/>
          <w:sz w:val="20"/>
          <w:szCs w:val="20"/>
        </w:rPr>
        <w:t>phytopathogenic</w:t>
      </w:r>
      <w:proofErr w:type="spellEnd"/>
      <w:r w:rsidRPr="00DA6EB8">
        <w:rPr>
          <w:rFonts w:ascii="Times New Roman" w:hAnsi="Times New Roman" w:cs="Times New Roman"/>
          <w:sz w:val="20"/>
          <w:szCs w:val="20"/>
        </w:rPr>
        <w:t xml:space="preserve"> fungi </w:t>
      </w:r>
      <w:r w:rsidRPr="00DA6EB8">
        <w:rPr>
          <w:rFonts w:ascii="Times New Roman" w:hAnsi="Times New Roman" w:cs="Times New Roman"/>
          <w:i/>
          <w:iCs/>
          <w:sz w:val="20"/>
          <w:szCs w:val="20"/>
        </w:rPr>
        <w:t xml:space="preserve">S. </w:t>
      </w:r>
      <w:proofErr w:type="spellStart"/>
      <w:r w:rsidRPr="00DA6EB8">
        <w:rPr>
          <w:rFonts w:ascii="Times New Roman" w:hAnsi="Times New Roman" w:cs="Times New Roman"/>
          <w:i/>
          <w:iCs/>
          <w:sz w:val="20"/>
          <w:szCs w:val="20"/>
        </w:rPr>
        <w:t>rolfsii</w:t>
      </w:r>
      <w:proofErr w:type="spellEnd"/>
      <w:r w:rsidRPr="00DA6EB8">
        <w:rPr>
          <w:rFonts w:ascii="Times New Roman" w:hAnsi="Times New Roman" w:cs="Times New Roman"/>
          <w:sz w:val="20"/>
          <w:szCs w:val="20"/>
        </w:rPr>
        <w:t xml:space="preserve">, </w:t>
      </w:r>
      <w:r w:rsidRPr="00DA6EB8">
        <w:rPr>
          <w:rFonts w:ascii="Times New Roman" w:hAnsi="Times New Roman" w:cs="Times New Roman"/>
          <w:i/>
          <w:iCs/>
          <w:sz w:val="20"/>
          <w:szCs w:val="20"/>
        </w:rPr>
        <w:t xml:space="preserve">R. </w:t>
      </w:r>
      <w:proofErr w:type="spellStart"/>
      <w:r w:rsidRPr="00DA6EB8">
        <w:rPr>
          <w:rFonts w:ascii="Times New Roman" w:hAnsi="Times New Roman" w:cs="Times New Roman"/>
          <w:i/>
          <w:iCs/>
          <w:sz w:val="20"/>
          <w:szCs w:val="20"/>
        </w:rPr>
        <w:t>solani</w:t>
      </w:r>
      <w:proofErr w:type="spellEnd"/>
      <w:r w:rsidRPr="00DA6EB8">
        <w:rPr>
          <w:rFonts w:ascii="Times New Roman" w:hAnsi="Times New Roman" w:cs="Times New Roman"/>
          <w:i/>
          <w:iCs/>
          <w:sz w:val="20"/>
          <w:szCs w:val="20"/>
        </w:rPr>
        <w:t xml:space="preserve">, A. </w:t>
      </w:r>
      <w:proofErr w:type="spellStart"/>
      <w:r w:rsidRPr="00DA6EB8">
        <w:rPr>
          <w:rFonts w:ascii="Times New Roman" w:hAnsi="Times New Roman" w:cs="Times New Roman"/>
          <w:i/>
          <w:iCs/>
          <w:sz w:val="20"/>
          <w:szCs w:val="20"/>
        </w:rPr>
        <w:t>solani</w:t>
      </w:r>
      <w:proofErr w:type="spellEnd"/>
      <w:r w:rsidRPr="00DA6EB8">
        <w:rPr>
          <w:rFonts w:ascii="Times New Roman" w:hAnsi="Times New Roman" w:cs="Times New Roman"/>
          <w:sz w:val="20"/>
          <w:szCs w:val="20"/>
        </w:rPr>
        <w:t xml:space="preserve"> and </w:t>
      </w:r>
      <w:r w:rsidRPr="00DA6EB8">
        <w:rPr>
          <w:rFonts w:ascii="Times New Roman" w:hAnsi="Times New Roman" w:cs="Times New Roman"/>
          <w:i/>
          <w:iCs/>
          <w:sz w:val="20"/>
          <w:szCs w:val="20"/>
        </w:rPr>
        <w:t xml:space="preserve">F. </w:t>
      </w:r>
      <w:proofErr w:type="spellStart"/>
      <w:r w:rsidRPr="00DA6EB8">
        <w:rPr>
          <w:rFonts w:ascii="Times New Roman" w:hAnsi="Times New Roman" w:cs="Times New Roman"/>
          <w:i/>
          <w:iCs/>
          <w:sz w:val="20"/>
          <w:szCs w:val="20"/>
        </w:rPr>
        <w:t>solani</w:t>
      </w:r>
      <w:proofErr w:type="spellEnd"/>
      <w:r w:rsidRPr="00DA6EB8">
        <w:rPr>
          <w:rFonts w:ascii="Times New Roman" w:hAnsi="Times New Roman" w:cs="Times New Roman"/>
          <w:i/>
          <w:iCs/>
          <w:sz w:val="20"/>
          <w:szCs w:val="20"/>
        </w:rPr>
        <w:t xml:space="preserve"> </w:t>
      </w:r>
      <w:r w:rsidRPr="00DA6EB8">
        <w:rPr>
          <w:rFonts w:ascii="Times New Roman" w:hAnsi="Times New Roman" w:cs="Times New Roman"/>
          <w:sz w:val="20"/>
          <w:szCs w:val="20"/>
        </w:rPr>
        <w:t>were 115.56, 69.07, 165.21 and 422.77, respectively. Whereas, the LC</w:t>
      </w:r>
      <w:r w:rsidRPr="00DA6EB8">
        <w:rPr>
          <w:rFonts w:ascii="Times New Roman" w:hAnsi="Times New Roman" w:cs="Times New Roman"/>
          <w:sz w:val="20"/>
          <w:szCs w:val="20"/>
          <w:vertAlign w:val="subscript"/>
        </w:rPr>
        <w:t xml:space="preserve">50 </w:t>
      </w:r>
      <w:r w:rsidRPr="00DA6EB8">
        <w:rPr>
          <w:rFonts w:ascii="Times New Roman" w:hAnsi="Times New Roman" w:cs="Times New Roman"/>
          <w:sz w:val="20"/>
          <w:szCs w:val="20"/>
        </w:rPr>
        <w:t xml:space="preserve">values of prepared </w:t>
      </w:r>
      <w:r w:rsidRPr="00DA6EB8">
        <w:rPr>
          <w:rFonts w:ascii="Times New Roman" w:hAnsi="Times New Roman" w:cs="Times New Roman"/>
          <w:i/>
          <w:iCs/>
          <w:sz w:val="20"/>
          <w:szCs w:val="20"/>
        </w:rPr>
        <w:t>trans-</w:t>
      </w:r>
      <w:r w:rsidRPr="00DA6EB8">
        <w:rPr>
          <w:rFonts w:ascii="Times New Roman" w:hAnsi="Times New Roman" w:cs="Times New Roman"/>
          <w:sz w:val="20"/>
          <w:szCs w:val="20"/>
        </w:rPr>
        <w:t xml:space="preserve">methyl </w:t>
      </w:r>
      <w:proofErr w:type="spellStart"/>
      <w:r w:rsidRPr="00DA6EB8">
        <w:rPr>
          <w:rFonts w:ascii="Times New Roman" w:hAnsi="Times New Roman" w:cs="Times New Roman"/>
          <w:sz w:val="20"/>
          <w:szCs w:val="20"/>
        </w:rPr>
        <w:t>cinnamate</w:t>
      </w:r>
      <w:proofErr w:type="spellEnd"/>
      <w:r w:rsidRPr="00DA6EB8">
        <w:rPr>
          <w:rFonts w:ascii="Times New Roman" w:hAnsi="Times New Roman" w:cs="Times New Roman"/>
          <w:sz w:val="20"/>
          <w:szCs w:val="20"/>
        </w:rPr>
        <w:t xml:space="preserve"> 10% </w:t>
      </w:r>
      <w:proofErr w:type="spellStart"/>
      <w:r w:rsidRPr="00DA6EB8">
        <w:rPr>
          <w:rFonts w:ascii="Times New Roman" w:hAnsi="Times New Roman" w:cs="Times New Roman"/>
          <w:sz w:val="20"/>
          <w:szCs w:val="20"/>
        </w:rPr>
        <w:t>microemulsion</w:t>
      </w:r>
      <w:proofErr w:type="spellEnd"/>
      <w:r w:rsidRPr="00DA6EB8">
        <w:rPr>
          <w:rFonts w:ascii="Times New Roman" w:hAnsi="Times New Roman" w:cs="Times New Roman"/>
          <w:sz w:val="20"/>
          <w:szCs w:val="20"/>
        </w:rPr>
        <w:t xml:space="preserve"> formulation on the tested </w:t>
      </w:r>
      <w:proofErr w:type="spellStart"/>
      <w:r w:rsidRPr="00DA6EB8">
        <w:rPr>
          <w:rFonts w:ascii="Times New Roman" w:hAnsi="Times New Roman" w:cs="Times New Roman"/>
          <w:sz w:val="20"/>
          <w:szCs w:val="20"/>
        </w:rPr>
        <w:t>phytopathogenic</w:t>
      </w:r>
      <w:proofErr w:type="spellEnd"/>
      <w:r w:rsidRPr="00DA6EB8">
        <w:rPr>
          <w:rFonts w:ascii="Times New Roman" w:hAnsi="Times New Roman" w:cs="Times New Roman"/>
          <w:sz w:val="20"/>
          <w:szCs w:val="20"/>
        </w:rPr>
        <w:t xml:space="preserve"> fungi were 58.62, 60.86, 50.56 and 209.30 </w:t>
      </w:r>
      <w:proofErr w:type="spellStart"/>
      <w:r w:rsidRPr="00DA6EB8">
        <w:rPr>
          <w:rFonts w:ascii="Times New Roman" w:hAnsi="Times New Roman" w:cs="Times New Roman"/>
          <w:sz w:val="20"/>
          <w:szCs w:val="20"/>
        </w:rPr>
        <w:t>ppm</w:t>
      </w:r>
      <w:proofErr w:type="spellEnd"/>
      <w:r w:rsidRPr="00DA6EB8">
        <w:rPr>
          <w:rFonts w:ascii="Times New Roman" w:hAnsi="Times New Roman" w:cs="Times New Roman"/>
          <w:sz w:val="20"/>
          <w:szCs w:val="20"/>
        </w:rPr>
        <w:t>, respectively.</w:t>
      </w:r>
    </w:p>
    <w:p w:rsidR="00996A7A" w:rsidRPr="00DA6EB8" w:rsidRDefault="00996A7A" w:rsidP="00BD6349">
      <w:pPr>
        <w:snapToGrid w:val="0"/>
        <w:spacing w:after="0" w:line="240" w:lineRule="auto"/>
        <w:ind w:firstLine="425"/>
        <w:jc w:val="both"/>
        <w:rPr>
          <w:rFonts w:ascii="Times New Roman" w:hAnsi="Times New Roman" w:cs="Times New Roman"/>
          <w:sz w:val="20"/>
          <w:szCs w:val="20"/>
          <w:lang w:bidi="ar-EG"/>
        </w:rPr>
      </w:pPr>
      <w:r w:rsidRPr="00DA6EB8">
        <w:rPr>
          <w:rFonts w:ascii="Times New Roman" w:hAnsi="Times New Roman" w:cs="Times New Roman"/>
          <w:sz w:val="20"/>
          <w:szCs w:val="20"/>
          <w:lang w:bidi="ar-EG"/>
        </w:rPr>
        <w:t>The toxicity ind</w:t>
      </w:r>
      <w:r w:rsidR="006D67FC" w:rsidRPr="00DA6EB8">
        <w:rPr>
          <w:rFonts w:ascii="Times New Roman" w:hAnsi="Times New Roman" w:cs="Times New Roman"/>
          <w:sz w:val="20"/>
          <w:szCs w:val="20"/>
          <w:lang w:bidi="ar-EG"/>
        </w:rPr>
        <w:t>ice</w:t>
      </w:r>
      <w:r w:rsidRPr="00DA6EB8">
        <w:rPr>
          <w:rFonts w:ascii="Times New Roman" w:hAnsi="Times New Roman" w:cs="Times New Roman"/>
          <w:sz w:val="20"/>
          <w:szCs w:val="20"/>
          <w:lang w:bidi="ar-EG"/>
        </w:rPr>
        <w:t xml:space="preserve">s were 50.72, 88.12, 30.6 and 49.51% for </w:t>
      </w:r>
      <w:r w:rsidRPr="00DA6EB8">
        <w:rPr>
          <w:rFonts w:ascii="Times New Roman" w:hAnsi="Times New Roman" w:cs="Times New Roman"/>
          <w:i/>
          <w:iCs/>
          <w:sz w:val="20"/>
          <w:szCs w:val="20"/>
          <w:lang w:bidi="ar-EG"/>
        </w:rPr>
        <w:t>trans-</w:t>
      </w:r>
      <w:r w:rsidRPr="00DA6EB8">
        <w:rPr>
          <w:rFonts w:ascii="Times New Roman" w:hAnsi="Times New Roman" w:cs="Times New Roman"/>
          <w:sz w:val="20"/>
          <w:szCs w:val="20"/>
          <w:lang w:bidi="ar-EG"/>
        </w:rPr>
        <w:t xml:space="preserve">methyl </w:t>
      </w:r>
      <w:proofErr w:type="spellStart"/>
      <w:r w:rsidRPr="00DA6EB8">
        <w:rPr>
          <w:rFonts w:ascii="Times New Roman" w:hAnsi="Times New Roman" w:cs="Times New Roman"/>
          <w:sz w:val="20"/>
          <w:szCs w:val="20"/>
          <w:lang w:bidi="ar-EG"/>
        </w:rPr>
        <w:t>cinnamate</w:t>
      </w:r>
      <w:proofErr w:type="spellEnd"/>
      <w:r w:rsidRPr="00DA6EB8">
        <w:rPr>
          <w:rFonts w:ascii="Times New Roman" w:hAnsi="Times New Roman" w:cs="Times New Roman"/>
          <w:sz w:val="20"/>
          <w:szCs w:val="20"/>
          <w:lang w:bidi="ar-EG"/>
        </w:rPr>
        <w:t xml:space="preserve"> 99% against </w:t>
      </w:r>
      <w:r w:rsidRPr="00DA6EB8">
        <w:rPr>
          <w:rFonts w:ascii="Times New Roman" w:hAnsi="Times New Roman" w:cs="Times New Roman"/>
          <w:i/>
          <w:iCs/>
          <w:sz w:val="20"/>
          <w:szCs w:val="20"/>
        </w:rPr>
        <w:t xml:space="preserve">S. </w:t>
      </w:r>
      <w:proofErr w:type="spellStart"/>
      <w:r w:rsidRPr="00DA6EB8">
        <w:rPr>
          <w:rFonts w:ascii="Times New Roman" w:hAnsi="Times New Roman" w:cs="Times New Roman"/>
          <w:i/>
          <w:iCs/>
          <w:sz w:val="20"/>
          <w:szCs w:val="20"/>
        </w:rPr>
        <w:t>rolfsii</w:t>
      </w:r>
      <w:proofErr w:type="spellEnd"/>
      <w:r w:rsidRPr="00DA6EB8">
        <w:rPr>
          <w:rFonts w:ascii="Times New Roman" w:hAnsi="Times New Roman" w:cs="Times New Roman"/>
          <w:sz w:val="20"/>
          <w:szCs w:val="20"/>
        </w:rPr>
        <w:t xml:space="preserve">, </w:t>
      </w:r>
      <w:r w:rsidRPr="00DA6EB8">
        <w:rPr>
          <w:rFonts w:ascii="Times New Roman" w:hAnsi="Times New Roman" w:cs="Times New Roman"/>
          <w:i/>
          <w:iCs/>
          <w:sz w:val="20"/>
          <w:szCs w:val="20"/>
        </w:rPr>
        <w:t xml:space="preserve">R. </w:t>
      </w:r>
      <w:proofErr w:type="spellStart"/>
      <w:r w:rsidRPr="00DA6EB8">
        <w:rPr>
          <w:rFonts w:ascii="Times New Roman" w:hAnsi="Times New Roman" w:cs="Times New Roman"/>
          <w:i/>
          <w:iCs/>
          <w:sz w:val="20"/>
          <w:szCs w:val="20"/>
        </w:rPr>
        <w:t>solani</w:t>
      </w:r>
      <w:proofErr w:type="spellEnd"/>
      <w:r w:rsidRPr="00DA6EB8">
        <w:rPr>
          <w:rFonts w:ascii="Times New Roman" w:hAnsi="Times New Roman" w:cs="Times New Roman"/>
          <w:i/>
          <w:iCs/>
          <w:sz w:val="20"/>
          <w:szCs w:val="20"/>
        </w:rPr>
        <w:t xml:space="preserve">, A. </w:t>
      </w:r>
      <w:proofErr w:type="spellStart"/>
      <w:r w:rsidRPr="00DA6EB8">
        <w:rPr>
          <w:rFonts w:ascii="Times New Roman" w:hAnsi="Times New Roman" w:cs="Times New Roman"/>
          <w:i/>
          <w:iCs/>
          <w:sz w:val="20"/>
          <w:szCs w:val="20"/>
        </w:rPr>
        <w:t>solani</w:t>
      </w:r>
      <w:proofErr w:type="spellEnd"/>
      <w:r w:rsidRPr="00DA6EB8">
        <w:rPr>
          <w:rFonts w:ascii="Times New Roman" w:hAnsi="Times New Roman" w:cs="Times New Roman"/>
          <w:sz w:val="20"/>
          <w:szCs w:val="20"/>
        </w:rPr>
        <w:t xml:space="preserve"> and </w:t>
      </w:r>
      <w:r w:rsidRPr="00DA6EB8">
        <w:rPr>
          <w:rFonts w:ascii="Times New Roman" w:hAnsi="Times New Roman" w:cs="Times New Roman"/>
          <w:i/>
          <w:iCs/>
          <w:sz w:val="20"/>
          <w:szCs w:val="20"/>
        </w:rPr>
        <w:t xml:space="preserve">F. </w:t>
      </w:r>
      <w:proofErr w:type="spellStart"/>
      <w:r w:rsidRPr="00DA6EB8">
        <w:rPr>
          <w:rFonts w:ascii="Times New Roman" w:hAnsi="Times New Roman" w:cs="Times New Roman"/>
          <w:i/>
          <w:iCs/>
          <w:sz w:val="20"/>
          <w:szCs w:val="20"/>
        </w:rPr>
        <w:t>solani</w:t>
      </w:r>
      <w:proofErr w:type="spellEnd"/>
      <w:r w:rsidRPr="00DA6EB8">
        <w:rPr>
          <w:rFonts w:ascii="Times New Roman" w:hAnsi="Times New Roman" w:cs="Times New Roman"/>
          <w:sz w:val="20"/>
          <w:szCs w:val="20"/>
          <w:lang w:bidi="ar-EG"/>
        </w:rPr>
        <w:t xml:space="preserve">, respectively when compared with for </w:t>
      </w:r>
      <w:r w:rsidRPr="00DA6EB8">
        <w:rPr>
          <w:rFonts w:ascii="Times New Roman" w:hAnsi="Times New Roman" w:cs="Times New Roman"/>
          <w:i/>
          <w:iCs/>
          <w:sz w:val="20"/>
          <w:szCs w:val="20"/>
          <w:lang w:bidi="ar-EG"/>
        </w:rPr>
        <w:t>trans-</w:t>
      </w:r>
      <w:r w:rsidRPr="00DA6EB8">
        <w:rPr>
          <w:rFonts w:ascii="Times New Roman" w:hAnsi="Times New Roman" w:cs="Times New Roman"/>
          <w:sz w:val="20"/>
          <w:szCs w:val="20"/>
          <w:lang w:bidi="ar-EG"/>
        </w:rPr>
        <w:t xml:space="preserve">methyl </w:t>
      </w:r>
      <w:proofErr w:type="spellStart"/>
      <w:r w:rsidRPr="00DA6EB8">
        <w:rPr>
          <w:rFonts w:ascii="Times New Roman" w:hAnsi="Times New Roman" w:cs="Times New Roman"/>
          <w:sz w:val="20"/>
          <w:szCs w:val="20"/>
          <w:lang w:bidi="ar-EG"/>
        </w:rPr>
        <w:t>cinnamate</w:t>
      </w:r>
      <w:proofErr w:type="spellEnd"/>
      <w:r w:rsidRPr="00DA6EB8">
        <w:rPr>
          <w:rFonts w:ascii="Times New Roman" w:hAnsi="Times New Roman" w:cs="Times New Roman"/>
          <w:sz w:val="20"/>
          <w:szCs w:val="20"/>
          <w:lang w:bidi="ar-EG"/>
        </w:rPr>
        <w:t xml:space="preserve"> 10% </w:t>
      </w:r>
      <w:proofErr w:type="spellStart"/>
      <w:r w:rsidRPr="00DA6EB8">
        <w:rPr>
          <w:rFonts w:ascii="Times New Roman" w:hAnsi="Times New Roman" w:cs="Times New Roman"/>
          <w:sz w:val="20"/>
          <w:szCs w:val="20"/>
          <w:lang w:bidi="ar-EG"/>
        </w:rPr>
        <w:t>microemulsion</w:t>
      </w:r>
      <w:proofErr w:type="spellEnd"/>
      <w:r w:rsidRPr="00DA6EB8">
        <w:rPr>
          <w:rFonts w:ascii="Times New Roman" w:hAnsi="Times New Roman" w:cs="Times New Roman"/>
          <w:sz w:val="20"/>
          <w:szCs w:val="20"/>
          <w:lang w:bidi="ar-EG"/>
        </w:rPr>
        <w:t>, which had the 100% toxicity index.</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 xml:space="preserve">While the relative potencies of </w:t>
      </w:r>
      <w:r w:rsidRPr="00DA6EB8">
        <w:rPr>
          <w:rFonts w:ascii="Times New Roman" w:hAnsi="Times New Roman" w:cs="Times New Roman"/>
          <w:i/>
          <w:iCs/>
          <w:sz w:val="20"/>
          <w:szCs w:val="20"/>
          <w:lang w:bidi="ar-EG"/>
        </w:rPr>
        <w:t>trans-</w:t>
      </w:r>
      <w:r w:rsidRPr="00DA6EB8">
        <w:rPr>
          <w:rFonts w:ascii="Times New Roman" w:hAnsi="Times New Roman" w:cs="Times New Roman"/>
          <w:sz w:val="20"/>
          <w:szCs w:val="20"/>
          <w:lang w:bidi="ar-EG"/>
        </w:rPr>
        <w:t xml:space="preserve">methyl </w:t>
      </w:r>
      <w:proofErr w:type="spellStart"/>
      <w:r w:rsidRPr="00DA6EB8">
        <w:rPr>
          <w:rFonts w:ascii="Times New Roman" w:hAnsi="Times New Roman" w:cs="Times New Roman"/>
          <w:sz w:val="20"/>
          <w:szCs w:val="20"/>
          <w:lang w:bidi="ar-EG"/>
        </w:rPr>
        <w:t>cinnamate</w:t>
      </w:r>
      <w:proofErr w:type="spellEnd"/>
      <w:r w:rsidRPr="00DA6EB8">
        <w:rPr>
          <w:rFonts w:ascii="Times New Roman" w:hAnsi="Times New Roman" w:cs="Times New Roman"/>
          <w:sz w:val="20"/>
          <w:szCs w:val="20"/>
          <w:lang w:bidi="ar-EG"/>
        </w:rPr>
        <w:t xml:space="preserve"> 10% </w:t>
      </w:r>
      <w:proofErr w:type="spellStart"/>
      <w:r w:rsidRPr="00DA6EB8">
        <w:rPr>
          <w:rFonts w:ascii="Times New Roman" w:hAnsi="Times New Roman" w:cs="Times New Roman"/>
          <w:sz w:val="20"/>
          <w:szCs w:val="20"/>
          <w:lang w:bidi="ar-EG"/>
        </w:rPr>
        <w:t>microemulsion</w:t>
      </w:r>
      <w:proofErr w:type="spellEnd"/>
      <w:r w:rsidRPr="00DA6EB8">
        <w:rPr>
          <w:rFonts w:ascii="Times New Roman" w:hAnsi="Times New Roman" w:cs="Times New Roman"/>
          <w:sz w:val="20"/>
          <w:szCs w:val="20"/>
          <w:lang w:bidi="ar-EG"/>
        </w:rPr>
        <w:t xml:space="preserve"> on </w:t>
      </w:r>
      <w:r w:rsidRPr="00DA6EB8">
        <w:rPr>
          <w:rFonts w:ascii="Times New Roman" w:hAnsi="Times New Roman" w:cs="Times New Roman"/>
          <w:i/>
          <w:iCs/>
          <w:sz w:val="20"/>
          <w:szCs w:val="20"/>
        </w:rPr>
        <w:t xml:space="preserve">S. </w:t>
      </w:r>
      <w:proofErr w:type="spellStart"/>
      <w:r w:rsidRPr="00DA6EB8">
        <w:rPr>
          <w:rFonts w:ascii="Times New Roman" w:hAnsi="Times New Roman" w:cs="Times New Roman"/>
          <w:i/>
          <w:iCs/>
          <w:sz w:val="20"/>
          <w:szCs w:val="20"/>
        </w:rPr>
        <w:t>rolfsii</w:t>
      </w:r>
      <w:proofErr w:type="spellEnd"/>
      <w:r w:rsidRPr="00DA6EB8">
        <w:rPr>
          <w:rFonts w:ascii="Times New Roman" w:hAnsi="Times New Roman" w:cs="Times New Roman"/>
          <w:sz w:val="20"/>
          <w:szCs w:val="20"/>
        </w:rPr>
        <w:t xml:space="preserve">, </w:t>
      </w:r>
      <w:r w:rsidRPr="00DA6EB8">
        <w:rPr>
          <w:rFonts w:ascii="Times New Roman" w:hAnsi="Times New Roman" w:cs="Times New Roman"/>
          <w:i/>
          <w:iCs/>
          <w:sz w:val="20"/>
          <w:szCs w:val="20"/>
        </w:rPr>
        <w:t xml:space="preserve">R. </w:t>
      </w:r>
      <w:proofErr w:type="spellStart"/>
      <w:r w:rsidRPr="00DA6EB8">
        <w:rPr>
          <w:rFonts w:ascii="Times New Roman" w:hAnsi="Times New Roman" w:cs="Times New Roman"/>
          <w:i/>
          <w:iCs/>
          <w:sz w:val="20"/>
          <w:szCs w:val="20"/>
        </w:rPr>
        <w:t>solani</w:t>
      </w:r>
      <w:proofErr w:type="spellEnd"/>
      <w:r w:rsidRPr="00DA6EB8">
        <w:rPr>
          <w:rFonts w:ascii="Times New Roman" w:hAnsi="Times New Roman" w:cs="Times New Roman"/>
          <w:i/>
          <w:iCs/>
          <w:sz w:val="20"/>
          <w:szCs w:val="20"/>
        </w:rPr>
        <w:t xml:space="preserve">, A. </w:t>
      </w:r>
      <w:proofErr w:type="spellStart"/>
      <w:r w:rsidRPr="00DA6EB8">
        <w:rPr>
          <w:rFonts w:ascii="Times New Roman" w:hAnsi="Times New Roman" w:cs="Times New Roman"/>
          <w:i/>
          <w:iCs/>
          <w:sz w:val="20"/>
          <w:szCs w:val="20"/>
        </w:rPr>
        <w:t>solani</w:t>
      </w:r>
      <w:proofErr w:type="spellEnd"/>
      <w:r w:rsidRPr="00DA6EB8">
        <w:rPr>
          <w:rFonts w:ascii="Times New Roman" w:hAnsi="Times New Roman" w:cs="Times New Roman"/>
          <w:sz w:val="20"/>
          <w:szCs w:val="20"/>
        </w:rPr>
        <w:t xml:space="preserve"> and </w:t>
      </w:r>
      <w:r w:rsidRPr="00DA6EB8">
        <w:rPr>
          <w:rFonts w:ascii="Times New Roman" w:hAnsi="Times New Roman" w:cs="Times New Roman"/>
          <w:i/>
          <w:iCs/>
          <w:sz w:val="20"/>
          <w:szCs w:val="20"/>
        </w:rPr>
        <w:t xml:space="preserve">F. </w:t>
      </w:r>
      <w:proofErr w:type="spellStart"/>
      <w:r w:rsidRPr="00DA6EB8">
        <w:rPr>
          <w:rFonts w:ascii="Times New Roman" w:hAnsi="Times New Roman" w:cs="Times New Roman"/>
          <w:i/>
          <w:iCs/>
          <w:sz w:val="20"/>
          <w:szCs w:val="20"/>
        </w:rPr>
        <w:t>solani</w:t>
      </w:r>
      <w:proofErr w:type="spellEnd"/>
      <w:r w:rsidRPr="00DA6EB8">
        <w:rPr>
          <w:rFonts w:ascii="Times New Roman" w:hAnsi="Times New Roman" w:cs="Times New Roman"/>
          <w:sz w:val="20"/>
          <w:szCs w:val="20"/>
          <w:lang w:bidi="ar-EG"/>
        </w:rPr>
        <w:t xml:space="preserve">, were 1.97, 1.14, 3.27 and 1.58 folds, respectively than </w:t>
      </w:r>
      <w:r w:rsidRPr="00DA6EB8">
        <w:rPr>
          <w:rFonts w:ascii="Times New Roman" w:hAnsi="Times New Roman" w:cs="Times New Roman"/>
          <w:i/>
          <w:iCs/>
          <w:sz w:val="20"/>
          <w:szCs w:val="20"/>
          <w:lang w:bidi="ar-EG"/>
        </w:rPr>
        <w:t>trans-</w:t>
      </w:r>
      <w:r w:rsidRPr="00DA6EB8">
        <w:rPr>
          <w:rFonts w:ascii="Times New Roman" w:hAnsi="Times New Roman" w:cs="Times New Roman"/>
          <w:sz w:val="20"/>
          <w:szCs w:val="20"/>
          <w:lang w:bidi="ar-EG"/>
        </w:rPr>
        <w:t xml:space="preserve">methyl </w:t>
      </w:r>
      <w:proofErr w:type="spellStart"/>
      <w:r w:rsidRPr="00DA6EB8">
        <w:rPr>
          <w:rFonts w:ascii="Times New Roman" w:hAnsi="Times New Roman" w:cs="Times New Roman"/>
          <w:sz w:val="20"/>
          <w:szCs w:val="20"/>
          <w:lang w:bidi="ar-EG"/>
        </w:rPr>
        <w:t>cinnamate</w:t>
      </w:r>
      <w:proofErr w:type="spellEnd"/>
      <w:r w:rsidRPr="00DA6EB8">
        <w:rPr>
          <w:rFonts w:ascii="Times New Roman" w:hAnsi="Times New Roman" w:cs="Times New Roman"/>
          <w:sz w:val="20"/>
          <w:szCs w:val="20"/>
          <w:lang w:bidi="ar-EG"/>
        </w:rPr>
        <w:t xml:space="preserve"> 99%.</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The Ldp-lines of the</w:t>
      </w:r>
      <w:r w:rsidR="00703966" w:rsidRPr="00DA6EB8">
        <w:rPr>
          <w:rFonts w:ascii="Times New Roman" w:hAnsi="Times New Roman" w:cs="Times New Roman"/>
          <w:sz w:val="20"/>
          <w:szCs w:val="20"/>
          <w:lang w:bidi="ar-EG"/>
        </w:rPr>
        <w:t xml:space="preserve"> </w:t>
      </w:r>
      <w:r w:rsidR="00C635D5" w:rsidRPr="00DA6EB8">
        <w:rPr>
          <w:rFonts w:ascii="Times New Roman" w:hAnsi="Times New Roman" w:cs="Times New Roman"/>
          <w:i/>
          <w:iCs/>
          <w:sz w:val="20"/>
          <w:szCs w:val="20"/>
          <w:lang w:bidi="ar-EG"/>
        </w:rPr>
        <w:t>trans-</w:t>
      </w:r>
      <w:r w:rsidR="00C635D5" w:rsidRPr="00DA6EB8">
        <w:rPr>
          <w:rFonts w:ascii="Times New Roman" w:hAnsi="Times New Roman" w:cs="Times New Roman"/>
          <w:sz w:val="20"/>
          <w:szCs w:val="20"/>
          <w:lang w:bidi="ar-EG"/>
        </w:rPr>
        <w:t xml:space="preserve">methyl </w:t>
      </w:r>
      <w:proofErr w:type="spellStart"/>
      <w:r w:rsidR="00C635D5" w:rsidRPr="00DA6EB8">
        <w:rPr>
          <w:rFonts w:ascii="Times New Roman" w:hAnsi="Times New Roman" w:cs="Times New Roman"/>
          <w:sz w:val="20"/>
          <w:szCs w:val="20"/>
          <w:lang w:bidi="ar-EG"/>
        </w:rPr>
        <w:t>cinnamate</w:t>
      </w:r>
      <w:proofErr w:type="spellEnd"/>
      <w:r w:rsidR="00C635D5" w:rsidRPr="00DA6EB8">
        <w:rPr>
          <w:rFonts w:ascii="Times New Roman" w:hAnsi="Times New Roman" w:cs="Times New Roman"/>
          <w:sz w:val="20"/>
          <w:szCs w:val="20"/>
          <w:lang w:bidi="ar-EG"/>
        </w:rPr>
        <w:t xml:space="preserve"> 99% and </w:t>
      </w:r>
      <w:r w:rsidR="00C635D5" w:rsidRPr="00DA6EB8">
        <w:rPr>
          <w:rFonts w:ascii="Times New Roman" w:hAnsi="Times New Roman" w:cs="Times New Roman"/>
          <w:i/>
          <w:iCs/>
          <w:sz w:val="20"/>
          <w:szCs w:val="20"/>
          <w:lang w:bidi="ar-EG"/>
        </w:rPr>
        <w:t>trans-</w:t>
      </w:r>
      <w:r w:rsidR="00C635D5" w:rsidRPr="00DA6EB8">
        <w:rPr>
          <w:rFonts w:ascii="Times New Roman" w:hAnsi="Times New Roman" w:cs="Times New Roman"/>
          <w:sz w:val="20"/>
          <w:szCs w:val="20"/>
          <w:lang w:bidi="ar-EG"/>
        </w:rPr>
        <w:t xml:space="preserve">methyl </w:t>
      </w:r>
      <w:proofErr w:type="spellStart"/>
      <w:r w:rsidR="00C635D5" w:rsidRPr="00DA6EB8">
        <w:rPr>
          <w:rFonts w:ascii="Times New Roman" w:hAnsi="Times New Roman" w:cs="Times New Roman"/>
          <w:sz w:val="20"/>
          <w:szCs w:val="20"/>
          <w:lang w:bidi="ar-EG"/>
        </w:rPr>
        <w:t>cinnamate</w:t>
      </w:r>
      <w:proofErr w:type="spellEnd"/>
      <w:r w:rsidR="00C635D5" w:rsidRPr="00DA6EB8">
        <w:rPr>
          <w:rFonts w:ascii="Times New Roman" w:hAnsi="Times New Roman" w:cs="Times New Roman"/>
          <w:sz w:val="20"/>
          <w:szCs w:val="20"/>
          <w:lang w:bidi="ar-EG"/>
        </w:rPr>
        <w:t xml:space="preserve"> 10% </w:t>
      </w:r>
      <w:proofErr w:type="spellStart"/>
      <w:r w:rsidR="00C635D5" w:rsidRPr="00DA6EB8">
        <w:rPr>
          <w:rFonts w:ascii="Times New Roman" w:hAnsi="Times New Roman" w:cs="Times New Roman"/>
          <w:sz w:val="20"/>
          <w:szCs w:val="20"/>
          <w:lang w:bidi="ar-EG"/>
        </w:rPr>
        <w:t>microemulsion</w:t>
      </w:r>
      <w:proofErr w:type="spellEnd"/>
      <w:r w:rsidR="00C635D5" w:rsidRPr="00DA6EB8">
        <w:rPr>
          <w:rFonts w:ascii="Times New Roman" w:hAnsi="Times New Roman" w:cs="Times New Roman"/>
          <w:sz w:val="20"/>
          <w:szCs w:val="20"/>
          <w:lang w:bidi="ar-EG"/>
        </w:rPr>
        <w:t xml:space="preserve"> against </w:t>
      </w:r>
      <w:r w:rsidR="00C635D5" w:rsidRPr="00DA6EB8">
        <w:rPr>
          <w:rFonts w:ascii="Times New Roman" w:hAnsi="Times New Roman" w:cs="Times New Roman"/>
          <w:i/>
          <w:iCs/>
          <w:sz w:val="20"/>
          <w:szCs w:val="20"/>
        </w:rPr>
        <w:t xml:space="preserve">S. </w:t>
      </w:r>
      <w:proofErr w:type="spellStart"/>
      <w:r w:rsidR="00C635D5" w:rsidRPr="00DA6EB8">
        <w:rPr>
          <w:rFonts w:ascii="Times New Roman" w:hAnsi="Times New Roman" w:cs="Times New Roman"/>
          <w:i/>
          <w:iCs/>
          <w:sz w:val="20"/>
          <w:szCs w:val="20"/>
        </w:rPr>
        <w:t>rolfsii</w:t>
      </w:r>
      <w:proofErr w:type="spellEnd"/>
      <w:r w:rsidR="00C635D5" w:rsidRPr="00DA6EB8">
        <w:rPr>
          <w:rFonts w:ascii="Times New Roman" w:hAnsi="Times New Roman" w:cs="Times New Roman"/>
          <w:sz w:val="20"/>
          <w:szCs w:val="20"/>
        </w:rPr>
        <w:t xml:space="preserve">, </w:t>
      </w:r>
      <w:r w:rsidR="00C635D5" w:rsidRPr="00DA6EB8">
        <w:rPr>
          <w:rFonts w:ascii="Times New Roman" w:hAnsi="Times New Roman" w:cs="Times New Roman"/>
          <w:i/>
          <w:iCs/>
          <w:sz w:val="20"/>
          <w:szCs w:val="20"/>
        </w:rPr>
        <w:t xml:space="preserve">R. </w:t>
      </w:r>
      <w:proofErr w:type="spellStart"/>
      <w:r w:rsidR="00C635D5" w:rsidRPr="00DA6EB8">
        <w:rPr>
          <w:rFonts w:ascii="Times New Roman" w:hAnsi="Times New Roman" w:cs="Times New Roman"/>
          <w:i/>
          <w:iCs/>
          <w:sz w:val="20"/>
          <w:szCs w:val="20"/>
        </w:rPr>
        <w:t>solani</w:t>
      </w:r>
      <w:proofErr w:type="spellEnd"/>
      <w:r w:rsidR="00C635D5" w:rsidRPr="00DA6EB8">
        <w:rPr>
          <w:rFonts w:ascii="Times New Roman" w:hAnsi="Times New Roman" w:cs="Times New Roman"/>
          <w:i/>
          <w:iCs/>
          <w:sz w:val="20"/>
          <w:szCs w:val="20"/>
        </w:rPr>
        <w:t xml:space="preserve">, A. </w:t>
      </w:r>
      <w:proofErr w:type="spellStart"/>
      <w:r w:rsidR="00C635D5" w:rsidRPr="00DA6EB8">
        <w:rPr>
          <w:rFonts w:ascii="Times New Roman" w:hAnsi="Times New Roman" w:cs="Times New Roman"/>
          <w:i/>
          <w:iCs/>
          <w:sz w:val="20"/>
          <w:szCs w:val="20"/>
        </w:rPr>
        <w:t>solani</w:t>
      </w:r>
      <w:proofErr w:type="spellEnd"/>
      <w:r w:rsidR="00C635D5" w:rsidRPr="00DA6EB8">
        <w:rPr>
          <w:rFonts w:ascii="Times New Roman" w:hAnsi="Times New Roman" w:cs="Times New Roman"/>
          <w:sz w:val="20"/>
          <w:szCs w:val="20"/>
        </w:rPr>
        <w:t xml:space="preserve"> and </w:t>
      </w:r>
      <w:r w:rsidR="00C635D5" w:rsidRPr="00DA6EB8">
        <w:rPr>
          <w:rFonts w:ascii="Times New Roman" w:hAnsi="Times New Roman" w:cs="Times New Roman"/>
          <w:i/>
          <w:iCs/>
          <w:sz w:val="20"/>
          <w:szCs w:val="20"/>
        </w:rPr>
        <w:t xml:space="preserve">F. </w:t>
      </w:r>
      <w:proofErr w:type="spellStart"/>
      <w:r w:rsidR="00C635D5" w:rsidRPr="00DA6EB8">
        <w:rPr>
          <w:rFonts w:ascii="Times New Roman" w:hAnsi="Times New Roman" w:cs="Times New Roman"/>
          <w:i/>
          <w:iCs/>
          <w:sz w:val="20"/>
          <w:szCs w:val="20"/>
        </w:rPr>
        <w:t>solani</w:t>
      </w:r>
      <w:proofErr w:type="spellEnd"/>
      <w:r w:rsidR="00C635D5"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 xml:space="preserve">plotted in figure </w:t>
      </w:r>
      <w:r w:rsidR="00B93294" w:rsidRPr="00DA6EB8">
        <w:rPr>
          <w:rFonts w:ascii="Times New Roman" w:hAnsi="Times New Roman" w:cs="Times New Roman"/>
          <w:sz w:val="20"/>
          <w:szCs w:val="20"/>
          <w:lang w:bidi="ar-EG"/>
        </w:rPr>
        <w:t>2 and 3, respectively</w:t>
      </w:r>
      <w:r w:rsidRPr="00DA6EB8">
        <w:rPr>
          <w:rFonts w:ascii="Times New Roman" w:hAnsi="Times New Roman" w:cs="Times New Roman"/>
          <w:sz w:val="20"/>
          <w:szCs w:val="20"/>
          <w:lang w:bidi="ar-EG"/>
        </w:rPr>
        <w:t>. The slope of each line calculated separately. The highest slope value</w:t>
      </w:r>
      <w:r w:rsidR="00C635D5" w:rsidRPr="00DA6EB8">
        <w:rPr>
          <w:rFonts w:ascii="Times New Roman" w:hAnsi="Times New Roman" w:cs="Times New Roman"/>
          <w:sz w:val="20"/>
          <w:szCs w:val="20"/>
          <w:lang w:bidi="ar-EG"/>
        </w:rPr>
        <w:t xml:space="preserve">s were that of </w:t>
      </w:r>
      <w:r w:rsidR="00C635D5" w:rsidRPr="00DA6EB8">
        <w:rPr>
          <w:rFonts w:ascii="Times New Roman" w:hAnsi="Times New Roman" w:cs="Times New Roman"/>
          <w:i/>
          <w:iCs/>
          <w:sz w:val="20"/>
          <w:szCs w:val="20"/>
          <w:lang w:bidi="ar-EG"/>
        </w:rPr>
        <w:t>trans-</w:t>
      </w:r>
      <w:r w:rsidR="00C635D5" w:rsidRPr="00DA6EB8">
        <w:rPr>
          <w:rFonts w:ascii="Times New Roman" w:hAnsi="Times New Roman" w:cs="Times New Roman"/>
          <w:sz w:val="20"/>
          <w:szCs w:val="20"/>
          <w:lang w:bidi="ar-EG"/>
        </w:rPr>
        <w:t xml:space="preserve">methyl </w:t>
      </w:r>
      <w:proofErr w:type="spellStart"/>
      <w:r w:rsidR="00C635D5" w:rsidRPr="00DA6EB8">
        <w:rPr>
          <w:rFonts w:ascii="Times New Roman" w:hAnsi="Times New Roman" w:cs="Times New Roman"/>
          <w:sz w:val="20"/>
          <w:szCs w:val="20"/>
          <w:lang w:bidi="ar-EG"/>
        </w:rPr>
        <w:t>cinnamate</w:t>
      </w:r>
      <w:proofErr w:type="spellEnd"/>
      <w:r w:rsidR="00C635D5" w:rsidRPr="00DA6EB8">
        <w:rPr>
          <w:rFonts w:ascii="Times New Roman" w:hAnsi="Times New Roman" w:cs="Times New Roman"/>
          <w:sz w:val="20"/>
          <w:szCs w:val="20"/>
          <w:lang w:bidi="ar-EG"/>
        </w:rPr>
        <w:t xml:space="preserve"> 10% </w:t>
      </w:r>
      <w:proofErr w:type="spellStart"/>
      <w:r w:rsidR="00C635D5" w:rsidRPr="00DA6EB8">
        <w:rPr>
          <w:rFonts w:ascii="Times New Roman" w:hAnsi="Times New Roman" w:cs="Times New Roman"/>
          <w:sz w:val="20"/>
          <w:szCs w:val="20"/>
          <w:lang w:bidi="ar-EG"/>
        </w:rPr>
        <w:t>microemulsion</w:t>
      </w:r>
      <w:proofErr w:type="spellEnd"/>
      <w:r w:rsidR="00C635D5" w:rsidRPr="00DA6EB8">
        <w:rPr>
          <w:rFonts w:ascii="Times New Roman" w:hAnsi="Times New Roman" w:cs="Times New Roman"/>
          <w:sz w:val="20"/>
          <w:szCs w:val="20"/>
          <w:lang w:bidi="ar-EG"/>
        </w:rPr>
        <w:t>.</w:t>
      </w:r>
      <w:r w:rsidR="001841CD" w:rsidRPr="00DA6EB8">
        <w:rPr>
          <w:rFonts w:ascii="Times New Roman" w:hAnsi="Times New Roman" w:cs="Times New Roman"/>
          <w:sz w:val="20"/>
          <w:szCs w:val="20"/>
          <w:lang w:bidi="ar-EG"/>
        </w:rPr>
        <w:t xml:space="preserve"> </w:t>
      </w:r>
      <w:r w:rsidR="00C635D5" w:rsidRPr="00DA6EB8">
        <w:rPr>
          <w:rFonts w:ascii="Times New Roman" w:hAnsi="Times New Roman" w:cs="Times New Roman"/>
          <w:sz w:val="20"/>
          <w:szCs w:val="20"/>
          <w:lang w:bidi="ar-EG"/>
        </w:rPr>
        <w:t xml:space="preserve">They were 3.68, 2.29, 2.19 and 2.57 for the prepared </w:t>
      </w:r>
      <w:proofErr w:type="spellStart"/>
      <w:r w:rsidR="00C635D5" w:rsidRPr="00DA6EB8">
        <w:rPr>
          <w:rFonts w:ascii="Times New Roman" w:hAnsi="Times New Roman" w:cs="Times New Roman"/>
          <w:sz w:val="20"/>
          <w:szCs w:val="20"/>
          <w:lang w:bidi="ar-EG"/>
        </w:rPr>
        <w:t>microemulsion</w:t>
      </w:r>
      <w:proofErr w:type="spellEnd"/>
      <w:r w:rsidR="00C635D5" w:rsidRPr="00DA6EB8">
        <w:rPr>
          <w:rFonts w:ascii="Times New Roman" w:hAnsi="Times New Roman" w:cs="Times New Roman"/>
          <w:sz w:val="20"/>
          <w:szCs w:val="20"/>
          <w:lang w:bidi="ar-EG"/>
        </w:rPr>
        <w:t xml:space="preserve"> formulation while they were 2.44, 2.05, 1.85 and 1.84 for the pure compound against </w:t>
      </w:r>
      <w:r w:rsidR="00C635D5" w:rsidRPr="00DA6EB8">
        <w:rPr>
          <w:rFonts w:ascii="Times New Roman" w:hAnsi="Times New Roman" w:cs="Times New Roman"/>
          <w:i/>
          <w:iCs/>
          <w:sz w:val="20"/>
          <w:szCs w:val="20"/>
        </w:rPr>
        <w:t xml:space="preserve">S. </w:t>
      </w:r>
      <w:proofErr w:type="spellStart"/>
      <w:r w:rsidR="00C635D5" w:rsidRPr="00DA6EB8">
        <w:rPr>
          <w:rFonts w:ascii="Times New Roman" w:hAnsi="Times New Roman" w:cs="Times New Roman"/>
          <w:i/>
          <w:iCs/>
          <w:sz w:val="20"/>
          <w:szCs w:val="20"/>
        </w:rPr>
        <w:t>rolfsii</w:t>
      </w:r>
      <w:proofErr w:type="spellEnd"/>
      <w:r w:rsidR="00C635D5" w:rsidRPr="00DA6EB8">
        <w:rPr>
          <w:rFonts w:ascii="Times New Roman" w:hAnsi="Times New Roman" w:cs="Times New Roman"/>
          <w:sz w:val="20"/>
          <w:szCs w:val="20"/>
        </w:rPr>
        <w:t xml:space="preserve">, </w:t>
      </w:r>
      <w:r w:rsidR="00C635D5" w:rsidRPr="00DA6EB8">
        <w:rPr>
          <w:rFonts w:ascii="Times New Roman" w:hAnsi="Times New Roman" w:cs="Times New Roman"/>
          <w:i/>
          <w:iCs/>
          <w:sz w:val="20"/>
          <w:szCs w:val="20"/>
        </w:rPr>
        <w:t xml:space="preserve">R. </w:t>
      </w:r>
      <w:proofErr w:type="spellStart"/>
      <w:r w:rsidR="00C635D5" w:rsidRPr="00DA6EB8">
        <w:rPr>
          <w:rFonts w:ascii="Times New Roman" w:hAnsi="Times New Roman" w:cs="Times New Roman"/>
          <w:i/>
          <w:iCs/>
          <w:sz w:val="20"/>
          <w:szCs w:val="20"/>
        </w:rPr>
        <w:t>solani</w:t>
      </w:r>
      <w:proofErr w:type="spellEnd"/>
      <w:r w:rsidR="00C635D5" w:rsidRPr="00DA6EB8">
        <w:rPr>
          <w:rFonts w:ascii="Times New Roman" w:hAnsi="Times New Roman" w:cs="Times New Roman"/>
          <w:i/>
          <w:iCs/>
          <w:sz w:val="20"/>
          <w:szCs w:val="20"/>
        </w:rPr>
        <w:t xml:space="preserve">, A. </w:t>
      </w:r>
      <w:proofErr w:type="spellStart"/>
      <w:r w:rsidR="00C635D5" w:rsidRPr="00DA6EB8">
        <w:rPr>
          <w:rFonts w:ascii="Times New Roman" w:hAnsi="Times New Roman" w:cs="Times New Roman"/>
          <w:i/>
          <w:iCs/>
          <w:sz w:val="20"/>
          <w:szCs w:val="20"/>
        </w:rPr>
        <w:t>solani</w:t>
      </w:r>
      <w:proofErr w:type="spellEnd"/>
      <w:r w:rsidR="00C635D5" w:rsidRPr="00DA6EB8">
        <w:rPr>
          <w:rFonts w:ascii="Times New Roman" w:hAnsi="Times New Roman" w:cs="Times New Roman"/>
          <w:sz w:val="20"/>
          <w:szCs w:val="20"/>
        </w:rPr>
        <w:t xml:space="preserve"> and </w:t>
      </w:r>
      <w:r w:rsidR="00C635D5" w:rsidRPr="00DA6EB8">
        <w:rPr>
          <w:rFonts w:ascii="Times New Roman" w:hAnsi="Times New Roman" w:cs="Times New Roman"/>
          <w:i/>
          <w:iCs/>
          <w:sz w:val="20"/>
          <w:szCs w:val="20"/>
        </w:rPr>
        <w:t xml:space="preserve">F. </w:t>
      </w:r>
      <w:proofErr w:type="spellStart"/>
      <w:r w:rsidR="00C635D5" w:rsidRPr="00DA6EB8">
        <w:rPr>
          <w:rFonts w:ascii="Times New Roman" w:hAnsi="Times New Roman" w:cs="Times New Roman"/>
          <w:i/>
          <w:iCs/>
          <w:sz w:val="20"/>
          <w:szCs w:val="20"/>
        </w:rPr>
        <w:t>solani</w:t>
      </w:r>
      <w:proofErr w:type="spellEnd"/>
      <w:r w:rsidR="00C635D5" w:rsidRPr="00DA6EB8">
        <w:rPr>
          <w:rFonts w:ascii="Times New Roman" w:hAnsi="Times New Roman" w:cs="Times New Roman"/>
          <w:sz w:val="20"/>
          <w:szCs w:val="20"/>
          <w:lang w:bidi="ar-EG"/>
        </w:rPr>
        <w:t xml:space="preserve">, respectively. </w:t>
      </w:r>
    </w:p>
    <w:p w:rsidR="00BD6349" w:rsidRPr="00DA6EB8" w:rsidRDefault="00BD6349" w:rsidP="00BD6349">
      <w:pPr>
        <w:snapToGrid w:val="0"/>
        <w:spacing w:after="0" w:line="240" w:lineRule="auto"/>
        <w:jc w:val="both"/>
        <w:rPr>
          <w:rFonts w:ascii="Times New Roman" w:hAnsi="Times New Roman" w:cs="Times New Roman"/>
          <w:b/>
          <w:bCs/>
          <w:sz w:val="20"/>
          <w:szCs w:val="20"/>
          <w:lang w:bidi="ar-EG"/>
        </w:rPr>
        <w:sectPr w:rsidR="00BD6349" w:rsidRPr="00DA6EB8" w:rsidSect="00BD6349">
          <w:type w:val="continuous"/>
          <w:pgSz w:w="12240" w:h="15840" w:code="1"/>
          <w:pgMar w:top="1440" w:right="1440" w:bottom="1440" w:left="1440" w:header="720" w:footer="720" w:gutter="0"/>
          <w:cols w:num="2" w:space="550"/>
          <w:docGrid w:linePitch="360"/>
        </w:sectPr>
      </w:pPr>
    </w:p>
    <w:p w:rsidR="001841CD" w:rsidRPr="00DA6EB8" w:rsidRDefault="001841CD" w:rsidP="00BD6349">
      <w:pPr>
        <w:snapToGrid w:val="0"/>
        <w:spacing w:after="0" w:line="240" w:lineRule="auto"/>
        <w:jc w:val="both"/>
        <w:rPr>
          <w:rFonts w:ascii="Times New Roman" w:hAnsi="Times New Roman" w:cs="Times New Roman"/>
          <w:b/>
          <w:bCs/>
          <w:sz w:val="20"/>
          <w:szCs w:val="20"/>
          <w:lang w:bidi="ar-EG"/>
        </w:rPr>
      </w:pPr>
    </w:p>
    <w:p w:rsidR="00DA6EB8" w:rsidRDefault="00DA6EB8" w:rsidP="00BD6349">
      <w:pPr>
        <w:snapToGrid w:val="0"/>
        <w:spacing w:after="0" w:line="240" w:lineRule="auto"/>
        <w:jc w:val="both"/>
        <w:rPr>
          <w:rFonts w:ascii="Times New Roman" w:hAnsi="Times New Roman" w:cs="Times New Roman"/>
          <w:b/>
          <w:bCs/>
          <w:sz w:val="20"/>
          <w:szCs w:val="20"/>
          <w:lang w:eastAsia="zh-CN" w:bidi="ar-EG"/>
        </w:rPr>
      </w:pPr>
    </w:p>
    <w:p w:rsidR="00DA6EB8" w:rsidRDefault="00DA6EB8" w:rsidP="00BD6349">
      <w:pPr>
        <w:snapToGrid w:val="0"/>
        <w:spacing w:after="0" w:line="240" w:lineRule="auto"/>
        <w:jc w:val="both"/>
        <w:rPr>
          <w:rFonts w:ascii="Times New Roman" w:hAnsi="Times New Roman" w:cs="Times New Roman"/>
          <w:b/>
          <w:bCs/>
          <w:sz w:val="20"/>
          <w:szCs w:val="20"/>
          <w:lang w:eastAsia="zh-CN" w:bidi="ar-EG"/>
        </w:rPr>
      </w:pPr>
    </w:p>
    <w:p w:rsidR="00DA6EB8" w:rsidRDefault="00DA6EB8" w:rsidP="00BD6349">
      <w:pPr>
        <w:snapToGrid w:val="0"/>
        <w:spacing w:after="0" w:line="240" w:lineRule="auto"/>
        <w:jc w:val="both"/>
        <w:rPr>
          <w:rFonts w:ascii="Times New Roman" w:hAnsi="Times New Roman" w:cs="Times New Roman"/>
          <w:b/>
          <w:bCs/>
          <w:sz w:val="20"/>
          <w:szCs w:val="20"/>
          <w:lang w:eastAsia="zh-CN" w:bidi="ar-EG"/>
        </w:rPr>
      </w:pPr>
    </w:p>
    <w:p w:rsidR="00DA6EB8" w:rsidRDefault="00DA6EB8" w:rsidP="00BD6349">
      <w:pPr>
        <w:snapToGrid w:val="0"/>
        <w:spacing w:after="0" w:line="240" w:lineRule="auto"/>
        <w:jc w:val="both"/>
        <w:rPr>
          <w:rFonts w:ascii="Times New Roman" w:hAnsi="Times New Roman" w:cs="Times New Roman"/>
          <w:b/>
          <w:bCs/>
          <w:sz w:val="20"/>
          <w:szCs w:val="20"/>
          <w:lang w:eastAsia="zh-CN" w:bidi="ar-EG"/>
        </w:rPr>
      </w:pPr>
    </w:p>
    <w:p w:rsidR="00DA6EB8" w:rsidRDefault="00DA6EB8" w:rsidP="00BD6349">
      <w:pPr>
        <w:snapToGrid w:val="0"/>
        <w:spacing w:after="0" w:line="240" w:lineRule="auto"/>
        <w:jc w:val="both"/>
        <w:rPr>
          <w:rFonts w:ascii="Times New Roman" w:hAnsi="Times New Roman" w:cs="Times New Roman"/>
          <w:b/>
          <w:bCs/>
          <w:sz w:val="20"/>
          <w:szCs w:val="20"/>
          <w:lang w:eastAsia="zh-CN" w:bidi="ar-EG"/>
        </w:rPr>
      </w:pPr>
    </w:p>
    <w:p w:rsidR="00DA6EB8" w:rsidRDefault="00DA6EB8" w:rsidP="00BD6349">
      <w:pPr>
        <w:snapToGrid w:val="0"/>
        <w:spacing w:after="0" w:line="240" w:lineRule="auto"/>
        <w:jc w:val="both"/>
        <w:rPr>
          <w:rFonts w:ascii="Times New Roman" w:hAnsi="Times New Roman" w:cs="Times New Roman"/>
          <w:b/>
          <w:bCs/>
          <w:sz w:val="20"/>
          <w:szCs w:val="20"/>
          <w:lang w:eastAsia="zh-CN" w:bidi="ar-EG"/>
        </w:rPr>
      </w:pPr>
    </w:p>
    <w:p w:rsidR="00F7533A" w:rsidRPr="00DA6EB8" w:rsidRDefault="00F7533A" w:rsidP="00BD6349">
      <w:pPr>
        <w:snapToGrid w:val="0"/>
        <w:spacing w:after="0" w:line="240" w:lineRule="auto"/>
        <w:jc w:val="both"/>
        <w:rPr>
          <w:rFonts w:ascii="Times New Roman" w:hAnsi="Times New Roman" w:cs="Times New Roman"/>
          <w:b/>
          <w:bCs/>
          <w:sz w:val="20"/>
          <w:szCs w:val="20"/>
          <w:lang w:bidi="ar-EG"/>
        </w:rPr>
      </w:pPr>
      <w:r w:rsidRPr="00DA6EB8">
        <w:rPr>
          <w:rFonts w:ascii="Times New Roman" w:hAnsi="Times New Roman" w:cs="Times New Roman"/>
          <w:b/>
          <w:bCs/>
          <w:sz w:val="20"/>
          <w:szCs w:val="20"/>
          <w:lang w:bidi="ar-EG"/>
        </w:rPr>
        <w:lastRenderedPageBreak/>
        <w:t>Table (</w:t>
      </w:r>
      <w:r w:rsidR="0042684F" w:rsidRPr="00DA6EB8">
        <w:rPr>
          <w:rFonts w:ascii="Times New Roman" w:hAnsi="Times New Roman" w:cs="Times New Roman"/>
          <w:b/>
          <w:bCs/>
          <w:sz w:val="20"/>
          <w:szCs w:val="20"/>
          <w:lang w:bidi="ar-EG"/>
        </w:rPr>
        <w:t>4</w:t>
      </w:r>
      <w:r w:rsidRPr="00DA6EB8">
        <w:rPr>
          <w:rFonts w:ascii="Times New Roman" w:hAnsi="Times New Roman" w:cs="Times New Roman"/>
          <w:b/>
          <w:bCs/>
          <w:sz w:val="20"/>
          <w:szCs w:val="20"/>
          <w:lang w:bidi="ar-EG"/>
        </w:rPr>
        <w:t xml:space="preserve">): Antifungal activities of the </w:t>
      </w:r>
      <w:r w:rsidRPr="00DA6EB8">
        <w:rPr>
          <w:rFonts w:ascii="Times New Roman" w:hAnsi="Times New Roman" w:cs="Times New Roman"/>
          <w:b/>
          <w:bCs/>
          <w:i/>
          <w:iCs/>
          <w:sz w:val="20"/>
          <w:szCs w:val="20"/>
          <w:lang w:bidi="ar-EG"/>
        </w:rPr>
        <w:t>trans-</w:t>
      </w:r>
      <w:r w:rsidRPr="00DA6EB8">
        <w:rPr>
          <w:rFonts w:ascii="Times New Roman" w:hAnsi="Times New Roman" w:cs="Times New Roman"/>
          <w:b/>
          <w:bCs/>
          <w:sz w:val="20"/>
          <w:szCs w:val="20"/>
          <w:lang w:bidi="ar-EG"/>
        </w:rPr>
        <w:t xml:space="preserve">methyl </w:t>
      </w:r>
      <w:proofErr w:type="spellStart"/>
      <w:r w:rsidRPr="00DA6EB8">
        <w:rPr>
          <w:rFonts w:ascii="Times New Roman" w:hAnsi="Times New Roman" w:cs="Times New Roman"/>
          <w:b/>
          <w:bCs/>
          <w:sz w:val="20"/>
          <w:szCs w:val="20"/>
          <w:lang w:bidi="ar-EG"/>
        </w:rPr>
        <w:t>cinnamate</w:t>
      </w:r>
      <w:proofErr w:type="spellEnd"/>
      <w:r w:rsidRPr="00DA6EB8">
        <w:rPr>
          <w:rFonts w:ascii="Times New Roman" w:hAnsi="Times New Roman" w:cs="Times New Roman"/>
          <w:b/>
          <w:bCs/>
          <w:sz w:val="20"/>
          <w:szCs w:val="20"/>
          <w:lang w:bidi="ar-EG"/>
        </w:rPr>
        <w:t xml:space="preserve"> 99% (T) and </w:t>
      </w:r>
      <w:proofErr w:type="spellStart"/>
      <w:r w:rsidRPr="00DA6EB8">
        <w:rPr>
          <w:rFonts w:ascii="Times New Roman" w:hAnsi="Times New Roman" w:cs="Times New Roman"/>
          <w:b/>
          <w:bCs/>
          <w:sz w:val="20"/>
          <w:szCs w:val="20"/>
          <w:lang w:bidi="ar-EG"/>
        </w:rPr>
        <w:t>microemulsion</w:t>
      </w:r>
      <w:proofErr w:type="spellEnd"/>
      <w:r w:rsidRPr="00DA6EB8">
        <w:rPr>
          <w:rFonts w:ascii="Times New Roman" w:hAnsi="Times New Roman" w:cs="Times New Roman"/>
          <w:b/>
          <w:bCs/>
          <w:sz w:val="20"/>
          <w:szCs w:val="20"/>
          <w:lang w:bidi="ar-EG"/>
        </w:rPr>
        <w:t xml:space="preserve"> 10% formulation (F) on </w:t>
      </w:r>
      <w:proofErr w:type="spellStart"/>
      <w:r w:rsidR="00C42DF2" w:rsidRPr="00DA6EB8">
        <w:rPr>
          <w:rFonts w:ascii="Times New Roman" w:hAnsi="Times New Roman" w:cs="Times New Roman"/>
          <w:b/>
          <w:bCs/>
          <w:i/>
          <w:iCs/>
          <w:sz w:val="20"/>
          <w:szCs w:val="20"/>
          <w:lang w:bidi="ar-EG"/>
        </w:rPr>
        <w:t>Sclerotium</w:t>
      </w:r>
      <w:proofErr w:type="spellEnd"/>
      <w:r w:rsidR="00C42DF2" w:rsidRPr="00DA6EB8">
        <w:rPr>
          <w:rFonts w:ascii="Times New Roman" w:hAnsi="Times New Roman" w:cs="Times New Roman"/>
          <w:b/>
          <w:bCs/>
          <w:i/>
          <w:iCs/>
          <w:sz w:val="20"/>
          <w:szCs w:val="20"/>
          <w:lang w:bidi="ar-EG"/>
        </w:rPr>
        <w:t xml:space="preserve"> </w:t>
      </w:r>
      <w:proofErr w:type="spellStart"/>
      <w:r w:rsidR="00C42DF2" w:rsidRPr="00DA6EB8">
        <w:rPr>
          <w:rFonts w:ascii="Times New Roman" w:hAnsi="Times New Roman" w:cs="Times New Roman"/>
          <w:b/>
          <w:bCs/>
          <w:i/>
          <w:iCs/>
          <w:sz w:val="20"/>
          <w:szCs w:val="20"/>
          <w:lang w:bidi="ar-EG"/>
        </w:rPr>
        <w:t>rolfsii</w:t>
      </w:r>
      <w:proofErr w:type="spellEnd"/>
      <w:r w:rsidR="000307A0" w:rsidRPr="00DA6EB8">
        <w:rPr>
          <w:rFonts w:ascii="Times New Roman" w:hAnsi="Times New Roman" w:cs="Times New Roman"/>
          <w:b/>
          <w:bCs/>
          <w:sz w:val="20"/>
          <w:szCs w:val="20"/>
          <w:lang w:bidi="ar-EG"/>
        </w:rPr>
        <w:t>,</w:t>
      </w:r>
      <w:r w:rsidRPr="00DA6EB8">
        <w:rPr>
          <w:rFonts w:ascii="Times New Roman" w:hAnsi="Times New Roman" w:cs="Times New Roman"/>
          <w:b/>
          <w:bCs/>
          <w:i/>
          <w:iCs/>
          <w:sz w:val="20"/>
          <w:szCs w:val="20"/>
          <w:lang w:bidi="ar-EG"/>
        </w:rPr>
        <w:t xml:space="preserve"> </w:t>
      </w:r>
      <w:proofErr w:type="spellStart"/>
      <w:r w:rsidRPr="00DA6EB8">
        <w:rPr>
          <w:rFonts w:ascii="Times New Roman" w:hAnsi="Times New Roman" w:cs="Times New Roman"/>
          <w:b/>
          <w:bCs/>
          <w:i/>
          <w:iCs/>
          <w:sz w:val="20"/>
          <w:szCs w:val="20"/>
          <w:lang w:bidi="ar-EG"/>
        </w:rPr>
        <w:t>Rhizoctonia</w:t>
      </w:r>
      <w:proofErr w:type="spellEnd"/>
      <w:r w:rsidRPr="00DA6EB8">
        <w:rPr>
          <w:rFonts w:ascii="Times New Roman" w:hAnsi="Times New Roman" w:cs="Times New Roman"/>
          <w:b/>
          <w:bCs/>
          <w:i/>
          <w:iCs/>
          <w:sz w:val="20"/>
          <w:szCs w:val="20"/>
          <w:lang w:bidi="ar-EG"/>
        </w:rPr>
        <w:t xml:space="preserve"> </w:t>
      </w:r>
      <w:proofErr w:type="spellStart"/>
      <w:r w:rsidRPr="00DA6EB8">
        <w:rPr>
          <w:rFonts w:ascii="Times New Roman" w:hAnsi="Times New Roman" w:cs="Times New Roman"/>
          <w:b/>
          <w:bCs/>
          <w:i/>
          <w:iCs/>
          <w:sz w:val="20"/>
          <w:szCs w:val="20"/>
          <w:lang w:bidi="ar-EG"/>
        </w:rPr>
        <w:t>solani</w:t>
      </w:r>
      <w:proofErr w:type="spellEnd"/>
      <w:r w:rsidR="00B51E6A" w:rsidRPr="00DA6EB8">
        <w:rPr>
          <w:rFonts w:ascii="Times New Roman" w:hAnsi="Times New Roman" w:cs="Times New Roman"/>
          <w:b/>
          <w:bCs/>
          <w:i/>
          <w:iCs/>
          <w:sz w:val="20"/>
          <w:szCs w:val="20"/>
          <w:lang w:bidi="ar-EG"/>
        </w:rPr>
        <w:t xml:space="preserve">, </w:t>
      </w:r>
      <w:proofErr w:type="spellStart"/>
      <w:r w:rsidR="00B51E6A" w:rsidRPr="00DA6EB8">
        <w:rPr>
          <w:rFonts w:ascii="Times New Roman" w:hAnsi="Times New Roman" w:cs="Times New Roman"/>
          <w:b/>
          <w:bCs/>
          <w:i/>
          <w:iCs/>
          <w:sz w:val="20"/>
          <w:szCs w:val="20"/>
          <w:lang w:bidi="ar-EG"/>
        </w:rPr>
        <w:t>A</w:t>
      </w:r>
      <w:r w:rsidR="000307A0" w:rsidRPr="00DA6EB8">
        <w:rPr>
          <w:rFonts w:ascii="Times New Roman" w:hAnsi="Times New Roman" w:cs="Times New Roman"/>
          <w:b/>
          <w:bCs/>
          <w:i/>
          <w:iCs/>
          <w:sz w:val="20"/>
          <w:szCs w:val="20"/>
          <w:lang w:bidi="ar-EG"/>
        </w:rPr>
        <w:t>lternaria</w:t>
      </w:r>
      <w:proofErr w:type="spellEnd"/>
      <w:r w:rsidR="000307A0" w:rsidRPr="00DA6EB8">
        <w:rPr>
          <w:rFonts w:ascii="Times New Roman" w:hAnsi="Times New Roman" w:cs="Times New Roman"/>
          <w:b/>
          <w:bCs/>
          <w:i/>
          <w:iCs/>
          <w:sz w:val="20"/>
          <w:szCs w:val="20"/>
          <w:lang w:bidi="ar-EG"/>
        </w:rPr>
        <w:t xml:space="preserve"> </w:t>
      </w:r>
      <w:proofErr w:type="spellStart"/>
      <w:r w:rsidR="000307A0" w:rsidRPr="00DA6EB8">
        <w:rPr>
          <w:rFonts w:ascii="Times New Roman" w:hAnsi="Times New Roman" w:cs="Times New Roman"/>
          <w:b/>
          <w:bCs/>
          <w:i/>
          <w:iCs/>
          <w:sz w:val="20"/>
          <w:szCs w:val="20"/>
          <w:lang w:bidi="ar-EG"/>
        </w:rPr>
        <w:t>solani</w:t>
      </w:r>
      <w:proofErr w:type="spellEnd"/>
      <w:r w:rsidR="000307A0" w:rsidRPr="00DA6EB8">
        <w:rPr>
          <w:rFonts w:ascii="Times New Roman" w:hAnsi="Times New Roman" w:cs="Times New Roman"/>
          <w:b/>
          <w:bCs/>
          <w:i/>
          <w:iCs/>
          <w:sz w:val="20"/>
          <w:szCs w:val="20"/>
          <w:lang w:bidi="ar-EG"/>
        </w:rPr>
        <w:t xml:space="preserve"> </w:t>
      </w:r>
      <w:r w:rsidR="000307A0" w:rsidRPr="00DA6EB8">
        <w:rPr>
          <w:rFonts w:ascii="Times New Roman" w:hAnsi="Times New Roman" w:cs="Times New Roman"/>
          <w:b/>
          <w:bCs/>
          <w:sz w:val="20"/>
          <w:szCs w:val="20"/>
          <w:lang w:bidi="ar-EG"/>
        </w:rPr>
        <w:t>and</w:t>
      </w:r>
      <w:r w:rsidR="000307A0" w:rsidRPr="00DA6EB8">
        <w:rPr>
          <w:rFonts w:ascii="Times New Roman" w:hAnsi="Times New Roman" w:cs="Times New Roman"/>
          <w:b/>
          <w:bCs/>
          <w:i/>
          <w:iCs/>
          <w:sz w:val="20"/>
          <w:szCs w:val="20"/>
          <w:lang w:bidi="ar-EG"/>
        </w:rPr>
        <w:t xml:space="preserve"> </w:t>
      </w:r>
      <w:proofErr w:type="spellStart"/>
      <w:r w:rsidR="000307A0" w:rsidRPr="00DA6EB8">
        <w:rPr>
          <w:rFonts w:ascii="Times New Roman" w:hAnsi="Times New Roman" w:cs="Times New Roman"/>
          <w:b/>
          <w:bCs/>
          <w:i/>
          <w:iCs/>
          <w:sz w:val="20"/>
          <w:szCs w:val="20"/>
          <w:lang w:bidi="ar-EG"/>
        </w:rPr>
        <w:t>Fusarium</w:t>
      </w:r>
      <w:proofErr w:type="spellEnd"/>
      <w:r w:rsidR="000307A0" w:rsidRPr="00DA6EB8">
        <w:rPr>
          <w:rFonts w:ascii="Times New Roman" w:hAnsi="Times New Roman" w:cs="Times New Roman"/>
          <w:b/>
          <w:bCs/>
          <w:i/>
          <w:iCs/>
          <w:sz w:val="20"/>
          <w:szCs w:val="20"/>
          <w:lang w:bidi="ar-EG"/>
        </w:rPr>
        <w:t xml:space="preserve"> </w:t>
      </w:r>
      <w:proofErr w:type="spellStart"/>
      <w:r w:rsidR="000307A0" w:rsidRPr="00DA6EB8">
        <w:rPr>
          <w:rFonts w:ascii="Times New Roman" w:hAnsi="Times New Roman" w:cs="Times New Roman"/>
          <w:b/>
          <w:bCs/>
          <w:i/>
          <w:iCs/>
          <w:sz w:val="20"/>
          <w:szCs w:val="20"/>
          <w:lang w:bidi="ar-EG"/>
        </w:rPr>
        <w:t>solani</w:t>
      </w:r>
      <w:proofErr w:type="spellEnd"/>
    </w:p>
    <w:tbl>
      <w:tblPr>
        <w:tblStyle w:val="TableGrid"/>
        <w:tblW w:w="5000" w:type="pct"/>
        <w:jc w:val="center"/>
        <w:tblCellMar>
          <w:left w:w="57" w:type="dxa"/>
          <w:right w:w="57" w:type="dxa"/>
        </w:tblCellMar>
        <w:tblLook w:val="04A0"/>
      </w:tblPr>
      <w:tblGrid>
        <w:gridCol w:w="1401"/>
        <w:gridCol w:w="237"/>
        <w:gridCol w:w="564"/>
        <w:gridCol w:w="564"/>
        <w:gridCol w:w="564"/>
        <w:gridCol w:w="564"/>
        <w:gridCol w:w="564"/>
        <w:gridCol w:w="564"/>
        <w:gridCol w:w="581"/>
        <w:gridCol w:w="664"/>
        <w:gridCol w:w="764"/>
        <w:gridCol w:w="1102"/>
        <w:gridCol w:w="1341"/>
      </w:tblGrid>
      <w:tr w:rsidR="001841CD" w:rsidRPr="00DA6EB8" w:rsidTr="00BD6349">
        <w:trPr>
          <w:jc w:val="center"/>
        </w:trPr>
        <w:tc>
          <w:tcPr>
            <w:tcW w:w="906" w:type="pct"/>
            <w:gridSpan w:val="2"/>
            <w:vMerge w:val="restart"/>
            <w:tcBorders>
              <w:top w:val="double" w:sz="4" w:space="0" w:color="auto"/>
              <w:left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p>
        </w:tc>
        <w:tc>
          <w:tcPr>
            <w:tcW w:w="1692" w:type="pct"/>
            <w:gridSpan w:val="6"/>
            <w:tcBorders>
              <w:top w:val="double" w:sz="4" w:space="0" w:color="auto"/>
              <w:left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 xml:space="preserve">Concentrations in </w:t>
            </w:r>
            <w:proofErr w:type="spellStart"/>
            <w:r w:rsidRPr="00DA6EB8">
              <w:rPr>
                <w:rFonts w:ascii="Times New Roman" w:hAnsi="Times New Roman" w:cs="Times New Roman"/>
                <w:b/>
                <w:bCs/>
                <w:sz w:val="20"/>
                <w:szCs w:val="20"/>
              </w:rPr>
              <w:t>ppm</w:t>
            </w:r>
            <w:proofErr w:type="spellEnd"/>
            <w:r w:rsidRPr="00DA6EB8">
              <w:rPr>
                <w:rFonts w:ascii="Times New Roman" w:hAnsi="Times New Roman" w:cs="Times New Roman"/>
                <w:b/>
                <w:bCs/>
                <w:sz w:val="20"/>
                <w:szCs w:val="20"/>
              </w:rPr>
              <w:t xml:space="preserve"> (µg/ml)</w:t>
            </w:r>
          </w:p>
        </w:tc>
        <w:tc>
          <w:tcPr>
            <w:tcW w:w="290" w:type="pct"/>
            <w:vMerge w:val="restart"/>
            <w:tcBorders>
              <w:top w:val="double" w:sz="4" w:space="0" w:color="auto"/>
              <w:left w:val="double" w:sz="4" w:space="0" w:color="auto"/>
            </w:tcBorders>
            <w:vAlign w:val="center"/>
          </w:tcPr>
          <w:p w:rsidR="00FC4B40" w:rsidRPr="00DA6EB8" w:rsidRDefault="00FC4B40"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Slope</w:t>
            </w:r>
          </w:p>
        </w:tc>
        <w:tc>
          <w:tcPr>
            <w:tcW w:w="330" w:type="pct"/>
            <w:vMerge w:val="restart"/>
            <w:tcBorders>
              <w:top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LC</w:t>
            </w:r>
            <w:r w:rsidRPr="00DA6EB8">
              <w:rPr>
                <w:rFonts w:ascii="Times New Roman" w:hAnsi="Times New Roman" w:cs="Times New Roman"/>
                <w:b/>
                <w:bCs/>
                <w:sz w:val="20"/>
                <w:szCs w:val="20"/>
                <w:vertAlign w:val="subscript"/>
              </w:rPr>
              <w:t>50</w:t>
            </w:r>
          </w:p>
        </w:tc>
        <w:tc>
          <w:tcPr>
            <w:tcW w:w="377" w:type="pct"/>
            <w:vMerge w:val="restart"/>
            <w:tcBorders>
              <w:top w:val="double" w:sz="4" w:space="0" w:color="auto"/>
            </w:tcBorders>
            <w:vAlign w:val="center"/>
          </w:tcPr>
          <w:p w:rsidR="00FC4B40" w:rsidRPr="00DA6EB8" w:rsidRDefault="00FC4B40"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LC</w:t>
            </w:r>
            <w:r w:rsidRPr="00DA6EB8">
              <w:rPr>
                <w:rFonts w:ascii="Times New Roman" w:hAnsi="Times New Roman" w:cs="Times New Roman"/>
                <w:b/>
                <w:bCs/>
                <w:sz w:val="20"/>
                <w:szCs w:val="20"/>
                <w:vertAlign w:val="subscript"/>
              </w:rPr>
              <w:t>90</w:t>
            </w:r>
          </w:p>
        </w:tc>
        <w:tc>
          <w:tcPr>
            <w:tcW w:w="658" w:type="pct"/>
            <w:vMerge w:val="restart"/>
            <w:tcBorders>
              <w:top w:val="double" w:sz="4" w:space="0" w:color="auto"/>
            </w:tcBorders>
            <w:vAlign w:val="center"/>
          </w:tcPr>
          <w:p w:rsidR="00FC4B40" w:rsidRPr="00DA6EB8" w:rsidRDefault="00FC4B40"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Toxicity Index</w:t>
            </w:r>
          </w:p>
        </w:tc>
        <w:tc>
          <w:tcPr>
            <w:tcW w:w="747" w:type="pct"/>
            <w:vMerge w:val="restart"/>
            <w:tcBorders>
              <w:top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Relative Potency</w:t>
            </w:r>
          </w:p>
        </w:tc>
      </w:tr>
      <w:tr w:rsidR="001841CD" w:rsidRPr="00DA6EB8" w:rsidTr="00BD6349">
        <w:trPr>
          <w:jc w:val="center"/>
        </w:trPr>
        <w:tc>
          <w:tcPr>
            <w:tcW w:w="906" w:type="pct"/>
            <w:gridSpan w:val="2"/>
            <w:vMerge/>
            <w:tcBorders>
              <w:left w:val="double" w:sz="4" w:space="0" w:color="auto"/>
              <w:bottom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p>
        </w:tc>
        <w:tc>
          <w:tcPr>
            <w:tcW w:w="282" w:type="pct"/>
            <w:tcBorders>
              <w:left w:val="double" w:sz="4" w:space="0" w:color="auto"/>
              <w:bottom w:val="double" w:sz="4" w:space="0" w:color="auto"/>
            </w:tcBorders>
            <w:vAlign w:val="center"/>
          </w:tcPr>
          <w:p w:rsidR="00FC4B40" w:rsidRPr="00DA6EB8" w:rsidRDefault="00FC4B40"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25</w:t>
            </w:r>
          </w:p>
        </w:tc>
        <w:tc>
          <w:tcPr>
            <w:tcW w:w="282" w:type="pct"/>
            <w:tcBorders>
              <w:bottom w:val="double" w:sz="4" w:space="0" w:color="auto"/>
            </w:tcBorders>
            <w:vAlign w:val="center"/>
          </w:tcPr>
          <w:p w:rsidR="00FC4B40" w:rsidRPr="00DA6EB8" w:rsidRDefault="00FC4B40"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50</w:t>
            </w:r>
          </w:p>
        </w:tc>
        <w:tc>
          <w:tcPr>
            <w:tcW w:w="282" w:type="pct"/>
            <w:tcBorders>
              <w:bottom w:val="double" w:sz="4" w:space="0" w:color="auto"/>
            </w:tcBorders>
            <w:vAlign w:val="center"/>
          </w:tcPr>
          <w:p w:rsidR="00FC4B40" w:rsidRPr="00DA6EB8" w:rsidRDefault="00FC4B40"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100</w:t>
            </w:r>
          </w:p>
        </w:tc>
        <w:tc>
          <w:tcPr>
            <w:tcW w:w="282" w:type="pct"/>
            <w:tcBorders>
              <w:bottom w:val="double" w:sz="4" w:space="0" w:color="auto"/>
            </w:tcBorders>
            <w:vAlign w:val="center"/>
          </w:tcPr>
          <w:p w:rsidR="00FC4B40" w:rsidRPr="00DA6EB8" w:rsidRDefault="00FC4B40"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200</w:t>
            </w:r>
          </w:p>
        </w:tc>
        <w:tc>
          <w:tcPr>
            <w:tcW w:w="282" w:type="pct"/>
            <w:tcBorders>
              <w:bottom w:val="double" w:sz="4" w:space="0" w:color="auto"/>
            </w:tcBorders>
            <w:vAlign w:val="center"/>
          </w:tcPr>
          <w:p w:rsidR="00FC4B40" w:rsidRPr="00DA6EB8" w:rsidRDefault="00FC4B40"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300</w:t>
            </w:r>
          </w:p>
        </w:tc>
        <w:tc>
          <w:tcPr>
            <w:tcW w:w="282" w:type="pct"/>
            <w:tcBorders>
              <w:bottom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400</w:t>
            </w:r>
          </w:p>
        </w:tc>
        <w:tc>
          <w:tcPr>
            <w:tcW w:w="290" w:type="pct"/>
            <w:vMerge/>
            <w:tcBorders>
              <w:left w:val="double" w:sz="4" w:space="0" w:color="auto"/>
              <w:bottom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p>
        </w:tc>
        <w:tc>
          <w:tcPr>
            <w:tcW w:w="330" w:type="pct"/>
            <w:vMerge/>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p>
        </w:tc>
        <w:tc>
          <w:tcPr>
            <w:tcW w:w="377" w:type="pct"/>
            <w:vMerge/>
            <w:tcBorders>
              <w:bottom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p>
        </w:tc>
        <w:tc>
          <w:tcPr>
            <w:tcW w:w="658" w:type="pct"/>
            <w:vMerge/>
            <w:tcBorders>
              <w:bottom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p>
        </w:tc>
        <w:tc>
          <w:tcPr>
            <w:tcW w:w="747" w:type="pct"/>
            <w:vMerge/>
            <w:tcBorders>
              <w:bottom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p>
        </w:tc>
      </w:tr>
      <w:tr w:rsidR="001841CD" w:rsidRPr="00DA6EB8" w:rsidTr="00BD6349">
        <w:trPr>
          <w:jc w:val="center"/>
        </w:trPr>
        <w:tc>
          <w:tcPr>
            <w:tcW w:w="779" w:type="pct"/>
            <w:vMerge w:val="restart"/>
            <w:tcBorders>
              <w:top w:val="double" w:sz="4" w:space="0" w:color="auto"/>
              <w:left w:val="double" w:sz="4" w:space="0" w:color="auto"/>
            </w:tcBorders>
            <w:vAlign w:val="center"/>
          </w:tcPr>
          <w:p w:rsidR="00FC4B40" w:rsidRPr="00DA6EB8" w:rsidRDefault="00FC4B40" w:rsidP="00BD6349">
            <w:pPr>
              <w:snapToGrid w:val="0"/>
              <w:jc w:val="both"/>
              <w:rPr>
                <w:rFonts w:ascii="Times New Roman" w:hAnsi="Times New Roman" w:cs="Times New Roman"/>
                <w:i/>
                <w:iCs/>
                <w:sz w:val="20"/>
                <w:szCs w:val="20"/>
              </w:rPr>
            </w:pPr>
            <w:proofErr w:type="spellStart"/>
            <w:r w:rsidRPr="00DA6EB8">
              <w:rPr>
                <w:rFonts w:ascii="Times New Roman" w:hAnsi="Times New Roman" w:cs="Times New Roman"/>
                <w:i/>
                <w:iCs/>
                <w:sz w:val="20"/>
                <w:szCs w:val="20"/>
              </w:rPr>
              <w:t>Sclerotium</w:t>
            </w:r>
            <w:proofErr w:type="spellEnd"/>
            <w:r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rolfsii</w:t>
            </w:r>
            <w:proofErr w:type="spellEnd"/>
          </w:p>
        </w:tc>
        <w:tc>
          <w:tcPr>
            <w:tcW w:w="126" w:type="pct"/>
            <w:tcBorders>
              <w:top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T</w:t>
            </w:r>
          </w:p>
        </w:tc>
        <w:tc>
          <w:tcPr>
            <w:tcW w:w="282" w:type="pct"/>
            <w:tcBorders>
              <w:top w:val="double" w:sz="4" w:space="0" w:color="auto"/>
              <w:lef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5.28</w:t>
            </w:r>
          </w:p>
        </w:tc>
        <w:tc>
          <w:tcPr>
            <w:tcW w:w="282"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18.77</w:t>
            </w:r>
          </w:p>
        </w:tc>
        <w:tc>
          <w:tcPr>
            <w:tcW w:w="282"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43.92</w:t>
            </w:r>
          </w:p>
        </w:tc>
        <w:tc>
          <w:tcPr>
            <w:tcW w:w="282"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71.91</w:t>
            </w:r>
          </w:p>
        </w:tc>
        <w:tc>
          <w:tcPr>
            <w:tcW w:w="282"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84.35</w:t>
            </w:r>
          </w:p>
        </w:tc>
        <w:tc>
          <w:tcPr>
            <w:tcW w:w="282" w:type="pct"/>
            <w:tcBorders>
              <w:top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90.54</w:t>
            </w:r>
          </w:p>
        </w:tc>
        <w:tc>
          <w:tcPr>
            <w:tcW w:w="290" w:type="pct"/>
            <w:tcBorders>
              <w:top w:val="double" w:sz="4" w:space="0" w:color="auto"/>
              <w:lef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2.44</w:t>
            </w:r>
          </w:p>
        </w:tc>
        <w:tc>
          <w:tcPr>
            <w:tcW w:w="330" w:type="pct"/>
            <w:tcBorders>
              <w:top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115.56</w:t>
            </w:r>
          </w:p>
        </w:tc>
        <w:tc>
          <w:tcPr>
            <w:tcW w:w="377"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388.07</w:t>
            </w:r>
          </w:p>
        </w:tc>
        <w:tc>
          <w:tcPr>
            <w:tcW w:w="658"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50.72</w:t>
            </w:r>
          </w:p>
        </w:tc>
        <w:tc>
          <w:tcPr>
            <w:tcW w:w="747" w:type="pct"/>
            <w:tcBorders>
              <w:top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w:t>
            </w:r>
          </w:p>
        </w:tc>
      </w:tr>
      <w:tr w:rsidR="001841CD" w:rsidRPr="00DA6EB8" w:rsidTr="00BD6349">
        <w:trPr>
          <w:jc w:val="center"/>
        </w:trPr>
        <w:tc>
          <w:tcPr>
            <w:tcW w:w="779" w:type="pct"/>
            <w:vMerge/>
            <w:tcBorders>
              <w:left w:val="double" w:sz="4" w:space="0" w:color="auto"/>
              <w:bottom w:val="double" w:sz="4" w:space="0" w:color="auto"/>
            </w:tcBorders>
            <w:vAlign w:val="center"/>
          </w:tcPr>
          <w:p w:rsidR="00FC4B40" w:rsidRPr="00DA6EB8" w:rsidRDefault="00FC4B40" w:rsidP="00BD6349">
            <w:pPr>
              <w:snapToGrid w:val="0"/>
              <w:jc w:val="both"/>
              <w:rPr>
                <w:rFonts w:ascii="Times New Roman" w:hAnsi="Times New Roman" w:cs="Times New Roman"/>
                <w:i/>
                <w:iCs/>
                <w:sz w:val="20"/>
                <w:szCs w:val="20"/>
              </w:rPr>
            </w:pPr>
          </w:p>
        </w:tc>
        <w:tc>
          <w:tcPr>
            <w:tcW w:w="126" w:type="pct"/>
            <w:tcBorders>
              <w:bottom w:val="double" w:sz="4" w:space="0" w:color="auto"/>
              <w:right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F</w:t>
            </w:r>
          </w:p>
        </w:tc>
        <w:tc>
          <w:tcPr>
            <w:tcW w:w="282" w:type="pct"/>
            <w:tcBorders>
              <w:left w:val="double" w:sz="4" w:space="0" w:color="auto"/>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8.69</w:t>
            </w:r>
          </w:p>
        </w:tc>
        <w:tc>
          <w:tcPr>
            <w:tcW w:w="282"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39.98</w:t>
            </w:r>
          </w:p>
        </w:tc>
        <w:tc>
          <w:tcPr>
            <w:tcW w:w="282"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80.31</w:t>
            </w:r>
          </w:p>
        </w:tc>
        <w:tc>
          <w:tcPr>
            <w:tcW w:w="282"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97.46</w:t>
            </w:r>
          </w:p>
        </w:tc>
        <w:tc>
          <w:tcPr>
            <w:tcW w:w="282"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100</w:t>
            </w:r>
          </w:p>
        </w:tc>
        <w:tc>
          <w:tcPr>
            <w:tcW w:w="282" w:type="pct"/>
            <w:tcBorders>
              <w:bottom w:val="double" w:sz="4" w:space="0" w:color="auto"/>
              <w:right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100</w:t>
            </w:r>
          </w:p>
        </w:tc>
        <w:tc>
          <w:tcPr>
            <w:tcW w:w="290" w:type="pct"/>
            <w:tcBorders>
              <w:left w:val="double" w:sz="4" w:space="0" w:color="auto"/>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3.68</w:t>
            </w:r>
          </w:p>
        </w:tc>
        <w:tc>
          <w:tcPr>
            <w:tcW w:w="330"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58.62</w:t>
            </w:r>
          </w:p>
        </w:tc>
        <w:tc>
          <w:tcPr>
            <w:tcW w:w="377"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130.79</w:t>
            </w:r>
          </w:p>
        </w:tc>
        <w:tc>
          <w:tcPr>
            <w:tcW w:w="658"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100</w:t>
            </w:r>
          </w:p>
        </w:tc>
        <w:tc>
          <w:tcPr>
            <w:tcW w:w="747" w:type="pct"/>
            <w:tcBorders>
              <w:bottom w:val="double" w:sz="4" w:space="0" w:color="auto"/>
              <w:right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1.97</w:t>
            </w:r>
          </w:p>
        </w:tc>
      </w:tr>
      <w:tr w:rsidR="001841CD" w:rsidRPr="00DA6EB8" w:rsidTr="00BD6349">
        <w:trPr>
          <w:jc w:val="center"/>
        </w:trPr>
        <w:tc>
          <w:tcPr>
            <w:tcW w:w="779" w:type="pct"/>
            <w:vMerge w:val="restart"/>
            <w:tcBorders>
              <w:top w:val="double" w:sz="4" w:space="0" w:color="auto"/>
              <w:left w:val="double" w:sz="4" w:space="0" w:color="auto"/>
            </w:tcBorders>
            <w:vAlign w:val="center"/>
          </w:tcPr>
          <w:p w:rsidR="00FC4B40" w:rsidRPr="00DA6EB8" w:rsidRDefault="00FC4B40" w:rsidP="00BD6349">
            <w:pPr>
              <w:snapToGrid w:val="0"/>
              <w:jc w:val="both"/>
              <w:rPr>
                <w:rFonts w:ascii="Times New Roman" w:hAnsi="Times New Roman" w:cs="Times New Roman"/>
                <w:i/>
                <w:iCs/>
                <w:sz w:val="20"/>
                <w:szCs w:val="20"/>
              </w:rPr>
            </w:pPr>
            <w:proofErr w:type="spellStart"/>
            <w:r w:rsidRPr="00DA6EB8">
              <w:rPr>
                <w:rFonts w:ascii="Times New Roman" w:hAnsi="Times New Roman" w:cs="Times New Roman"/>
                <w:i/>
                <w:iCs/>
                <w:sz w:val="20"/>
                <w:szCs w:val="20"/>
              </w:rPr>
              <w:t>Rhizoctonia</w:t>
            </w:r>
            <w:proofErr w:type="spellEnd"/>
            <w:r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solani</w:t>
            </w:r>
            <w:proofErr w:type="spellEnd"/>
          </w:p>
        </w:tc>
        <w:tc>
          <w:tcPr>
            <w:tcW w:w="126" w:type="pct"/>
            <w:tcBorders>
              <w:top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T</w:t>
            </w:r>
          </w:p>
        </w:tc>
        <w:tc>
          <w:tcPr>
            <w:tcW w:w="282" w:type="pct"/>
            <w:tcBorders>
              <w:top w:val="double" w:sz="4" w:space="0" w:color="auto"/>
              <w:lef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15.62</w:t>
            </w:r>
          </w:p>
        </w:tc>
        <w:tc>
          <w:tcPr>
            <w:tcW w:w="282"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37.41</w:t>
            </w:r>
          </w:p>
        </w:tc>
        <w:tc>
          <w:tcPr>
            <w:tcW w:w="282"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64.35</w:t>
            </w:r>
          </w:p>
        </w:tc>
        <w:tc>
          <w:tcPr>
            <w:tcW w:w="282"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85.47</w:t>
            </w:r>
          </w:p>
        </w:tc>
        <w:tc>
          <w:tcPr>
            <w:tcW w:w="282"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92.78</w:t>
            </w:r>
          </w:p>
        </w:tc>
        <w:tc>
          <w:tcPr>
            <w:tcW w:w="282" w:type="pct"/>
            <w:tcBorders>
              <w:top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95.96</w:t>
            </w:r>
          </w:p>
        </w:tc>
        <w:tc>
          <w:tcPr>
            <w:tcW w:w="290" w:type="pct"/>
            <w:tcBorders>
              <w:top w:val="double" w:sz="4" w:space="0" w:color="auto"/>
              <w:lef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2.05</w:t>
            </w:r>
          </w:p>
        </w:tc>
        <w:tc>
          <w:tcPr>
            <w:tcW w:w="330" w:type="pct"/>
            <w:tcBorders>
              <w:top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69.07</w:t>
            </w:r>
          </w:p>
        </w:tc>
        <w:tc>
          <w:tcPr>
            <w:tcW w:w="377"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136.12</w:t>
            </w:r>
          </w:p>
        </w:tc>
        <w:tc>
          <w:tcPr>
            <w:tcW w:w="658"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88.12</w:t>
            </w:r>
          </w:p>
        </w:tc>
        <w:tc>
          <w:tcPr>
            <w:tcW w:w="747" w:type="pct"/>
            <w:tcBorders>
              <w:top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w:t>
            </w:r>
          </w:p>
        </w:tc>
      </w:tr>
      <w:tr w:rsidR="001841CD" w:rsidRPr="00DA6EB8" w:rsidTr="00BD6349">
        <w:trPr>
          <w:jc w:val="center"/>
        </w:trPr>
        <w:tc>
          <w:tcPr>
            <w:tcW w:w="779" w:type="pct"/>
            <w:vMerge/>
            <w:tcBorders>
              <w:left w:val="double" w:sz="4" w:space="0" w:color="auto"/>
              <w:bottom w:val="double" w:sz="4" w:space="0" w:color="auto"/>
            </w:tcBorders>
            <w:vAlign w:val="center"/>
          </w:tcPr>
          <w:p w:rsidR="00FC4B40" w:rsidRPr="00DA6EB8" w:rsidRDefault="00FC4B40" w:rsidP="00BD6349">
            <w:pPr>
              <w:snapToGrid w:val="0"/>
              <w:jc w:val="both"/>
              <w:rPr>
                <w:rFonts w:ascii="Times New Roman" w:hAnsi="Times New Roman" w:cs="Times New Roman"/>
                <w:i/>
                <w:iCs/>
                <w:sz w:val="20"/>
                <w:szCs w:val="20"/>
              </w:rPr>
            </w:pPr>
          </w:p>
        </w:tc>
        <w:tc>
          <w:tcPr>
            <w:tcW w:w="126" w:type="pct"/>
            <w:tcBorders>
              <w:bottom w:val="double" w:sz="4" w:space="0" w:color="auto"/>
              <w:right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F</w:t>
            </w:r>
          </w:p>
        </w:tc>
        <w:tc>
          <w:tcPr>
            <w:tcW w:w="282" w:type="pct"/>
            <w:tcBorders>
              <w:left w:val="double" w:sz="4" w:space="0" w:color="auto"/>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21.42</w:t>
            </w:r>
          </w:p>
        </w:tc>
        <w:tc>
          <w:tcPr>
            <w:tcW w:w="282"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43.06</w:t>
            </w:r>
          </w:p>
        </w:tc>
        <w:tc>
          <w:tcPr>
            <w:tcW w:w="282"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67.08</w:t>
            </w:r>
          </w:p>
        </w:tc>
        <w:tc>
          <w:tcPr>
            <w:tcW w:w="282"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85.51</w:t>
            </w:r>
          </w:p>
        </w:tc>
        <w:tc>
          <w:tcPr>
            <w:tcW w:w="282"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92.21</w:t>
            </w:r>
          </w:p>
        </w:tc>
        <w:tc>
          <w:tcPr>
            <w:tcW w:w="282" w:type="pct"/>
            <w:tcBorders>
              <w:bottom w:val="double" w:sz="4" w:space="0" w:color="auto"/>
              <w:right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100</w:t>
            </w:r>
          </w:p>
        </w:tc>
        <w:tc>
          <w:tcPr>
            <w:tcW w:w="290" w:type="pct"/>
            <w:tcBorders>
              <w:left w:val="double" w:sz="4" w:space="0" w:color="auto"/>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2.29</w:t>
            </w:r>
          </w:p>
        </w:tc>
        <w:tc>
          <w:tcPr>
            <w:tcW w:w="330"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60.86</w:t>
            </w:r>
          </w:p>
        </w:tc>
        <w:tc>
          <w:tcPr>
            <w:tcW w:w="377"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129.84</w:t>
            </w:r>
          </w:p>
        </w:tc>
        <w:tc>
          <w:tcPr>
            <w:tcW w:w="658"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100</w:t>
            </w:r>
          </w:p>
        </w:tc>
        <w:tc>
          <w:tcPr>
            <w:tcW w:w="747" w:type="pct"/>
            <w:tcBorders>
              <w:bottom w:val="double" w:sz="4" w:space="0" w:color="auto"/>
              <w:right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1.14</w:t>
            </w:r>
          </w:p>
        </w:tc>
      </w:tr>
      <w:tr w:rsidR="001841CD" w:rsidRPr="00DA6EB8" w:rsidTr="00BD6349">
        <w:trPr>
          <w:jc w:val="center"/>
        </w:trPr>
        <w:tc>
          <w:tcPr>
            <w:tcW w:w="779" w:type="pct"/>
            <w:vMerge w:val="restart"/>
            <w:tcBorders>
              <w:top w:val="double" w:sz="4" w:space="0" w:color="auto"/>
              <w:left w:val="double" w:sz="4" w:space="0" w:color="auto"/>
            </w:tcBorders>
            <w:vAlign w:val="center"/>
          </w:tcPr>
          <w:p w:rsidR="00FC4B40" w:rsidRPr="00DA6EB8" w:rsidRDefault="00FC4B40" w:rsidP="00BD6349">
            <w:pPr>
              <w:snapToGrid w:val="0"/>
              <w:jc w:val="both"/>
              <w:rPr>
                <w:rFonts w:ascii="Times New Roman" w:hAnsi="Times New Roman" w:cs="Times New Roman"/>
                <w:i/>
                <w:iCs/>
                <w:sz w:val="20"/>
                <w:szCs w:val="20"/>
              </w:rPr>
            </w:pPr>
            <w:proofErr w:type="spellStart"/>
            <w:r w:rsidRPr="00DA6EB8">
              <w:rPr>
                <w:rFonts w:ascii="Times New Roman" w:hAnsi="Times New Roman" w:cs="Times New Roman"/>
                <w:i/>
                <w:iCs/>
                <w:sz w:val="20"/>
                <w:szCs w:val="20"/>
              </w:rPr>
              <w:t>Alternaria</w:t>
            </w:r>
            <w:proofErr w:type="spellEnd"/>
            <w:r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solani</w:t>
            </w:r>
            <w:proofErr w:type="spellEnd"/>
          </w:p>
        </w:tc>
        <w:tc>
          <w:tcPr>
            <w:tcW w:w="126" w:type="pct"/>
            <w:tcBorders>
              <w:top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T</w:t>
            </w:r>
          </w:p>
        </w:tc>
        <w:tc>
          <w:tcPr>
            <w:tcW w:w="282" w:type="pct"/>
            <w:tcBorders>
              <w:top w:val="double" w:sz="4" w:space="0" w:color="auto"/>
              <w:lef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6.47</w:t>
            </w:r>
          </w:p>
        </w:tc>
        <w:tc>
          <w:tcPr>
            <w:tcW w:w="282"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16.84</w:t>
            </w:r>
          </w:p>
        </w:tc>
        <w:tc>
          <w:tcPr>
            <w:tcW w:w="282"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34.33</w:t>
            </w:r>
          </w:p>
        </w:tc>
        <w:tc>
          <w:tcPr>
            <w:tcW w:w="282"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56.10</w:t>
            </w:r>
          </w:p>
        </w:tc>
        <w:tc>
          <w:tcPr>
            <w:tcW w:w="282"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68.42</w:t>
            </w:r>
          </w:p>
        </w:tc>
        <w:tc>
          <w:tcPr>
            <w:tcW w:w="282" w:type="pct"/>
            <w:tcBorders>
              <w:top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76.14</w:t>
            </w:r>
          </w:p>
        </w:tc>
        <w:tc>
          <w:tcPr>
            <w:tcW w:w="290" w:type="pct"/>
            <w:tcBorders>
              <w:top w:val="double" w:sz="4" w:space="0" w:color="auto"/>
              <w:lef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1.85</w:t>
            </w:r>
          </w:p>
        </w:tc>
        <w:tc>
          <w:tcPr>
            <w:tcW w:w="330" w:type="pct"/>
            <w:tcBorders>
              <w:top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165.21</w:t>
            </w:r>
          </w:p>
        </w:tc>
        <w:tc>
          <w:tcPr>
            <w:tcW w:w="377"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813.57</w:t>
            </w:r>
          </w:p>
        </w:tc>
        <w:tc>
          <w:tcPr>
            <w:tcW w:w="658"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30.6</w:t>
            </w:r>
          </w:p>
        </w:tc>
        <w:tc>
          <w:tcPr>
            <w:tcW w:w="747" w:type="pct"/>
            <w:tcBorders>
              <w:top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w:t>
            </w:r>
          </w:p>
        </w:tc>
      </w:tr>
      <w:tr w:rsidR="001841CD" w:rsidRPr="00DA6EB8" w:rsidTr="00BD6349">
        <w:trPr>
          <w:jc w:val="center"/>
        </w:trPr>
        <w:tc>
          <w:tcPr>
            <w:tcW w:w="779" w:type="pct"/>
            <w:vMerge/>
            <w:tcBorders>
              <w:left w:val="double" w:sz="4" w:space="0" w:color="auto"/>
              <w:bottom w:val="double" w:sz="4" w:space="0" w:color="auto"/>
            </w:tcBorders>
            <w:vAlign w:val="center"/>
          </w:tcPr>
          <w:p w:rsidR="00FC4B40" w:rsidRPr="00DA6EB8" w:rsidRDefault="00FC4B40" w:rsidP="00BD6349">
            <w:pPr>
              <w:snapToGrid w:val="0"/>
              <w:jc w:val="both"/>
              <w:rPr>
                <w:rFonts w:ascii="Times New Roman" w:hAnsi="Times New Roman" w:cs="Times New Roman"/>
                <w:i/>
                <w:iCs/>
                <w:sz w:val="20"/>
                <w:szCs w:val="20"/>
              </w:rPr>
            </w:pPr>
          </w:p>
        </w:tc>
        <w:tc>
          <w:tcPr>
            <w:tcW w:w="126" w:type="pct"/>
            <w:tcBorders>
              <w:bottom w:val="double" w:sz="4" w:space="0" w:color="auto"/>
              <w:right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F</w:t>
            </w:r>
          </w:p>
        </w:tc>
        <w:tc>
          <w:tcPr>
            <w:tcW w:w="282" w:type="pct"/>
            <w:tcBorders>
              <w:left w:val="double" w:sz="4" w:space="0" w:color="auto"/>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25.18</w:t>
            </w:r>
          </w:p>
        </w:tc>
        <w:tc>
          <w:tcPr>
            <w:tcW w:w="282"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49.58</w:t>
            </w:r>
          </w:p>
        </w:tc>
        <w:tc>
          <w:tcPr>
            <w:tcW w:w="282"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74.14</w:t>
            </w:r>
          </w:p>
        </w:tc>
        <w:tc>
          <w:tcPr>
            <w:tcW w:w="282"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90.41</w:t>
            </w:r>
          </w:p>
        </w:tc>
        <w:tc>
          <w:tcPr>
            <w:tcW w:w="282"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100</w:t>
            </w:r>
          </w:p>
        </w:tc>
        <w:tc>
          <w:tcPr>
            <w:tcW w:w="282" w:type="pct"/>
            <w:tcBorders>
              <w:bottom w:val="double" w:sz="4" w:space="0" w:color="auto"/>
              <w:right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100</w:t>
            </w:r>
          </w:p>
        </w:tc>
        <w:tc>
          <w:tcPr>
            <w:tcW w:w="290" w:type="pct"/>
            <w:tcBorders>
              <w:left w:val="double" w:sz="4" w:space="0" w:color="auto"/>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2.19</w:t>
            </w:r>
          </w:p>
        </w:tc>
        <w:tc>
          <w:tcPr>
            <w:tcW w:w="330"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50.56</w:t>
            </w:r>
          </w:p>
        </w:tc>
        <w:tc>
          <w:tcPr>
            <w:tcW w:w="377"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194.95</w:t>
            </w:r>
          </w:p>
        </w:tc>
        <w:tc>
          <w:tcPr>
            <w:tcW w:w="658"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100</w:t>
            </w:r>
          </w:p>
        </w:tc>
        <w:tc>
          <w:tcPr>
            <w:tcW w:w="747" w:type="pct"/>
            <w:tcBorders>
              <w:bottom w:val="double" w:sz="4" w:space="0" w:color="auto"/>
              <w:right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3.27</w:t>
            </w:r>
          </w:p>
        </w:tc>
      </w:tr>
      <w:tr w:rsidR="001841CD" w:rsidRPr="00DA6EB8" w:rsidTr="00BD6349">
        <w:trPr>
          <w:jc w:val="center"/>
        </w:trPr>
        <w:tc>
          <w:tcPr>
            <w:tcW w:w="779" w:type="pct"/>
            <w:vMerge w:val="restart"/>
            <w:tcBorders>
              <w:top w:val="double" w:sz="4" w:space="0" w:color="auto"/>
              <w:left w:val="double" w:sz="4" w:space="0" w:color="auto"/>
            </w:tcBorders>
            <w:vAlign w:val="center"/>
          </w:tcPr>
          <w:p w:rsidR="00FC4B40" w:rsidRPr="00DA6EB8" w:rsidRDefault="00FC4B40" w:rsidP="00BD6349">
            <w:pPr>
              <w:snapToGrid w:val="0"/>
              <w:jc w:val="both"/>
              <w:rPr>
                <w:rFonts w:ascii="Times New Roman" w:hAnsi="Times New Roman" w:cs="Times New Roman"/>
                <w:i/>
                <w:iCs/>
                <w:sz w:val="20"/>
                <w:szCs w:val="20"/>
              </w:rPr>
            </w:pPr>
            <w:proofErr w:type="spellStart"/>
            <w:r w:rsidRPr="00DA6EB8">
              <w:rPr>
                <w:rFonts w:ascii="Times New Roman" w:hAnsi="Times New Roman" w:cs="Times New Roman"/>
                <w:i/>
                <w:iCs/>
                <w:sz w:val="20"/>
                <w:szCs w:val="20"/>
              </w:rPr>
              <w:t>Fusarium</w:t>
            </w:r>
            <w:proofErr w:type="spellEnd"/>
            <w:r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solani</w:t>
            </w:r>
            <w:proofErr w:type="spellEnd"/>
          </w:p>
        </w:tc>
        <w:tc>
          <w:tcPr>
            <w:tcW w:w="126" w:type="pct"/>
            <w:tcBorders>
              <w:top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T</w:t>
            </w:r>
          </w:p>
        </w:tc>
        <w:tc>
          <w:tcPr>
            <w:tcW w:w="282" w:type="pct"/>
            <w:tcBorders>
              <w:top w:val="double" w:sz="4" w:space="0" w:color="auto"/>
              <w:lef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1.27</w:t>
            </w:r>
          </w:p>
        </w:tc>
        <w:tc>
          <w:tcPr>
            <w:tcW w:w="282"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4.47</w:t>
            </w:r>
          </w:p>
        </w:tc>
        <w:tc>
          <w:tcPr>
            <w:tcW w:w="282"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12.54</w:t>
            </w:r>
          </w:p>
        </w:tc>
        <w:tc>
          <w:tcPr>
            <w:tcW w:w="282"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27.55</w:t>
            </w:r>
          </w:p>
        </w:tc>
        <w:tc>
          <w:tcPr>
            <w:tcW w:w="282"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39.23</w:t>
            </w:r>
          </w:p>
        </w:tc>
        <w:tc>
          <w:tcPr>
            <w:tcW w:w="282" w:type="pct"/>
            <w:tcBorders>
              <w:top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48.25</w:t>
            </w:r>
          </w:p>
        </w:tc>
        <w:tc>
          <w:tcPr>
            <w:tcW w:w="290" w:type="pct"/>
            <w:tcBorders>
              <w:top w:val="double" w:sz="4" w:space="0" w:color="auto"/>
              <w:lef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1.84</w:t>
            </w:r>
          </w:p>
        </w:tc>
        <w:tc>
          <w:tcPr>
            <w:tcW w:w="330" w:type="pct"/>
            <w:tcBorders>
              <w:top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422.77</w:t>
            </w:r>
          </w:p>
        </w:tc>
        <w:tc>
          <w:tcPr>
            <w:tcW w:w="377"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2112.02</w:t>
            </w:r>
          </w:p>
        </w:tc>
        <w:tc>
          <w:tcPr>
            <w:tcW w:w="658" w:type="pct"/>
            <w:tcBorders>
              <w:top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49.51</w:t>
            </w:r>
          </w:p>
        </w:tc>
        <w:tc>
          <w:tcPr>
            <w:tcW w:w="747" w:type="pct"/>
            <w:tcBorders>
              <w:top w:val="double" w:sz="4" w:space="0" w:color="auto"/>
              <w:right w:val="double" w:sz="4" w:space="0" w:color="auto"/>
            </w:tcBorders>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w:t>
            </w:r>
          </w:p>
        </w:tc>
      </w:tr>
      <w:tr w:rsidR="001841CD" w:rsidRPr="00DA6EB8" w:rsidTr="00BD6349">
        <w:trPr>
          <w:jc w:val="center"/>
        </w:trPr>
        <w:tc>
          <w:tcPr>
            <w:tcW w:w="779" w:type="pct"/>
            <w:vMerge/>
            <w:tcBorders>
              <w:left w:val="double" w:sz="4" w:space="0" w:color="auto"/>
              <w:bottom w:val="double" w:sz="4" w:space="0" w:color="auto"/>
            </w:tcBorders>
            <w:vAlign w:val="center"/>
          </w:tcPr>
          <w:p w:rsidR="00FC4B40" w:rsidRPr="00DA6EB8" w:rsidRDefault="00FC4B40" w:rsidP="00BD6349">
            <w:pPr>
              <w:snapToGrid w:val="0"/>
              <w:jc w:val="both"/>
              <w:rPr>
                <w:rFonts w:ascii="Times New Roman" w:hAnsi="Times New Roman" w:cs="Times New Roman"/>
                <w:i/>
                <w:iCs/>
                <w:sz w:val="20"/>
                <w:szCs w:val="20"/>
              </w:rPr>
            </w:pPr>
          </w:p>
        </w:tc>
        <w:tc>
          <w:tcPr>
            <w:tcW w:w="126" w:type="pct"/>
            <w:tcBorders>
              <w:bottom w:val="double" w:sz="4" w:space="0" w:color="auto"/>
              <w:right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F</w:t>
            </w:r>
          </w:p>
        </w:tc>
        <w:tc>
          <w:tcPr>
            <w:tcW w:w="282" w:type="pct"/>
            <w:tcBorders>
              <w:left w:val="double" w:sz="4" w:space="0" w:color="auto"/>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0.9</w:t>
            </w:r>
          </w:p>
        </w:tc>
        <w:tc>
          <w:tcPr>
            <w:tcW w:w="282"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5.50</w:t>
            </w:r>
          </w:p>
        </w:tc>
        <w:tc>
          <w:tcPr>
            <w:tcW w:w="282"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20.46</w:t>
            </w:r>
          </w:p>
        </w:tc>
        <w:tc>
          <w:tcPr>
            <w:tcW w:w="282"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47.97</w:t>
            </w:r>
          </w:p>
        </w:tc>
        <w:tc>
          <w:tcPr>
            <w:tcW w:w="282"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65.63</w:t>
            </w:r>
          </w:p>
        </w:tc>
        <w:tc>
          <w:tcPr>
            <w:tcW w:w="282" w:type="pct"/>
            <w:tcBorders>
              <w:bottom w:val="double" w:sz="4" w:space="0" w:color="auto"/>
              <w:right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76.54</w:t>
            </w:r>
          </w:p>
        </w:tc>
        <w:tc>
          <w:tcPr>
            <w:tcW w:w="290" w:type="pct"/>
            <w:tcBorders>
              <w:left w:val="double" w:sz="4" w:space="0" w:color="auto"/>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2.57</w:t>
            </w:r>
          </w:p>
        </w:tc>
        <w:tc>
          <w:tcPr>
            <w:tcW w:w="330"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b/>
                <w:bCs/>
                <w:sz w:val="20"/>
                <w:szCs w:val="20"/>
              </w:rPr>
            </w:pPr>
            <w:r w:rsidRPr="00DA6EB8">
              <w:rPr>
                <w:rFonts w:ascii="Times New Roman" w:hAnsi="Times New Roman" w:cs="Times New Roman"/>
                <w:b/>
                <w:bCs/>
                <w:sz w:val="20"/>
                <w:szCs w:val="20"/>
              </w:rPr>
              <w:t>209.30</w:t>
            </w:r>
          </w:p>
        </w:tc>
        <w:tc>
          <w:tcPr>
            <w:tcW w:w="377"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658.89</w:t>
            </w:r>
          </w:p>
        </w:tc>
        <w:tc>
          <w:tcPr>
            <w:tcW w:w="658" w:type="pct"/>
            <w:tcBorders>
              <w:bottom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100</w:t>
            </w:r>
          </w:p>
        </w:tc>
        <w:tc>
          <w:tcPr>
            <w:tcW w:w="747" w:type="pct"/>
            <w:tcBorders>
              <w:bottom w:val="double" w:sz="4" w:space="0" w:color="auto"/>
              <w:right w:val="double" w:sz="4" w:space="0" w:color="auto"/>
            </w:tcBorders>
            <w:shd w:val="clear" w:color="auto" w:fill="F2F2F2" w:themeFill="background1" w:themeFillShade="F2"/>
            <w:vAlign w:val="center"/>
          </w:tcPr>
          <w:p w:rsidR="00FC4B40" w:rsidRPr="00DA6EB8" w:rsidRDefault="00FC4B40" w:rsidP="00BD6349">
            <w:pPr>
              <w:snapToGrid w:val="0"/>
              <w:jc w:val="both"/>
              <w:rPr>
                <w:rFonts w:ascii="Times New Roman" w:hAnsi="Times New Roman" w:cs="Times New Roman"/>
                <w:sz w:val="20"/>
                <w:szCs w:val="20"/>
              </w:rPr>
            </w:pPr>
            <w:r w:rsidRPr="00DA6EB8">
              <w:rPr>
                <w:rFonts w:ascii="Times New Roman" w:hAnsi="Times New Roman" w:cs="Times New Roman"/>
                <w:sz w:val="20"/>
                <w:szCs w:val="20"/>
              </w:rPr>
              <w:t>1.58</w:t>
            </w:r>
          </w:p>
        </w:tc>
      </w:tr>
    </w:tbl>
    <w:p w:rsidR="00D10E3C" w:rsidRPr="00DA6EB8" w:rsidRDefault="00D10E3C" w:rsidP="00BD6349">
      <w:pPr>
        <w:snapToGrid w:val="0"/>
        <w:spacing w:after="0" w:line="240" w:lineRule="auto"/>
        <w:ind w:firstLine="425"/>
        <w:jc w:val="both"/>
        <w:rPr>
          <w:rFonts w:ascii="Times New Roman" w:hAnsi="Times New Roman" w:cs="Times New Roman"/>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841"/>
        <w:gridCol w:w="4633"/>
      </w:tblGrid>
      <w:tr w:rsidR="004604AE" w:rsidRPr="00DA6EB8" w:rsidTr="001841CD">
        <w:trPr>
          <w:jc w:val="center"/>
        </w:trPr>
        <w:tc>
          <w:tcPr>
            <w:tcW w:w="2555" w:type="pct"/>
            <w:vAlign w:val="center"/>
          </w:tcPr>
          <w:p w:rsidR="004604AE" w:rsidRPr="00DA6EB8" w:rsidRDefault="004604AE" w:rsidP="00B51E6A">
            <w:pPr>
              <w:snapToGrid w:val="0"/>
              <w:jc w:val="center"/>
              <w:rPr>
                <w:rFonts w:ascii="Times New Roman" w:hAnsi="Times New Roman" w:cs="Times New Roman"/>
                <w:sz w:val="20"/>
                <w:szCs w:val="20"/>
              </w:rPr>
            </w:pPr>
            <w:r w:rsidRPr="00DA6EB8">
              <w:rPr>
                <w:rFonts w:ascii="Times New Roman" w:hAnsi="Times New Roman" w:cs="Times New Roman"/>
                <w:noProof/>
                <w:sz w:val="20"/>
                <w:szCs w:val="20"/>
                <w:lang w:eastAsia="zh-CN"/>
              </w:rPr>
              <w:drawing>
                <wp:inline distT="0" distB="0" distL="0" distR="0">
                  <wp:extent cx="2750655" cy="1840146"/>
                  <wp:effectExtent l="1905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7" cstate="print"/>
                          <a:srcRect/>
                          <a:stretch>
                            <a:fillRect/>
                          </a:stretch>
                        </pic:blipFill>
                        <pic:spPr bwMode="auto">
                          <a:xfrm>
                            <a:off x="0" y="0"/>
                            <a:ext cx="2753779" cy="1842236"/>
                          </a:xfrm>
                          <a:prstGeom prst="rect">
                            <a:avLst/>
                          </a:prstGeom>
                          <a:noFill/>
                          <a:ln w="9525">
                            <a:noFill/>
                            <a:miter lim="800000"/>
                            <a:headEnd/>
                            <a:tailEnd/>
                          </a:ln>
                        </pic:spPr>
                      </pic:pic>
                    </a:graphicData>
                  </a:graphic>
                </wp:inline>
              </w:drawing>
            </w:r>
          </w:p>
        </w:tc>
        <w:tc>
          <w:tcPr>
            <w:tcW w:w="2445" w:type="pct"/>
            <w:vAlign w:val="center"/>
          </w:tcPr>
          <w:p w:rsidR="004604AE" w:rsidRPr="00DA6EB8" w:rsidRDefault="004604AE" w:rsidP="00B51E6A">
            <w:pPr>
              <w:snapToGrid w:val="0"/>
              <w:jc w:val="center"/>
              <w:rPr>
                <w:rFonts w:ascii="Times New Roman" w:hAnsi="Times New Roman" w:cs="Times New Roman"/>
                <w:sz w:val="20"/>
                <w:szCs w:val="20"/>
              </w:rPr>
            </w:pPr>
            <w:r w:rsidRPr="00DA6EB8">
              <w:rPr>
                <w:rFonts w:ascii="Times New Roman" w:hAnsi="Times New Roman" w:cs="Times New Roman"/>
                <w:noProof/>
                <w:sz w:val="20"/>
                <w:szCs w:val="20"/>
                <w:lang w:eastAsia="zh-CN"/>
              </w:rPr>
              <w:drawing>
                <wp:inline distT="0" distB="0" distL="0" distR="0">
                  <wp:extent cx="2623795" cy="1802296"/>
                  <wp:effectExtent l="19050" t="0" r="510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8" cstate="print"/>
                          <a:srcRect/>
                          <a:stretch>
                            <a:fillRect/>
                          </a:stretch>
                        </pic:blipFill>
                        <pic:spPr bwMode="auto">
                          <a:xfrm>
                            <a:off x="0" y="0"/>
                            <a:ext cx="2624910" cy="1803062"/>
                          </a:xfrm>
                          <a:prstGeom prst="rect">
                            <a:avLst/>
                          </a:prstGeom>
                          <a:noFill/>
                          <a:ln w="9525">
                            <a:noFill/>
                            <a:miter lim="800000"/>
                            <a:headEnd/>
                            <a:tailEnd/>
                          </a:ln>
                        </pic:spPr>
                      </pic:pic>
                    </a:graphicData>
                  </a:graphic>
                </wp:inline>
              </w:drawing>
            </w:r>
          </w:p>
        </w:tc>
      </w:tr>
    </w:tbl>
    <w:p w:rsidR="00F7533A" w:rsidRPr="00DA6EB8" w:rsidRDefault="00F7533A" w:rsidP="00B51E6A">
      <w:pPr>
        <w:snapToGrid w:val="0"/>
        <w:spacing w:after="0" w:line="240" w:lineRule="auto"/>
        <w:jc w:val="both"/>
        <w:rPr>
          <w:rFonts w:ascii="Times New Roman" w:hAnsi="Times New Roman" w:cs="Times New Roman"/>
          <w:i/>
          <w:iCs/>
          <w:sz w:val="20"/>
          <w:szCs w:val="20"/>
          <w:lang w:eastAsia="zh-CN" w:bidi="ar-EG"/>
        </w:rPr>
      </w:pPr>
      <w:r w:rsidRPr="00DA6EB8">
        <w:rPr>
          <w:rFonts w:ascii="Times New Roman" w:hAnsi="Times New Roman" w:cs="Times New Roman"/>
          <w:b/>
          <w:bCs/>
          <w:sz w:val="20"/>
          <w:szCs w:val="20"/>
        </w:rPr>
        <w:t>Fig.</w:t>
      </w:r>
      <w:r w:rsidR="00D655AC" w:rsidRPr="00DA6EB8">
        <w:rPr>
          <w:rFonts w:ascii="Times New Roman" w:hAnsi="Times New Roman" w:cs="Times New Roman"/>
          <w:b/>
          <w:bCs/>
          <w:sz w:val="20"/>
          <w:szCs w:val="20"/>
        </w:rPr>
        <w:t xml:space="preserve"> </w:t>
      </w:r>
      <w:r w:rsidRPr="00DA6EB8">
        <w:rPr>
          <w:rFonts w:ascii="Times New Roman" w:hAnsi="Times New Roman" w:cs="Times New Roman"/>
          <w:b/>
          <w:bCs/>
          <w:sz w:val="20"/>
          <w:szCs w:val="20"/>
        </w:rPr>
        <w:t>(</w:t>
      </w:r>
      <w:r w:rsidR="0042684F" w:rsidRPr="00DA6EB8">
        <w:rPr>
          <w:rFonts w:ascii="Times New Roman" w:hAnsi="Times New Roman" w:cs="Times New Roman"/>
          <w:b/>
          <w:bCs/>
          <w:sz w:val="20"/>
          <w:szCs w:val="20"/>
        </w:rPr>
        <w:t>2</w:t>
      </w:r>
      <w:r w:rsidRPr="00DA6EB8">
        <w:rPr>
          <w:rFonts w:ascii="Times New Roman" w:hAnsi="Times New Roman" w:cs="Times New Roman"/>
          <w:b/>
          <w:bCs/>
          <w:sz w:val="20"/>
          <w:szCs w:val="20"/>
        </w:rPr>
        <w:t xml:space="preserve">): </w:t>
      </w:r>
      <w:r w:rsidRPr="00DA6EB8">
        <w:rPr>
          <w:rFonts w:ascii="Times New Roman" w:hAnsi="Times New Roman" w:cs="Times New Roman"/>
          <w:sz w:val="20"/>
          <w:szCs w:val="20"/>
        </w:rPr>
        <w:t xml:space="preserve">Ldp lines of the selected </w:t>
      </w:r>
      <w:r w:rsidRPr="00DA6EB8">
        <w:rPr>
          <w:rFonts w:ascii="Times New Roman" w:hAnsi="Times New Roman" w:cs="Times New Roman"/>
          <w:i/>
          <w:iCs/>
          <w:sz w:val="20"/>
          <w:szCs w:val="20"/>
          <w:lang w:bidi="ar-EG"/>
        </w:rPr>
        <w:t>trans-</w:t>
      </w:r>
      <w:r w:rsidRPr="00DA6EB8">
        <w:rPr>
          <w:rFonts w:ascii="Times New Roman" w:hAnsi="Times New Roman" w:cs="Times New Roman"/>
          <w:sz w:val="20"/>
          <w:szCs w:val="20"/>
          <w:lang w:bidi="ar-EG"/>
        </w:rPr>
        <w:t xml:space="preserve">methyl </w:t>
      </w:r>
      <w:proofErr w:type="spellStart"/>
      <w:r w:rsidRPr="00DA6EB8">
        <w:rPr>
          <w:rFonts w:ascii="Times New Roman" w:hAnsi="Times New Roman" w:cs="Times New Roman"/>
          <w:sz w:val="20"/>
          <w:szCs w:val="20"/>
          <w:lang w:bidi="ar-EG"/>
        </w:rPr>
        <w:t>cinnamate</w:t>
      </w:r>
      <w:proofErr w:type="spellEnd"/>
      <w:r w:rsidRPr="00DA6EB8">
        <w:rPr>
          <w:rFonts w:ascii="Times New Roman" w:hAnsi="Times New Roman" w:cs="Times New Roman"/>
          <w:sz w:val="20"/>
          <w:szCs w:val="20"/>
          <w:lang w:bidi="ar-EG"/>
        </w:rPr>
        <w:t xml:space="preserve"> 99% (MC 99% TC) and </w:t>
      </w:r>
      <w:proofErr w:type="spellStart"/>
      <w:r w:rsidRPr="00DA6EB8">
        <w:rPr>
          <w:rFonts w:ascii="Times New Roman" w:hAnsi="Times New Roman" w:cs="Times New Roman"/>
          <w:sz w:val="20"/>
          <w:szCs w:val="20"/>
          <w:lang w:bidi="ar-EG"/>
        </w:rPr>
        <w:t>microemulsion</w:t>
      </w:r>
      <w:proofErr w:type="spellEnd"/>
      <w:r w:rsidRPr="00DA6EB8">
        <w:rPr>
          <w:rFonts w:ascii="Times New Roman" w:hAnsi="Times New Roman" w:cs="Times New Roman"/>
          <w:sz w:val="20"/>
          <w:szCs w:val="20"/>
          <w:lang w:bidi="ar-EG"/>
        </w:rPr>
        <w:t xml:space="preserve"> 10% formulation (MC 10% ME) on (A) </w:t>
      </w:r>
      <w:proofErr w:type="spellStart"/>
      <w:r w:rsidRPr="00DA6EB8">
        <w:rPr>
          <w:rFonts w:ascii="Times New Roman" w:hAnsi="Times New Roman" w:cs="Times New Roman"/>
          <w:i/>
          <w:iCs/>
          <w:sz w:val="20"/>
          <w:szCs w:val="20"/>
          <w:lang w:bidi="ar-EG"/>
        </w:rPr>
        <w:t>Sclerotium</w:t>
      </w:r>
      <w:proofErr w:type="spellEnd"/>
      <w:r w:rsidRPr="00DA6EB8">
        <w:rPr>
          <w:rFonts w:ascii="Times New Roman" w:hAnsi="Times New Roman" w:cs="Times New Roman"/>
          <w:i/>
          <w:iCs/>
          <w:sz w:val="20"/>
          <w:szCs w:val="20"/>
          <w:lang w:bidi="ar-EG"/>
        </w:rPr>
        <w:t xml:space="preserve"> </w:t>
      </w:r>
      <w:proofErr w:type="spellStart"/>
      <w:r w:rsidRPr="00DA6EB8">
        <w:rPr>
          <w:rFonts w:ascii="Times New Roman" w:hAnsi="Times New Roman" w:cs="Times New Roman"/>
          <w:i/>
          <w:iCs/>
          <w:sz w:val="20"/>
          <w:szCs w:val="20"/>
          <w:lang w:bidi="ar-EG"/>
        </w:rPr>
        <w:t>rolfsii</w:t>
      </w:r>
      <w:proofErr w:type="spellEnd"/>
      <w:r w:rsidR="00B51E6A" w:rsidRPr="00DA6EB8">
        <w:rPr>
          <w:rFonts w:ascii="Times New Roman" w:hAnsi="Times New Roman" w:cs="Times New Roman"/>
          <w:i/>
          <w:iCs/>
          <w:sz w:val="20"/>
          <w:szCs w:val="20"/>
          <w:lang w:bidi="ar-EG"/>
        </w:rPr>
        <w:t xml:space="preserve">, </w:t>
      </w:r>
      <w:r w:rsidR="00B51E6A" w:rsidRPr="00DA6EB8">
        <w:rPr>
          <w:rFonts w:ascii="Times New Roman" w:hAnsi="Times New Roman" w:cs="Times New Roman"/>
          <w:sz w:val="20"/>
          <w:szCs w:val="20"/>
          <w:lang w:bidi="ar-EG"/>
        </w:rPr>
        <w:t>a</w:t>
      </w:r>
      <w:r w:rsidRPr="00DA6EB8">
        <w:rPr>
          <w:rFonts w:ascii="Times New Roman" w:hAnsi="Times New Roman" w:cs="Times New Roman"/>
          <w:sz w:val="20"/>
          <w:szCs w:val="20"/>
          <w:lang w:bidi="ar-EG"/>
        </w:rPr>
        <w:t>n</w:t>
      </w:r>
      <w:r w:rsidR="001841CD" w:rsidRPr="00DA6EB8">
        <w:rPr>
          <w:rFonts w:ascii="Times New Roman" w:hAnsi="Times New Roman" w:cs="Times New Roman"/>
          <w:sz w:val="20"/>
          <w:szCs w:val="20"/>
          <w:lang w:bidi="ar-EG"/>
        </w:rPr>
        <w:t>d (</w:t>
      </w:r>
      <w:r w:rsidRPr="00DA6EB8">
        <w:rPr>
          <w:rFonts w:ascii="Times New Roman" w:hAnsi="Times New Roman" w:cs="Times New Roman"/>
          <w:sz w:val="20"/>
          <w:szCs w:val="20"/>
          <w:lang w:bidi="ar-EG"/>
        </w:rPr>
        <w:t xml:space="preserve">B) </w:t>
      </w:r>
      <w:proofErr w:type="spellStart"/>
      <w:r w:rsidRPr="00DA6EB8">
        <w:rPr>
          <w:rFonts w:ascii="Times New Roman" w:hAnsi="Times New Roman" w:cs="Times New Roman"/>
          <w:i/>
          <w:iCs/>
          <w:sz w:val="20"/>
          <w:szCs w:val="20"/>
          <w:lang w:bidi="ar-EG"/>
        </w:rPr>
        <w:t>Rhizoctonia</w:t>
      </w:r>
      <w:proofErr w:type="spellEnd"/>
      <w:r w:rsidRPr="00DA6EB8">
        <w:rPr>
          <w:rFonts w:ascii="Times New Roman" w:hAnsi="Times New Roman" w:cs="Times New Roman"/>
          <w:i/>
          <w:iCs/>
          <w:sz w:val="20"/>
          <w:szCs w:val="20"/>
          <w:lang w:bidi="ar-EG"/>
        </w:rPr>
        <w:t xml:space="preserve"> </w:t>
      </w:r>
      <w:proofErr w:type="spellStart"/>
      <w:r w:rsidRPr="00DA6EB8">
        <w:rPr>
          <w:rFonts w:ascii="Times New Roman" w:hAnsi="Times New Roman" w:cs="Times New Roman"/>
          <w:i/>
          <w:iCs/>
          <w:sz w:val="20"/>
          <w:szCs w:val="20"/>
          <w:lang w:bidi="ar-EG"/>
        </w:rPr>
        <w:t>solani</w:t>
      </w:r>
      <w:proofErr w:type="spellEnd"/>
    </w:p>
    <w:p w:rsidR="00B51E6A" w:rsidRPr="00DA6EB8" w:rsidRDefault="00B51E6A" w:rsidP="00B51E6A">
      <w:pPr>
        <w:snapToGrid w:val="0"/>
        <w:spacing w:after="0" w:line="240" w:lineRule="auto"/>
        <w:jc w:val="both"/>
        <w:rPr>
          <w:rFonts w:ascii="Times New Roman" w:hAnsi="Times New Roman" w:cs="Times New Roman"/>
          <w:sz w:val="20"/>
          <w:szCs w:val="20"/>
          <w:lang w:eastAsia="zh-C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39"/>
        <w:gridCol w:w="4735"/>
      </w:tblGrid>
      <w:tr w:rsidR="004604AE" w:rsidRPr="00DA6EB8" w:rsidTr="001841CD">
        <w:trPr>
          <w:jc w:val="center"/>
        </w:trPr>
        <w:tc>
          <w:tcPr>
            <w:tcW w:w="2501" w:type="pct"/>
            <w:vAlign w:val="center"/>
          </w:tcPr>
          <w:p w:rsidR="004604AE" w:rsidRPr="00DA6EB8" w:rsidRDefault="004604AE" w:rsidP="00B51E6A">
            <w:pPr>
              <w:snapToGrid w:val="0"/>
              <w:jc w:val="center"/>
              <w:rPr>
                <w:rFonts w:ascii="Times New Roman" w:hAnsi="Times New Roman" w:cs="Times New Roman"/>
                <w:sz w:val="20"/>
                <w:szCs w:val="20"/>
              </w:rPr>
            </w:pPr>
            <w:r w:rsidRPr="00DA6EB8">
              <w:rPr>
                <w:rFonts w:ascii="Times New Roman" w:hAnsi="Times New Roman" w:cs="Times New Roman"/>
                <w:noProof/>
                <w:sz w:val="20"/>
                <w:szCs w:val="20"/>
                <w:lang w:eastAsia="zh-CN"/>
              </w:rPr>
              <w:drawing>
                <wp:inline distT="0" distB="0" distL="0" distR="0">
                  <wp:extent cx="2651263" cy="1837272"/>
                  <wp:effectExtent l="1905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 cstate="print"/>
                          <a:srcRect/>
                          <a:stretch>
                            <a:fillRect/>
                          </a:stretch>
                        </pic:blipFill>
                        <pic:spPr bwMode="auto">
                          <a:xfrm>
                            <a:off x="0" y="0"/>
                            <a:ext cx="2651336" cy="1837322"/>
                          </a:xfrm>
                          <a:prstGeom prst="rect">
                            <a:avLst/>
                          </a:prstGeom>
                          <a:noFill/>
                          <a:ln w="9525">
                            <a:noFill/>
                            <a:miter lim="800000"/>
                            <a:headEnd/>
                            <a:tailEnd/>
                          </a:ln>
                        </pic:spPr>
                      </pic:pic>
                    </a:graphicData>
                  </a:graphic>
                </wp:inline>
              </w:drawing>
            </w:r>
          </w:p>
        </w:tc>
        <w:tc>
          <w:tcPr>
            <w:tcW w:w="2499" w:type="pct"/>
            <w:vAlign w:val="center"/>
          </w:tcPr>
          <w:p w:rsidR="004604AE" w:rsidRPr="00DA6EB8" w:rsidRDefault="004604AE" w:rsidP="00B51E6A">
            <w:pPr>
              <w:snapToGrid w:val="0"/>
              <w:jc w:val="center"/>
              <w:rPr>
                <w:rFonts w:ascii="Times New Roman" w:hAnsi="Times New Roman" w:cs="Times New Roman"/>
                <w:sz w:val="20"/>
                <w:szCs w:val="20"/>
              </w:rPr>
            </w:pPr>
            <w:r w:rsidRPr="00DA6EB8">
              <w:rPr>
                <w:rFonts w:ascii="Times New Roman" w:hAnsi="Times New Roman" w:cs="Times New Roman"/>
                <w:noProof/>
                <w:sz w:val="20"/>
                <w:szCs w:val="20"/>
                <w:lang w:eastAsia="zh-CN"/>
              </w:rPr>
              <w:drawing>
                <wp:inline distT="0" distB="0" distL="0" distR="0">
                  <wp:extent cx="2648703" cy="1815548"/>
                  <wp:effectExtent l="1905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 cstate="print"/>
                          <a:srcRect/>
                          <a:stretch>
                            <a:fillRect/>
                          </a:stretch>
                        </pic:blipFill>
                        <pic:spPr bwMode="auto">
                          <a:xfrm>
                            <a:off x="0" y="0"/>
                            <a:ext cx="2649430" cy="1816046"/>
                          </a:xfrm>
                          <a:prstGeom prst="rect">
                            <a:avLst/>
                          </a:prstGeom>
                          <a:noFill/>
                          <a:ln w="9525">
                            <a:noFill/>
                            <a:miter lim="800000"/>
                            <a:headEnd/>
                            <a:tailEnd/>
                          </a:ln>
                        </pic:spPr>
                      </pic:pic>
                    </a:graphicData>
                  </a:graphic>
                </wp:inline>
              </w:drawing>
            </w:r>
          </w:p>
        </w:tc>
      </w:tr>
    </w:tbl>
    <w:p w:rsidR="00225FBF" w:rsidRPr="00DA6EB8" w:rsidRDefault="00F7533A" w:rsidP="00B51E6A">
      <w:pPr>
        <w:snapToGrid w:val="0"/>
        <w:spacing w:after="0" w:line="240" w:lineRule="auto"/>
        <w:jc w:val="both"/>
        <w:rPr>
          <w:rFonts w:ascii="Times New Roman" w:hAnsi="Times New Roman" w:cs="Times New Roman"/>
          <w:i/>
          <w:iCs/>
          <w:sz w:val="20"/>
          <w:szCs w:val="20"/>
          <w:lang w:bidi="ar-EG"/>
        </w:rPr>
      </w:pPr>
      <w:r w:rsidRPr="00DA6EB8">
        <w:rPr>
          <w:rFonts w:ascii="Times New Roman" w:hAnsi="Times New Roman" w:cs="Times New Roman"/>
          <w:b/>
          <w:bCs/>
          <w:sz w:val="20"/>
          <w:szCs w:val="20"/>
        </w:rPr>
        <w:t>Fig</w:t>
      </w:r>
      <w:r w:rsidR="001841CD" w:rsidRPr="00DA6EB8">
        <w:rPr>
          <w:rFonts w:ascii="Times New Roman" w:hAnsi="Times New Roman" w:cs="Times New Roman"/>
          <w:b/>
          <w:bCs/>
          <w:sz w:val="20"/>
          <w:szCs w:val="20"/>
        </w:rPr>
        <w:t>. (</w:t>
      </w:r>
      <w:r w:rsidR="0042684F" w:rsidRPr="00DA6EB8">
        <w:rPr>
          <w:rFonts w:ascii="Times New Roman" w:hAnsi="Times New Roman" w:cs="Times New Roman"/>
          <w:b/>
          <w:bCs/>
          <w:sz w:val="20"/>
          <w:szCs w:val="20"/>
        </w:rPr>
        <w:t>3</w:t>
      </w:r>
      <w:r w:rsidRPr="00DA6EB8">
        <w:rPr>
          <w:rFonts w:ascii="Times New Roman" w:hAnsi="Times New Roman" w:cs="Times New Roman"/>
          <w:b/>
          <w:bCs/>
          <w:sz w:val="20"/>
          <w:szCs w:val="20"/>
        </w:rPr>
        <w:t xml:space="preserve">): </w:t>
      </w:r>
      <w:r w:rsidRPr="00DA6EB8">
        <w:rPr>
          <w:rFonts w:ascii="Times New Roman" w:hAnsi="Times New Roman" w:cs="Times New Roman"/>
          <w:sz w:val="20"/>
          <w:szCs w:val="20"/>
        </w:rPr>
        <w:t xml:space="preserve">Ldp lines of the selected </w:t>
      </w:r>
      <w:r w:rsidRPr="00DA6EB8">
        <w:rPr>
          <w:rFonts w:ascii="Times New Roman" w:hAnsi="Times New Roman" w:cs="Times New Roman"/>
          <w:i/>
          <w:iCs/>
          <w:sz w:val="20"/>
          <w:szCs w:val="20"/>
          <w:lang w:bidi="ar-EG"/>
        </w:rPr>
        <w:t>trans-</w:t>
      </w:r>
      <w:r w:rsidRPr="00DA6EB8">
        <w:rPr>
          <w:rFonts w:ascii="Times New Roman" w:hAnsi="Times New Roman" w:cs="Times New Roman"/>
          <w:sz w:val="20"/>
          <w:szCs w:val="20"/>
          <w:lang w:bidi="ar-EG"/>
        </w:rPr>
        <w:t xml:space="preserve">methyl </w:t>
      </w:r>
      <w:proofErr w:type="spellStart"/>
      <w:r w:rsidRPr="00DA6EB8">
        <w:rPr>
          <w:rFonts w:ascii="Times New Roman" w:hAnsi="Times New Roman" w:cs="Times New Roman"/>
          <w:sz w:val="20"/>
          <w:szCs w:val="20"/>
          <w:lang w:bidi="ar-EG"/>
        </w:rPr>
        <w:t>cinnamate</w:t>
      </w:r>
      <w:proofErr w:type="spellEnd"/>
      <w:r w:rsidRPr="00DA6EB8">
        <w:rPr>
          <w:rFonts w:ascii="Times New Roman" w:hAnsi="Times New Roman" w:cs="Times New Roman"/>
          <w:sz w:val="20"/>
          <w:szCs w:val="20"/>
          <w:lang w:bidi="ar-EG"/>
        </w:rPr>
        <w:t xml:space="preserve"> 99% (MC 99% TC) and </w:t>
      </w:r>
      <w:proofErr w:type="spellStart"/>
      <w:r w:rsidRPr="00DA6EB8">
        <w:rPr>
          <w:rFonts w:ascii="Times New Roman" w:hAnsi="Times New Roman" w:cs="Times New Roman"/>
          <w:sz w:val="20"/>
          <w:szCs w:val="20"/>
          <w:lang w:bidi="ar-EG"/>
        </w:rPr>
        <w:t>microemulsion</w:t>
      </w:r>
      <w:proofErr w:type="spellEnd"/>
      <w:r w:rsidRPr="00DA6EB8">
        <w:rPr>
          <w:rFonts w:ascii="Times New Roman" w:hAnsi="Times New Roman" w:cs="Times New Roman"/>
          <w:sz w:val="20"/>
          <w:szCs w:val="20"/>
          <w:lang w:bidi="ar-EG"/>
        </w:rPr>
        <w:t xml:space="preserve"> 10% formulation (MC 10% ME) on (C)</w:t>
      </w:r>
      <w:r w:rsidRPr="00DA6EB8">
        <w:rPr>
          <w:rFonts w:ascii="Times New Roman" w:hAnsi="Times New Roman" w:cs="Times New Roman"/>
          <w:i/>
          <w:iCs/>
          <w:sz w:val="20"/>
          <w:szCs w:val="20"/>
          <w:lang w:bidi="ar-EG"/>
        </w:rPr>
        <w:t xml:space="preserve"> </w:t>
      </w:r>
      <w:proofErr w:type="spellStart"/>
      <w:r w:rsidRPr="00DA6EB8">
        <w:rPr>
          <w:rFonts w:ascii="Times New Roman" w:hAnsi="Times New Roman" w:cs="Times New Roman"/>
          <w:i/>
          <w:iCs/>
          <w:sz w:val="20"/>
          <w:szCs w:val="20"/>
          <w:lang w:bidi="ar-EG"/>
        </w:rPr>
        <w:t>Alternaria</w:t>
      </w:r>
      <w:proofErr w:type="spellEnd"/>
      <w:r w:rsidRPr="00DA6EB8">
        <w:rPr>
          <w:rFonts w:ascii="Times New Roman" w:hAnsi="Times New Roman" w:cs="Times New Roman"/>
          <w:i/>
          <w:iCs/>
          <w:sz w:val="20"/>
          <w:szCs w:val="20"/>
          <w:lang w:bidi="ar-EG"/>
        </w:rPr>
        <w:t xml:space="preserve"> </w:t>
      </w:r>
      <w:proofErr w:type="spellStart"/>
      <w:r w:rsidRPr="00DA6EB8">
        <w:rPr>
          <w:rFonts w:ascii="Times New Roman" w:hAnsi="Times New Roman" w:cs="Times New Roman"/>
          <w:i/>
          <w:iCs/>
          <w:sz w:val="20"/>
          <w:szCs w:val="20"/>
          <w:lang w:bidi="ar-EG"/>
        </w:rPr>
        <w:t>solani</w:t>
      </w:r>
      <w:proofErr w:type="spellEnd"/>
      <w:r w:rsidRPr="00DA6EB8">
        <w:rPr>
          <w:rFonts w:ascii="Times New Roman" w:hAnsi="Times New Roman" w:cs="Times New Roman"/>
          <w:i/>
          <w:iCs/>
          <w:sz w:val="20"/>
          <w:szCs w:val="20"/>
          <w:lang w:bidi="ar-EG"/>
        </w:rPr>
        <w:t xml:space="preserve"> </w:t>
      </w:r>
      <w:r w:rsidRPr="00DA6EB8">
        <w:rPr>
          <w:rFonts w:ascii="Times New Roman" w:hAnsi="Times New Roman" w:cs="Times New Roman"/>
          <w:sz w:val="20"/>
          <w:szCs w:val="20"/>
          <w:lang w:bidi="ar-EG"/>
        </w:rPr>
        <w:t>an</w:t>
      </w:r>
      <w:r w:rsidR="001841CD" w:rsidRPr="00DA6EB8">
        <w:rPr>
          <w:rFonts w:ascii="Times New Roman" w:hAnsi="Times New Roman" w:cs="Times New Roman"/>
          <w:sz w:val="20"/>
          <w:szCs w:val="20"/>
          <w:lang w:bidi="ar-EG"/>
        </w:rPr>
        <w:t>d (</w:t>
      </w:r>
      <w:r w:rsidRPr="00DA6EB8">
        <w:rPr>
          <w:rFonts w:ascii="Times New Roman" w:hAnsi="Times New Roman" w:cs="Times New Roman"/>
          <w:sz w:val="20"/>
          <w:szCs w:val="20"/>
          <w:lang w:bidi="ar-EG"/>
        </w:rPr>
        <w:t>D</w:t>
      </w:r>
      <w:r w:rsidR="00B51E6A" w:rsidRPr="00DA6EB8">
        <w:rPr>
          <w:rFonts w:ascii="Times New Roman" w:hAnsi="Times New Roman" w:cs="Times New Roman"/>
          <w:sz w:val="20"/>
          <w:szCs w:val="20"/>
          <w:lang w:bidi="ar-EG"/>
        </w:rPr>
        <w:t xml:space="preserve">) </w:t>
      </w:r>
      <w:proofErr w:type="spellStart"/>
      <w:r w:rsidR="00B51E6A" w:rsidRPr="00DA6EB8">
        <w:rPr>
          <w:rFonts w:ascii="Times New Roman" w:hAnsi="Times New Roman" w:cs="Times New Roman"/>
          <w:i/>
          <w:iCs/>
          <w:sz w:val="20"/>
          <w:szCs w:val="20"/>
          <w:lang w:bidi="ar-EG"/>
        </w:rPr>
        <w:t>F</w:t>
      </w:r>
      <w:r w:rsidRPr="00DA6EB8">
        <w:rPr>
          <w:rFonts w:ascii="Times New Roman" w:hAnsi="Times New Roman" w:cs="Times New Roman"/>
          <w:i/>
          <w:iCs/>
          <w:sz w:val="20"/>
          <w:szCs w:val="20"/>
          <w:lang w:bidi="ar-EG"/>
        </w:rPr>
        <w:t>usarium</w:t>
      </w:r>
      <w:proofErr w:type="spellEnd"/>
      <w:r w:rsidRPr="00DA6EB8">
        <w:rPr>
          <w:rFonts w:ascii="Times New Roman" w:hAnsi="Times New Roman" w:cs="Times New Roman"/>
          <w:i/>
          <w:iCs/>
          <w:sz w:val="20"/>
          <w:szCs w:val="20"/>
          <w:lang w:bidi="ar-EG"/>
        </w:rPr>
        <w:t xml:space="preserve"> </w:t>
      </w:r>
      <w:proofErr w:type="spellStart"/>
      <w:r w:rsidRPr="00DA6EB8">
        <w:rPr>
          <w:rFonts w:ascii="Times New Roman" w:hAnsi="Times New Roman" w:cs="Times New Roman"/>
          <w:i/>
          <w:iCs/>
          <w:sz w:val="20"/>
          <w:szCs w:val="20"/>
          <w:lang w:bidi="ar-EG"/>
        </w:rPr>
        <w:t>solani</w:t>
      </w:r>
      <w:proofErr w:type="spellEnd"/>
    </w:p>
    <w:p w:rsidR="001841CD" w:rsidRPr="00DA6EB8" w:rsidRDefault="001841CD" w:rsidP="00BD6349">
      <w:pPr>
        <w:autoSpaceDE w:val="0"/>
        <w:autoSpaceDN w:val="0"/>
        <w:adjustRightInd w:val="0"/>
        <w:snapToGrid w:val="0"/>
        <w:spacing w:after="0" w:line="240" w:lineRule="auto"/>
        <w:jc w:val="both"/>
        <w:rPr>
          <w:rFonts w:ascii="Times New Roman" w:hAnsi="Times New Roman" w:cs="Times New Roman"/>
          <w:b/>
          <w:bCs/>
          <w:sz w:val="20"/>
          <w:szCs w:val="20"/>
        </w:rPr>
      </w:pPr>
    </w:p>
    <w:p w:rsidR="00BD6349" w:rsidRPr="00DA6EB8" w:rsidRDefault="00BD6349" w:rsidP="00BD6349">
      <w:pPr>
        <w:autoSpaceDE w:val="0"/>
        <w:autoSpaceDN w:val="0"/>
        <w:adjustRightInd w:val="0"/>
        <w:snapToGrid w:val="0"/>
        <w:spacing w:after="0" w:line="240" w:lineRule="auto"/>
        <w:jc w:val="both"/>
        <w:rPr>
          <w:rFonts w:ascii="Times New Roman" w:hAnsi="Times New Roman" w:cs="Times New Roman"/>
          <w:b/>
          <w:bCs/>
          <w:sz w:val="20"/>
          <w:szCs w:val="20"/>
        </w:rPr>
        <w:sectPr w:rsidR="00BD6349" w:rsidRPr="00DA6EB8" w:rsidSect="001841CD">
          <w:type w:val="continuous"/>
          <w:pgSz w:w="12240" w:h="15840" w:code="1"/>
          <w:pgMar w:top="1440" w:right="1440" w:bottom="1440" w:left="1440" w:header="720" w:footer="720" w:gutter="0"/>
          <w:cols w:space="720"/>
          <w:docGrid w:linePitch="360"/>
        </w:sectPr>
      </w:pPr>
    </w:p>
    <w:p w:rsidR="00B51E6A" w:rsidRPr="00DA6EB8" w:rsidRDefault="00B51E6A" w:rsidP="00B51E6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A6EB8">
        <w:rPr>
          <w:rFonts w:ascii="Times New Roman" w:hAnsi="Times New Roman" w:cs="Times New Roman"/>
          <w:sz w:val="20"/>
          <w:szCs w:val="20"/>
        </w:rPr>
        <w:lastRenderedPageBreak/>
        <w:t>The presence of high levels of methyl (E)-</w:t>
      </w:r>
      <w:proofErr w:type="spellStart"/>
      <w:r w:rsidRPr="00DA6EB8">
        <w:rPr>
          <w:rFonts w:ascii="Times New Roman" w:hAnsi="Times New Roman" w:cs="Times New Roman"/>
          <w:sz w:val="20"/>
          <w:szCs w:val="20"/>
        </w:rPr>
        <w:t>cinnamate</w:t>
      </w:r>
      <w:proofErr w:type="spellEnd"/>
      <w:r w:rsidRPr="00DA6EB8">
        <w:rPr>
          <w:rFonts w:ascii="Times New Roman" w:hAnsi="Times New Roman" w:cs="Times New Roman"/>
          <w:sz w:val="20"/>
          <w:szCs w:val="20"/>
        </w:rPr>
        <w:t xml:space="preserve"> in the bark and twig oils of </w:t>
      </w:r>
      <w:r w:rsidRPr="00DA6EB8">
        <w:rPr>
          <w:rFonts w:ascii="Times New Roman" w:hAnsi="Times New Roman" w:cs="Times New Roman"/>
          <w:i/>
          <w:iCs/>
          <w:sz w:val="20"/>
          <w:szCs w:val="20"/>
        </w:rPr>
        <w:t xml:space="preserve">C. </w:t>
      </w:r>
      <w:proofErr w:type="spellStart"/>
      <w:r w:rsidRPr="00DA6EB8">
        <w:rPr>
          <w:rFonts w:ascii="Times New Roman" w:hAnsi="Times New Roman" w:cs="Times New Roman"/>
          <w:i/>
          <w:iCs/>
          <w:sz w:val="20"/>
          <w:szCs w:val="20"/>
        </w:rPr>
        <w:t>pubescens</w:t>
      </w:r>
      <w:proofErr w:type="spellEnd"/>
      <w:r w:rsidRPr="00DA6EB8">
        <w:rPr>
          <w:rFonts w:ascii="Times New Roman" w:hAnsi="Times New Roman" w:cs="Times New Roman"/>
          <w:i/>
          <w:iCs/>
          <w:sz w:val="20"/>
          <w:szCs w:val="20"/>
        </w:rPr>
        <w:t xml:space="preserve"> </w:t>
      </w:r>
      <w:r w:rsidRPr="00DA6EB8">
        <w:rPr>
          <w:rFonts w:ascii="Times New Roman" w:hAnsi="Times New Roman" w:cs="Times New Roman"/>
          <w:sz w:val="20"/>
          <w:szCs w:val="20"/>
        </w:rPr>
        <w:t xml:space="preserve">(95.2% and 84.0%, respectively) and </w:t>
      </w:r>
      <w:r w:rsidRPr="00DA6EB8">
        <w:rPr>
          <w:rFonts w:ascii="Times New Roman" w:hAnsi="Times New Roman" w:cs="Times New Roman"/>
          <w:i/>
          <w:iCs/>
          <w:sz w:val="20"/>
          <w:szCs w:val="20"/>
        </w:rPr>
        <w:t xml:space="preserve">C. </w:t>
      </w:r>
      <w:proofErr w:type="spellStart"/>
      <w:r w:rsidRPr="00DA6EB8">
        <w:rPr>
          <w:rFonts w:ascii="Times New Roman" w:hAnsi="Times New Roman" w:cs="Times New Roman"/>
          <w:i/>
          <w:iCs/>
          <w:sz w:val="20"/>
          <w:szCs w:val="20"/>
        </w:rPr>
        <w:t>impressicostatum</w:t>
      </w:r>
      <w:proofErr w:type="spellEnd"/>
      <w:r w:rsidRPr="00DA6EB8">
        <w:rPr>
          <w:rFonts w:ascii="Times New Roman" w:hAnsi="Times New Roman" w:cs="Times New Roman"/>
          <w:i/>
          <w:iCs/>
          <w:sz w:val="20"/>
          <w:szCs w:val="20"/>
        </w:rPr>
        <w:t xml:space="preserve"> </w:t>
      </w:r>
      <w:r w:rsidRPr="00DA6EB8">
        <w:rPr>
          <w:rFonts w:ascii="Times New Roman" w:hAnsi="Times New Roman" w:cs="Times New Roman"/>
          <w:sz w:val="20"/>
          <w:szCs w:val="20"/>
        </w:rPr>
        <w:t>(85.9% and 67.6%, respectively) could explain their strong inhibition on a wide spectrum of fungal growth</w:t>
      </w:r>
      <w:r w:rsidRPr="00DA6EB8">
        <w:rPr>
          <w:rFonts w:ascii="Times New Roman" w:hAnsi="Times New Roman" w:cs="Times New Roman"/>
          <w:b/>
          <w:bCs/>
          <w:sz w:val="20"/>
          <w:szCs w:val="20"/>
          <w:vertAlign w:val="superscript"/>
        </w:rPr>
        <w:t xml:space="preserve"> (</w:t>
      </w:r>
      <w:r w:rsidRPr="00DA6EB8">
        <w:rPr>
          <w:rFonts w:ascii="Times New Roman" w:hAnsi="Times New Roman" w:cs="Times New Roman"/>
          <w:sz w:val="20"/>
          <w:szCs w:val="20"/>
          <w:vertAlign w:val="superscript"/>
        </w:rPr>
        <w:t>63</w:t>
      </w:r>
      <w:r w:rsidRPr="00DA6EB8">
        <w:rPr>
          <w:rFonts w:ascii="Times New Roman" w:hAnsi="Times New Roman" w:cs="Times New Roman"/>
          <w:b/>
          <w:bCs/>
          <w:sz w:val="20"/>
          <w:szCs w:val="20"/>
          <w:vertAlign w:val="superscript"/>
        </w:rPr>
        <w:t>)</w:t>
      </w:r>
      <w:r w:rsidRPr="00DA6EB8">
        <w:rPr>
          <w:rFonts w:ascii="Times New Roman" w:hAnsi="Times New Roman" w:cs="Times New Roman"/>
          <w:sz w:val="20"/>
          <w:szCs w:val="20"/>
        </w:rPr>
        <w:t xml:space="preserve">. </w:t>
      </w:r>
    </w:p>
    <w:p w:rsidR="00B51E6A" w:rsidRPr="00DA6EB8" w:rsidRDefault="00B51E6A" w:rsidP="00B51E6A">
      <w:pPr>
        <w:autoSpaceDE w:val="0"/>
        <w:autoSpaceDN w:val="0"/>
        <w:adjustRightInd w:val="0"/>
        <w:snapToGrid w:val="0"/>
        <w:spacing w:after="0" w:line="240" w:lineRule="auto"/>
        <w:ind w:firstLine="425"/>
        <w:jc w:val="both"/>
        <w:rPr>
          <w:rFonts w:ascii="Times New Roman" w:hAnsi="Times New Roman" w:cs="Times New Roman"/>
          <w:color w:val="222222"/>
          <w:sz w:val="20"/>
          <w:szCs w:val="20"/>
        </w:rPr>
      </w:pPr>
      <w:r w:rsidRPr="00DA6EB8">
        <w:rPr>
          <w:rFonts w:ascii="Times New Roman" w:hAnsi="Times New Roman" w:cs="Times New Roman"/>
          <w:color w:val="222222"/>
          <w:sz w:val="20"/>
          <w:szCs w:val="20"/>
        </w:rPr>
        <w:t xml:space="preserve">In general, the formulation in form of </w:t>
      </w:r>
      <w:proofErr w:type="spellStart"/>
      <w:r w:rsidRPr="00DA6EB8">
        <w:rPr>
          <w:rFonts w:ascii="Times New Roman" w:hAnsi="Times New Roman" w:cs="Times New Roman"/>
          <w:color w:val="222222"/>
          <w:sz w:val="20"/>
          <w:szCs w:val="20"/>
        </w:rPr>
        <w:t>microemulsion</w:t>
      </w:r>
      <w:proofErr w:type="spellEnd"/>
      <w:r w:rsidRPr="00DA6EB8">
        <w:rPr>
          <w:rFonts w:ascii="Times New Roman" w:hAnsi="Times New Roman" w:cs="Times New Roman"/>
          <w:color w:val="222222"/>
          <w:sz w:val="20"/>
          <w:szCs w:val="20"/>
        </w:rPr>
        <w:t xml:space="preserve"> (10% ME) increased the fungicidal efficiency of the active substance on all the fungi used. That comes from the aim that, </w:t>
      </w:r>
      <w:proofErr w:type="spellStart"/>
      <w:r w:rsidRPr="00DA6EB8">
        <w:rPr>
          <w:rFonts w:ascii="Times New Roman" w:hAnsi="Times New Roman" w:cs="Times New Roman"/>
          <w:color w:val="222222"/>
          <w:sz w:val="20"/>
          <w:szCs w:val="20"/>
        </w:rPr>
        <w:t>microemulsion</w:t>
      </w:r>
      <w:proofErr w:type="spellEnd"/>
      <w:r w:rsidRPr="00DA6EB8">
        <w:rPr>
          <w:rFonts w:ascii="Times New Roman" w:hAnsi="Times New Roman" w:cs="Times New Roman"/>
          <w:color w:val="222222"/>
          <w:sz w:val="20"/>
          <w:szCs w:val="20"/>
        </w:rPr>
        <w:t xml:space="preserve"> formulation is one of the most new generation types of </w:t>
      </w:r>
      <w:r w:rsidRPr="00DA6EB8">
        <w:rPr>
          <w:rFonts w:ascii="Times New Roman" w:hAnsi="Times New Roman" w:cs="Times New Roman"/>
          <w:color w:val="222222"/>
          <w:sz w:val="20"/>
          <w:szCs w:val="20"/>
        </w:rPr>
        <w:lastRenderedPageBreak/>
        <w:t>formulations which characterized by the nature of water that helps to penetrate inside fungus cells.</w:t>
      </w:r>
    </w:p>
    <w:p w:rsidR="00B51E6A" w:rsidRPr="00DA6EB8" w:rsidRDefault="00B51E6A" w:rsidP="00BD6349">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E34208" w:rsidRPr="00DA6EB8" w:rsidRDefault="00E34208" w:rsidP="00BD6349">
      <w:pPr>
        <w:autoSpaceDE w:val="0"/>
        <w:autoSpaceDN w:val="0"/>
        <w:adjustRightInd w:val="0"/>
        <w:snapToGrid w:val="0"/>
        <w:spacing w:after="0" w:line="240" w:lineRule="auto"/>
        <w:jc w:val="both"/>
        <w:rPr>
          <w:rFonts w:ascii="Times New Roman" w:hAnsi="Times New Roman" w:cs="Times New Roman"/>
          <w:b/>
          <w:bCs/>
          <w:sz w:val="20"/>
          <w:szCs w:val="20"/>
        </w:rPr>
      </w:pPr>
      <w:r w:rsidRPr="00DA6EB8">
        <w:rPr>
          <w:rFonts w:ascii="Times New Roman" w:hAnsi="Times New Roman" w:cs="Times New Roman"/>
          <w:b/>
          <w:bCs/>
          <w:sz w:val="20"/>
          <w:szCs w:val="20"/>
        </w:rPr>
        <w:t>Conclusion</w:t>
      </w:r>
    </w:p>
    <w:p w:rsidR="0043571C" w:rsidRPr="00DA6EB8" w:rsidRDefault="00E34208" w:rsidP="00BD6349">
      <w:pPr>
        <w:autoSpaceDE w:val="0"/>
        <w:autoSpaceDN w:val="0"/>
        <w:adjustRightInd w:val="0"/>
        <w:snapToGrid w:val="0"/>
        <w:spacing w:after="0" w:line="240" w:lineRule="auto"/>
        <w:ind w:firstLine="425"/>
        <w:jc w:val="both"/>
        <w:rPr>
          <w:rFonts w:ascii="Times New Roman" w:eastAsia="Yu Gothic UI" w:hAnsi="Times New Roman" w:cs="Times New Roman"/>
          <w:color w:val="000000"/>
          <w:sz w:val="20"/>
          <w:szCs w:val="20"/>
        </w:rPr>
      </w:pPr>
      <w:r w:rsidRPr="00DA6EB8">
        <w:rPr>
          <w:rFonts w:ascii="Times New Roman" w:hAnsi="Times New Roman" w:cs="Times New Roman"/>
          <w:color w:val="000000"/>
          <w:sz w:val="20"/>
          <w:szCs w:val="20"/>
        </w:rPr>
        <w:t xml:space="preserve">In this study, synthetic </w:t>
      </w:r>
      <w:r w:rsidRPr="00DA6EB8">
        <w:rPr>
          <w:rFonts w:ascii="Times New Roman" w:hAnsi="Times New Roman" w:cs="Times New Roman"/>
          <w:i/>
          <w:iCs/>
          <w:color w:val="000000"/>
          <w:sz w:val="20"/>
          <w:szCs w:val="20"/>
        </w:rPr>
        <w:t>trans</w:t>
      </w:r>
      <w:r w:rsidRPr="00DA6EB8">
        <w:rPr>
          <w:rFonts w:ascii="Times New Roman" w:hAnsi="Times New Roman" w:cs="Times New Roman"/>
          <w:color w:val="000000"/>
          <w:sz w:val="20"/>
          <w:szCs w:val="20"/>
        </w:rPr>
        <w:t xml:space="preserve">-methyl </w:t>
      </w:r>
      <w:proofErr w:type="spellStart"/>
      <w:r w:rsidRPr="00DA6EB8">
        <w:rPr>
          <w:rFonts w:ascii="Times New Roman" w:hAnsi="Times New Roman" w:cs="Times New Roman"/>
          <w:color w:val="000000"/>
          <w:sz w:val="20"/>
          <w:szCs w:val="20"/>
        </w:rPr>
        <w:t>cinnamate</w:t>
      </w:r>
      <w:proofErr w:type="spellEnd"/>
      <w:r w:rsidRPr="00DA6EB8">
        <w:rPr>
          <w:rFonts w:ascii="Times New Roman" w:hAnsi="Times New Roman" w:cs="Times New Roman"/>
          <w:color w:val="000000"/>
          <w:sz w:val="20"/>
          <w:szCs w:val="20"/>
        </w:rPr>
        <w:t xml:space="preserve"> and it</w:t>
      </w:r>
      <w:r w:rsidR="002C0C40" w:rsidRPr="00DA6EB8">
        <w:rPr>
          <w:rFonts w:ascii="Times New Roman" w:hAnsi="Times New Roman" w:cs="Times New Roman"/>
          <w:color w:val="000000"/>
          <w:sz w:val="20"/>
          <w:szCs w:val="20"/>
        </w:rPr>
        <w:t>s</w:t>
      </w:r>
      <w:r w:rsidRPr="00DA6EB8">
        <w:rPr>
          <w:rFonts w:ascii="Times New Roman" w:hAnsi="Times New Roman" w:cs="Times New Roman"/>
          <w:color w:val="000000"/>
          <w:sz w:val="20"/>
          <w:szCs w:val="20"/>
        </w:rPr>
        <w:t xml:space="preserve"> prepared 10% </w:t>
      </w:r>
      <w:proofErr w:type="spellStart"/>
      <w:r w:rsidRPr="00DA6EB8">
        <w:rPr>
          <w:rFonts w:ascii="Times New Roman" w:hAnsi="Times New Roman" w:cs="Times New Roman"/>
          <w:color w:val="000000"/>
          <w:sz w:val="20"/>
          <w:szCs w:val="20"/>
        </w:rPr>
        <w:t>microemulsion</w:t>
      </w:r>
      <w:proofErr w:type="spellEnd"/>
      <w:r w:rsidRPr="00DA6EB8">
        <w:rPr>
          <w:rFonts w:ascii="Times New Roman" w:hAnsi="Times New Roman" w:cs="Times New Roman"/>
          <w:color w:val="000000"/>
          <w:sz w:val="20"/>
          <w:szCs w:val="20"/>
        </w:rPr>
        <w:t xml:space="preserve"> formulation, tested for their </w:t>
      </w:r>
      <w:r w:rsidRPr="00DA6EB8">
        <w:rPr>
          <w:rFonts w:ascii="Times New Roman" w:hAnsi="Times New Roman" w:cs="Times New Roman"/>
          <w:i/>
          <w:iCs/>
          <w:color w:val="000000"/>
          <w:sz w:val="20"/>
          <w:szCs w:val="20"/>
        </w:rPr>
        <w:t xml:space="preserve">in vitro </w:t>
      </w:r>
      <w:r w:rsidRPr="00DA6EB8">
        <w:rPr>
          <w:rFonts w:ascii="Times New Roman" w:hAnsi="Times New Roman" w:cs="Times New Roman"/>
          <w:color w:val="000000"/>
          <w:sz w:val="20"/>
          <w:szCs w:val="20"/>
        </w:rPr>
        <w:t xml:space="preserve">antifungal activity. This synthetic </w:t>
      </w:r>
      <w:proofErr w:type="spellStart"/>
      <w:r w:rsidRPr="00DA6EB8">
        <w:rPr>
          <w:rFonts w:ascii="Times New Roman" w:hAnsi="Times New Roman" w:cs="Times New Roman"/>
          <w:color w:val="000000"/>
          <w:sz w:val="20"/>
          <w:szCs w:val="20"/>
        </w:rPr>
        <w:t>cinnamates</w:t>
      </w:r>
      <w:proofErr w:type="spellEnd"/>
      <w:r w:rsidRPr="00DA6EB8">
        <w:rPr>
          <w:rFonts w:ascii="Times New Roman" w:hAnsi="Times New Roman" w:cs="Times New Roman"/>
          <w:color w:val="000000"/>
          <w:sz w:val="20"/>
          <w:szCs w:val="20"/>
        </w:rPr>
        <w:t xml:space="preserve"> could be potential antifungal agents against some important </w:t>
      </w:r>
      <w:proofErr w:type="spellStart"/>
      <w:r w:rsidRPr="00DA6EB8">
        <w:rPr>
          <w:rFonts w:ascii="Times New Roman" w:hAnsi="Times New Roman" w:cs="Times New Roman"/>
          <w:color w:val="000000"/>
          <w:sz w:val="20"/>
          <w:szCs w:val="20"/>
        </w:rPr>
        <w:t>phytopathogenic</w:t>
      </w:r>
      <w:proofErr w:type="spellEnd"/>
      <w:r w:rsidRPr="00DA6EB8">
        <w:rPr>
          <w:rFonts w:ascii="Times New Roman" w:hAnsi="Times New Roman" w:cs="Times New Roman"/>
          <w:color w:val="000000"/>
          <w:sz w:val="20"/>
          <w:szCs w:val="20"/>
        </w:rPr>
        <w:t xml:space="preserve"> fungi.</w:t>
      </w:r>
      <w:r w:rsidR="00703966" w:rsidRPr="00DA6EB8">
        <w:rPr>
          <w:rFonts w:ascii="Times New Roman" w:eastAsia="Yu Gothic UI" w:hAnsi="Times New Roman" w:cs="Times New Roman"/>
          <w:color w:val="000000"/>
          <w:sz w:val="20"/>
          <w:szCs w:val="20"/>
        </w:rPr>
        <w:t xml:space="preserve"> </w:t>
      </w:r>
      <w:r w:rsidR="00F029B9" w:rsidRPr="00DA6EB8">
        <w:rPr>
          <w:rFonts w:ascii="Times New Roman" w:eastAsia="Yu Gothic UI" w:hAnsi="Times New Roman" w:cs="Times New Roman"/>
          <w:color w:val="000000"/>
          <w:sz w:val="20"/>
          <w:szCs w:val="20"/>
        </w:rPr>
        <w:t xml:space="preserve">Previous literatures found that in comparison of the activities and structures of the compounds </w:t>
      </w:r>
      <w:r w:rsidR="00703966" w:rsidRPr="00DA6EB8">
        <w:rPr>
          <w:rFonts w:ascii="Times New Roman" w:eastAsia="Yu Gothic UI" w:hAnsi="Times New Roman" w:cs="Times New Roman"/>
          <w:color w:val="000000"/>
          <w:sz w:val="20"/>
          <w:szCs w:val="20"/>
        </w:rPr>
        <w:t xml:space="preserve">in </w:t>
      </w:r>
      <w:r w:rsidR="00703966" w:rsidRPr="00DA6EB8">
        <w:rPr>
          <w:rFonts w:ascii="Times New Roman" w:eastAsia="Yu Gothic UI" w:hAnsi="Times New Roman" w:cs="Times New Roman"/>
          <w:color w:val="000000"/>
          <w:sz w:val="20"/>
          <w:szCs w:val="20"/>
        </w:rPr>
        <w:lastRenderedPageBreak/>
        <w:t>substitution</w:t>
      </w:r>
      <w:r w:rsidR="001338BD" w:rsidRPr="00DA6EB8">
        <w:rPr>
          <w:rFonts w:ascii="Times New Roman" w:eastAsia="Yu Gothic UI" w:hAnsi="Times New Roman" w:cs="Times New Roman"/>
          <w:color w:val="000000"/>
          <w:sz w:val="20"/>
          <w:szCs w:val="20"/>
        </w:rPr>
        <w:t xml:space="preserve"> patterns of the benzene ring and the type of alkyl groups in the alcohol </w:t>
      </w:r>
      <w:proofErr w:type="spellStart"/>
      <w:r w:rsidR="001338BD" w:rsidRPr="00DA6EB8">
        <w:rPr>
          <w:rFonts w:ascii="Times New Roman" w:eastAsia="Yu Gothic UI" w:hAnsi="Times New Roman" w:cs="Times New Roman"/>
          <w:color w:val="000000"/>
          <w:sz w:val="20"/>
          <w:szCs w:val="20"/>
        </w:rPr>
        <w:t>moietysignificantly</w:t>
      </w:r>
      <w:proofErr w:type="spellEnd"/>
      <w:r w:rsidR="001338BD" w:rsidRPr="00DA6EB8">
        <w:rPr>
          <w:rFonts w:ascii="Times New Roman" w:eastAsia="Yu Gothic UI" w:hAnsi="Times New Roman" w:cs="Times New Roman"/>
          <w:color w:val="000000"/>
          <w:sz w:val="20"/>
          <w:szCs w:val="20"/>
        </w:rPr>
        <w:t xml:space="preserve"> influence the activity of </w:t>
      </w:r>
      <w:proofErr w:type="spellStart"/>
      <w:r w:rsidR="001338BD" w:rsidRPr="00DA6EB8">
        <w:rPr>
          <w:rFonts w:ascii="Times New Roman" w:eastAsia="Yu Gothic UI" w:hAnsi="Times New Roman" w:cs="Times New Roman"/>
          <w:color w:val="000000"/>
          <w:sz w:val="20"/>
          <w:szCs w:val="20"/>
        </w:rPr>
        <w:t>cinnamic</w:t>
      </w:r>
      <w:proofErr w:type="spellEnd"/>
      <w:r w:rsidR="001338BD" w:rsidRPr="00DA6EB8">
        <w:rPr>
          <w:rFonts w:ascii="Times New Roman" w:eastAsia="Yu Gothic UI" w:hAnsi="Times New Roman" w:cs="Times New Roman"/>
          <w:color w:val="000000"/>
          <w:sz w:val="20"/>
          <w:szCs w:val="20"/>
        </w:rPr>
        <w:t xml:space="preserve"> esters. For </w:t>
      </w:r>
      <w:proofErr w:type="spellStart"/>
      <w:r w:rsidR="001338BD" w:rsidRPr="00DA6EB8">
        <w:rPr>
          <w:rFonts w:ascii="Times New Roman" w:eastAsia="Yu Gothic UI" w:hAnsi="Times New Roman" w:cs="Times New Roman"/>
          <w:color w:val="000000"/>
          <w:sz w:val="20"/>
          <w:szCs w:val="20"/>
        </w:rPr>
        <w:t>cinn</w:t>
      </w:r>
      <w:r w:rsidR="002C0C40" w:rsidRPr="00DA6EB8">
        <w:rPr>
          <w:rFonts w:ascii="Times New Roman" w:eastAsia="Yu Gothic UI" w:hAnsi="Times New Roman" w:cs="Times New Roman"/>
          <w:color w:val="000000"/>
          <w:sz w:val="20"/>
          <w:szCs w:val="20"/>
        </w:rPr>
        <w:t>amate</w:t>
      </w:r>
      <w:proofErr w:type="spellEnd"/>
      <w:r w:rsidR="002C0C40" w:rsidRPr="00DA6EB8">
        <w:rPr>
          <w:rFonts w:ascii="Times New Roman" w:eastAsia="Yu Gothic UI" w:hAnsi="Times New Roman" w:cs="Times New Roman"/>
          <w:color w:val="000000"/>
          <w:sz w:val="20"/>
          <w:szCs w:val="20"/>
        </w:rPr>
        <w:t xml:space="preserve"> derivatives, introducing</w:t>
      </w:r>
      <w:r w:rsidR="001338BD" w:rsidRPr="00DA6EB8">
        <w:rPr>
          <w:rFonts w:ascii="Times New Roman" w:eastAsia="Yu Gothic UI" w:hAnsi="Times New Roman" w:cs="Times New Roman"/>
          <w:color w:val="000000"/>
          <w:sz w:val="20"/>
          <w:szCs w:val="20"/>
        </w:rPr>
        <w:t xml:space="preserve"> of </w:t>
      </w:r>
      <w:proofErr w:type="spellStart"/>
      <w:r w:rsidR="001338BD" w:rsidRPr="00DA6EB8">
        <w:rPr>
          <w:rFonts w:ascii="Times New Roman" w:eastAsia="Yu Gothic UI" w:hAnsi="Times New Roman" w:cs="Times New Roman"/>
          <w:color w:val="000000"/>
          <w:sz w:val="20"/>
          <w:szCs w:val="20"/>
        </w:rPr>
        <w:t>substituents</w:t>
      </w:r>
      <w:proofErr w:type="spellEnd"/>
      <w:r w:rsidR="001338BD" w:rsidRPr="00DA6EB8">
        <w:rPr>
          <w:rFonts w:ascii="Times New Roman" w:eastAsia="Yu Gothic UI" w:hAnsi="Times New Roman" w:cs="Times New Roman"/>
          <w:color w:val="000000"/>
          <w:sz w:val="20"/>
          <w:szCs w:val="20"/>
        </w:rPr>
        <w:t xml:space="preserve"> to the benzene ring leads to increase </w:t>
      </w:r>
      <w:proofErr w:type="spellStart"/>
      <w:r w:rsidR="001338BD" w:rsidRPr="00DA6EB8">
        <w:rPr>
          <w:rFonts w:ascii="Times New Roman" w:eastAsia="Yu Gothic UI" w:hAnsi="Times New Roman" w:cs="Times New Roman"/>
          <w:color w:val="000000"/>
          <w:sz w:val="20"/>
          <w:szCs w:val="20"/>
        </w:rPr>
        <w:t>ofthe</w:t>
      </w:r>
      <w:proofErr w:type="spellEnd"/>
      <w:r w:rsidR="001338BD" w:rsidRPr="00DA6EB8">
        <w:rPr>
          <w:rFonts w:ascii="Times New Roman" w:eastAsia="Yu Gothic UI" w:hAnsi="Times New Roman" w:cs="Times New Roman"/>
          <w:color w:val="000000"/>
          <w:sz w:val="20"/>
          <w:szCs w:val="20"/>
        </w:rPr>
        <w:t xml:space="preserve"> activity. For electron-donating groups like OH, </w:t>
      </w:r>
      <w:proofErr w:type="spellStart"/>
      <w:r w:rsidR="001338BD" w:rsidRPr="00DA6EB8">
        <w:rPr>
          <w:rFonts w:ascii="Times New Roman" w:eastAsia="Yu Gothic UI" w:hAnsi="Times New Roman" w:cs="Times New Roman"/>
          <w:color w:val="000000"/>
          <w:sz w:val="20"/>
          <w:szCs w:val="20"/>
        </w:rPr>
        <w:t>OMe</w:t>
      </w:r>
      <w:proofErr w:type="spellEnd"/>
      <w:r w:rsidR="001338BD" w:rsidRPr="00DA6EB8">
        <w:rPr>
          <w:rFonts w:ascii="Times New Roman" w:eastAsia="Yu Gothic UI" w:hAnsi="Times New Roman" w:cs="Times New Roman"/>
          <w:color w:val="000000"/>
          <w:sz w:val="20"/>
          <w:szCs w:val="20"/>
        </w:rPr>
        <w:t xml:space="preserve">, and </w:t>
      </w:r>
      <w:proofErr w:type="spellStart"/>
      <w:r w:rsidR="001338BD" w:rsidRPr="00DA6EB8">
        <w:rPr>
          <w:rFonts w:ascii="Times New Roman" w:eastAsia="Yu Gothic UI" w:hAnsi="Times New Roman" w:cs="Times New Roman"/>
          <w:color w:val="000000"/>
          <w:sz w:val="20"/>
          <w:szCs w:val="20"/>
        </w:rPr>
        <w:t>OAc</w:t>
      </w:r>
      <w:proofErr w:type="spellEnd"/>
      <w:r w:rsidR="001338BD" w:rsidRPr="00DA6EB8">
        <w:rPr>
          <w:rFonts w:ascii="Times New Roman" w:eastAsia="Yu Gothic UI" w:hAnsi="Times New Roman" w:cs="Times New Roman"/>
          <w:color w:val="000000"/>
          <w:sz w:val="20"/>
          <w:szCs w:val="20"/>
        </w:rPr>
        <w:t>, the order of the activity of</w:t>
      </w:r>
      <w:r w:rsidR="00703966" w:rsidRPr="00DA6EB8">
        <w:rPr>
          <w:rFonts w:ascii="Times New Roman" w:eastAsia="Yu Gothic UI" w:hAnsi="Times New Roman" w:cs="Times New Roman"/>
          <w:color w:val="000000"/>
          <w:sz w:val="20"/>
          <w:szCs w:val="20"/>
        </w:rPr>
        <w:t xml:space="preserve"> </w:t>
      </w:r>
      <w:r w:rsidR="001338BD" w:rsidRPr="00DA6EB8">
        <w:rPr>
          <w:rFonts w:ascii="Times New Roman" w:eastAsia="Yu Gothic UI" w:hAnsi="Times New Roman" w:cs="Times New Roman"/>
          <w:color w:val="000000"/>
          <w:sz w:val="20"/>
          <w:szCs w:val="20"/>
        </w:rPr>
        <w:t xml:space="preserve">various position isomers is </w:t>
      </w:r>
      <w:r w:rsidR="001338BD" w:rsidRPr="00DA6EB8">
        <w:rPr>
          <w:rFonts w:ascii="Times New Roman" w:hAnsi="Times New Roman" w:cs="Times New Roman"/>
          <w:i/>
          <w:iCs/>
          <w:color w:val="000000"/>
          <w:sz w:val="20"/>
          <w:szCs w:val="20"/>
        </w:rPr>
        <w:t>o</w:t>
      </w:r>
      <w:r w:rsidR="001338BD" w:rsidRPr="00DA6EB8">
        <w:rPr>
          <w:rFonts w:ascii="Times New Roman" w:eastAsia="Yu Gothic UI" w:hAnsi="Times New Roman" w:cs="Times New Roman"/>
          <w:color w:val="000000"/>
          <w:sz w:val="20"/>
          <w:szCs w:val="20"/>
        </w:rPr>
        <w:t xml:space="preserve">-substituted isomer </w:t>
      </w:r>
      <w:r w:rsidR="001338BD" w:rsidRPr="00DA6EB8">
        <w:rPr>
          <w:rFonts w:ascii="Times New Roman" w:hAnsi="Times New Roman" w:cs="Times New Roman"/>
          <w:b/>
          <w:bCs/>
          <w:i/>
          <w:iCs/>
          <w:color w:val="000000"/>
          <w:sz w:val="20"/>
          <w:szCs w:val="20"/>
        </w:rPr>
        <w:t>&gt;</w:t>
      </w:r>
      <w:r w:rsidR="001338BD" w:rsidRPr="00DA6EB8">
        <w:rPr>
          <w:rFonts w:ascii="Times New Roman" w:hAnsi="Times New Roman" w:cs="Times New Roman"/>
          <w:i/>
          <w:iCs/>
          <w:color w:val="000000"/>
          <w:sz w:val="20"/>
          <w:szCs w:val="20"/>
        </w:rPr>
        <w:t>p</w:t>
      </w:r>
      <w:r w:rsidR="001338BD" w:rsidRPr="00DA6EB8">
        <w:rPr>
          <w:rFonts w:ascii="Times New Roman" w:eastAsia="Yu Gothic UI" w:hAnsi="Times New Roman" w:cs="Times New Roman"/>
          <w:color w:val="000000"/>
          <w:sz w:val="20"/>
          <w:szCs w:val="20"/>
        </w:rPr>
        <w:t xml:space="preserve">-substituted isomer </w:t>
      </w:r>
      <w:r w:rsidR="001338BD" w:rsidRPr="00DA6EB8">
        <w:rPr>
          <w:rFonts w:ascii="Times New Roman" w:hAnsi="Times New Roman" w:cs="Times New Roman"/>
          <w:b/>
          <w:bCs/>
          <w:i/>
          <w:iCs/>
          <w:color w:val="000000"/>
          <w:sz w:val="20"/>
          <w:szCs w:val="20"/>
        </w:rPr>
        <w:t>&gt;</w:t>
      </w:r>
      <w:r w:rsidR="001338BD" w:rsidRPr="00DA6EB8">
        <w:rPr>
          <w:rFonts w:ascii="Times New Roman" w:hAnsi="Times New Roman" w:cs="Times New Roman"/>
          <w:i/>
          <w:iCs/>
          <w:color w:val="000000"/>
          <w:sz w:val="20"/>
          <w:szCs w:val="20"/>
        </w:rPr>
        <w:t>m</w:t>
      </w:r>
      <w:r w:rsidR="001338BD" w:rsidRPr="00DA6EB8">
        <w:rPr>
          <w:rFonts w:ascii="Times New Roman" w:eastAsia="Yu Gothic UI" w:hAnsi="Times New Roman" w:cs="Times New Roman"/>
          <w:color w:val="000000"/>
          <w:sz w:val="20"/>
          <w:szCs w:val="20"/>
        </w:rPr>
        <w:t>-substituted isomer,</w:t>
      </w:r>
      <w:r w:rsidR="00703966" w:rsidRPr="00DA6EB8">
        <w:rPr>
          <w:rFonts w:ascii="Times New Roman" w:eastAsia="Yu Gothic UI" w:hAnsi="Times New Roman" w:cs="Times New Roman"/>
          <w:color w:val="000000"/>
          <w:sz w:val="20"/>
          <w:szCs w:val="20"/>
        </w:rPr>
        <w:t xml:space="preserve"> </w:t>
      </w:r>
      <w:r w:rsidR="001338BD" w:rsidRPr="00DA6EB8">
        <w:rPr>
          <w:rFonts w:ascii="Times New Roman" w:eastAsia="Yu Gothic UI" w:hAnsi="Times New Roman" w:cs="Times New Roman"/>
          <w:color w:val="000000"/>
          <w:sz w:val="20"/>
          <w:szCs w:val="20"/>
        </w:rPr>
        <w:t>whereas for electron-</w:t>
      </w:r>
      <w:bookmarkStart w:id="0" w:name="_GoBack"/>
      <w:bookmarkEnd w:id="0"/>
      <w:r w:rsidR="001338BD" w:rsidRPr="00DA6EB8">
        <w:rPr>
          <w:rFonts w:ascii="Times New Roman" w:eastAsia="Yu Gothic UI" w:hAnsi="Times New Roman" w:cs="Times New Roman"/>
          <w:color w:val="000000"/>
          <w:sz w:val="20"/>
          <w:szCs w:val="20"/>
        </w:rPr>
        <w:t xml:space="preserve">withdrawing groups like halogen atoms and </w:t>
      </w:r>
      <w:proofErr w:type="spellStart"/>
      <w:r w:rsidR="001338BD" w:rsidRPr="00DA6EB8">
        <w:rPr>
          <w:rFonts w:ascii="Times New Roman" w:eastAsia="Yu Gothic UI" w:hAnsi="Times New Roman" w:cs="Times New Roman"/>
          <w:color w:val="000000"/>
          <w:sz w:val="20"/>
          <w:szCs w:val="20"/>
        </w:rPr>
        <w:t>trifluoromethyl</w:t>
      </w:r>
      <w:proofErr w:type="spellEnd"/>
      <w:r w:rsidR="001338BD" w:rsidRPr="00DA6EB8">
        <w:rPr>
          <w:rFonts w:ascii="Times New Roman" w:eastAsia="Yu Gothic UI" w:hAnsi="Times New Roman" w:cs="Times New Roman"/>
          <w:color w:val="000000"/>
          <w:sz w:val="20"/>
          <w:szCs w:val="20"/>
        </w:rPr>
        <w:t xml:space="preserve">, </w:t>
      </w:r>
      <w:r w:rsidR="001338BD" w:rsidRPr="00DA6EB8">
        <w:rPr>
          <w:rFonts w:ascii="Times New Roman" w:hAnsi="Times New Roman" w:cs="Times New Roman"/>
          <w:i/>
          <w:iCs/>
          <w:color w:val="000000"/>
          <w:sz w:val="20"/>
          <w:szCs w:val="20"/>
        </w:rPr>
        <w:t>p</w:t>
      </w:r>
      <w:r w:rsidR="00F029B9" w:rsidRPr="00DA6EB8">
        <w:rPr>
          <w:rFonts w:ascii="Times New Roman" w:hAnsi="Times New Roman" w:cs="Times New Roman"/>
          <w:color w:val="000000"/>
          <w:sz w:val="20"/>
          <w:szCs w:val="20"/>
        </w:rPr>
        <w:t>-</w:t>
      </w:r>
      <w:r w:rsidR="00703966" w:rsidRPr="00DA6EB8">
        <w:rPr>
          <w:rFonts w:ascii="Times New Roman" w:eastAsia="Yu Gothic UI" w:hAnsi="Times New Roman" w:cs="Times New Roman"/>
          <w:color w:val="000000"/>
          <w:sz w:val="20"/>
          <w:szCs w:val="20"/>
        </w:rPr>
        <w:t>substituted isomers</w:t>
      </w:r>
      <w:r w:rsidR="001338BD" w:rsidRPr="00DA6EB8">
        <w:rPr>
          <w:rFonts w:ascii="Times New Roman" w:eastAsia="Yu Gothic UI" w:hAnsi="Times New Roman" w:cs="Times New Roman"/>
          <w:color w:val="000000"/>
          <w:sz w:val="20"/>
          <w:szCs w:val="20"/>
        </w:rPr>
        <w:t xml:space="preserve"> gener</w:t>
      </w:r>
      <w:r w:rsidR="006A20A4" w:rsidRPr="00DA6EB8">
        <w:rPr>
          <w:rFonts w:ascii="Times New Roman" w:eastAsia="Yu Gothic UI" w:hAnsi="Times New Roman" w:cs="Times New Roman"/>
          <w:color w:val="000000"/>
          <w:sz w:val="20"/>
          <w:szCs w:val="20"/>
        </w:rPr>
        <w:t xml:space="preserve">ally have the highest activity </w:t>
      </w:r>
      <w:r w:rsidR="00927264" w:rsidRPr="00DA6EB8">
        <w:rPr>
          <w:rFonts w:ascii="Times New Roman" w:eastAsia="Yu Gothic UI" w:hAnsi="Times New Roman" w:cs="Times New Roman"/>
          <w:color w:val="000000"/>
          <w:sz w:val="20"/>
          <w:szCs w:val="20"/>
          <w:vertAlign w:val="superscript"/>
        </w:rPr>
        <w:t>(64)</w:t>
      </w:r>
      <w:r w:rsidR="00927264" w:rsidRPr="00DA6EB8">
        <w:rPr>
          <w:rFonts w:ascii="Times New Roman" w:eastAsia="Yu Gothic UI" w:hAnsi="Times New Roman" w:cs="Times New Roman"/>
          <w:color w:val="000000"/>
          <w:sz w:val="20"/>
          <w:szCs w:val="20"/>
        </w:rPr>
        <w:t>.</w:t>
      </w:r>
    </w:p>
    <w:p w:rsidR="002C0C40" w:rsidRPr="00DA6EB8" w:rsidRDefault="002C0C40" w:rsidP="00BD6349">
      <w:pPr>
        <w:autoSpaceDE w:val="0"/>
        <w:autoSpaceDN w:val="0"/>
        <w:adjustRightInd w:val="0"/>
        <w:snapToGrid w:val="0"/>
        <w:spacing w:after="0" w:line="240" w:lineRule="auto"/>
        <w:ind w:firstLine="425"/>
        <w:jc w:val="both"/>
        <w:rPr>
          <w:rFonts w:ascii="Times New Roman" w:eastAsia="Yu Gothic UI" w:hAnsi="Times New Roman" w:cs="Times New Roman"/>
          <w:b/>
          <w:bCs/>
          <w:color w:val="000000"/>
          <w:sz w:val="20"/>
          <w:szCs w:val="20"/>
        </w:rPr>
      </w:pPr>
      <w:r w:rsidRPr="00DA6EB8">
        <w:rPr>
          <w:rFonts w:ascii="Times New Roman" w:eastAsia="Yu Gothic UI" w:hAnsi="Times New Roman" w:cs="Times New Roman"/>
          <w:b/>
          <w:bCs/>
          <w:color w:val="000000"/>
          <w:sz w:val="20"/>
          <w:szCs w:val="20"/>
        </w:rPr>
        <w:t xml:space="preserve">Finally, </w:t>
      </w:r>
      <w:r w:rsidRPr="00DA6EB8">
        <w:rPr>
          <w:rFonts w:ascii="Times New Roman" w:eastAsia="Yu Gothic UI" w:hAnsi="Times New Roman" w:cs="Times New Roman"/>
          <w:i/>
          <w:iCs/>
          <w:color w:val="000000"/>
          <w:sz w:val="20"/>
          <w:szCs w:val="20"/>
        </w:rPr>
        <w:t>trans</w:t>
      </w:r>
      <w:r w:rsidR="00D655AC" w:rsidRPr="00DA6EB8">
        <w:rPr>
          <w:rFonts w:ascii="Times New Roman" w:eastAsia="Yu Gothic UI" w:hAnsi="Times New Roman" w:cs="Times New Roman"/>
          <w:color w:val="000000"/>
          <w:sz w:val="20"/>
          <w:szCs w:val="20"/>
        </w:rPr>
        <w:t>–</w:t>
      </w:r>
      <w:r w:rsidRPr="00DA6EB8">
        <w:rPr>
          <w:rFonts w:ascii="Times New Roman" w:eastAsia="Yu Gothic UI" w:hAnsi="Times New Roman" w:cs="Times New Roman"/>
          <w:color w:val="000000"/>
          <w:sz w:val="20"/>
          <w:szCs w:val="20"/>
        </w:rPr>
        <w:t xml:space="preserve">methyl </w:t>
      </w:r>
      <w:proofErr w:type="spellStart"/>
      <w:r w:rsidRPr="00DA6EB8">
        <w:rPr>
          <w:rFonts w:ascii="Times New Roman" w:eastAsia="Yu Gothic UI" w:hAnsi="Times New Roman" w:cs="Times New Roman"/>
          <w:color w:val="000000"/>
          <w:sz w:val="20"/>
          <w:szCs w:val="20"/>
        </w:rPr>
        <w:t>cinnamate</w:t>
      </w:r>
      <w:proofErr w:type="spellEnd"/>
      <w:r w:rsidRPr="00DA6EB8">
        <w:rPr>
          <w:rFonts w:ascii="Times New Roman" w:eastAsia="Yu Gothic UI" w:hAnsi="Times New Roman" w:cs="Times New Roman"/>
          <w:color w:val="000000"/>
          <w:sz w:val="20"/>
          <w:szCs w:val="20"/>
        </w:rPr>
        <w:t xml:space="preserve"> as eco-friendly </w:t>
      </w:r>
      <w:proofErr w:type="spellStart"/>
      <w:r w:rsidRPr="00DA6EB8">
        <w:rPr>
          <w:rFonts w:ascii="Times New Roman" w:eastAsia="Yu Gothic UI" w:hAnsi="Times New Roman" w:cs="Times New Roman"/>
          <w:color w:val="000000"/>
          <w:sz w:val="20"/>
          <w:szCs w:val="20"/>
        </w:rPr>
        <w:t>microemulsion</w:t>
      </w:r>
      <w:proofErr w:type="spellEnd"/>
      <w:r w:rsidRPr="00DA6EB8">
        <w:rPr>
          <w:rFonts w:ascii="Times New Roman" w:eastAsia="Yu Gothic UI" w:hAnsi="Times New Roman" w:cs="Times New Roman"/>
          <w:color w:val="000000"/>
          <w:sz w:val="20"/>
          <w:szCs w:val="20"/>
        </w:rPr>
        <w:t xml:space="preserve"> formulation might be used for controlling </w:t>
      </w:r>
      <w:proofErr w:type="spellStart"/>
      <w:r w:rsidRPr="00DA6EB8">
        <w:rPr>
          <w:rFonts w:ascii="Times New Roman" w:eastAsia="Yu Gothic UI" w:hAnsi="Times New Roman" w:cs="Times New Roman"/>
          <w:color w:val="000000"/>
          <w:sz w:val="20"/>
          <w:szCs w:val="20"/>
        </w:rPr>
        <w:t>phytopathogenic</w:t>
      </w:r>
      <w:proofErr w:type="spellEnd"/>
      <w:r w:rsidRPr="00DA6EB8">
        <w:rPr>
          <w:rFonts w:ascii="Times New Roman" w:eastAsia="Yu Gothic UI" w:hAnsi="Times New Roman" w:cs="Times New Roman"/>
          <w:color w:val="000000"/>
          <w:sz w:val="20"/>
          <w:szCs w:val="20"/>
        </w:rPr>
        <w:t xml:space="preserve"> fungi at the recommended dose.</w:t>
      </w:r>
    </w:p>
    <w:p w:rsidR="004604AE" w:rsidRPr="00DA6EB8" w:rsidRDefault="004604AE" w:rsidP="00BD6349">
      <w:pPr>
        <w:autoSpaceDE w:val="0"/>
        <w:autoSpaceDN w:val="0"/>
        <w:adjustRightInd w:val="0"/>
        <w:snapToGrid w:val="0"/>
        <w:spacing w:after="0" w:line="240" w:lineRule="auto"/>
        <w:jc w:val="both"/>
        <w:rPr>
          <w:rFonts w:ascii="Times New Roman" w:hAnsi="Times New Roman" w:cs="Times New Roman"/>
          <w:b/>
          <w:bCs/>
          <w:sz w:val="20"/>
          <w:szCs w:val="20"/>
        </w:rPr>
      </w:pPr>
    </w:p>
    <w:p w:rsidR="00D26839" w:rsidRPr="00DA6EB8" w:rsidRDefault="004604AE" w:rsidP="00BD6349">
      <w:pPr>
        <w:autoSpaceDE w:val="0"/>
        <w:autoSpaceDN w:val="0"/>
        <w:adjustRightInd w:val="0"/>
        <w:snapToGrid w:val="0"/>
        <w:spacing w:after="0" w:line="240" w:lineRule="auto"/>
        <w:jc w:val="both"/>
        <w:rPr>
          <w:rFonts w:ascii="Times New Roman" w:hAnsi="Times New Roman" w:cs="Times New Roman"/>
          <w:b/>
          <w:bCs/>
          <w:sz w:val="20"/>
          <w:szCs w:val="20"/>
        </w:rPr>
      </w:pPr>
      <w:r w:rsidRPr="00DA6EB8">
        <w:rPr>
          <w:rFonts w:ascii="Times New Roman" w:hAnsi="Times New Roman" w:cs="Times New Roman"/>
          <w:b/>
          <w:bCs/>
          <w:sz w:val="20"/>
          <w:szCs w:val="20"/>
        </w:rPr>
        <w:t>Acknowledgments</w:t>
      </w:r>
    </w:p>
    <w:p w:rsidR="00D26839" w:rsidRPr="00DA6EB8" w:rsidRDefault="00CD0CAE" w:rsidP="00BD634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A6EB8">
        <w:rPr>
          <w:rFonts w:ascii="Times New Roman" w:hAnsi="Times New Roman" w:cs="Times New Roman"/>
          <w:sz w:val="20"/>
          <w:szCs w:val="20"/>
        </w:rPr>
        <w:t>I</w:t>
      </w:r>
      <w:r w:rsidR="00D26839" w:rsidRPr="00DA6EB8">
        <w:rPr>
          <w:rFonts w:ascii="Times New Roman" w:hAnsi="Times New Roman" w:cs="Times New Roman"/>
          <w:sz w:val="20"/>
          <w:szCs w:val="20"/>
        </w:rPr>
        <w:t xml:space="preserve"> wish to express our thanks to </w:t>
      </w:r>
      <w:r w:rsidRPr="00DA6EB8">
        <w:rPr>
          <w:rFonts w:ascii="Times New Roman" w:hAnsi="Times New Roman" w:cs="Times New Roman"/>
          <w:sz w:val="20"/>
          <w:szCs w:val="20"/>
        </w:rPr>
        <w:t>Prof</w:t>
      </w:r>
      <w:r w:rsidR="00D26839" w:rsidRPr="00DA6EB8">
        <w:rPr>
          <w:rFonts w:ascii="Times New Roman" w:hAnsi="Times New Roman" w:cs="Times New Roman"/>
          <w:sz w:val="20"/>
          <w:szCs w:val="20"/>
        </w:rPr>
        <w:t xml:space="preserve">. </w:t>
      </w:r>
      <w:r w:rsidRPr="00DA6EB8">
        <w:rPr>
          <w:rFonts w:ascii="Times New Roman" w:hAnsi="Times New Roman" w:cs="Times New Roman"/>
          <w:sz w:val="20"/>
          <w:szCs w:val="20"/>
        </w:rPr>
        <w:t xml:space="preserve">Yasser </w:t>
      </w:r>
      <w:proofErr w:type="spellStart"/>
      <w:r w:rsidRPr="00DA6EB8">
        <w:rPr>
          <w:rFonts w:ascii="Times New Roman" w:hAnsi="Times New Roman" w:cs="Times New Roman"/>
          <w:sz w:val="20"/>
          <w:szCs w:val="20"/>
        </w:rPr>
        <w:t>Wahied</w:t>
      </w:r>
      <w:proofErr w:type="spellEnd"/>
      <w:r w:rsidR="000E5474" w:rsidRPr="00DA6EB8">
        <w:rPr>
          <w:rFonts w:ascii="Times New Roman" w:hAnsi="Times New Roman" w:cs="Times New Roman"/>
          <w:sz w:val="20"/>
          <w:szCs w:val="20"/>
        </w:rPr>
        <w:t xml:space="preserve"> Abdel Fattah El Sheikh</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 xml:space="preserve">and Dr. Mohamed </w:t>
      </w:r>
      <w:proofErr w:type="spellStart"/>
      <w:r w:rsidRPr="00DA6EB8">
        <w:rPr>
          <w:rFonts w:ascii="Times New Roman" w:hAnsi="Times New Roman" w:cs="Times New Roman"/>
          <w:sz w:val="20"/>
          <w:szCs w:val="20"/>
        </w:rPr>
        <w:t>Helal</w:t>
      </w:r>
      <w:proofErr w:type="spellEnd"/>
      <w:r w:rsidRPr="00DA6EB8">
        <w:rPr>
          <w:rFonts w:ascii="Times New Roman" w:hAnsi="Times New Roman" w:cs="Times New Roman"/>
          <w:sz w:val="20"/>
          <w:szCs w:val="20"/>
        </w:rPr>
        <w:t xml:space="preserve"> </w:t>
      </w:r>
      <w:r w:rsidR="000E5474" w:rsidRPr="00DA6EB8">
        <w:rPr>
          <w:rFonts w:ascii="Times New Roman" w:hAnsi="Times New Roman" w:cs="Times New Roman"/>
          <w:sz w:val="20"/>
          <w:szCs w:val="20"/>
        </w:rPr>
        <w:t xml:space="preserve">Ahmed </w:t>
      </w:r>
      <w:proofErr w:type="spellStart"/>
      <w:r w:rsidR="000E5474" w:rsidRPr="00DA6EB8">
        <w:rPr>
          <w:rFonts w:ascii="Times New Roman" w:hAnsi="Times New Roman" w:cs="Times New Roman"/>
          <w:sz w:val="20"/>
          <w:szCs w:val="20"/>
        </w:rPr>
        <w:t>Aly</w:t>
      </w:r>
      <w:proofErr w:type="spellEnd"/>
      <w:r w:rsidR="000E5474" w:rsidRPr="00DA6EB8">
        <w:rPr>
          <w:rFonts w:ascii="Times New Roman" w:hAnsi="Times New Roman" w:cs="Times New Roman"/>
          <w:sz w:val="20"/>
          <w:szCs w:val="20"/>
        </w:rPr>
        <w:t xml:space="preserve"> </w:t>
      </w:r>
      <w:r w:rsidR="00D26839" w:rsidRPr="00DA6EB8">
        <w:rPr>
          <w:rFonts w:ascii="Times New Roman" w:hAnsi="Times New Roman" w:cs="Times New Roman"/>
          <w:sz w:val="20"/>
          <w:szCs w:val="20"/>
        </w:rPr>
        <w:t>at</w:t>
      </w:r>
      <w:r w:rsidRPr="00DA6EB8">
        <w:rPr>
          <w:rFonts w:ascii="Times New Roman" w:hAnsi="Times New Roman" w:cs="Times New Roman"/>
          <w:sz w:val="20"/>
          <w:szCs w:val="20"/>
        </w:rPr>
        <w:t xml:space="preserve"> Pesticides Formulation Research Department, Central Agricultural Pesticides Laboratory,</w:t>
      </w:r>
      <w:r w:rsidR="00D10E3C" w:rsidRPr="00DA6EB8">
        <w:rPr>
          <w:rFonts w:ascii="Times New Roman" w:hAnsi="Times New Roman" w:cs="Times New Roman"/>
          <w:sz w:val="20"/>
          <w:szCs w:val="20"/>
        </w:rPr>
        <w:t xml:space="preserve"> Agricultural</w:t>
      </w:r>
      <w:r w:rsidRPr="00DA6EB8">
        <w:rPr>
          <w:rFonts w:ascii="Times New Roman" w:hAnsi="Times New Roman" w:cs="Times New Roman"/>
          <w:sz w:val="20"/>
          <w:szCs w:val="20"/>
        </w:rPr>
        <w:t xml:space="preserve"> Research Center</w:t>
      </w:r>
      <w:r w:rsidR="00D26839" w:rsidRPr="00DA6EB8">
        <w:rPr>
          <w:rFonts w:ascii="Times New Roman" w:hAnsi="Times New Roman" w:cs="Times New Roman"/>
          <w:sz w:val="20"/>
          <w:szCs w:val="20"/>
        </w:rPr>
        <w:t xml:space="preserve"> for </w:t>
      </w:r>
      <w:r w:rsidRPr="00DA6EB8">
        <w:rPr>
          <w:rFonts w:ascii="Times New Roman" w:hAnsi="Times New Roman" w:cs="Times New Roman"/>
          <w:sz w:val="20"/>
          <w:szCs w:val="20"/>
        </w:rPr>
        <w:t>their</w:t>
      </w:r>
      <w:r w:rsidR="00D26839" w:rsidRPr="00DA6EB8">
        <w:rPr>
          <w:rFonts w:ascii="Times New Roman" w:hAnsi="Times New Roman" w:cs="Times New Roman"/>
          <w:sz w:val="20"/>
          <w:szCs w:val="20"/>
        </w:rPr>
        <w:t xml:space="preserve"> help.</w:t>
      </w:r>
    </w:p>
    <w:p w:rsidR="00D26839" w:rsidRPr="00DA6EB8" w:rsidRDefault="00D26839" w:rsidP="00BD6349">
      <w:pPr>
        <w:autoSpaceDE w:val="0"/>
        <w:autoSpaceDN w:val="0"/>
        <w:adjustRightInd w:val="0"/>
        <w:snapToGrid w:val="0"/>
        <w:spacing w:after="0" w:line="240" w:lineRule="auto"/>
        <w:jc w:val="both"/>
        <w:rPr>
          <w:rFonts w:ascii="Times New Roman" w:hAnsi="Times New Roman" w:cs="Times New Roman"/>
          <w:b/>
          <w:bCs/>
          <w:sz w:val="20"/>
          <w:szCs w:val="20"/>
        </w:rPr>
      </w:pPr>
    </w:p>
    <w:p w:rsidR="008664E8" w:rsidRPr="00DA6EB8" w:rsidRDefault="004604AE" w:rsidP="00B51E6A">
      <w:pPr>
        <w:autoSpaceDE w:val="0"/>
        <w:autoSpaceDN w:val="0"/>
        <w:adjustRightInd w:val="0"/>
        <w:snapToGrid w:val="0"/>
        <w:spacing w:after="0" w:line="240" w:lineRule="auto"/>
        <w:jc w:val="both"/>
        <w:rPr>
          <w:rFonts w:ascii="Times New Roman" w:hAnsi="Times New Roman" w:cs="Times New Roman"/>
          <w:sz w:val="20"/>
          <w:szCs w:val="20"/>
        </w:rPr>
      </w:pPr>
      <w:r w:rsidRPr="00DA6EB8">
        <w:rPr>
          <w:rFonts w:ascii="Times New Roman" w:hAnsi="Times New Roman" w:cs="Times New Roman"/>
          <w:b/>
          <w:bCs/>
          <w:sz w:val="20"/>
          <w:szCs w:val="20"/>
        </w:rPr>
        <w:t>References</w:t>
      </w:r>
    </w:p>
    <w:p w:rsidR="008664E8" w:rsidRPr="00DA6EB8" w:rsidRDefault="008664E8"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Bakkali</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Averbeck</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Averbeck</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Idaomar</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w:t>
      </w:r>
      <w:r w:rsidR="001841CD" w:rsidRPr="00DA6EB8">
        <w:rPr>
          <w:rFonts w:ascii="Times New Roman" w:hAnsi="Times New Roman" w:cs="Times New Roman"/>
          <w:sz w:val="20"/>
          <w:szCs w:val="20"/>
        </w:rPr>
        <w:t xml:space="preserve"> </w:t>
      </w:r>
      <w:r w:rsidR="0042684F" w:rsidRPr="00DA6EB8">
        <w:rPr>
          <w:rFonts w:ascii="Times New Roman" w:hAnsi="Times New Roman" w:cs="Times New Roman"/>
          <w:sz w:val="20"/>
          <w:szCs w:val="20"/>
        </w:rPr>
        <w:t>(</w:t>
      </w:r>
      <w:r w:rsidR="0042684F" w:rsidRPr="00DA6EB8">
        <w:rPr>
          <w:rFonts w:ascii="Times New Roman" w:hAnsi="Times New Roman" w:cs="Times New Roman"/>
          <w:bCs/>
          <w:sz w:val="20"/>
          <w:szCs w:val="20"/>
        </w:rPr>
        <w:t>2008).</w:t>
      </w:r>
      <w:r w:rsidR="001841CD" w:rsidRPr="00DA6EB8">
        <w:rPr>
          <w:rFonts w:ascii="Times New Roman" w:hAnsi="Times New Roman" w:cs="Times New Roman"/>
          <w:bCs/>
          <w:sz w:val="20"/>
          <w:szCs w:val="20"/>
        </w:rPr>
        <w:t xml:space="preserve"> </w:t>
      </w:r>
      <w:r w:rsidRPr="00DA6EB8">
        <w:rPr>
          <w:rFonts w:ascii="Times New Roman" w:hAnsi="Times New Roman" w:cs="Times New Roman"/>
          <w:sz w:val="20"/>
          <w:szCs w:val="20"/>
        </w:rPr>
        <w:t>Biological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effect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essential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oils—A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review</w:t>
      </w:r>
      <w:r w:rsidR="00B51E6A" w:rsidRPr="00DA6EB8">
        <w:rPr>
          <w:rFonts w:ascii="Times New Roman" w:hAnsi="Times New Roman" w:cs="Times New Roman"/>
          <w:sz w:val="20"/>
          <w:szCs w:val="20"/>
        </w:rPr>
        <w:t>. F</w:t>
      </w:r>
      <w:r w:rsidRPr="00DA6EB8">
        <w:rPr>
          <w:rFonts w:ascii="Times New Roman" w:hAnsi="Times New Roman" w:cs="Times New Roman"/>
          <w:sz w:val="20"/>
          <w:szCs w:val="20"/>
        </w:rPr>
        <w:t>ood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Chem.</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Toxicol</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46,</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446–475.</w:t>
      </w:r>
      <w:r w:rsidR="001841CD" w:rsidRPr="00DA6EB8">
        <w:rPr>
          <w:rFonts w:ascii="Times New Roman" w:hAnsi="Times New Roman" w:cs="Times New Roman"/>
          <w:sz w:val="20"/>
          <w:szCs w:val="20"/>
        </w:rPr>
        <w:t xml:space="preserve"> </w:t>
      </w:r>
    </w:p>
    <w:p w:rsidR="008664E8" w:rsidRPr="00DA6EB8" w:rsidRDefault="008664E8"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Teles</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Andrade,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B.F.M.;</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Barbosa</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L.N.;</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da</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Silva</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Probst</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Fernandes</w:t>
      </w:r>
      <w:proofErr w:type="spellEnd"/>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Júnior</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w:t>
      </w:r>
      <w:r w:rsidR="001841CD" w:rsidRPr="00DA6EB8">
        <w:rPr>
          <w:rFonts w:ascii="Times New Roman" w:hAnsi="Times New Roman" w:cs="Times New Roman"/>
          <w:sz w:val="20"/>
          <w:szCs w:val="20"/>
        </w:rPr>
        <w:t xml:space="preserve"> </w:t>
      </w:r>
      <w:r w:rsidR="00E90D61" w:rsidRPr="00DA6EB8">
        <w:rPr>
          <w:rFonts w:ascii="Times New Roman" w:hAnsi="Times New Roman" w:cs="Times New Roman"/>
          <w:sz w:val="20"/>
          <w:szCs w:val="20"/>
        </w:rPr>
        <w:t>(</w:t>
      </w:r>
      <w:r w:rsidR="00E90D61" w:rsidRPr="00DA6EB8">
        <w:rPr>
          <w:rFonts w:ascii="Times New Roman" w:hAnsi="Times New Roman" w:cs="Times New Roman"/>
          <w:bCs/>
          <w:sz w:val="20"/>
          <w:szCs w:val="20"/>
        </w:rPr>
        <w:t>2014).</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Antimicrobial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activity</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ofessential</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oils.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Essent</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Oil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26,</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34–40.</w:t>
      </w:r>
      <w:r w:rsidR="001841CD" w:rsidRPr="00DA6EB8">
        <w:rPr>
          <w:rFonts w:ascii="Times New Roman" w:hAnsi="Times New Roman" w:cs="Times New Roman"/>
          <w:sz w:val="20"/>
          <w:szCs w:val="20"/>
        </w:rPr>
        <w:t xml:space="preserve"> </w:t>
      </w:r>
    </w:p>
    <w:p w:rsidR="006F70F2" w:rsidRPr="00DA6EB8" w:rsidRDefault="008664E8"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Burt,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w:t>
      </w:r>
      <w:r w:rsidR="001841CD" w:rsidRPr="00DA6EB8">
        <w:rPr>
          <w:rFonts w:ascii="Times New Roman" w:hAnsi="Times New Roman" w:cs="Times New Roman"/>
          <w:sz w:val="20"/>
          <w:szCs w:val="20"/>
        </w:rPr>
        <w:t xml:space="preserve"> </w:t>
      </w:r>
      <w:r w:rsidR="00E90D61" w:rsidRPr="00DA6EB8">
        <w:rPr>
          <w:rFonts w:ascii="Times New Roman" w:hAnsi="Times New Roman" w:cs="Times New Roman"/>
          <w:sz w:val="20"/>
          <w:szCs w:val="20"/>
        </w:rPr>
        <w:t>(</w:t>
      </w:r>
      <w:r w:rsidR="00E90D61" w:rsidRPr="00DA6EB8">
        <w:rPr>
          <w:rFonts w:ascii="Times New Roman" w:hAnsi="Times New Roman" w:cs="Times New Roman"/>
          <w:bCs/>
          <w:sz w:val="20"/>
          <w:szCs w:val="20"/>
        </w:rPr>
        <w:t>2004</w:t>
      </w:r>
      <w:r w:rsidR="00E90D61"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Essentials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oils: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Their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antibacterial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properties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potential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applications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foods—A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review.</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Food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Microbiol</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94,</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223–253</w:t>
      </w:r>
      <w:r w:rsidR="0042684F" w:rsidRPr="00DA6EB8">
        <w:rPr>
          <w:rFonts w:ascii="Times New Roman" w:hAnsi="Times New Roman" w:cs="Times New Roman"/>
          <w:sz w:val="20"/>
          <w:szCs w:val="20"/>
        </w:rPr>
        <w:t>.</w:t>
      </w:r>
    </w:p>
    <w:p w:rsidR="004F1077" w:rsidRPr="00DA6EB8" w:rsidRDefault="006F70F2"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R.</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Bruni</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Medici,</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Andreotti</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Fantin</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Muzzoli</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Dehesa</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Romagnoli</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G.</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Sacchetti</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E90D61" w:rsidRPr="00DA6EB8">
        <w:rPr>
          <w:rFonts w:ascii="Times New Roman" w:hAnsi="Times New Roman" w:cs="Times New Roman"/>
          <w:sz w:val="20"/>
          <w:szCs w:val="20"/>
        </w:rPr>
        <w:t>(</w:t>
      </w:r>
      <w:r w:rsidR="00E90D61" w:rsidRPr="00DA6EB8">
        <w:rPr>
          <w:rFonts w:ascii="Times New Roman" w:hAnsi="Times New Roman" w:cs="Times New Roman"/>
          <w:bCs/>
          <w:sz w:val="20"/>
          <w:szCs w:val="20"/>
        </w:rPr>
        <w:t>2004</w:t>
      </w:r>
      <w:r w:rsidR="00E90D61"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Chemical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composition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biological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activities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Ishpingo</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essential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oil,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traditional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Ecuadorian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spice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from</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i/>
          <w:iCs/>
          <w:sz w:val="20"/>
          <w:szCs w:val="20"/>
        </w:rPr>
        <w:t>Ocotea</w:t>
      </w:r>
      <w:proofErr w:type="spellEnd"/>
      <w:r w:rsidR="001841CD"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quixos</w:t>
      </w:r>
      <w:proofErr w:type="spellEnd"/>
      <w:r w:rsidR="001841CD" w:rsidRPr="00DA6EB8">
        <w:rPr>
          <w:rFonts w:ascii="Times New Roman" w:hAnsi="Times New Roman" w:cs="Times New Roman"/>
          <w:i/>
          <w:iCs/>
          <w:sz w:val="20"/>
          <w:szCs w:val="20"/>
        </w:rPr>
        <w:t xml:space="preserve"> </w:t>
      </w:r>
      <w:r w:rsidRPr="00DA6EB8">
        <w:rPr>
          <w:rFonts w:ascii="Times New Roman" w:hAnsi="Times New Roman" w:cs="Times New Roman"/>
          <w:sz w:val="20"/>
          <w:szCs w:val="20"/>
        </w:rPr>
        <w:t>(Lam.)</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Kosterm</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w:t>
      </w:r>
      <w:proofErr w:type="spellStart"/>
      <w:r w:rsidRPr="00DA6EB8">
        <w:rPr>
          <w:rFonts w:ascii="Times New Roman" w:hAnsi="Times New Roman" w:cs="Times New Roman"/>
          <w:sz w:val="20"/>
          <w:szCs w:val="20"/>
        </w:rPr>
        <w:t>Lauraceae</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flower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calices,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Food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Chem.</w:t>
      </w:r>
      <w:r w:rsidR="001841CD"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85</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415–421.</w:t>
      </w:r>
    </w:p>
    <w:p w:rsidR="006F70F2" w:rsidRPr="00DA6EB8" w:rsidRDefault="006F70F2"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Bin</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Jantan</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B.A.K.</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Moharam</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Santhanam</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Jamal,</w:t>
      </w:r>
      <w:r w:rsidR="001841CD" w:rsidRPr="00DA6EB8">
        <w:rPr>
          <w:rFonts w:ascii="Times New Roman" w:hAnsi="Times New Roman" w:cs="Times New Roman"/>
          <w:sz w:val="20"/>
          <w:szCs w:val="20"/>
        </w:rPr>
        <w:t xml:space="preserve"> </w:t>
      </w:r>
      <w:r w:rsidR="00E90D61" w:rsidRPr="00DA6EB8">
        <w:rPr>
          <w:rFonts w:ascii="Times New Roman" w:hAnsi="Times New Roman" w:cs="Times New Roman"/>
          <w:bCs/>
          <w:sz w:val="20"/>
          <w:szCs w:val="20"/>
        </w:rPr>
        <w:t>(2008)</w:t>
      </w:r>
      <w:r w:rsidR="00E90D61"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Correlation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between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chemical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composition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antifungal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activity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essential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oils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eight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i/>
          <w:iCs/>
          <w:sz w:val="20"/>
          <w:szCs w:val="20"/>
        </w:rPr>
        <w:t>Cinnamomum</w:t>
      </w:r>
      <w:proofErr w:type="spellEnd"/>
      <w:r w:rsidR="001841CD" w:rsidRPr="00DA6EB8">
        <w:rPr>
          <w:rFonts w:ascii="Times New Roman" w:hAnsi="Times New Roman" w:cs="Times New Roman"/>
          <w:i/>
          <w:iCs/>
          <w:sz w:val="20"/>
          <w:szCs w:val="20"/>
        </w:rPr>
        <w:t xml:space="preserve"> </w:t>
      </w:r>
      <w:r w:rsidRPr="00DA6EB8">
        <w:rPr>
          <w:rFonts w:ascii="Times New Roman" w:hAnsi="Times New Roman" w:cs="Times New Roman"/>
          <w:sz w:val="20"/>
          <w:szCs w:val="20"/>
        </w:rPr>
        <w:t>species,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Pharm.</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Biol.</w:t>
      </w:r>
      <w:r w:rsidR="001841CD"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46</w:t>
      </w:r>
      <w:r w:rsidR="001841CD" w:rsidRPr="00DA6EB8">
        <w:rPr>
          <w:rFonts w:ascii="Times New Roman" w:hAnsi="Times New Roman" w:cs="Times New Roman"/>
          <w:bCs/>
          <w:sz w:val="20"/>
          <w:szCs w:val="20"/>
        </w:rPr>
        <w:t xml:space="preserve">: </w:t>
      </w:r>
      <w:r w:rsidRPr="00DA6EB8">
        <w:rPr>
          <w:rFonts w:ascii="Times New Roman" w:hAnsi="Times New Roman" w:cs="Times New Roman"/>
          <w:sz w:val="20"/>
          <w:szCs w:val="20"/>
        </w:rPr>
        <w:t>406–412.</w:t>
      </w:r>
      <w:r w:rsidR="001841CD" w:rsidRPr="00DA6EB8">
        <w:rPr>
          <w:rFonts w:ascii="Times New Roman" w:hAnsi="Times New Roman" w:cs="Times New Roman"/>
          <w:sz w:val="20"/>
          <w:szCs w:val="20"/>
        </w:rPr>
        <w:t xml:space="preserve"> </w:t>
      </w:r>
    </w:p>
    <w:p w:rsidR="006F70F2" w:rsidRPr="00DA6EB8" w:rsidRDefault="006F70F2"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S.</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Tewtrakul</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Yuenyongsawad</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Kummee</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L.</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Atsawajaruwan</w:t>
      </w:r>
      <w:proofErr w:type="spellEnd"/>
      <w:r w:rsidR="001841CD" w:rsidRPr="00DA6EB8">
        <w:rPr>
          <w:rFonts w:ascii="Times New Roman" w:hAnsi="Times New Roman" w:cs="Times New Roman"/>
          <w:sz w:val="20"/>
          <w:szCs w:val="20"/>
        </w:rPr>
        <w:t xml:space="preserve">, </w:t>
      </w:r>
      <w:r w:rsidR="001841CD" w:rsidRPr="00DA6EB8">
        <w:rPr>
          <w:rFonts w:ascii="Times New Roman" w:hAnsi="Times New Roman" w:cs="Times New Roman"/>
          <w:bCs/>
          <w:sz w:val="20"/>
          <w:szCs w:val="20"/>
        </w:rPr>
        <w:t>(</w:t>
      </w:r>
      <w:r w:rsidR="00E90D61" w:rsidRPr="00DA6EB8">
        <w:rPr>
          <w:rFonts w:ascii="Times New Roman" w:hAnsi="Times New Roman" w:cs="Times New Roman"/>
          <w:bCs/>
          <w:sz w:val="20"/>
          <w:szCs w:val="20"/>
        </w:rPr>
        <w:t>2005)</w:t>
      </w:r>
      <w:r w:rsidR="00E90D61"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Chemical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components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biological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activities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volatile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oil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i/>
          <w:iCs/>
          <w:sz w:val="20"/>
          <w:szCs w:val="20"/>
        </w:rPr>
        <w:t>Kaempferia</w:t>
      </w:r>
      <w:proofErr w:type="spellEnd"/>
      <w:r w:rsidR="001841CD" w:rsidRPr="00DA6EB8">
        <w:rPr>
          <w:rFonts w:ascii="Times New Roman" w:hAnsi="Times New Roman" w:cs="Times New Roman"/>
          <w:i/>
          <w:iCs/>
          <w:sz w:val="20"/>
          <w:szCs w:val="20"/>
        </w:rPr>
        <w:t xml:space="preserve"> </w:t>
      </w:r>
      <w:r w:rsidRPr="00DA6EB8">
        <w:rPr>
          <w:rFonts w:ascii="Times New Roman" w:hAnsi="Times New Roman" w:cs="Times New Roman"/>
          <w:i/>
          <w:iCs/>
          <w:sz w:val="20"/>
          <w:szCs w:val="20"/>
        </w:rPr>
        <w:t>galangal</w:t>
      </w:r>
      <w:r w:rsidR="001841CD" w:rsidRPr="00DA6EB8">
        <w:rPr>
          <w:rFonts w:ascii="Times New Roman" w:hAnsi="Times New Roman" w:cs="Times New Roman"/>
          <w:i/>
          <w:iCs/>
          <w:sz w:val="20"/>
          <w:szCs w:val="20"/>
        </w:rPr>
        <w:t xml:space="preserve"> </w:t>
      </w:r>
      <w:r w:rsidRPr="00DA6EB8">
        <w:rPr>
          <w:rFonts w:ascii="Times New Roman" w:hAnsi="Times New Roman" w:cs="Times New Roman"/>
          <w:sz w:val="20"/>
          <w:szCs w:val="20"/>
        </w:rPr>
        <w:t>Linn.,</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Songklanakarin</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Sci.</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Technol.</w:t>
      </w:r>
      <w:r w:rsidR="001841CD"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27</w:t>
      </w:r>
      <w:r w:rsidR="00E90D61" w:rsidRPr="00DA6EB8">
        <w:rPr>
          <w:rFonts w:ascii="Times New Roman" w:hAnsi="Times New Roman" w:cs="Times New Roman"/>
          <w:bCs/>
          <w:sz w:val="20"/>
          <w:szCs w:val="20"/>
        </w:rPr>
        <w:t>:</w:t>
      </w:r>
      <w:r w:rsidRPr="00DA6EB8">
        <w:rPr>
          <w:rFonts w:ascii="Times New Roman" w:hAnsi="Times New Roman" w:cs="Times New Roman"/>
          <w:sz w:val="20"/>
          <w:szCs w:val="20"/>
        </w:rPr>
        <w:t>503–507.</w:t>
      </w:r>
      <w:r w:rsidR="001841CD" w:rsidRPr="00DA6EB8">
        <w:rPr>
          <w:rFonts w:ascii="Times New Roman" w:hAnsi="Times New Roman" w:cs="Times New Roman"/>
          <w:sz w:val="20"/>
          <w:szCs w:val="20"/>
        </w:rPr>
        <w:t xml:space="preserve"> </w:t>
      </w:r>
    </w:p>
    <w:p w:rsidR="006F70F2" w:rsidRPr="00DA6EB8" w:rsidRDefault="006F70F2"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lastRenderedPageBreak/>
        <w:t>V.</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Ballabeni</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Tognolini</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Bertoni</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Bruni</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Guerrini</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G.M.</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Rueda</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Barocelli</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E90D61" w:rsidRPr="00DA6EB8">
        <w:rPr>
          <w:rFonts w:ascii="Times New Roman" w:hAnsi="Times New Roman" w:cs="Times New Roman"/>
          <w:bCs/>
          <w:sz w:val="20"/>
          <w:szCs w:val="20"/>
        </w:rPr>
        <w:t>(2007).</w:t>
      </w:r>
      <w:r w:rsidR="001841CD" w:rsidRPr="00DA6EB8">
        <w:rPr>
          <w:rFonts w:ascii="Times New Roman" w:hAnsi="Times New Roman" w:cs="Times New Roman"/>
          <w:bCs/>
          <w:sz w:val="20"/>
          <w:szCs w:val="20"/>
        </w:rPr>
        <w:t xml:space="preserve"> </w:t>
      </w:r>
      <w:proofErr w:type="spellStart"/>
      <w:r w:rsidRPr="00DA6EB8">
        <w:rPr>
          <w:rFonts w:ascii="Times New Roman" w:hAnsi="Times New Roman" w:cs="Times New Roman"/>
          <w:sz w:val="20"/>
          <w:szCs w:val="20"/>
        </w:rPr>
        <w:t>Antiplatelet</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antithrombotic</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activities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essential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oil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from</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wild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i/>
          <w:iCs/>
          <w:sz w:val="20"/>
          <w:szCs w:val="20"/>
        </w:rPr>
        <w:t>Ocotea</w:t>
      </w:r>
      <w:proofErr w:type="spellEnd"/>
      <w:r w:rsidR="001841CD"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quixos</w:t>
      </w:r>
      <w:proofErr w:type="spellEnd"/>
      <w:r w:rsidR="001841CD" w:rsidRPr="00DA6EB8">
        <w:rPr>
          <w:rFonts w:ascii="Times New Roman" w:hAnsi="Times New Roman" w:cs="Times New Roman"/>
          <w:i/>
          <w:iCs/>
          <w:sz w:val="20"/>
          <w:szCs w:val="20"/>
        </w:rPr>
        <w:t xml:space="preserve"> </w:t>
      </w:r>
      <w:r w:rsidRPr="00DA6EB8">
        <w:rPr>
          <w:rFonts w:ascii="Times New Roman" w:hAnsi="Times New Roman" w:cs="Times New Roman"/>
          <w:sz w:val="20"/>
          <w:szCs w:val="20"/>
        </w:rPr>
        <w:t>(Lam.)</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Kosterm</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w:t>
      </w:r>
      <w:proofErr w:type="spellStart"/>
      <w:r w:rsidRPr="00DA6EB8">
        <w:rPr>
          <w:rFonts w:ascii="Times New Roman" w:hAnsi="Times New Roman" w:cs="Times New Roman"/>
          <w:sz w:val="20"/>
          <w:szCs w:val="20"/>
        </w:rPr>
        <w:t>Lauraceae</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calices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from</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Amazonian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Ecuador,</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Pharmacol</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Res.</w:t>
      </w:r>
      <w:r w:rsidR="001841CD"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55</w:t>
      </w:r>
      <w:r w:rsidR="00E90D61"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23–30.</w:t>
      </w:r>
      <w:r w:rsidR="001841CD" w:rsidRPr="00DA6EB8">
        <w:rPr>
          <w:rFonts w:ascii="Times New Roman" w:hAnsi="Times New Roman" w:cs="Times New Roman"/>
          <w:sz w:val="20"/>
          <w:szCs w:val="20"/>
        </w:rPr>
        <w:t xml:space="preserve"> </w:t>
      </w:r>
    </w:p>
    <w:p w:rsidR="006F70F2" w:rsidRPr="00DA6EB8" w:rsidRDefault="006F70F2"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A.M.</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Vittalrao</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Shanbhag</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M.K.</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Kumari</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K.L.</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Bairy</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Shenoy</w:t>
      </w:r>
      <w:proofErr w:type="spellEnd"/>
      <w:r w:rsidRPr="00DA6EB8">
        <w:rPr>
          <w:rFonts w:ascii="Times New Roman" w:hAnsi="Times New Roman" w:cs="Times New Roman"/>
          <w:sz w:val="20"/>
          <w:szCs w:val="20"/>
        </w:rPr>
        <w:t>,</w:t>
      </w:r>
      <w:r w:rsidR="001841CD" w:rsidRPr="00DA6EB8">
        <w:rPr>
          <w:rFonts w:ascii="Times New Roman" w:hAnsi="Times New Roman" w:cs="Times New Roman"/>
          <w:bCs/>
          <w:sz w:val="20"/>
          <w:szCs w:val="20"/>
        </w:rPr>
        <w:t xml:space="preserve"> </w:t>
      </w:r>
      <w:r w:rsidR="00E90D61" w:rsidRPr="00DA6EB8">
        <w:rPr>
          <w:rFonts w:ascii="Times New Roman" w:hAnsi="Times New Roman" w:cs="Times New Roman"/>
          <w:bCs/>
          <w:sz w:val="20"/>
          <w:szCs w:val="20"/>
        </w:rPr>
        <w:t>(2011).</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Evaluation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antiinflammatory</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analgesic</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activities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alcoholic</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extract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i/>
          <w:iCs/>
          <w:sz w:val="20"/>
          <w:szCs w:val="20"/>
        </w:rPr>
        <w:t>Kaempferia</w:t>
      </w:r>
      <w:proofErr w:type="spellEnd"/>
      <w:r w:rsidR="001841CD"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galanga</w:t>
      </w:r>
      <w:proofErr w:type="spellEnd"/>
      <w:r w:rsidR="001841CD" w:rsidRPr="00DA6EB8">
        <w:rPr>
          <w:rFonts w:ascii="Times New Roman" w:hAnsi="Times New Roman" w:cs="Times New Roman"/>
          <w:i/>
          <w:iCs/>
          <w:sz w:val="20"/>
          <w:szCs w:val="20"/>
        </w:rPr>
        <w:t xml:space="preserve"> </w:t>
      </w:r>
      <w:r w:rsidRPr="00DA6EB8">
        <w:rPr>
          <w:rFonts w:ascii="Times New Roman" w:hAnsi="Times New Roman" w:cs="Times New Roman"/>
          <w:sz w:val="20"/>
          <w:szCs w:val="20"/>
        </w:rPr>
        <w:t>in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rats,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Indian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Physiol.</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Pharmacol</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55</w:t>
      </w:r>
      <w:r w:rsidR="00E90D61" w:rsidRPr="00DA6EB8">
        <w:rPr>
          <w:rFonts w:ascii="Times New Roman" w:hAnsi="Times New Roman" w:cs="Times New Roman"/>
          <w:bCs/>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13–24.</w:t>
      </w:r>
      <w:r w:rsidR="001841CD" w:rsidRPr="00DA6EB8">
        <w:rPr>
          <w:rFonts w:ascii="Times New Roman" w:hAnsi="Times New Roman" w:cs="Times New Roman"/>
          <w:sz w:val="20"/>
          <w:szCs w:val="20"/>
        </w:rPr>
        <w:t xml:space="preserve"> </w:t>
      </w:r>
    </w:p>
    <w:p w:rsidR="004E62B6" w:rsidRPr="00DA6EB8" w:rsidRDefault="004E62B6"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Council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Europe</w:t>
      </w:r>
      <w:r w:rsidR="001841CD"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(2000).</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Partial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Agreement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Social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Public</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Health</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Field.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Chemically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defined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Flavoring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Substances.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Group</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9.5.5</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esters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aromatic</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acid.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Cinnamates</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number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333.</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Council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Europe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Publishing,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Strasbourg,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pp.</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386.</w:t>
      </w:r>
      <w:r w:rsidR="001841CD" w:rsidRPr="00DA6EB8">
        <w:rPr>
          <w:rFonts w:ascii="Times New Roman" w:hAnsi="Times New Roman" w:cs="Times New Roman"/>
          <w:sz w:val="20"/>
          <w:szCs w:val="20"/>
        </w:rPr>
        <w:t xml:space="preserve"> </w:t>
      </w:r>
    </w:p>
    <w:p w:rsidR="006F70F2" w:rsidRPr="00DA6EB8" w:rsidRDefault="006F70F2"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J.F.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Ballesteros,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M.J.</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Sanz</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Ubeda</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Miranda,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Iborra</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T.M.</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Paya</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M.J.</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Alcaraz</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E90D61" w:rsidRPr="00DA6EB8">
        <w:rPr>
          <w:rFonts w:ascii="Times New Roman" w:hAnsi="Times New Roman" w:cs="Times New Roman"/>
          <w:bCs/>
          <w:sz w:val="20"/>
          <w:szCs w:val="20"/>
        </w:rPr>
        <w:t>(1995).</w:t>
      </w:r>
      <w:r w:rsidR="001841CD" w:rsidRPr="00DA6EB8">
        <w:rPr>
          <w:rFonts w:ascii="Times New Roman" w:hAnsi="Times New Roman" w:cs="Times New Roman"/>
          <w:bCs/>
          <w:sz w:val="20"/>
          <w:szCs w:val="20"/>
        </w:rPr>
        <w:t xml:space="preserve"> </w:t>
      </w:r>
      <w:r w:rsidRPr="00DA6EB8">
        <w:rPr>
          <w:rFonts w:ascii="Times New Roman" w:hAnsi="Times New Roman" w:cs="Times New Roman"/>
          <w:sz w:val="20"/>
          <w:szCs w:val="20"/>
        </w:rPr>
        <w:t>Synthesis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pharmacological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evaluation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2'-hydroxychalcones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flavones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inhibitors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inflammatory</w:t>
      </w:r>
      <w:r w:rsidR="001841CD" w:rsidRPr="00DA6EB8">
        <w:rPr>
          <w:rFonts w:ascii="Times New Roman" w:hAnsi="Times New Roman" w:cs="Times New Roman"/>
          <w:sz w:val="20"/>
          <w:szCs w:val="20"/>
        </w:rPr>
        <w:t xml:space="preserve"> </w:t>
      </w:r>
      <w:r w:rsidR="001052A0" w:rsidRPr="00DA6EB8">
        <w:rPr>
          <w:rFonts w:ascii="Times New Roman" w:hAnsi="Times New Roman" w:cs="Times New Roman"/>
          <w:sz w:val="20"/>
          <w:szCs w:val="20"/>
        </w:rPr>
        <w:t>mediator’s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generation,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Med.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Chem.</w:t>
      </w:r>
      <w:r w:rsidRPr="00DA6EB8">
        <w:rPr>
          <w:rFonts w:ascii="Times New Roman" w:hAnsi="Times New Roman" w:cs="Times New Roman"/>
          <w:bCs/>
          <w:sz w:val="20"/>
          <w:szCs w:val="20"/>
        </w:rPr>
        <w:t>38</w:t>
      </w:r>
      <w:r w:rsidR="00E90D61"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2794–2797.</w:t>
      </w:r>
    </w:p>
    <w:p w:rsidR="004F1077" w:rsidRPr="00DA6EB8" w:rsidRDefault="00AE0BDC"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Buddrus</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001841CD" w:rsidRPr="00DA6EB8">
        <w:rPr>
          <w:rFonts w:ascii="Times New Roman" w:hAnsi="Times New Roman" w:cs="Times New Roman"/>
          <w:bCs/>
          <w:sz w:val="20"/>
          <w:szCs w:val="20"/>
        </w:rPr>
        <w:t>(</w:t>
      </w:r>
      <w:r w:rsidRPr="00DA6EB8">
        <w:rPr>
          <w:rFonts w:ascii="Times New Roman" w:hAnsi="Times New Roman" w:cs="Times New Roman"/>
          <w:bCs/>
          <w:sz w:val="20"/>
          <w:szCs w:val="20"/>
        </w:rPr>
        <w:t>1972).</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Basic</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behavior</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proofErr w:type="spellStart"/>
      <w:r w:rsidR="006F70F2" w:rsidRPr="00DA6EB8">
        <w:rPr>
          <w:rFonts w:ascii="Times New Roman" w:hAnsi="Times New Roman" w:cs="Times New Roman"/>
          <w:sz w:val="20"/>
          <w:szCs w:val="20"/>
        </w:rPr>
        <w:t>epoxides</w:t>
      </w:r>
      <w:proofErr w:type="spellEnd"/>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in</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presence</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halide</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ions,</w:t>
      </w:r>
      <w:r w:rsidR="001841CD" w:rsidRPr="00DA6EB8">
        <w:rPr>
          <w:rFonts w:ascii="Times New Roman" w:hAnsi="Times New Roman" w:cs="Times New Roman"/>
          <w:sz w:val="20"/>
          <w:szCs w:val="20"/>
        </w:rPr>
        <w:t xml:space="preserve"> </w:t>
      </w:r>
      <w:proofErr w:type="spellStart"/>
      <w:r w:rsidR="006F70F2" w:rsidRPr="00DA6EB8">
        <w:rPr>
          <w:rFonts w:ascii="Times New Roman" w:hAnsi="Times New Roman" w:cs="Times New Roman"/>
          <w:sz w:val="20"/>
          <w:szCs w:val="20"/>
        </w:rPr>
        <w:t>Angew</w:t>
      </w:r>
      <w:proofErr w:type="spellEnd"/>
      <w:r w:rsidR="006F70F2"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Chem.</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Int.</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Ed.</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Eng.</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bCs/>
          <w:sz w:val="20"/>
          <w:szCs w:val="20"/>
        </w:rPr>
        <w:t>11</w:t>
      </w:r>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1041–1050.</w:t>
      </w:r>
      <w:r w:rsidR="001841CD" w:rsidRPr="00DA6EB8">
        <w:rPr>
          <w:rFonts w:ascii="Times New Roman" w:hAnsi="Times New Roman" w:cs="Times New Roman"/>
          <w:sz w:val="20"/>
          <w:szCs w:val="20"/>
        </w:rPr>
        <w:t xml:space="preserve"> </w:t>
      </w:r>
    </w:p>
    <w:p w:rsidR="006F70F2" w:rsidRPr="00DA6EB8" w:rsidRDefault="00724BE3"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Fürsther</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4F1077" w:rsidRPr="00DA6EB8">
        <w:rPr>
          <w:rFonts w:ascii="Times New Roman" w:hAnsi="Times New Roman" w:cs="Times New Roman"/>
          <w:sz w:val="20"/>
          <w:szCs w:val="20"/>
        </w:rPr>
        <w:t>A</w:t>
      </w:r>
      <w:r w:rsidR="001841CD" w:rsidRPr="00DA6EB8">
        <w:rPr>
          <w:rFonts w:ascii="Times New Roman" w:hAnsi="Times New Roman" w:cs="Times New Roman"/>
          <w:sz w:val="20"/>
          <w:szCs w:val="20"/>
        </w:rPr>
        <w:t xml:space="preserve">. </w:t>
      </w:r>
      <w:r w:rsidR="001841CD" w:rsidRPr="00DA6EB8">
        <w:rPr>
          <w:rFonts w:ascii="Times New Roman" w:hAnsi="Times New Roman" w:cs="Times New Roman"/>
          <w:bCs/>
          <w:sz w:val="20"/>
          <w:szCs w:val="20"/>
        </w:rPr>
        <w:t>(</w:t>
      </w:r>
      <w:r w:rsidRPr="00DA6EB8">
        <w:rPr>
          <w:rFonts w:ascii="Times New Roman" w:hAnsi="Times New Roman" w:cs="Times New Roman"/>
          <w:bCs/>
          <w:sz w:val="20"/>
          <w:szCs w:val="20"/>
        </w:rPr>
        <w:t>1989).</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Recent</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advancements</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in</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proofErr w:type="spellStart"/>
      <w:r w:rsidR="006F70F2" w:rsidRPr="00DA6EB8">
        <w:rPr>
          <w:rFonts w:ascii="Times New Roman" w:hAnsi="Times New Roman" w:cs="Times New Roman"/>
          <w:sz w:val="20"/>
          <w:szCs w:val="20"/>
        </w:rPr>
        <w:t>Reformatsky</w:t>
      </w:r>
      <w:proofErr w:type="spellEnd"/>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reaction,</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Synthesis</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bCs/>
          <w:sz w:val="20"/>
          <w:szCs w:val="20"/>
        </w:rPr>
        <w:t>8</w:t>
      </w:r>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571–590.</w:t>
      </w:r>
      <w:r w:rsidR="001841CD" w:rsidRPr="00DA6EB8">
        <w:rPr>
          <w:rFonts w:ascii="Times New Roman" w:hAnsi="Times New Roman" w:cs="Times New Roman"/>
          <w:sz w:val="20"/>
          <w:szCs w:val="20"/>
        </w:rPr>
        <w:t xml:space="preserve"> </w:t>
      </w:r>
    </w:p>
    <w:p w:rsidR="006F70F2" w:rsidRPr="00DA6EB8" w:rsidRDefault="00724BE3"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Heck,</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R.F</w:t>
      </w:r>
      <w:r w:rsidR="001841CD" w:rsidRPr="00DA6EB8">
        <w:rPr>
          <w:rFonts w:ascii="Times New Roman" w:hAnsi="Times New Roman" w:cs="Times New Roman"/>
          <w:sz w:val="20"/>
          <w:szCs w:val="20"/>
        </w:rPr>
        <w:t xml:space="preserve">. </w:t>
      </w:r>
      <w:r w:rsidR="001841CD" w:rsidRPr="00DA6EB8">
        <w:rPr>
          <w:rFonts w:ascii="Times New Roman" w:hAnsi="Times New Roman" w:cs="Times New Roman"/>
          <w:bCs/>
          <w:sz w:val="20"/>
          <w:szCs w:val="20"/>
        </w:rPr>
        <w:t>(</w:t>
      </w:r>
      <w:r w:rsidRPr="00DA6EB8">
        <w:rPr>
          <w:rFonts w:ascii="Times New Roman" w:hAnsi="Times New Roman" w:cs="Times New Roman"/>
          <w:bCs/>
          <w:sz w:val="20"/>
          <w:szCs w:val="20"/>
        </w:rPr>
        <w:t>1968).</w:t>
      </w:r>
      <w:r w:rsidR="001841CD" w:rsidRPr="00DA6EB8">
        <w:rPr>
          <w:rFonts w:ascii="Times New Roman" w:hAnsi="Times New Roman" w:cs="Times New Roman"/>
          <w:sz w:val="20"/>
          <w:szCs w:val="20"/>
        </w:rPr>
        <w:t xml:space="preserve"> </w:t>
      </w:r>
      <w:proofErr w:type="spellStart"/>
      <w:r w:rsidR="006F70F2" w:rsidRPr="00DA6EB8">
        <w:rPr>
          <w:rFonts w:ascii="Times New Roman" w:hAnsi="Times New Roman" w:cs="Times New Roman"/>
          <w:sz w:val="20"/>
          <w:szCs w:val="20"/>
        </w:rPr>
        <w:t>Arylation</w:t>
      </w:r>
      <w:proofErr w:type="spellEnd"/>
      <w:r w:rsidR="006F70F2"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proofErr w:type="spellStart"/>
      <w:r w:rsidR="006F70F2" w:rsidRPr="00DA6EB8">
        <w:rPr>
          <w:rFonts w:ascii="Times New Roman" w:hAnsi="Times New Roman" w:cs="Times New Roman"/>
          <w:sz w:val="20"/>
          <w:szCs w:val="20"/>
        </w:rPr>
        <w:t>methylation</w:t>
      </w:r>
      <w:proofErr w:type="spellEnd"/>
      <w:r w:rsidR="006F70F2"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proofErr w:type="spellStart"/>
      <w:r w:rsidR="006F70F2" w:rsidRPr="00DA6EB8">
        <w:rPr>
          <w:rFonts w:ascii="Times New Roman" w:hAnsi="Times New Roman" w:cs="Times New Roman"/>
          <w:sz w:val="20"/>
          <w:szCs w:val="20"/>
        </w:rPr>
        <w:t>carboxyalkylation</w:t>
      </w:r>
      <w:proofErr w:type="spellEnd"/>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olefins</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by</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group</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VIII</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metal</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derivatives,</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Am.</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Chem.</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Soc.</w:t>
      </w:r>
      <w:r w:rsidR="006F70F2" w:rsidRPr="00DA6EB8">
        <w:rPr>
          <w:rFonts w:ascii="Times New Roman" w:hAnsi="Times New Roman" w:cs="Times New Roman"/>
          <w:bCs/>
          <w:sz w:val="20"/>
          <w:szCs w:val="20"/>
        </w:rPr>
        <w:t>90</w:t>
      </w:r>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5518–5526.</w:t>
      </w:r>
      <w:r w:rsidR="001841CD" w:rsidRPr="00DA6EB8">
        <w:rPr>
          <w:rFonts w:ascii="Times New Roman" w:hAnsi="Times New Roman" w:cs="Times New Roman"/>
          <w:sz w:val="20"/>
          <w:szCs w:val="20"/>
        </w:rPr>
        <w:t xml:space="preserve"> </w:t>
      </w:r>
    </w:p>
    <w:p w:rsidR="006F70F2" w:rsidRPr="00DA6EB8" w:rsidRDefault="00724BE3"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Sharma,</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P</w:t>
      </w:r>
      <w:r w:rsidR="001841CD" w:rsidRPr="00DA6EB8">
        <w:rPr>
          <w:rFonts w:ascii="Times New Roman" w:hAnsi="Times New Roman" w:cs="Times New Roman"/>
          <w:sz w:val="20"/>
          <w:szCs w:val="20"/>
        </w:rPr>
        <w:t xml:space="preserve">. </w:t>
      </w:r>
      <w:r w:rsidR="001841CD" w:rsidRPr="00DA6EB8">
        <w:rPr>
          <w:rFonts w:ascii="Times New Roman" w:hAnsi="Times New Roman" w:cs="Times New Roman"/>
          <w:bCs/>
          <w:sz w:val="20"/>
          <w:szCs w:val="20"/>
        </w:rPr>
        <w:t>(</w:t>
      </w:r>
      <w:r w:rsidRPr="00DA6EB8">
        <w:rPr>
          <w:rFonts w:ascii="Times New Roman" w:hAnsi="Times New Roman" w:cs="Times New Roman"/>
          <w:bCs/>
          <w:sz w:val="20"/>
          <w:szCs w:val="20"/>
        </w:rPr>
        <w:t>2011).</w:t>
      </w:r>
      <w:r w:rsidR="001841CD" w:rsidRPr="00DA6EB8">
        <w:rPr>
          <w:rFonts w:ascii="Times New Roman" w:hAnsi="Times New Roman" w:cs="Times New Roman"/>
          <w:sz w:val="20"/>
          <w:szCs w:val="20"/>
        </w:rPr>
        <w:t xml:space="preserve"> </w:t>
      </w:r>
      <w:proofErr w:type="spellStart"/>
      <w:r w:rsidR="006F70F2" w:rsidRPr="00DA6EB8">
        <w:rPr>
          <w:rFonts w:ascii="Times New Roman" w:hAnsi="Times New Roman" w:cs="Times New Roman"/>
          <w:sz w:val="20"/>
          <w:szCs w:val="20"/>
        </w:rPr>
        <w:t>Cinnamic</w:t>
      </w:r>
      <w:proofErr w:type="spellEnd"/>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acid</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derivatives:</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A</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new</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chapter</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various</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pharmacological</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activities,</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Chem.</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Pharm.</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Res.</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bCs/>
          <w:sz w:val="20"/>
          <w:szCs w:val="20"/>
        </w:rPr>
        <w:t>3</w:t>
      </w:r>
      <w:r w:rsidRPr="00DA6EB8">
        <w:rPr>
          <w:rFonts w:ascii="Times New Roman" w:hAnsi="Times New Roman" w:cs="Times New Roman"/>
          <w:bCs/>
          <w:sz w:val="20"/>
          <w:szCs w:val="20"/>
        </w:rPr>
        <w:t>:</w:t>
      </w:r>
      <w:r w:rsidR="001841CD" w:rsidRPr="00DA6EB8">
        <w:rPr>
          <w:rFonts w:ascii="Times New Roman" w:hAnsi="Times New Roman" w:cs="Times New Roman"/>
          <w:sz w:val="20"/>
          <w:szCs w:val="20"/>
        </w:rPr>
        <w:t xml:space="preserve"> </w:t>
      </w:r>
      <w:r w:rsidR="006F70F2" w:rsidRPr="00DA6EB8">
        <w:rPr>
          <w:rFonts w:ascii="Times New Roman" w:hAnsi="Times New Roman" w:cs="Times New Roman"/>
          <w:sz w:val="20"/>
          <w:szCs w:val="20"/>
        </w:rPr>
        <w:t>403–423.</w:t>
      </w:r>
    </w:p>
    <w:p w:rsidR="00555270" w:rsidRPr="00DA6EB8" w:rsidRDefault="00555270"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Pinho</w:t>
      </w:r>
      <w:proofErr w:type="spellEnd"/>
      <w:r w:rsidR="00724BE3"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724BE3"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w:t>
      </w:r>
      <w:r w:rsidR="00724BE3"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Silva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w:t>
      </w:r>
      <w:r w:rsidR="00724BE3"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w:t>
      </w:r>
      <w:r w:rsidR="00724BE3"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Pinheiro</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w:t>
      </w:r>
      <w:r w:rsidR="00724BE3"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G</w:t>
      </w:r>
      <w:r w:rsidR="00724BE3"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724BE3" w:rsidRPr="00DA6EB8">
        <w:rPr>
          <w:rFonts w:ascii="Times New Roman" w:hAnsi="Times New Roman" w:cs="Times New Roman"/>
          <w:bCs/>
          <w:sz w:val="20"/>
          <w:szCs w:val="20"/>
        </w:rPr>
        <w:t>(2012)</w:t>
      </w:r>
      <w:r w:rsidR="00724BE3"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Antinociceptive</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antispasmodic</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effects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essential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oil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i/>
          <w:iCs/>
          <w:sz w:val="20"/>
          <w:szCs w:val="20"/>
        </w:rPr>
        <w:t>Ocimum</w:t>
      </w:r>
      <w:proofErr w:type="spellEnd"/>
      <w:r w:rsidR="001841CD"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micranthum</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Potential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anti-</w:t>
      </w:r>
      <w:proofErr w:type="spellStart"/>
      <w:r w:rsidRPr="00DA6EB8">
        <w:rPr>
          <w:rFonts w:ascii="Times New Roman" w:hAnsi="Times New Roman" w:cs="Times New Roman"/>
          <w:sz w:val="20"/>
          <w:szCs w:val="20"/>
        </w:rPr>
        <w:t>inﬂammatory</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properties.</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Planta</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Med.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78:</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681–5.</w:t>
      </w:r>
    </w:p>
    <w:p w:rsidR="00555270" w:rsidRPr="00DA6EB8" w:rsidRDefault="00555270"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Nor</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Azah</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Sam</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YY,</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Mailina</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Chua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LS.</w:t>
      </w:r>
      <w:r w:rsidR="001841CD" w:rsidRPr="00DA6EB8">
        <w:rPr>
          <w:rFonts w:ascii="Times New Roman" w:hAnsi="Times New Roman" w:cs="Times New Roman"/>
          <w:bCs/>
          <w:sz w:val="20"/>
          <w:szCs w:val="20"/>
        </w:rPr>
        <w:t xml:space="preserve"> </w:t>
      </w:r>
      <w:r w:rsidR="00724BE3" w:rsidRPr="00DA6EB8">
        <w:rPr>
          <w:rFonts w:ascii="Times New Roman" w:hAnsi="Times New Roman" w:cs="Times New Roman"/>
          <w:bCs/>
          <w:sz w:val="20"/>
          <w:szCs w:val="20"/>
        </w:rPr>
        <w:t>(2005).</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Methyl</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cinnamate</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major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constituent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oil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essential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i/>
          <w:iCs/>
          <w:sz w:val="20"/>
          <w:szCs w:val="20"/>
        </w:rPr>
        <w:t>Alpinia</w:t>
      </w:r>
      <w:proofErr w:type="spellEnd"/>
      <w:r w:rsidR="001841CD"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Malaccensis</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var.</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Nobilis</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Trop.</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Forest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Sci</w:t>
      </w:r>
      <w:r w:rsidR="007666A7" w:rsidRPr="00DA6EB8">
        <w:rPr>
          <w:rFonts w:ascii="Times New Roman" w:hAnsi="Times New Roman" w:cs="Times New Roman"/>
          <w:sz w:val="20"/>
          <w:szCs w:val="20"/>
        </w:rPr>
        <w:t>.</w:t>
      </w:r>
      <w:r w:rsidR="00724BE3"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17:</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631–3.</w:t>
      </w:r>
    </w:p>
    <w:p w:rsidR="00555270" w:rsidRPr="00DA6EB8" w:rsidRDefault="00555270"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Murakami</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Li</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W,</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Matsuura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Satou</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Hayashi</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Koike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K</w:t>
      </w:r>
      <w:r w:rsidR="001841CD" w:rsidRPr="00DA6EB8">
        <w:rPr>
          <w:rFonts w:ascii="Times New Roman" w:hAnsi="Times New Roman" w:cs="Times New Roman"/>
          <w:sz w:val="20"/>
          <w:szCs w:val="20"/>
        </w:rPr>
        <w:t xml:space="preserve">. </w:t>
      </w:r>
      <w:r w:rsidR="001841CD" w:rsidRPr="00DA6EB8">
        <w:rPr>
          <w:rFonts w:ascii="Times New Roman" w:hAnsi="Times New Roman" w:cs="Times New Roman"/>
          <w:bCs/>
          <w:sz w:val="20"/>
          <w:szCs w:val="20"/>
        </w:rPr>
        <w:t>(</w:t>
      </w:r>
      <w:r w:rsidR="007666A7" w:rsidRPr="00DA6EB8">
        <w:rPr>
          <w:rFonts w:ascii="Times New Roman" w:hAnsi="Times New Roman" w:cs="Times New Roman"/>
          <w:bCs/>
          <w:sz w:val="20"/>
          <w:szCs w:val="20"/>
        </w:rPr>
        <w:t>2009).</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Composition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seasonal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variation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essential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oil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i/>
          <w:iCs/>
          <w:sz w:val="20"/>
          <w:szCs w:val="20"/>
        </w:rPr>
        <w:t>Alpinia</w:t>
      </w:r>
      <w:proofErr w:type="spellEnd"/>
      <w:r w:rsidR="001841CD"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zerumbet</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fro</w:t>
      </w:r>
      <w:r w:rsidR="007666A7" w:rsidRPr="00DA6EB8">
        <w:rPr>
          <w:rFonts w:ascii="Times New Roman" w:hAnsi="Times New Roman" w:cs="Times New Roman"/>
          <w:sz w:val="20"/>
          <w:szCs w:val="20"/>
        </w:rPr>
        <w:t>m</w:t>
      </w:r>
      <w:r w:rsidR="001841CD" w:rsidRPr="00DA6EB8">
        <w:rPr>
          <w:rFonts w:ascii="Times New Roman" w:hAnsi="Times New Roman" w:cs="Times New Roman"/>
          <w:sz w:val="20"/>
          <w:szCs w:val="20"/>
        </w:rPr>
        <w:t xml:space="preserve"> </w:t>
      </w:r>
      <w:r w:rsidR="007666A7" w:rsidRPr="00DA6EB8">
        <w:rPr>
          <w:rFonts w:ascii="Times New Roman" w:hAnsi="Times New Roman" w:cs="Times New Roman"/>
          <w:sz w:val="20"/>
          <w:szCs w:val="20"/>
        </w:rPr>
        <w:t>Okinawa</w:t>
      </w:r>
      <w:r w:rsidR="001841CD" w:rsidRPr="00DA6EB8">
        <w:rPr>
          <w:rFonts w:ascii="Times New Roman" w:hAnsi="Times New Roman" w:cs="Times New Roman"/>
          <w:sz w:val="20"/>
          <w:szCs w:val="20"/>
        </w:rPr>
        <w:t xml:space="preserve"> </w:t>
      </w:r>
      <w:r w:rsidR="007666A7" w:rsidRPr="00DA6EB8">
        <w:rPr>
          <w:rFonts w:ascii="Times New Roman" w:hAnsi="Times New Roman" w:cs="Times New Roman"/>
          <w:sz w:val="20"/>
          <w:szCs w:val="20"/>
        </w:rPr>
        <w:t>Island.</w:t>
      </w:r>
      <w:r w:rsidR="001841CD" w:rsidRPr="00DA6EB8">
        <w:rPr>
          <w:rFonts w:ascii="Times New Roman" w:hAnsi="Times New Roman" w:cs="Times New Roman"/>
          <w:sz w:val="20"/>
          <w:szCs w:val="20"/>
        </w:rPr>
        <w:t xml:space="preserve"> </w:t>
      </w:r>
      <w:r w:rsidR="007666A7"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007666A7" w:rsidRPr="00DA6EB8">
        <w:rPr>
          <w:rFonts w:ascii="Times New Roman" w:hAnsi="Times New Roman" w:cs="Times New Roman"/>
          <w:sz w:val="20"/>
          <w:szCs w:val="20"/>
        </w:rPr>
        <w:t>Nat.</w:t>
      </w:r>
      <w:r w:rsidR="001841CD" w:rsidRPr="00DA6EB8">
        <w:rPr>
          <w:rFonts w:ascii="Times New Roman" w:hAnsi="Times New Roman" w:cs="Times New Roman"/>
          <w:sz w:val="20"/>
          <w:szCs w:val="20"/>
        </w:rPr>
        <w:t xml:space="preserve"> </w:t>
      </w:r>
      <w:r w:rsidR="007666A7" w:rsidRPr="00DA6EB8">
        <w:rPr>
          <w:rFonts w:ascii="Times New Roman" w:hAnsi="Times New Roman" w:cs="Times New Roman"/>
          <w:sz w:val="20"/>
          <w:szCs w:val="20"/>
        </w:rPr>
        <w:t>Med;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63:</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204–8.</w:t>
      </w:r>
    </w:p>
    <w:p w:rsidR="001841CD" w:rsidRPr="00DA6EB8" w:rsidRDefault="00555270"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Singh</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CB,</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Chanu</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SB,</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Bidyababy</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w:t>
      </w:r>
      <w:r w:rsidR="001841CD" w:rsidRPr="00DA6EB8">
        <w:rPr>
          <w:rFonts w:ascii="Times New Roman" w:hAnsi="Times New Roman" w:cs="Times New Roman"/>
          <w:sz w:val="20"/>
          <w:szCs w:val="20"/>
        </w:rPr>
        <w:t xml:space="preserve"> </w:t>
      </w:r>
      <w:r w:rsidRPr="00DA6EB8">
        <w:rPr>
          <w:rFonts w:ascii="Times New Roman" w:hAnsi="Times New Roman" w:cs="Times New Roman"/>
          <w:i/>
          <w:iCs/>
          <w:sz w:val="20"/>
          <w:szCs w:val="20"/>
        </w:rPr>
        <w:t>et</w:t>
      </w:r>
      <w:r w:rsidR="001841CD" w:rsidRPr="00DA6EB8">
        <w:rPr>
          <w:rFonts w:ascii="Times New Roman" w:hAnsi="Times New Roman" w:cs="Times New Roman"/>
          <w:i/>
          <w:iCs/>
          <w:sz w:val="20"/>
          <w:szCs w:val="20"/>
        </w:rPr>
        <w:t xml:space="preserve"> </w:t>
      </w:r>
      <w:r w:rsidRPr="00DA6EB8">
        <w:rPr>
          <w:rFonts w:ascii="Times New Roman" w:hAnsi="Times New Roman" w:cs="Times New Roman"/>
          <w:i/>
          <w:iCs/>
          <w:sz w:val="20"/>
          <w:szCs w:val="20"/>
        </w:rPr>
        <w:t>al</w:t>
      </w:r>
      <w:r w:rsidR="001841CD" w:rsidRPr="00DA6EB8">
        <w:rPr>
          <w:rFonts w:ascii="Times New Roman" w:hAnsi="Times New Roman" w:cs="Times New Roman"/>
          <w:i/>
          <w:iCs/>
          <w:sz w:val="20"/>
          <w:szCs w:val="20"/>
        </w:rPr>
        <w:t xml:space="preserve">. </w:t>
      </w:r>
      <w:r w:rsidR="001841CD" w:rsidRPr="00DA6EB8">
        <w:rPr>
          <w:rFonts w:ascii="Times New Roman" w:hAnsi="Times New Roman" w:cs="Times New Roman"/>
          <w:bCs/>
          <w:sz w:val="20"/>
          <w:szCs w:val="20"/>
        </w:rPr>
        <w:t>(</w:t>
      </w:r>
      <w:r w:rsidR="009F21BE" w:rsidRPr="00DA6EB8">
        <w:rPr>
          <w:rFonts w:ascii="Times New Roman" w:hAnsi="Times New Roman" w:cs="Times New Roman"/>
          <w:bCs/>
          <w:sz w:val="20"/>
          <w:szCs w:val="20"/>
        </w:rPr>
        <w:t>2013)</w:t>
      </w:r>
      <w:r w:rsidR="00B51E6A" w:rsidRPr="00DA6EB8">
        <w:rPr>
          <w:rFonts w:ascii="Times New Roman" w:hAnsi="Times New Roman" w:cs="Times New Roman"/>
          <w:bCs/>
          <w:sz w:val="20"/>
          <w:szCs w:val="20"/>
        </w:rPr>
        <w:t xml:space="preserve">. </w:t>
      </w:r>
      <w:r w:rsidR="00B51E6A" w:rsidRPr="00DA6EB8">
        <w:rPr>
          <w:rFonts w:ascii="Times New Roman" w:hAnsi="Times New Roman" w:cs="Times New Roman"/>
          <w:sz w:val="20"/>
          <w:szCs w:val="20"/>
        </w:rPr>
        <w:t>B</w:t>
      </w:r>
      <w:r w:rsidRPr="00DA6EB8">
        <w:rPr>
          <w:rFonts w:ascii="Times New Roman" w:hAnsi="Times New Roman" w:cs="Times New Roman"/>
          <w:sz w:val="20"/>
          <w:szCs w:val="20"/>
        </w:rPr>
        <w:t>iological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chemical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properties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i/>
          <w:iCs/>
          <w:sz w:val="20"/>
          <w:szCs w:val="20"/>
        </w:rPr>
        <w:t>Kaempferia</w:t>
      </w:r>
      <w:proofErr w:type="spellEnd"/>
      <w:r w:rsidR="001841CD"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galanga</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Zingiberaceae</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plant.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Nebio</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2013;</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4:35–41.</w:t>
      </w:r>
    </w:p>
    <w:p w:rsidR="001841CD" w:rsidRPr="00DA6EB8" w:rsidRDefault="001841CD"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A</w:t>
      </w:r>
      <w:r w:rsidR="00555270" w:rsidRPr="00DA6EB8">
        <w:rPr>
          <w:rFonts w:ascii="Times New Roman" w:hAnsi="Times New Roman" w:cs="Times New Roman"/>
          <w:sz w:val="20"/>
          <w:szCs w:val="20"/>
        </w:rPr>
        <w:t>li</w:t>
      </w:r>
      <w:r w:rsidR="009F21BE" w:rsidRPr="00DA6EB8">
        <w:rPr>
          <w:rFonts w:ascii="Times New Roman" w:hAnsi="Times New Roman" w:cs="Times New Roman"/>
          <w:sz w:val="20"/>
          <w:szCs w:val="20"/>
        </w:rPr>
        <w:t>,</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N</w:t>
      </w:r>
      <w:r w:rsidR="009F21BE" w:rsidRPr="00DA6EB8">
        <w:rPr>
          <w:rFonts w:ascii="Times New Roman" w:hAnsi="Times New Roman" w:cs="Times New Roman"/>
          <w:sz w:val="20"/>
          <w:szCs w:val="20"/>
        </w:rPr>
        <w:t>.</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A</w:t>
      </w:r>
      <w:r w:rsidR="009F21BE" w:rsidRPr="00DA6EB8">
        <w:rPr>
          <w:rFonts w:ascii="Times New Roman" w:hAnsi="Times New Roman" w:cs="Times New Roman"/>
          <w:sz w:val="20"/>
          <w:szCs w:val="20"/>
        </w:rPr>
        <w:t>.;</w:t>
      </w:r>
      <w:r w:rsidRPr="00DA6EB8">
        <w:rPr>
          <w:rFonts w:ascii="Times New Roman" w:hAnsi="Times New Roman" w:cs="Times New Roman"/>
          <w:sz w:val="20"/>
          <w:szCs w:val="20"/>
        </w:rPr>
        <w:t xml:space="preserve"> </w:t>
      </w:r>
      <w:proofErr w:type="spellStart"/>
      <w:r w:rsidR="00555270" w:rsidRPr="00DA6EB8">
        <w:rPr>
          <w:rFonts w:ascii="Times New Roman" w:hAnsi="Times New Roman" w:cs="Times New Roman"/>
          <w:sz w:val="20"/>
          <w:szCs w:val="20"/>
        </w:rPr>
        <w:t>Rahmani</w:t>
      </w:r>
      <w:proofErr w:type="spellEnd"/>
      <w:r w:rsidR="009F21BE" w:rsidRPr="00DA6EB8">
        <w:rPr>
          <w:rFonts w:ascii="Times New Roman" w:hAnsi="Times New Roman" w:cs="Times New Roman"/>
          <w:sz w:val="20"/>
          <w:szCs w:val="20"/>
        </w:rPr>
        <w:t>,</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M</w:t>
      </w:r>
      <w:r w:rsidR="009F21BE" w:rsidRPr="00DA6EB8">
        <w:rPr>
          <w:rFonts w:ascii="Times New Roman" w:hAnsi="Times New Roman" w:cs="Times New Roman"/>
          <w:sz w:val="20"/>
          <w:szCs w:val="20"/>
        </w:rPr>
        <w:t>.;</w:t>
      </w:r>
      <w:r w:rsidRPr="00DA6EB8">
        <w:rPr>
          <w:rFonts w:ascii="Times New Roman" w:hAnsi="Times New Roman" w:cs="Times New Roman"/>
          <w:sz w:val="20"/>
          <w:szCs w:val="20"/>
        </w:rPr>
        <w:t xml:space="preserve"> </w:t>
      </w:r>
      <w:proofErr w:type="spellStart"/>
      <w:r w:rsidR="00555270" w:rsidRPr="00DA6EB8">
        <w:rPr>
          <w:rFonts w:ascii="Times New Roman" w:hAnsi="Times New Roman" w:cs="Times New Roman"/>
          <w:sz w:val="20"/>
          <w:szCs w:val="20"/>
        </w:rPr>
        <w:t>Shaari</w:t>
      </w:r>
      <w:proofErr w:type="spellEnd"/>
      <w:r w:rsidR="009F21BE" w:rsidRPr="00DA6EB8">
        <w:rPr>
          <w:rFonts w:ascii="Times New Roman" w:hAnsi="Times New Roman" w:cs="Times New Roman"/>
          <w:sz w:val="20"/>
          <w:szCs w:val="20"/>
        </w:rPr>
        <w:t>,</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K</w:t>
      </w:r>
      <w:r w:rsidR="009F21BE" w:rsidRPr="00DA6EB8">
        <w:rPr>
          <w:rFonts w:ascii="Times New Roman" w:hAnsi="Times New Roman" w:cs="Times New Roman"/>
          <w:sz w:val="20"/>
          <w:szCs w:val="20"/>
        </w:rPr>
        <w:t>.;</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Ali</w:t>
      </w:r>
      <w:r w:rsidR="009F21BE" w:rsidRPr="00DA6EB8">
        <w:rPr>
          <w:rFonts w:ascii="Times New Roman" w:hAnsi="Times New Roman" w:cs="Times New Roman"/>
          <w:sz w:val="20"/>
          <w:szCs w:val="20"/>
        </w:rPr>
        <w:t>,</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A</w:t>
      </w:r>
      <w:r w:rsidR="009F21BE" w:rsidRPr="00DA6EB8">
        <w:rPr>
          <w:rFonts w:ascii="Times New Roman" w:hAnsi="Times New Roman" w:cs="Times New Roman"/>
          <w:sz w:val="20"/>
          <w:szCs w:val="20"/>
        </w:rPr>
        <w:t>.</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M</w:t>
      </w:r>
      <w:r w:rsidR="009F21BE" w:rsidRPr="00DA6EB8">
        <w:rPr>
          <w:rFonts w:ascii="Times New Roman" w:hAnsi="Times New Roman" w:cs="Times New Roman"/>
          <w:sz w:val="20"/>
          <w:szCs w:val="20"/>
        </w:rPr>
        <w:t>.</w:t>
      </w:r>
      <w:r w:rsidRPr="00DA6EB8">
        <w:rPr>
          <w:rFonts w:ascii="Times New Roman" w:hAnsi="Times New Roman" w:cs="Times New Roman"/>
          <w:sz w:val="20"/>
          <w:szCs w:val="20"/>
        </w:rPr>
        <w:t xml:space="preserve"> </w:t>
      </w:r>
      <w:r w:rsidR="009F21BE" w:rsidRPr="00DA6EB8">
        <w:rPr>
          <w:rFonts w:ascii="Times New Roman" w:hAnsi="Times New Roman" w:cs="Times New Roman"/>
          <w:sz w:val="20"/>
          <w:szCs w:val="20"/>
        </w:rPr>
        <w:t>and</w:t>
      </w:r>
      <w:r w:rsidRPr="00DA6EB8">
        <w:rPr>
          <w:rFonts w:ascii="Times New Roman" w:hAnsi="Times New Roman" w:cs="Times New Roman"/>
          <w:sz w:val="20"/>
          <w:szCs w:val="20"/>
        </w:rPr>
        <w:t xml:space="preserve"> </w:t>
      </w:r>
      <w:proofErr w:type="spellStart"/>
      <w:r w:rsidR="00555270" w:rsidRPr="00DA6EB8">
        <w:rPr>
          <w:rFonts w:ascii="Times New Roman" w:hAnsi="Times New Roman" w:cs="Times New Roman"/>
          <w:sz w:val="20"/>
          <w:szCs w:val="20"/>
        </w:rPr>
        <w:t>Lian</w:t>
      </w:r>
      <w:proofErr w:type="spellEnd"/>
      <w:r w:rsidR="009F21BE" w:rsidRPr="00DA6EB8">
        <w:rPr>
          <w:rFonts w:ascii="Times New Roman" w:hAnsi="Times New Roman" w:cs="Times New Roman"/>
          <w:sz w:val="20"/>
          <w:szCs w:val="20"/>
        </w:rPr>
        <w:t>,</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E</w:t>
      </w:r>
      <w:r w:rsidR="009F21BE" w:rsidRPr="00DA6EB8">
        <w:rPr>
          <w:rFonts w:ascii="Times New Roman" w:hAnsi="Times New Roman" w:cs="Times New Roman"/>
          <w:sz w:val="20"/>
          <w:szCs w:val="20"/>
        </w:rPr>
        <w:t>.</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C</w:t>
      </w:r>
      <w:r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w:t>
      </w:r>
      <w:r w:rsidR="009F21BE" w:rsidRPr="00DA6EB8">
        <w:rPr>
          <w:rFonts w:ascii="Times New Roman" w:hAnsi="Times New Roman" w:cs="Times New Roman"/>
          <w:bCs/>
          <w:sz w:val="20"/>
          <w:szCs w:val="20"/>
        </w:rPr>
        <w:t>2010).</w:t>
      </w:r>
      <w:r w:rsidRPr="00DA6EB8">
        <w:rPr>
          <w:rFonts w:ascii="Times New Roman" w:hAnsi="Times New Roman" w:cs="Times New Roman"/>
          <w:bCs/>
          <w:sz w:val="20"/>
          <w:szCs w:val="20"/>
        </w:rPr>
        <w:t xml:space="preserve"> </w:t>
      </w:r>
      <w:r w:rsidR="00555270" w:rsidRPr="00DA6EB8">
        <w:rPr>
          <w:rFonts w:ascii="Times New Roman" w:hAnsi="Times New Roman" w:cs="Times New Roman"/>
          <w:sz w:val="20"/>
          <w:szCs w:val="20"/>
        </w:rPr>
        <w:t>Antimicrobial</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activity</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of</w:t>
      </w:r>
      <w:r w:rsidRPr="00DA6EB8">
        <w:rPr>
          <w:rFonts w:ascii="Times New Roman" w:hAnsi="Times New Roman" w:cs="Times New Roman"/>
          <w:sz w:val="20"/>
          <w:szCs w:val="20"/>
        </w:rPr>
        <w:t xml:space="preserve"> </w:t>
      </w:r>
      <w:proofErr w:type="spellStart"/>
      <w:r w:rsidR="00555270" w:rsidRPr="00DA6EB8">
        <w:rPr>
          <w:rFonts w:ascii="Times New Roman" w:hAnsi="Times New Roman" w:cs="Times New Roman"/>
          <w:i/>
          <w:iCs/>
          <w:sz w:val="20"/>
          <w:szCs w:val="20"/>
        </w:rPr>
        <w:t>Cinnamomum</w:t>
      </w:r>
      <w:proofErr w:type="spellEnd"/>
      <w:r w:rsidRPr="00DA6EB8">
        <w:rPr>
          <w:rFonts w:ascii="Times New Roman" w:hAnsi="Times New Roman" w:cs="Times New Roman"/>
          <w:i/>
          <w:iCs/>
          <w:sz w:val="20"/>
          <w:szCs w:val="20"/>
        </w:rPr>
        <w:t xml:space="preserve"> </w:t>
      </w:r>
      <w:proofErr w:type="spellStart"/>
      <w:r w:rsidR="00555270" w:rsidRPr="00DA6EB8">
        <w:rPr>
          <w:rFonts w:ascii="Times New Roman" w:hAnsi="Times New Roman" w:cs="Times New Roman"/>
          <w:i/>
          <w:iCs/>
          <w:sz w:val="20"/>
          <w:szCs w:val="20"/>
        </w:rPr>
        <w:t>impressicostatum</w:t>
      </w:r>
      <w:proofErr w:type="spellEnd"/>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and</w:t>
      </w:r>
      <w:r w:rsidRPr="00DA6EB8">
        <w:rPr>
          <w:rFonts w:ascii="Times New Roman" w:hAnsi="Times New Roman" w:cs="Times New Roman"/>
          <w:sz w:val="20"/>
          <w:szCs w:val="20"/>
        </w:rPr>
        <w:t xml:space="preserve"> </w:t>
      </w:r>
      <w:r w:rsidR="00555270" w:rsidRPr="00DA6EB8">
        <w:rPr>
          <w:rFonts w:ascii="Times New Roman" w:hAnsi="Times New Roman" w:cs="Times New Roman"/>
          <w:i/>
          <w:iCs/>
          <w:sz w:val="20"/>
          <w:szCs w:val="20"/>
        </w:rPr>
        <w:t>C.</w:t>
      </w:r>
      <w:r w:rsidRPr="00DA6EB8">
        <w:rPr>
          <w:rFonts w:ascii="Times New Roman" w:hAnsi="Times New Roman" w:cs="Times New Roman"/>
          <w:i/>
          <w:iCs/>
          <w:sz w:val="20"/>
          <w:szCs w:val="20"/>
        </w:rPr>
        <w:t xml:space="preserve"> </w:t>
      </w:r>
      <w:proofErr w:type="spellStart"/>
      <w:r w:rsidR="00555270" w:rsidRPr="00DA6EB8">
        <w:rPr>
          <w:rFonts w:ascii="Times New Roman" w:hAnsi="Times New Roman" w:cs="Times New Roman"/>
          <w:i/>
          <w:iCs/>
          <w:sz w:val="20"/>
          <w:szCs w:val="20"/>
        </w:rPr>
        <w:t>pubescens</w:t>
      </w:r>
      <w:proofErr w:type="spellEnd"/>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and</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bioassay-guided</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isolation</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of</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lastRenderedPageBreak/>
        <w:t>bioactive</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(E)-methyl</w:t>
      </w:r>
      <w:r w:rsidRPr="00DA6EB8">
        <w:rPr>
          <w:rFonts w:ascii="Times New Roman" w:hAnsi="Times New Roman" w:cs="Times New Roman"/>
          <w:sz w:val="20"/>
          <w:szCs w:val="20"/>
        </w:rPr>
        <w:t xml:space="preserve"> </w:t>
      </w:r>
      <w:proofErr w:type="spellStart"/>
      <w:r w:rsidR="00555270" w:rsidRPr="00DA6EB8">
        <w:rPr>
          <w:rFonts w:ascii="Times New Roman" w:hAnsi="Times New Roman" w:cs="Times New Roman"/>
          <w:sz w:val="20"/>
          <w:szCs w:val="20"/>
        </w:rPr>
        <w:t>cinnamate</w:t>
      </w:r>
      <w:proofErr w:type="spellEnd"/>
      <w:r w:rsidR="00555270" w:rsidRPr="00DA6EB8">
        <w:rPr>
          <w:rFonts w:ascii="Times New Roman" w:hAnsi="Times New Roman" w:cs="Times New Roman"/>
          <w:sz w:val="20"/>
          <w:szCs w:val="20"/>
        </w:rPr>
        <w:t>.</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J.</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Biol.</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Sci.</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10:</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101–6.</w:t>
      </w:r>
    </w:p>
    <w:p w:rsidR="00BB06DD" w:rsidRPr="00DA6EB8" w:rsidRDefault="001841CD"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i/>
          <w:iCs/>
          <w:sz w:val="20"/>
          <w:szCs w:val="20"/>
        </w:rPr>
      </w:pPr>
      <w:proofErr w:type="spellStart"/>
      <w:r w:rsidRPr="00DA6EB8">
        <w:rPr>
          <w:rFonts w:ascii="Times New Roman" w:hAnsi="Times New Roman" w:cs="Times New Roman"/>
          <w:sz w:val="20"/>
          <w:szCs w:val="20"/>
        </w:rPr>
        <w:t>P</w:t>
      </w:r>
      <w:r w:rsidR="00555270" w:rsidRPr="00DA6EB8">
        <w:rPr>
          <w:rFonts w:ascii="Times New Roman" w:hAnsi="Times New Roman" w:cs="Times New Roman"/>
          <w:sz w:val="20"/>
          <w:szCs w:val="20"/>
        </w:rPr>
        <w:t>eretto</w:t>
      </w:r>
      <w:proofErr w:type="spellEnd"/>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GWX,</w:t>
      </w:r>
      <w:r w:rsidRPr="00DA6EB8">
        <w:rPr>
          <w:rFonts w:ascii="Times New Roman" w:hAnsi="Times New Roman" w:cs="Times New Roman"/>
          <w:sz w:val="20"/>
          <w:szCs w:val="20"/>
        </w:rPr>
        <w:t xml:space="preserve"> </w:t>
      </w:r>
      <w:proofErr w:type="spellStart"/>
      <w:r w:rsidR="00555270" w:rsidRPr="00DA6EB8">
        <w:rPr>
          <w:rFonts w:ascii="Times New Roman" w:hAnsi="Times New Roman" w:cs="Times New Roman"/>
          <w:sz w:val="20"/>
          <w:szCs w:val="20"/>
        </w:rPr>
        <w:t>Avena-Bustillos</w:t>
      </w:r>
      <w:proofErr w:type="spellEnd"/>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RJ,</w:t>
      </w:r>
      <w:r w:rsidRPr="00DA6EB8">
        <w:rPr>
          <w:rFonts w:ascii="Times New Roman" w:hAnsi="Times New Roman" w:cs="Times New Roman"/>
          <w:sz w:val="20"/>
          <w:szCs w:val="20"/>
        </w:rPr>
        <w:t xml:space="preserve"> </w:t>
      </w:r>
      <w:proofErr w:type="spellStart"/>
      <w:r w:rsidR="00555270" w:rsidRPr="00DA6EB8">
        <w:rPr>
          <w:rFonts w:ascii="Times New Roman" w:hAnsi="Times New Roman" w:cs="Times New Roman"/>
          <w:sz w:val="20"/>
          <w:szCs w:val="20"/>
        </w:rPr>
        <w:t>Sarreal</w:t>
      </w:r>
      <w:proofErr w:type="spellEnd"/>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SB</w:t>
      </w:r>
      <w:r w:rsidRPr="00DA6EB8">
        <w:rPr>
          <w:rFonts w:ascii="Times New Roman" w:hAnsi="Times New Roman" w:cs="Times New Roman"/>
          <w:sz w:val="20"/>
          <w:szCs w:val="20"/>
        </w:rPr>
        <w:t xml:space="preserve"> </w:t>
      </w:r>
      <w:r w:rsidR="00555270" w:rsidRPr="00DA6EB8">
        <w:rPr>
          <w:rFonts w:ascii="Times New Roman" w:hAnsi="Times New Roman" w:cs="Times New Roman"/>
          <w:i/>
          <w:iCs/>
          <w:sz w:val="20"/>
          <w:szCs w:val="20"/>
        </w:rPr>
        <w:t>et</w:t>
      </w:r>
      <w:r w:rsidRPr="00DA6EB8">
        <w:rPr>
          <w:rFonts w:ascii="Times New Roman" w:hAnsi="Times New Roman" w:cs="Times New Roman"/>
          <w:i/>
          <w:iCs/>
          <w:sz w:val="20"/>
          <w:szCs w:val="20"/>
        </w:rPr>
        <w:t xml:space="preserve"> </w:t>
      </w:r>
      <w:r w:rsidR="00555270" w:rsidRPr="00DA6EB8">
        <w:rPr>
          <w:rFonts w:ascii="Times New Roman" w:hAnsi="Times New Roman" w:cs="Times New Roman"/>
          <w:i/>
          <w:iCs/>
          <w:sz w:val="20"/>
          <w:szCs w:val="20"/>
        </w:rPr>
        <w:t>al</w:t>
      </w:r>
      <w:r w:rsidRPr="00DA6EB8">
        <w:rPr>
          <w:rFonts w:ascii="Times New Roman" w:hAnsi="Times New Roman" w:cs="Times New Roman"/>
          <w:i/>
          <w:iCs/>
          <w:sz w:val="20"/>
          <w:szCs w:val="20"/>
        </w:rPr>
        <w:t xml:space="preserve">. </w:t>
      </w:r>
      <w:r w:rsidRPr="00DA6EB8">
        <w:rPr>
          <w:rFonts w:ascii="Times New Roman" w:hAnsi="Times New Roman" w:cs="Times New Roman"/>
          <w:bCs/>
          <w:sz w:val="20"/>
          <w:szCs w:val="20"/>
        </w:rPr>
        <w:t>(</w:t>
      </w:r>
      <w:r w:rsidR="00990945" w:rsidRPr="00DA6EB8">
        <w:rPr>
          <w:rFonts w:ascii="Times New Roman" w:hAnsi="Times New Roman" w:cs="Times New Roman"/>
          <w:bCs/>
          <w:sz w:val="20"/>
          <w:szCs w:val="20"/>
        </w:rPr>
        <w:t>2014).</w:t>
      </w:r>
      <w:r w:rsidRPr="00DA6EB8">
        <w:rPr>
          <w:rFonts w:ascii="Times New Roman" w:hAnsi="Times New Roman" w:cs="Times New Roman"/>
          <w:bCs/>
          <w:sz w:val="20"/>
          <w:szCs w:val="20"/>
        </w:rPr>
        <w:t xml:space="preserve"> </w:t>
      </w:r>
      <w:r w:rsidR="00555270" w:rsidRPr="00DA6EB8">
        <w:rPr>
          <w:rFonts w:ascii="Times New Roman" w:hAnsi="Times New Roman" w:cs="Times New Roman"/>
          <w:sz w:val="20"/>
          <w:szCs w:val="20"/>
        </w:rPr>
        <w:t>Increasing</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strawberry</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shelf-life</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with</w:t>
      </w:r>
      <w:r w:rsidRPr="00DA6EB8">
        <w:rPr>
          <w:rFonts w:ascii="Times New Roman" w:hAnsi="Times New Roman" w:cs="Times New Roman"/>
          <w:sz w:val="20"/>
          <w:szCs w:val="20"/>
        </w:rPr>
        <w:t xml:space="preserve"> </w:t>
      </w:r>
      <w:proofErr w:type="spellStart"/>
      <w:r w:rsidR="00555270" w:rsidRPr="00DA6EB8">
        <w:rPr>
          <w:rFonts w:ascii="Times New Roman" w:hAnsi="Times New Roman" w:cs="Times New Roman"/>
          <w:sz w:val="20"/>
          <w:szCs w:val="20"/>
        </w:rPr>
        <w:t>carvacrol</w:t>
      </w:r>
      <w:proofErr w:type="spellEnd"/>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and</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methyl</w:t>
      </w:r>
      <w:r w:rsidRPr="00DA6EB8">
        <w:rPr>
          <w:rFonts w:ascii="Times New Roman" w:hAnsi="Times New Roman" w:cs="Times New Roman"/>
          <w:sz w:val="20"/>
          <w:szCs w:val="20"/>
        </w:rPr>
        <w:t xml:space="preserve"> </w:t>
      </w:r>
      <w:proofErr w:type="spellStart"/>
      <w:r w:rsidR="00555270" w:rsidRPr="00DA6EB8">
        <w:rPr>
          <w:rFonts w:ascii="Times New Roman" w:hAnsi="Times New Roman" w:cs="Times New Roman"/>
          <w:sz w:val="20"/>
          <w:szCs w:val="20"/>
        </w:rPr>
        <w:t>cinnamate</w:t>
      </w:r>
      <w:proofErr w:type="spellEnd"/>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antimicrobial</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vapor</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released</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from</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edible</w:t>
      </w:r>
      <w:r w:rsidRPr="00DA6EB8">
        <w:rPr>
          <w:rFonts w:ascii="Times New Roman" w:hAnsi="Times New Roman" w:cs="Times New Roman"/>
          <w:sz w:val="20"/>
          <w:szCs w:val="20"/>
        </w:rPr>
        <w:t xml:space="preserve"> </w:t>
      </w:r>
      <w:proofErr w:type="spellStart"/>
      <w:r w:rsidR="00555270" w:rsidRPr="00DA6EB8">
        <w:rPr>
          <w:rFonts w:ascii="Times New Roman" w:hAnsi="Times New Roman" w:cs="Times New Roman"/>
          <w:sz w:val="20"/>
          <w:szCs w:val="20"/>
        </w:rPr>
        <w:t>ﬁlms</w:t>
      </w:r>
      <w:proofErr w:type="spellEnd"/>
      <w:r w:rsidR="00555270" w:rsidRPr="00DA6EB8">
        <w:rPr>
          <w:rFonts w:ascii="Times New Roman" w:hAnsi="Times New Roman" w:cs="Times New Roman"/>
          <w:sz w:val="20"/>
          <w:szCs w:val="20"/>
        </w:rPr>
        <w:t>.</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Postharvest</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Biol.</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Technol.</w:t>
      </w:r>
      <w:r w:rsidRPr="00DA6EB8">
        <w:rPr>
          <w:rFonts w:ascii="Times New Roman" w:hAnsi="Times New Roman" w:cs="Times New Roman"/>
          <w:sz w:val="20"/>
          <w:szCs w:val="20"/>
        </w:rPr>
        <w:t xml:space="preserve"> </w:t>
      </w:r>
      <w:r w:rsidR="00555270" w:rsidRPr="00DA6EB8">
        <w:rPr>
          <w:rFonts w:ascii="Times New Roman" w:hAnsi="Times New Roman" w:cs="Times New Roman"/>
          <w:sz w:val="20"/>
          <w:szCs w:val="20"/>
        </w:rPr>
        <w:t>89:11–8.</w:t>
      </w:r>
    </w:p>
    <w:p w:rsidR="00BB06DD" w:rsidRPr="00DA6EB8" w:rsidRDefault="00BB06DD"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Oerke</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E.C.</w:t>
      </w:r>
      <w:r w:rsidR="001841CD"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(2006).</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Crop</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losses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to</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pests.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Journal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Agricultural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Science,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144</w:t>
      </w:r>
      <w:r w:rsidRPr="00DA6EB8">
        <w:rPr>
          <w:rFonts w:ascii="Times New Roman" w:hAnsi="Times New Roman" w:cs="Times New Roman"/>
          <w:bCs/>
          <w:sz w:val="20"/>
          <w:szCs w:val="20"/>
        </w:rPr>
        <w:t>:</w:t>
      </w:r>
      <w:r w:rsidR="001841CD" w:rsidRPr="00DA6EB8">
        <w:rPr>
          <w:rFonts w:ascii="Times New Roman" w:hAnsi="Times New Roman" w:cs="Times New Roman"/>
          <w:bCs/>
          <w:sz w:val="20"/>
          <w:szCs w:val="20"/>
        </w:rPr>
        <w:t xml:space="preserve"> </w:t>
      </w:r>
      <w:r w:rsidRPr="00DA6EB8">
        <w:rPr>
          <w:rFonts w:ascii="Times New Roman" w:hAnsi="Times New Roman" w:cs="Times New Roman"/>
          <w:sz w:val="20"/>
          <w:szCs w:val="20"/>
        </w:rPr>
        <w:t>31-43.</w:t>
      </w:r>
    </w:p>
    <w:p w:rsidR="00BB06DD" w:rsidRPr="00DA6EB8" w:rsidRDefault="00BB06DD"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Sarwar</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w:t>
      </w:r>
      <w:r w:rsidR="001841CD"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(2013).</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Comparative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suitability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soil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foliar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applied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insecticides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against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aphid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i/>
          <w:iCs/>
          <w:sz w:val="20"/>
          <w:szCs w:val="20"/>
        </w:rPr>
        <w:t>Myzus</w:t>
      </w:r>
      <w:proofErr w:type="spellEnd"/>
      <w:r w:rsidR="001841CD"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persicae</w:t>
      </w:r>
      <w:proofErr w:type="spellEnd"/>
      <w:r w:rsidR="001841CD" w:rsidRPr="00DA6EB8">
        <w:rPr>
          <w:rFonts w:ascii="Times New Roman" w:hAnsi="Times New Roman" w:cs="Times New Roman"/>
          <w:i/>
          <w:iCs/>
          <w:sz w:val="20"/>
          <w:szCs w:val="20"/>
        </w:rPr>
        <w:t xml:space="preserve"> </w:t>
      </w:r>
      <w:r w:rsidRPr="00DA6EB8">
        <w:rPr>
          <w:rFonts w:ascii="Times New Roman" w:hAnsi="Times New Roman" w:cs="Times New Roman"/>
          <w:sz w:val="20"/>
          <w:szCs w:val="20"/>
        </w:rPr>
        <w:t>(</w:t>
      </w:r>
      <w:proofErr w:type="spellStart"/>
      <w:r w:rsidRPr="00DA6EB8">
        <w:rPr>
          <w:rFonts w:ascii="Times New Roman" w:hAnsi="Times New Roman" w:cs="Times New Roman"/>
          <w:sz w:val="20"/>
          <w:szCs w:val="20"/>
        </w:rPr>
        <w:t>Sulzer</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w:t>
      </w:r>
      <w:proofErr w:type="spellStart"/>
      <w:r w:rsidRPr="00DA6EB8">
        <w:rPr>
          <w:rFonts w:ascii="Times New Roman" w:hAnsi="Times New Roman" w:cs="Times New Roman"/>
          <w:sz w:val="20"/>
          <w:szCs w:val="20"/>
        </w:rPr>
        <w:t>Aphididae</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Hemiptera</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canola</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i/>
          <w:iCs/>
          <w:sz w:val="20"/>
          <w:szCs w:val="20"/>
        </w:rPr>
        <w:t>Brassica</w:t>
      </w:r>
      <w:proofErr w:type="spellEnd"/>
      <w:r w:rsidR="001841CD"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napus</w:t>
      </w:r>
      <w:proofErr w:type="spellEnd"/>
      <w:r w:rsidR="001841CD" w:rsidRPr="00DA6EB8">
        <w:rPr>
          <w:rFonts w:ascii="Times New Roman" w:hAnsi="Times New Roman" w:cs="Times New Roman"/>
          <w:i/>
          <w:iCs/>
          <w:sz w:val="20"/>
          <w:szCs w:val="20"/>
        </w:rPr>
        <w:t xml:space="preserve"> </w:t>
      </w:r>
      <w:r w:rsidRPr="00DA6EB8">
        <w:rPr>
          <w:rFonts w:ascii="Times New Roman" w:hAnsi="Times New Roman" w:cs="Times New Roman"/>
          <w:sz w:val="20"/>
          <w:szCs w:val="20"/>
        </w:rPr>
        <w:t>L.</w:t>
      </w:r>
      <w:r w:rsidR="001841CD" w:rsidRPr="00DA6EB8">
        <w:rPr>
          <w:rFonts w:ascii="Times New Roman" w:hAnsi="Times New Roman" w:cs="Times New Roman"/>
          <w:sz w:val="20"/>
          <w:szCs w:val="20"/>
        </w:rPr>
        <w:t xml:space="preserve"> </w:t>
      </w:r>
      <w:r w:rsidRPr="00DA6EB8">
        <w:rPr>
          <w:rFonts w:ascii="Times New Roman" w:hAnsi="Times New Roman" w:cs="Times New Roman"/>
          <w:i/>
          <w:iCs/>
          <w:sz w:val="20"/>
          <w:szCs w:val="20"/>
        </w:rPr>
        <w:t>International</w:t>
      </w:r>
      <w:r w:rsidR="001841CD" w:rsidRPr="00DA6EB8">
        <w:rPr>
          <w:rFonts w:ascii="Times New Roman" w:hAnsi="Times New Roman" w:cs="Times New Roman"/>
          <w:i/>
          <w:iCs/>
          <w:sz w:val="20"/>
          <w:szCs w:val="20"/>
        </w:rPr>
        <w:t xml:space="preserve"> </w:t>
      </w:r>
      <w:r w:rsidRPr="00DA6EB8">
        <w:rPr>
          <w:rFonts w:ascii="Times New Roman" w:hAnsi="Times New Roman" w:cs="Times New Roman"/>
          <w:i/>
          <w:iCs/>
          <w:sz w:val="20"/>
          <w:szCs w:val="20"/>
        </w:rPr>
        <w:t>Journal</w:t>
      </w:r>
      <w:r w:rsidR="001841CD" w:rsidRPr="00DA6EB8">
        <w:rPr>
          <w:rFonts w:ascii="Times New Roman" w:hAnsi="Times New Roman" w:cs="Times New Roman"/>
          <w:i/>
          <w:iCs/>
          <w:sz w:val="20"/>
          <w:szCs w:val="20"/>
        </w:rPr>
        <w:t xml:space="preserve"> </w:t>
      </w:r>
      <w:r w:rsidRPr="00DA6EB8">
        <w:rPr>
          <w:rFonts w:ascii="Times New Roman" w:hAnsi="Times New Roman" w:cs="Times New Roman"/>
          <w:i/>
          <w:iCs/>
          <w:sz w:val="20"/>
          <w:szCs w:val="20"/>
        </w:rPr>
        <w:t>of</w:t>
      </w:r>
      <w:r w:rsidR="001841CD" w:rsidRPr="00DA6EB8">
        <w:rPr>
          <w:rFonts w:ascii="Times New Roman" w:hAnsi="Times New Roman" w:cs="Times New Roman"/>
          <w:i/>
          <w:iCs/>
          <w:sz w:val="20"/>
          <w:szCs w:val="20"/>
        </w:rPr>
        <w:t xml:space="preserve"> </w:t>
      </w:r>
      <w:r w:rsidRPr="00DA6EB8">
        <w:rPr>
          <w:rFonts w:ascii="Times New Roman" w:hAnsi="Times New Roman" w:cs="Times New Roman"/>
          <w:i/>
          <w:iCs/>
          <w:sz w:val="20"/>
          <w:szCs w:val="20"/>
        </w:rPr>
        <w:t>Scientific</w:t>
      </w:r>
      <w:r w:rsidR="001841CD" w:rsidRPr="00DA6EB8">
        <w:rPr>
          <w:rFonts w:ascii="Times New Roman" w:hAnsi="Times New Roman" w:cs="Times New Roman"/>
          <w:i/>
          <w:iCs/>
          <w:sz w:val="20"/>
          <w:szCs w:val="20"/>
        </w:rPr>
        <w:t xml:space="preserve"> </w:t>
      </w:r>
      <w:r w:rsidRPr="00DA6EB8">
        <w:rPr>
          <w:rFonts w:ascii="Times New Roman" w:hAnsi="Times New Roman" w:cs="Times New Roman"/>
          <w:i/>
          <w:iCs/>
          <w:sz w:val="20"/>
          <w:szCs w:val="20"/>
        </w:rPr>
        <w:t>Research</w:t>
      </w:r>
      <w:r w:rsidR="001841CD" w:rsidRPr="00DA6EB8">
        <w:rPr>
          <w:rFonts w:ascii="Times New Roman" w:hAnsi="Times New Roman" w:cs="Times New Roman"/>
          <w:i/>
          <w:iCs/>
          <w:sz w:val="20"/>
          <w:szCs w:val="20"/>
        </w:rPr>
        <w:t xml:space="preserve"> </w:t>
      </w:r>
      <w:r w:rsidRPr="00DA6EB8">
        <w:rPr>
          <w:rFonts w:ascii="Times New Roman" w:hAnsi="Times New Roman" w:cs="Times New Roman"/>
          <w:i/>
          <w:iCs/>
          <w:sz w:val="20"/>
          <w:szCs w:val="20"/>
        </w:rPr>
        <w:t>in</w:t>
      </w:r>
      <w:r w:rsidR="001841CD" w:rsidRPr="00DA6EB8">
        <w:rPr>
          <w:rFonts w:ascii="Times New Roman" w:hAnsi="Times New Roman" w:cs="Times New Roman"/>
          <w:i/>
          <w:iCs/>
          <w:sz w:val="20"/>
          <w:szCs w:val="20"/>
        </w:rPr>
        <w:t xml:space="preserve"> </w:t>
      </w:r>
      <w:r w:rsidRPr="00DA6EB8">
        <w:rPr>
          <w:rFonts w:ascii="Times New Roman" w:hAnsi="Times New Roman" w:cs="Times New Roman"/>
          <w:i/>
          <w:iCs/>
          <w:sz w:val="20"/>
          <w:szCs w:val="20"/>
        </w:rPr>
        <w:t>Environmental</w:t>
      </w:r>
      <w:r w:rsidR="001841CD" w:rsidRPr="00DA6EB8">
        <w:rPr>
          <w:rFonts w:ascii="Times New Roman" w:hAnsi="Times New Roman" w:cs="Times New Roman"/>
          <w:i/>
          <w:iCs/>
          <w:sz w:val="20"/>
          <w:szCs w:val="20"/>
        </w:rPr>
        <w:t xml:space="preserve"> </w:t>
      </w:r>
      <w:r w:rsidRPr="00DA6EB8">
        <w:rPr>
          <w:rFonts w:ascii="Times New Roman" w:hAnsi="Times New Roman" w:cs="Times New Roman"/>
          <w:i/>
          <w:iCs/>
          <w:sz w:val="20"/>
          <w:szCs w:val="20"/>
        </w:rPr>
        <w:t>Sciences,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1(7):</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138-143.</w:t>
      </w:r>
    </w:p>
    <w:p w:rsidR="00BB06DD" w:rsidRPr="00DA6EB8" w:rsidRDefault="00BB06DD"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Chloe,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D.P.,</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Karl,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W.J.W.,</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Bryan,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G.,</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Tracye</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M.M</w:t>
      </w:r>
      <w:r w:rsidR="00B51E6A" w:rsidRPr="00DA6EB8">
        <w:rPr>
          <w:rFonts w:ascii="Times New Roman" w:hAnsi="Times New Roman" w:cs="Times New Roman"/>
          <w:sz w:val="20"/>
          <w:szCs w:val="20"/>
        </w:rPr>
        <w:t>. a</w:t>
      </w:r>
      <w:r w:rsidRPr="00DA6EB8">
        <w:rPr>
          <w:rFonts w:ascii="Times New Roman" w:hAnsi="Times New Roman" w:cs="Times New Roman"/>
          <w:sz w:val="20"/>
          <w:szCs w:val="20"/>
        </w:rPr>
        <w:t>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Michael,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J.L.</w:t>
      </w:r>
      <w:r w:rsidR="001841CD"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(2015).</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Assessing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fate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effects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insecticidal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formulation.</w:t>
      </w:r>
      <w:r w:rsidR="001841CD" w:rsidRPr="00DA6EB8">
        <w:rPr>
          <w:rFonts w:ascii="Times New Roman" w:hAnsi="Times New Roman" w:cs="Times New Roman"/>
          <w:sz w:val="20"/>
          <w:szCs w:val="20"/>
        </w:rPr>
        <w:t xml:space="preserve"> </w:t>
      </w:r>
      <w:r w:rsidRPr="00DA6EB8">
        <w:rPr>
          <w:rFonts w:ascii="Times New Roman" w:hAnsi="Times New Roman" w:cs="Times New Roman"/>
          <w:i/>
          <w:iCs/>
          <w:sz w:val="20"/>
          <w:szCs w:val="20"/>
        </w:rPr>
        <w:t>Environmental</w:t>
      </w:r>
      <w:r w:rsidR="001841CD" w:rsidRPr="00DA6EB8">
        <w:rPr>
          <w:rFonts w:ascii="Times New Roman" w:hAnsi="Times New Roman" w:cs="Times New Roman"/>
          <w:i/>
          <w:iCs/>
          <w:sz w:val="20"/>
          <w:szCs w:val="20"/>
        </w:rPr>
        <w:t xml:space="preserve"> </w:t>
      </w:r>
      <w:r w:rsidRPr="00DA6EB8">
        <w:rPr>
          <w:rFonts w:ascii="Times New Roman" w:hAnsi="Times New Roman" w:cs="Times New Roman"/>
          <w:i/>
          <w:iCs/>
          <w:sz w:val="20"/>
          <w:szCs w:val="20"/>
        </w:rPr>
        <w:t>Toxicology</w:t>
      </w:r>
      <w:r w:rsidR="001841CD" w:rsidRPr="00DA6EB8">
        <w:rPr>
          <w:rFonts w:ascii="Times New Roman" w:hAnsi="Times New Roman" w:cs="Times New Roman"/>
          <w:i/>
          <w:iCs/>
          <w:sz w:val="20"/>
          <w:szCs w:val="20"/>
        </w:rPr>
        <w:t xml:space="preserve"> </w:t>
      </w:r>
      <w:r w:rsidRPr="00DA6EB8">
        <w:rPr>
          <w:rFonts w:ascii="Times New Roman" w:hAnsi="Times New Roman" w:cs="Times New Roman"/>
          <w:i/>
          <w:iCs/>
          <w:sz w:val="20"/>
          <w:szCs w:val="20"/>
        </w:rPr>
        <w:t>and</w:t>
      </w:r>
      <w:r w:rsidR="001841CD" w:rsidRPr="00DA6EB8">
        <w:rPr>
          <w:rFonts w:ascii="Times New Roman" w:hAnsi="Times New Roman" w:cs="Times New Roman"/>
          <w:i/>
          <w:iCs/>
          <w:sz w:val="20"/>
          <w:szCs w:val="20"/>
        </w:rPr>
        <w:t xml:space="preserve"> </w:t>
      </w:r>
      <w:r w:rsidRPr="00DA6EB8">
        <w:rPr>
          <w:rFonts w:ascii="Times New Roman" w:hAnsi="Times New Roman" w:cs="Times New Roman"/>
          <w:i/>
          <w:iCs/>
          <w:sz w:val="20"/>
          <w:szCs w:val="20"/>
        </w:rPr>
        <w:t>Chemistry,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34(1):</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197-207.</w:t>
      </w:r>
    </w:p>
    <w:p w:rsidR="00AC1FDD" w:rsidRPr="00DA6EB8" w:rsidRDefault="00BB06DD"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Koirala</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P.S.,</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Dhakal</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Tamrakar</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A.S</w:t>
      </w:r>
      <w:r w:rsidR="001841CD"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(2009).</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Pesticide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application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food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safety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issue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Nepal.</w:t>
      </w:r>
    </w:p>
    <w:p w:rsidR="002B23C0" w:rsidRPr="00DA6EB8" w:rsidRDefault="001D3DF1"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Tadros</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w:t>
      </w:r>
      <w:r w:rsidRPr="00DA6EB8">
        <w:rPr>
          <w:rFonts w:ascii="Times New Roman" w:hAnsi="Times New Roman" w:cs="Times New Roman"/>
          <w:bCs/>
          <w:sz w:val="20"/>
          <w:szCs w:val="20"/>
        </w:rPr>
        <w:t>.</w:t>
      </w:r>
      <w:r w:rsidR="001841CD" w:rsidRPr="00DA6EB8">
        <w:rPr>
          <w:rFonts w:ascii="Times New Roman" w:hAnsi="Times New Roman" w:cs="Times New Roman"/>
          <w:bCs/>
          <w:sz w:val="20"/>
          <w:szCs w:val="20"/>
        </w:rPr>
        <w:t xml:space="preserve"> </w:t>
      </w:r>
      <w:r w:rsidR="002B23C0" w:rsidRPr="00DA6EB8">
        <w:rPr>
          <w:rFonts w:ascii="Times New Roman" w:hAnsi="Times New Roman" w:cs="Times New Roman"/>
          <w:bCs/>
          <w:sz w:val="20"/>
          <w:szCs w:val="20"/>
        </w:rPr>
        <w:t>(1995).</w:t>
      </w:r>
      <w:r w:rsidR="001841CD" w:rsidRPr="00DA6EB8">
        <w:rPr>
          <w:rFonts w:ascii="Times New Roman" w:hAnsi="Times New Roman" w:cs="Times New Roman"/>
          <w:sz w:val="20"/>
          <w:szCs w:val="20"/>
        </w:rPr>
        <w:t xml:space="preserve"> </w:t>
      </w:r>
      <w:proofErr w:type="spellStart"/>
      <w:r w:rsidR="002B23C0" w:rsidRPr="00DA6EB8">
        <w:rPr>
          <w:rFonts w:ascii="Times New Roman" w:hAnsi="Times New Roman" w:cs="Times New Roman"/>
          <w:sz w:val="20"/>
          <w:szCs w:val="20"/>
        </w:rPr>
        <w:t>Microemulsions</w:t>
      </w:r>
      <w:proofErr w:type="spellEnd"/>
      <w:r w:rsidR="002B23C0"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Surfactants</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in</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agrochemicals.</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Surfactant</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Science</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Series</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Vol.,</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54:</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183</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205.</w:t>
      </w:r>
    </w:p>
    <w:p w:rsidR="002B23C0" w:rsidRPr="00DA6EB8" w:rsidRDefault="001D3DF1"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Tadros</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bCs/>
          <w:sz w:val="20"/>
          <w:szCs w:val="20"/>
        </w:rPr>
        <w:t>(1997).</w:t>
      </w:r>
      <w:r w:rsidR="001841CD" w:rsidRPr="00DA6EB8">
        <w:rPr>
          <w:rFonts w:ascii="Times New Roman" w:hAnsi="Times New Roman" w:cs="Times New Roman"/>
          <w:sz w:val="20"/>
          <w:szCs w:val="20"/>
        </w:rPr>
        <w:t xml:space="preserve"> </w:t>
      </w:r>
      <w:proofErr w:type="spellStart"/>
      <w:r w:rsidR="002B23C0" w:rsidRPr="00DA6EB8">
        <w:rPr>
          <w:rFonts w:ascii="Times New Roman" w:hAnsi="Times New Roman" w:cs="Times New Roman"/>
          <w:sz w:val="20"/>
          <w:szCs w:val="20"/>
        </w:rPr>
        <w:t>Microemulsions</w:t>
      </w:r>
      <w:proofErr w:type="spellEnd"/>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in</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agrochemicals.</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Industrial</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application</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proofErr w:type="spellStart"/>
      <w:r w:rsidR="002B23C0" w:rsidRPr="00DA6EB8">
        <w:rPr>
          <w:rFonts w:ascii="Times New Roman" w:hAnsi="Times New Roman" w:cs="Times New Roman"/>
          <w:sz w:val="20"/>
          <w:szCs w:val="20"/>
        </w:rPr>
        <w:t>microemulsions</w:t>
      </w:r>
      <w:proofErr w:type="spellEnd"/>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Surfactant</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Science</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Series</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Vol.,</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66:</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199</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208.</w:t>
      </w:r>
    </w:p>
    <w:p w:rsidR="00F209F7" w:rsidRPr="00DA6EB8" w:rsidRDefault="001D3DF1"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Alander</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Warnheim</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W.</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bCs/>
          <w:sz w:val="20"/>
          <w:szCs w:val="20"/>
        </w:rPr>
        <w:t>(1989).</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Model</w:t>
      </w:r>
      <w:r w:rsidR="001841CD" w:rsidRPr="00DA6EB8">
        <w:rPr>
          <w:rFonts w:ascii="Times New Roman" w:hAnsi="Times New Roman" w:cs="Times New Roman"/>
          <w:sz w:val="20"/>
          <w:szCs w:val="20"/>
        </w:rPr>
        <w:t xml:space="preserve"> </w:t>
      </w:r>
      <w:proofErr w:type="spellStart"/>
      <w:r w:rsidR="002B23C0" w:rsidRPr="00DA6EB8">
        <w:rPr>
          <w:rFonts w:ascii="Times New Roman" w:hAnsi="Times New Roman" w:cs="Times New Roman"/>
          <w:sz w:val="20"/>
          <w:szCs w:val="20"/>
        </w:rPr>
        <w:t>microemulsions</w:t>
      </w:r>
      <w:proofErr w:type="spellEnd"/>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containing</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vegetable</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oils.</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Part</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1:</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Nonionic</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surfactant</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system.</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Amer.</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Oil.</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Chem.</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Soc.,</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66(11):</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1656</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1660.</w:t>
      </w:r>
    </w:p>
    <w:p w:rsidR="002B23C0" w:rsidRPr="00DA6EB8" w:rsidRDefault="001D3DF1"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Joubran</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Cornell,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Parris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N.</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bCs/>
          <w:sz w:val="20"/>
          <w:szCs w:val="20"/>
        </w:rPr>
        <w:t>(1993).</w:t>
      </w:r>
      <w:r w:rsidR="001841CD" w:rsidRPr="00DA6EB8">
        <w:rPr>
          <w:rFonts w:ascii="Times New Roman" w:hAnsi="Times New Roman" w:cs="Times New Roman"/>
          <w:sz w:val="20"/>
          <w:szCs w:val="20"/>
        </w:rPr>
        <w:t xml:space="preserve"> </w:t>
      </w:r>
      <w:proofErr w:type="spellStart"/>
      <w:r w:rsidR="002B23C0" w:rsidRPr="00DA6EB8">
        <w:rPr>
          <w:rFonts w:ascii="Times New Roman" w:hAnsi="Times New Roman" w:cs="Times New Roman"/>
          <w:sz w:val="20"/>
          <w:szCs w:val="20"/>
        </w:rPr>
        <w:t>Microemulsions</w:t>
      </w:r>
      <w:proofErr w:type="spellEnd"/>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triglyceride</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non-ionic</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surfactant</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effect</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temperature</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aqueous</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phase</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composition.</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Colloid</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surface</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A:</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Physicochemical</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Engineering</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Aspects,</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80:</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153</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2B23C0" w:rsidRPr="00DA6EB8">
        <w:rPr>
          <w:rFonts w:ascii="Times New Roman" w:hAnsi="Times New Roman" w:cs="Times New Roman"/>
          <w:sz w:val="20"/>
          <w:szCs w:val="20"/>
        </w:rPr>
        <w:t>160.</w:t>
      </w:r>
    </w:p>
    <w:p w:rsidR="00427306" w:rsidRPr="00DA6EB8" w:rsidRDefault="001D3DF1"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Hamadan,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Laili</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Kuang</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Salina,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w:t>
      </w:r>
      <w:r w:rsidR="00427306"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bCs/>
          <w:sz w:val="20"/>
          <w:szCs w:val="20"/>
        </w:rPr>
        <w:t>(1995).</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Vegetable</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oil</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in</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aqueous</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proofErr w:type="spellStart"/>
      <w:r w:rsidR="00427306" w:rsidRPr="00DA6EB8">
        <w:rPr>
          <w:rFonts w:ascii="Times New Roman" w:hAnsi="Times New Roman" w:cs="Times New Roman"/>
          <w:sz w:val="20"/>
          <w:szCs w:val="20"/>
        </w:rPr>
        <w:t>nonaqueous</w:t>
      </w:r>
      <w:proofErr w:type="spellEnd"/>
      <w:r w:rsidR="001841CD" w:rsidRPr="00DA6EB8">
        <w:rPr>
          <w:rFonts w:ascii="Times New Roman" w:hAnsi="Times New Roman" w:cs="Times New Roman"/>
          <w:sz w:val="20"/>
          <w:szCs w:val="20"/>
        </w:rPr>
        <w:t xml:space="preserve"> </w:t>
      </w:r>
      <w:proofErr w:type="spellStart"/>
      <w:r w:rsidR="00427306" w:rsidRPr="00DA6EB8">
        <w:rPr>
          <w:rFonts w:ascii="Times New Roman" w:hAnsi="Times New Roman" w:cs="Times New Roman"/>
          <w:sz w:val="20"/>
          <w:szCs w:val="20"/>
        </w:rPr>
        <w:t>microemulsion</w:t>
      </w:r>
      <w:proofErr w:type="spellEnd"/>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systems</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stabilized</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by</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non-ionic</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surfactant.</w:t>
      </w:r>
      <w:r w:rsidR="001841CD" w:rsidRPr="00DA6EB8">
        <w:rPr>
          <w:rFonts w:ascii="Times New Roman" w:hAnsi="Times New Roman" w:cs="Times New Roman"/>
          <w:sz w:val="20"/>
          <w:szCs w:val="20"/>
        </w:rPr>
        <w:t xml:space="preserve"> </w:t>
      </w:r>
      <w:proofErr w:type="spellStart"/>
      <w:r w:rsidR="00427306" w:rsidRPr="00DA6EB8">
        <w:rPr>
          <w:rFonts w:ascii="Times New Roman" w:hAnsi="Times New Roman" w:cs="Times New Roman"/>
          <w:sz w:val="20"/>
          <w:szCs w:val="20"/>
        </w:rPr>
        <w:t>Elaies</w:t>
      </w:r>
      <w:proofErr w:type="spellEnd"/>
      <w:r w:rsidR="00427306"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7(2):</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148</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155.</w:t>
      </w:r>
    </w:p>
    <w:p w:rsidR="00427306" w:rsidRPr="00DA6EB8" w:rsidRDefault="001D3DF1"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Monig</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K;</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Maegel</w:t>
      </w:r>
      <w:proofErr w:type="spellEnd"/>
      <w:r w:rsidR="001841CD" w:rsidRPr="00DA6EB8">
        <w:rPr>
          <w:rFonts w:ascii="Times New Roman" w:hAnsi="Times New Roman" w:cs="Times New Roman"/>
          <w:sz w:val="20"/>
          <w:szCs w:val="20"/>
        </w:rPr>
        <w:t xml:space="preserve"> </w:t>
      </w:r>
      <w:r w:rsidR="001052A0"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Schwuber</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(1996).</w:t>
      </w:r>
      <w:r w:rsidR="001841CD" w:rsidRPr="00DA6EB8">
        <w:rPr>
          <w:rFonts w:ascii="Times New Roman" w:hAnsi="Times New Roman" w:cs="Times New Roman"/>
          <w:sz w:val="20"/>
          <w:szCs w:val="20"/>
        </w:rPr>
        <w:t xml:space="preserve"> </w:t>
      </w:r>
      <w:proofErr w:type="spellStart"/>
      <w:r w:rsidR="00427306" w:rsidRPr="00DA6EB8">
        <w:rPr>
          <w:rFonts w:ascii="Times New Roman" w:hAnsi="Times New Roman" w:cs="Times New Roman"/>
          <w:sz w:val="20"/>
          <w:szCs w:val="20"/>
        </w:rPr>
        <w:t>Microemulsions</w:t>
      </w:r>
      <w:proofErr w:type="spellEnd"/>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with</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plant</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oils,</w:t>
      </w:r>
      <w:r w:rsidR="001841CD" w:rsidRPr="00DA6EB8">
        <w:rPr>
          <w:rFonts w:ascii="Times New Roman" w:hAnsi="Times New Roman" w:cs="Times New Roman"/>
          <w:sz w:val="20"/>
          <w:szCs w:val="20"/>
        </w:rPr>
        <w:t xml:space="preserve"> </w:t>
      </w:r>
      <w:proofErr w:type="spellStart"/>
      <w:r w:rsidR="00427306" w:rsidRPr="00DA6EB8">
        <w:rPr>
          <w:rFonts w:ascii="Times New Roman" w:hAnsi="Times New Roman" w:cs="Times New Roman"/>
          <w:sz w:val="20"/>
          <w:szCs w:val="20"/>
        </w:rPr>
        <w:t>Tenside</w:t>
      </w:r>
      <w:proofErr w:type="spellEnd"/>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Surf.</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Det.</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33(3):</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228</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232.</w:t>
      </w:r>
    </w:p>
    <w:p w:rsidR="00427306" w:rsidRPr="00DA6EB8" w:rsidRDefault="001D3DF1"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Hamilton,</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R.</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bCs/>
          <w:sz w:val="20"/>
          <w:szCs w:val="20"/>
        </w:rPr>
        <w:t>(1993).</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Structure</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general</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properties</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mineral</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vegetable</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oils</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used</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as</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spray</w:t>
      </w:r>
      <w:r w:rsidR="001841CD" w:rsidRPr="00DA6EB8">
        <w:rPr>
          <w:rFonts w:ascii="Times New Roman" w:hAnsi="Times New Roman" w:cs="Times New Roman"/>
          <w:sz w:val="20"/>
          <w:szCs w:val="20"/>
        </w:rPr>
        <w:t xml:space="preserve"> </w:t>
      </w:r>
      <w:proofErr w:type="spellStart"/>
      <w:r w:rsidR="00427306" w:rsidRPr="00DA6EB8">
        <w:rPr>
          <w:rFonts w:ascii="Times New Roman" w:hAnsi="Times New Roman" w:cs="Times New Roman"/>
          <w:sz w:val="20"/>
          <w:szCs w:val="20"/>
        </w:rPr>
        <w:t>adjuvants</w:t>
      </w:r>
      <w:proofErr w:type="spellEnd"/>
      <w:r w:rsidR="00427306"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proofErr w:type="spellStart"/>
      <w:r w:rsidR="00427306" w:rsidRPr="00DA6EB8">
        <w:rPr>
          <w:rFonts w:ascii="Times New Roman" w:hAnsi="Times New Roman" w:cs="Times New Roman"/>
          <w:sz w:val="20"/>
          <w:szCs w:val="20"/>
        </w:rPr>
        <w:t>Pestic</w:t>
      </w:r>
      <w:proofErr w:type="spellEnd"/>
      <w:r w:rsidR="00427306"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Sci.,</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37:</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141</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146.</w:t>
      </w:r>
    </w:p>
    <w:p w:rsidR="00427306" w:rsidRPr="00DA6EB8" w:rsidRDefault="001D3DF1"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Leysen</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bCs/>
          <w:sz w:val="20"/>
          <w:szCs w:val="20"/>
        </w:rPr>
        <w:t>(1992).</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Non-edible</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applications</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soybean</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oil.</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Lipid</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technology,</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4(1-6):</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65</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427306" w:rsidRPr="00DA6EB8">
        <w:rPr>
          <w:rFonts w:ascii="Times New Roman" w:hAnsi="Times New Roman" w:cs="Times New Roman"/>
          <w:sz w:val="20"/>
          <w:szCs w:val="20"/>
        </w:rPr>
        <w:t>69.</w:t>
      </w:r>
    </w:p>
    <w:p w:rsidR="009443BF" w:rsidRPr="00DA6EB8" w:rsidRDefault="001D3DF1"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Sakhawat</w:t>
      </w:r>
      <w:proofErr w:type="spellEnd"/>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Hossain</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Ummul</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K.</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Fatema</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Yousuf</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Mollah</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Muhibur</w:t>
      </w:r>
      <w:proofErr w:type="spellEnd"/>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Rahman</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Abu</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Bin</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Hasan</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Susa</w:t>
      </w:r>
      <w:r w:rsidR="001841CD" w:rsidRPr="00DA6EB8">
        <w:rPr>
          <w:rFonts w:ascii="Times New Roman" w:hAnsi="Times New Roman" w:cs="Times New Roman"/>
          <w:sz w:val="20"/>
          <w:szCs w:val="20"/>
        </w:rPr>
        <w:t xml:space="preserve">n </w:t>
      </w:r>
      <w:r w:rsidR="001841CD" w:rsidRPr="00DA6EB8">
        <w:rPr>
          <w:rFonts w:ascii="Times New Roman" w:hAnsi="Times New Roman" w:cs="Times New Roman"/>
          <w:bCs/>
          <w:sz w:val="20"/>
          <w:szCs w:val="20"/>
        </w:rPr>
        <w:t>(</w:t>
      </w:r>
      <w:r w:rsidR="009443BF" w:rsidRPr="00DA6EB8">
        <w:rPr>
          <w:rFonts w:ascii="Times New Roman" w:hAnsi="Times New Roman" w:cs="Times New Roman"/>
          <w:bCs/>
          <w:sz w:val="20"/>
          <w:szCs w:val="20"/>
        </w:rPr>
        <w:t>2012)</w:t>
      </w:r>
      <w:r w:rsidR="00B51E6A" w:rsidRPr="00DA6EB8">
        <w:rPr>
          <w:rFonts w:ascii="Times New Roman" w:hAnsi="Times New Roman" w:cs="Times New Roman"/>
          <w:bCs/>
          <w:sz w:val="20"/>
          <w:szCs w:val="20"/>
        </w:rPr>
        <w:t xml:space="preserve">. </w:t>
      </w:r>
      <w:proofErr w:type="spellStart"/>
      <w:r w:rsidR="00B51E6A" w:rsidRPr="00DA6EB8">
        <w:rPr>
          <w:rFonts w:ascii="Times New Roman" w:hAnsi="Times New Roman" w:cs="Times New Roman"/>
          <w:sz w:val="20"/>
          <w:szCs w:val="20"/>
        </w:rPr>
        <w:t>M</w:t>
      </w:r>
      <w:r w:rsidRPr="00DA6EB8">
        <w:rPr>
          <w:rFonts w:ascii="Times New Roman" w:hAnsi="Times New Roman" w:cs="Times New Roman"/>
          <w:sz w:val="20"/>
          <w:szCs w:val="20"/>
        </w:rPr>
        <w:t>icroemulsions</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as</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Nanoreactors</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Preparation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Nanoparticles</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lastRenderedPageBreak/>
        <w:t>with</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Antibacterial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Activity.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Journal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Bangladesh</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Chemi</w:t>
      </w:r>
      <w:r w:rsidR="009443BF" w:rsidRPr="00DA6EB8">
        <w:rPr>
          <w:rFonts w:ascii="Times New Roman" w:hAnsi="Times New Roman" w:cs="Times New Roman"/>
          <w:sz w:val="20"/>
          <w:szCs w:val="20"/>
        </w:rPr>
        <w:t>cal</w:t>
      </w:r>
      <w:r w:rsidR="001841CD" w:rsidRPr="00DA6EB8">
        <w:rPr>
          <w:rFonts w:ascii="Times New Roman" w:hAnsi="Times New Roman" w:cs="Times New Roman"/>
          <w:sz w:val="20"/>
          <w:szCs w:val="20"/>
        </w:rPr>
        <w:t xml:space="preserve"> </w:t>
      </w:r>
      <w:r w:rsidR="009443BF" w:rsidRPr="00DA6EB8">
        <w:rPr>
          <w:rFonts w:ascii="Times New Roman" w:hAnsi="Times New Roman" w:cs="Times New Roman"/>
          <w:sz w:val="20"/>
          <w:szCs w:val="20"/>
        </w:rPr>
        <w:t>Society,</w:t>
      </w:r>
      <w:r w:rsidR="001841CD" w:rsidRPr="00DA6EB8">
        <w:rPr>
          <w:rFonts w:ascii="Times New Roman" w:hAnsi="Times New Roman" w:cs="Times New Roman"/>
          <w:sz w:val="20"/>
          <w:szCs w:val="20"/>
        </w:rPr>
        <w:t xml:space="preserve"> </w:t>
      </w:r>
      <w:r w:rsidR="009443BF" w:rsidRPr="00DA6EB8">
        <w:rPr>
          <w:rFonts w:ascii="Times New Roman" w:hAnsi="Times New Roman" w:cs="Times New Roman"/>
          <w:sz w:val="20"/>
          <w:szCs w:val="20"/>
        </w:rPr>
        <w:t>Vol.</w:t>
      </w:r>
      <w:r w:rsidR="001841CD" w:rsidRPr="00DA6EB8">
        <w:rPr>
          <w:rFonts w:ascii="Times New Roman" w:hAnsi="Times New Roman" w:cs="Times New Roman"/>
          <w:sz w:val="20"/>
          <w:szCs w:val="20"/>
        </w:rPr>
        <w:t xml:space="preserve"> </w:t>
      </w:r>
      <w:r w:rsidR="009443BF" w:rsidRPr="00DA6EB8">
        <w:rPr>
          <w:rFonts w:ascii="Times New Roman" w:hAnsi="Times New Roman" w:cs="Times New Roman"/>
          <w:sz w:val="20"/>
          <w:szCs w:val="20"/>
        </w:rPr>
        <w:t>25(1),</w:t>
      </w:r>
      <w:r w:rsidR="001841CD" w:rsidRPr="00DA6EB8">
        <w:rPr>
          <w:rFonts w:ascii="Times New Roman" w:hAnsi="Times New Roman" w:cs="Times New Roman"/>
          <w:sz w:val="20"/>
          <w:szCs w:val="20"/>
        </w:rPr>
        <w:t xml:space="preserve"> </w:t>
      </w:r>
      <w:r w:rsidR="009443BF" w:rsidRPr="00DA6EB8">
        <w:rPr>
          <w:rFonts w:ascii="Times New Roman" w:hAnsi="Times New Roman" w:cs="Times New Roman"/>
          <w:sz w:val="20"/>
          <w:szCs w:val="20"/>
        </w:rPr>
        <w:t>71-79.</w:t>
      </w:r>
    </w:p>
    <w:p w:rsidR="0092407A" w:rsidRPr="00DA6EB8" w:rsidRDefault="0092407A"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Moustafa</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Z.</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Hemat</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Mohamad</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G.M.</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Tahany</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Torkey</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w:t>
      </w:r>
      <w:r w:rsidR="001841CD" w:rsidRPr="00DA6EB8">
        <w:rPr>
          <w:rFonts w:ascii="Times New Roman" w:hAnsi="Times New Roman" w:cs="Times New Roman"/>
          <w:sz w:val="20"/>
          <w:szCs w:val="20"/>
        </w:rPr>
        <w:t xml:space="preserve">. </w:t>
      </w:r>
      <w:r w:rsidR="001841CD" w:rsidRPr="00DA6EB8">
        <w:rPr>
          <w:rFonts w:ascii="Times New Roman" w:hAnsi="Times New Roman" w:cs="Times New Roman"/>
          <w:bCs/>
          <w:sz w:val="20"/>
          <w:szCs w:val="20"/>
        </w:rPr>
        <w:t>(</w:t>
      </w:r>
      <w:r w:rsidR="009443BF" w:rsidRPr="00DA6EB8">
        <w:rPr>
          <w:rFonts w:ascii="Times New Roman" w:hAnsi="Times New Roman" w:cs="Times New Roman"/>
          <w:bCs/>
          <w:sz w:val="20"/>
          <w:szCs w:val="20"/>
        </w:rPr>
        <w:t>2015).</w:t>
      </w:r>
      <w:r w:rsidR="001841CD" w:rsidRPr="00DA6EB8">
        <w:rPr>
          <w:rFonts w:ascii="Times New Roman" w:hAnsi="Times New Roman" w:cs="Times New Roman"/>
          <w:bCs/>
          <w:sz w:val="20"/>
          <w:szCs w:val="20"/>
        </w:rPr>
        <w:t xml:space="preserve"> </w:t>
      </w:r>
      <w:r w:rsidRPr="00DA6EB8">
        <w:rPr>
          <w:rFonts w:ascii="Times New Roman" w:hAnsi="Times New Roman" w:cs="Times New Roman"/>
          <w:sz w:val="20"/>
          <w:szCs w:val="20"/>
        </w:rPr>
        <w:t>Effect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Formulated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Nanoemulsion</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Eucalyptus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Oil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Cotton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Bollworms.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Biol.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Chem.</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Research</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Volume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32</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2015</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Pages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No.</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478-484.</w:t>
      </w:r>
    </w:p>
    <w:p w:rsidR="00AD6D72" w:rsidRPr="00DA6EB8" w:rsidRDefault="0092407A"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Dobrat</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W.</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proofErr w:type="spellStart"/>
      <w:r w:rsidR="00C5286D" w:rsidRPr="00DA6EB8">
        <w:rPr>
          <w:rFonts w:ascii="Times New Roman" w:hAnsi="Times New Roman" w:cs="Times New Roman"/>
          <w:sz w:val="20"/>
          <w:szCs w:val="20"/>
        </w:rPr>
        <w:t>Martijn</w:t>
      </w:r>
      <w:proofErr w:type="spellEnd"/>
      <w:r w:rsidR="00C5286D"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w:t>
      </w:r>
      <w:r w:rsidRPr="00DA6EB8">
        <w:rPr>
          <w:rFonts w:ascii="Times New Roman" w:hAnsi="Times New Roman" w:cs="Times New Roman"/>
          <w:bCs/>
          <w:sz w:val="20"/>
          <w:szCs w:val="20"/>
        </w:rPr>
        <w:t>.</w:t>
      </w:r>
      <w:r w:rsidR="001841CD" w:rsidRPr="00DA6EB8">
        <w:rPr>
          <w:rFonts w:ascii="Times New Roman" w:hAnsi="Times New Roman" w:cs="Times New Roman"/>
          <w:bCs/>
          <w:sz w:val="20"/>
          <w:szCs w:val="20"/>
        </w:rPr>
        <w:t xml:space="preserve"> </w:t>
      </w:r>
      <w:r w:rsidRPr="00DA6EB8">
        <w:rPr>
          <w:rFonts w:ascii="Times New Roman" w:hAnsi="Times New Roman" w:cs="Times New Roman"/>
          <w:bCs/>
          <w:sz w:val="20"/>
          <w:szCs w:val="20"/>
        </w:rPr>
        <w:t>(1995).</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CIPAC</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Book,</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Volumes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31.2.1,</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32,</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36.2,</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MT</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47.</w:t>
      </w:r>
      <w:r w:rsidR="00E62E6A" w:rsidRPr="00DA6EB8">
        <w:rPr>
          <w:rFonts w:ascii="Times New Roman" w:hAnsi="Times New Roman" w:cs="Times New Roman"/>
          <w:sz w:val="20"/>
          <w:szCs w:val="20"/>
        </w:rPr>
        <w:t>1</w:t>
      </w:r>
      <w:r w:rsidR="0033713E"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Pp:</w:t>
      </w:r>
      <w:r w:rsidR="001841CD" w:rsidRPr="00DA6EB8">
        <w:rPr>
          <w:rFonts w:ascii="Times New Roman" w:hAnsi="Times New Roman" w:cs="Times New Roman"/>
          <w:sz w:val="20"/>
          <w:szCs w:val="20"/>
        </w:rPr>
        <w:t xml:space="preserve"> </w:t>
      </w:r>
      <w:r w:rsidR="00AD6D72" w:rsidRPr="00DA6EB8">
        <w:rPr>
          <w:rFonts w:ascii="Times New Roman" w:hAnsi="Times New Roman" w:cs="Times New Roman"/>
          <w:sz w:val="20"/>
          <w:szCs w:val="20"/>
        </w:rPr>
        <w:t>5</w:t>
      </w:r>
      <w:r w:rsidR="001841CD" w:rsidRPr="00DA6EB8">
        <w:rPr>
          <w:rFonts w:ascii="Times New Roman" w:hAnsi="Times New Roman" w:cs="Times New Roman"/>
          <w:sz w:val="20"/>
          <w:szCs w:val="20"/>
        </w:rPr>
        <w:t xml:space="preserve"> </w:t>
      </w:r>
      <w:r w:rsidR="00AD6D72"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AD6D72" w:rsidRPr="00DA6EB8">
        <w:rPr>
          <w:rFonts w:ascii="Times New Roman" w:hAnsi="Times New Roman" w:cs="Times New Roman"/>
          <w:sz w:val="20"/>
          <w:szCs w:val="20"/>
        </w:rPr>
        <w:t>10;</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98;</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103;</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112</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114;</w:t>
      </w:r>
      <w:r w:rsidR="001841CD" w:rsidRPr="00DA6EB8">
        <w:rPr>
          <w:rFonts w:ascii="Times New Roman" w:hAnsi="Times New Roman" w:cs="Times New Roman"/>
          <w:sz w:val="20"/>
          <w:szCs w:val="20"/>
        </w:rPr>
        <w:t xml:space="preserve"> </w:t>
      </w:r>
      <w:r w:rsidR="00AD6D72" w:rsidRPr="00DA6EB8">
        <w:rPr>
          <w:rFonts w:ascii="Times New Roman" w:hAnsi="Times New Roman" w:cs="Times New Roman"/>
          <w:sz w:val="20"/>
          <w:szCs w:val="20"/>
        </w:rPr>
        <w:t>128</w:t>
      </w:r>
      <w:r w:rsidR="001841CD" w:rsidRPr="00DA6EB8">
        <w:rPr>
          <w:rFonts w:ascii="Times New Roman" w:hAnsi="Times New Roman" w:cs="Times New Roman"/>
          <w:sz w:val="20"/>
          <w:szCs w:val="20"/>
        </w:rPr>
        <w:t xml:space="preserve"> </w:t>
      </w:r>
      <w:r w:rsidR="00AD6D72"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AD6D72" w:rsidRPr="00DA6EB8">
        <w:rPr>
          <w:rFonts w:ascii="Times New Roman" w:hAnsi="Times New Roman" w:cs="Times New Roman"/>
          <w:sz w:val="20"/>
          <w:szCs w:val="20"/>
        </w:rPr>
        <w:t>130</w:t>
      </w:r>
      <w:r w:rsidR="001841CD" w:rsidRPr="00DA6EB8">
        <w:rPr>
          <w:rFonts w:ascii="Times New Roman" w:hAnsi="Times New Roman" w:cs="Times New Roman"/>
          <w:sz w:val="20"/>
          <w:szCs w:val="20"/>
        </w:rPr>
        <w:t xml:space="preserve"> </w:t>
      </w:r>
      <w:r w:rsidR="00AD6D72"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00E62E6A" w:rsidRPr="00DA6EB8">
        <w:rPr>
          <w:rFonts w:ascii="Times New Roman" w:hAnsi="Times New Roman" w:cs="Times New Roman"/>
          <w:sz w:val="20"/>
          <w:szCs w:val="20"/>
        </w:rPr>
        <w:t>152.</w:t>
      </w:r>
    </w:p>
    <w:p w:rsidR="0092407A" w:rsidRPr="00DA6EB8" w:rsidRDefault="0092407A"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Dobrat</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W.</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proofErr w:type="spellStart"/>
      <w:r w:rsidR="00C5286D" w:rsidRPr="00DA6EB8">
        <w:rPr>
          <w:rFonts w:ascii="Times New Roman" w:hAnsi="Times New Roman" w:cs="Times New Roman"/>
          <w:sz w:val="20"/>
          <w:szCs w:val="20"/>
        </w:rPr>
        <w:t>Martijn</w:t>
      </w:r>
      <w:proofErr w:type="spellEnd"/>
      <w:r w:rsidR="00C5286D"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w:t>
      </w:r>
      <w:r w:rsidR="001841CD"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w:t>
      </w:r>
      <w:r w:rsidR="00C5286D" w:rsidRPr="00DA6EB8">
        <w:rPr>
          <w:rFonts w:ascii="Times New Roman" w:hAnsi="Times New Roman" w:cs="Times New Roman"/>
          <w:bCs/>
          <w:sz w:val="20"/>
          <w:szCs w:val="20"/>
        </w:rPr>
        <w:t>2005</w:t>
      </w:r>
      <w:r w:rsidRPr="00DA6EB8">
        <w:rPr>
          <w:rFonts w:ascii="Times New Roman" w:hAnsi="Times New Roman" w:cs="Times New Roman"/>
          <w:bCs/>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CIPAC</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Book,</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Volumes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MT</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46.3,</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MT</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75.3</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191</w:t>
      </w:r>
      <w:r w:rsidR="0033713E"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Pp:</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128</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131;</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131</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133</w:t>
      </w:r>
      <w:r w:rsidR="001841CD" w:rsidRPr="00DA6EB8">
        <w:rPr>
          <w:rFonts w:ascii="Times New Roman" w:hAnsi="Times New Roman" w:cs="Times New Roman"/>
          <w:sz w:val="20"/>
          <w:szCs w:val="20"/>
        </w:rPr>
        <w:t xml:space="preserve"> </w:t>
      </w:r>
      <w:r w:rsidR="0033713E" w:rsidRPr="00DA6EB8">
        <w:rPr>
          <w:rFonts w:ascii="Times New Roman" w:hAnsi="Times New Roman" w:cs="Times New Roman"/>
          <w:sz w:val="20"/>
          <w:szCs w:val="20"/>
        </w:rPr>
        <w:t>and</w:t>
      </w:r>
      <w:r w:rsidR="00AD6D72" w:rsidRPr="00DA6EB8">
        <w:rPr>
          <w:rFonts w:ascii="Times New Roman" w:hAnsi="Times New Roman" w:cs="Times New Roman"/>
          <w:sz w:val="20"/>
          <w:szCs w:val="20"/>
        </w:rPr>
        <w:t>143</w:t>
      </w:r>
      <w:r w:rsidR="001841CD" w:rsidRPr="00DA6EB8">
        <w:rPr>
          <w:rFonts w:ascii="Times New Roman" w:hAnsi="Times New Roman" w:cs="Times New Roman"/>
          <w:sz w:val="20"/>
          <w:szCs w:val="20"/>
        </w:rPr>
        <w:t xml:space="preserve"> </w:t>
      </w:r>
      <w:r w:rsidR="00AD6D72"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AD6D72" w:rsidRPr="00DA6EB8">
        <w:rPr>
          <w:rFonts w:ascii="Times New Roman" w:hAnsi="Times New Roman" w:cs="Times New Roman"/>
          <w:sz w:val="20"/>
          <w:szCs w:val="20"/>
        </w:rPr>
        <w:t>144.</w:t>
      </w:r>
    </w:p>
    <w:p w:rsidR="00E62E6A" w:rsidRPr="00DA6EB8" w:rsidRDefault="00E62E6A"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American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Society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Testing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Materials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A.S.T.M</w:t>
      </w:r>
      <w:r w:rsidR="001841CD"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(2015).</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Standard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Test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Method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Rheological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Properties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Non-Newtonian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Materials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Rotation</w:t>
      </w:r>
      <w:r w:rsidR="005158B7" w:rsidRPr="00DA6EB8">
        <w:rPr>
          <w:rFonts w:ascii="Times New Roman" w:hAnsi="Times New Roman" w:cs="Times New Roman"/>
          <w:sz w:val="20"/>
          <w:szCs w:val="20"/>
        </w:rPr>
        <w:t>al</w:t>
      </w:r>
      <w:r w:rsidR="001841CD" w:rsidRPr="00DA6EB8">
        <w:rPr>
          <w:rFonts w:ascii="Times New Roman" w:hAnsi="Times New Roman" w:cs="Times New Roman"/>
          <w:sz w:val="20"/>
          <w:szCs w:val="20"/>
        </w:rPr>
        <w:t xml:space="preserve"> </w:t>
      </w:r>
      <w:r w:rsidR="005158B7" w:rsidRPr="00DA6EB8">
        <w:rPr>
          <w:rFonts w:ascii="Times New Roman" w:hAnsi="Times New Roman" w:cs="Times New Roman"/>
          <w:sz w:val="20"/>
          <w:szCs w:val="20"/>
        </w:rPr>
        <w:t>(Brookfield</w:t>
      </w:r>
      <w:r w:rsidR="001841CD" w:rsidRPr="00DA6EB8">
        <w:rPr>
          <w:rFonts w:ascii="Times New Roman" w:hAnsi="Times New Roman" w:cs="Times New Roman"/>
          <w:sz w:val="20"/>
          <w:szCs w:val="20"/>
        </w:rPr>
        <w:t xml:space="preserve"> </w:t>
      </w:r>
      <w:r w:rsidR="005158B7" w:rsidRPr="00DA6EB8">
        <w:rPr>
          <w:rFonts w:ascii="Times New Roman" w:hAnsi="Times New Roman" w:cs="Times New Roman"/>
          <w:sz w:val="20"/>
          <w:szCs w:val="20"/>
        </w:rPr>
        <w:t>type)</w:t>
      </w:r>
      <w:r w:rsidR="001841CD" w:rsidRPr="00DA6EB8">
        <w:rPr>
          <w:rFonts w:ascii="Times New Roman" w:hAnsi="Times New Roman" w:cs="Times New Roman"/>
          <w:sz w:val="20"/>
          <w:szCs w:val="20"/>
        </w:rPr>
        <w:t xml:space="preserve"> </w:t>
      </w:r>
      <w:r w:rsidR="005158B7" w:rsidRPr="00DA6EB8">
        <w:rPr>
          <w:rFonts w:ascii="Times New Roman" w:hAnsi="Times New Roman" w:cs="Times New Roman"/>
          <w:sz w:val="20"/>
          <w:szCs w:val="20"/>
        </w:rPr>
        <w:t>Viscometer</w:t>
      </w:r>
      <w:r w:rsidR="001841CD" w:rsidRPr="00DA6EB8">
        <w:rPr>
          <w:rFonts w:ascii="Times New Roman" w:hAnsi="Times New Roman" w:cs="Times New Roman"/>
          <w:sz w:val="20"/>
          <w:szCs w:val="20"/>
        </w:rPr>
        <w:t xml:space="preserve"> </w:t>
      </w:r>
      <w:r w:rsidR="005158B7" w:rsidRPr="00DA6EB8">
        <w:rPr>
          <w:rFonts w:ascii="Times New Roman" w:hAnsi="Times New Roman" w:cs="Times New Roman"/>
          <w:sz w:val="20"/>
          <w:szCs w:val="20"/>
        </w:rPr>
        <w:t>(D-2196).</w:t>
      </w:r>
    </w:p>
    <w:p w:rsidR="005158B7" w:rsidRPr="00DA6EB8" w:rsidRDefault="00E42E1C"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American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Society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Testing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Materials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A.S.T.</w:t>
      </w:r>
      <w:r w:rsidR="001841CD" w:rsidRPr="00DA6EB8">
        <w:rPr>
          <w:rFonts w:ascii="Times New Roman" w:hAnsi="Times New Roman" w:cs="Times New Roman"/>
          <w:sz w:val="20"/>
          <w:szCs w:val="20"/>
        </w:rPr>
        <w:t xml:space="preserve">M </w:t>
      </w:r>
      <w:r w:rsidR="001841CD" w:rsidRPr="00DA6EB8">
        <w:rPr>
          <w:rFonts w:ascii="Times New Roman" w:hAnsi="Times New Roman" w:cs="Times New Roman"/>
          <w:bCs/>
          <w:sz w:val="20"/>
          <w:szCs w:val="20"/>
        </w:rPr>
        <w:t>(</w:t>
      </w:r>
      <w:r w:rsidRPr="00DA6EB8">
        <w:rPr>
          <w:rFonts w:ascii="Times New Roman" w:hAnsi="Times New Roman" w:cs="Times New Roman"/>
          <w:bCs/>
          <w:sz w:val="20"/>
          <w:szCs w:val="20"/>
        </w:rPr>
        <w:t>20</w:t>
      </w:r>
      <w:r w:rsidR="005158B7" w:rsidRPr="00DA6EB8">
        <w:rPr>
          <w:rFonts w:ascii="Times New Roman" w:hAnsi="Times New Roman" w:cs="Times New Roman"/>
          <w:bCs/>
          <w:sz w:val="20"/>
          <w:szCs w:val="20"/>
        </w:rPr>
        <w:t>14</w:t>
      </w:r>
      <w:r w:rsidRPr="00DA6EB8">
        <w:rPr>
          <w:rFonts w:ascii="Times New Roman" w:hAnsi="Times New Roman" w:cs="Times New Roman"/>
          <w:bCs/>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Standard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Test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Method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Surface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Interfacial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Tension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Solution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Surface-Active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Agents</w:t>
      </w:r>
      <w:r w:rsidR="001841CD" w:rsidRPr="00DA6EB8">
        <w:rPr>
          <w:rFonts w:ascii="Times New Roman" w:hAnsi="Times New Roman" w:cs="Times New Roman"/>
          <w:sz w:val="20"/>
          <w:szCs w:val="20"/>
        </w:rPr>
        <w:t xml:space="preserve"> </w:t>
      </w:r>
      <w:r w:rsidR="005158B7" w:rsidRPr="00DA6EB8">
        <w:rPr>
          <w:rFonts w:ascii="Times New Roman" w:hAnsi="Times New Roman" w:cs="Times New Roman"/>
          <w:sz w:val="20"/>
          <w:szCs w:val="20"/>
        </w:rPr>
        <w:t>(</w:t>
      </w:r>
      <w:r w:rsidRPr="00DA6EB8">
        <w:rPr>
          <w:rFonts w:ascii="Times New Roman" w:hAnsi="Times New Roman" w:cs="Times New Roman"/>
          <w:sz w:val="20"/>
          <w:szCs w:val="20"/>
        </w:rPr>
        <w:t>D-1331</w:t>
      </w:r>
      <w:r w:rsidR="005158B7" w:rsidRPr="00DA6EB8">
        <w:rPr>
          <w:rFonts w:ascii="Times New Roman" w:hAnsi="Times New Roman" w:cs="Times New Roman"/>
          <w:sz w:val="20"/>
          <w:szCs w:val="20"/>
        </w:rPr>
        <w:t>)</w:t>
      </w:r>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p>
    <w:p w:rsidR="005158B7" w:rsidRPr="00DA6EB8" w:rsidRDefault="00E42E1C"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American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Society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Testing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Materials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A.S.T.M</w:t>
      </w:r>
      <w:r w:rsidR="001841CD"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(20</w:t>
      </w:r>
      <w:r w:rsidR="005158B7" w:rsidRPr="00DA6EB8">
        <w:rPr>
          <w:rFonts w:ascii="Times New Roman" w:hAnsi="Times New Roman" w:cs="Times New Roman"/>
          <w:bCs/>
          <w:sz w:val="20"/>
          <w:szCs w:val="20"/>
        </w:rPr>
        <w:t>1</w:t>
      </w:r>
      <w:r w:rsidRPr="00DA6EB8">
        <w:rPr>
          <w:rFonts w:ascii="Times New Roman" w:hAnsi="Times New Roman" w:cs="Times New Roman"/>
          <w:bCs/>
          <w:sz w:val="20"/>
          <w:szCs w:val="20"/>
        </w:rPr>
        <w:t>2).</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Standard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Test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Method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Refractive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Index</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Refractive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Dispersion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Hydrocarbon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Liquids</w:t>
      </w:r>
      <w:r w:rsidR="001841CD" w:rsidRPr="00DA6EB8">
        <w:rPr>
          <w:rFonts w:ascii="Times New Roman" w:hAnsi="Times New Roman" w:cs="Times New Roman"/>
          <w:sz w:val="20"/>
          <w:szCs w:val="20"/>
        </w:rPr>
        <w:t xml:space="preserve"> </w:t>
      </w:r>
      <w:r w:rsidR="005158B7" w:rsidRPr="00DA6EB8">
        <w:rPr>
          <w:rFonts w:ascii="Times New Roman" w:hAnsi="Times New Roman" w:cs="Times New Roman"/>
          <w:sz w:val="20"/>
          <w:szCs w:val="20"/>
        </w:rPr>
        <w:t>(</w:t>
      </w:r>
      <w:r w:rsidRPr="00DA6EB8">
        <w:rPr>
          <w:rFonts w:ascii="Times New Roman" w:hAnsi="Times New Roman" w:cs="Times New Roman"/>
          <w:sz w:val="20"/>
          <w:szCs w:val="20"/>
        </w:rPr>
        <w:t>D</w:t>
      </w:r>
      <w:r w:rsidR="005158B7" w:rsidRPr="00DA6EB8">
        <w:rPr>
          <w:rFonts w:ascii="Times New Roman" w:hAnsi="Times New Roman" w:cs="Times New Roman"/>
          <w:sz w:val="20"/>
          <w:szCs w:val="20"/>
        </w:rPr>
        <w:t>-</w:t>
      </w:r>
      <w:r w:rsidRPr="00DA6EB8">
        <w:rPr>
          <w:rFonts w:ascii="Times New Roman" w:hAnsi="Times New Roman" w:cs="Times New Roman"/>
          <w:sz w:val="20"/>
          <w:szCs w:val="20"/>
        </w:rPr>
        <w:t>1218</w:t>
      </w:r>
      <w:r w:rsidR="005158B7" w:rsidRPr="00DA6EB8">
        <w:rPr>
          <w:rFonts w:ascii="Times New Roman" w:hAnsi="Times New Roman" w:cs="Times New Roman"/>
          <w:sz w:val="20"/>
          <w:szCs w:val="20"/>
        </w:rPr>
        <w:t>)</w:t>
      </w:r>
      <w:r w:rsidRPr="00DA6EB8">
        <w:rPr>
          <w:rFonts w:ascii="Times New Roman" w:hAnsi="Times New Roman" w:cs="Times New Roman"/>
          <w:sz w:val="20"/>
          <w:szCs w:val="20"/>
        </w:rPr>
        <w:t>.</w:t>
      </w:r>
    </w:p>
    <w:p w:rsidR="005158B7" w:rsidRPr="00DA6EB8" w:rsidRDefault="005158B7"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American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Society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Testing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Materials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A.S.T.M</w:t>
      </w:r>
      <w:r w:rsidR="001841CD"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(2011).</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Standard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Test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Method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Density,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Relative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Density,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API</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Gravity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Liquids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Digital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Density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Meter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(D-4052).</w:t>
      </w:r>
    </w:p>
    <w:p w:rsidR="00A734DE" w:rsidRPr="00DA6EB8" w:rsidRDefault="005158B7"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American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Society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Testing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Materials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A.S.T.M</w:t>
      </w:r>
      <w:r w:rsidR="001841CD"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(2012).</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Standard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Test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Methods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Flash</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Point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Small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Scale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Closed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Cup</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Tester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(D-3828).</w:t>
      </w:r>
    </w:p>
    <w:p w:rsidR="00A17D08" w:rsidRPr="00DA6EB8" w:rsidRDefault="00A734DE"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lang w:bidi="ar-EG"/>
        </w:rPr>
        <w:t>Joong-Hyeop</w:t>
      </w:r>
      <w:proofErr w:type="spellEnd"/>
      <w:r w:rsidRPr="00DA6EB8">
        <w:rPr>
          <w:rFonts w:ascii="Times New Roman" w:hAnsi="Times New Roman" w:cs="Times New Roman"/>
          <w:sz w:val="20"/>
          <w:szCs w:val="20"/>
          <w:lang w:bidi="ar-EG"/>
        </w:rPr>
        <w:t>;</w:t>
      </w:r>
      <w:r w:rsidR="001841CD" w:rsidRPr="00DA6EB8">
        <w:rPr>
          <w:rFonts w:ascii="Times New Roman" w:hAnsi="Times New Roman" w:cs="Times New Roman"/>
          <w:sz w:val="20"/>
          <w:szCs w:val="20"/>
          <w:lang w:bidi="ar-EG"/>
        </w:rPr>
        <w:t xml:space="preserve"> </w:t>
      </w:r>
      <w:proofErr w:type="spellStart"/>
      <w:r w:rsidRPr="00DA6EB8">
        <w:rPr>
          <w:rFonts w:ascii="Times New Roman" w:hAnsi="Times New Roman" w:cs="Times New Roman"/>
          <w:sz w:val="20"/>
          <w:szCs w:val="20"/>
          <w:lang w:bidi="ar-EG"/>
        </w:rPr>
        <w:t>Chot</w:t>
      </w:r>
      <w:proofErr w:type="spellEnd"/>
      <w:r w:rsidRPr="00DA6EB8">
        <w:rPr>
          <w:rFonts w:ascii="Times New Roman" w:hAnsi="Times New Roman" w:cs="Times New Roman"/>
          <w:sz w:val="20"/>
          <w:szCs w:val="20"/>
          <w:lang w:bidi="ar-EG"/>
        </w:rPr>
        <w:t>,</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G.</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J.;</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Lee,</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H.</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B.;</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Kim,</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K.</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M.;</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Jung,</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H.</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S.;</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Lee,</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S.</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W.;</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Jang,</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K.</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S.;</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Cho,</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K.</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Y.</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and</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Kim,</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J.</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C.</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bCs/>
          <w:sz w:val="20"/>
          <w:szCs w:val="20"/>
          <w:lang w:bidi="ar-EG"/>
        </w:rPr>
        <w:t>(2005).</w:t>
      </w:r>
      <w:r w:rsidR="001841CD" w:rsidRPr="00DA6EB8">
        <w:rPr>
          <w:rFonts w:ascii="Times New Roman" w:hAnsi="Times New Roman" w:cs="Times New Roman"/>
          <w:sz w:val="20"/>
          <w:szCs w:val="20"/>
          <w:lang w:bidi="ar-EG"/>
        </w:rPr>
        <w:t xml:space="preserve"> </w:t>
      </w:r>
      <w:proofErr w:type="spellStart"/>
      <w:r w:rsidRPr="00DA6EB8">
        <w:rPr>
          <w:rFonts w:ascii="Times New Roman" w:hAnsi="Times New Roman" w:cs="Times New Roman"/>
          <w:sz w:val="20"/>
          <w:szCs w:val="20"/>
          <w:lang w:bidi="ar-EG"/>
        </w:rPr>
        <w:t>Griseofulvin</w:t>
      </w:r>
      <w:proofErr w:type="spellEnd"/>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from</w:t>
      </w:r>
      <w:r w:rsidR="001841CD" w:rsidRPr="00DA6EB8">
        <w:rPr>
          <w:rFonts w:ascii="Times New Roman" w:hAnsi="Times New Roman" w:cs="Times New Roman"/>
          <w:sz w:val="20"/>
          <w:szCs w:val="20"/>
          <w:lang w:bidi="ar-EG"/>
        </w:rPr>
        <w:t xml:space="preserve"> </w:t>
      </w:r>
      <w:proofErr w:type="spellStart"/>
      <w:r w:rsidRPr="00DA6EB8">
        <w:rPr>
          <w:rFonts w:ascii="Times New Roman" w:hAnsi="Times New Roman" w:cs="Times New Roman"/>
          <w:i/>
          <w:iCs/>
          <w:sz w:val="20"/>
          <w:szCs w:val="20"/>
          <w:lang w:bidi="ar-EG"/>
        </w:rPr>
        <w:t>Xylaraia</w:t>
      </w:r>
      <w:proofErr w:type="spellEnd"/>
      <w:r w:rsidR="001841CD" w:rsidRPr="00DA6EB8">
        <w:rPr>
          <w:rFonts w:ascii="Times New Roman" w:hAnsi="Times New Roman" w:cs="Times New Roman"/>
          <w:i/>
          <w:iCs/>
          <w:sz w:val="20"/>
          <w:szCs w:val="20"/>
          <w:lang w:bidi="ar-EG"/>
        </w:rPr>
        <w:t xml:space="preserve"> </w:t>
      </w:r>
      <w:r w:rsidRPr="00DA6EB8">
        <w:rPr>
          <w:rFonts w:ascii="Times New Roman" w:hAnsi="Times New Roman" w:cs="Times New Roman"/>
          <w:sz w:val="20"/>
          <w:szCs w:val="20"/>
          <w:lang w:bidi="ar-EG"/>
        </w:rPr>
        <w:t>sp.</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strain</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F0010,</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and</w:t>
      </w:r>
      <w:r w:rsidR="001841CD" w:rsidRPr="00DA6EB8">
        <w:rPr>
          <w:rFonts w:ascii="Times New Roman" w:hAnsi="Times New Roman" w:cs="Times New Roman"/>
          <w:sz w:val="20"/>
          <w:szCs w:val="20"/>
          <w:lang w:bidi="ar-EG"/>
        </w:rPr>
        <w:t xml:space="preserve"> </w:t>
      </w:r>
      <w:proofErr w:type="spellStart"/>
      <w:r w:rsidRPr="00DA6EB8">
        <w:rPr>
          <w:rFonts w:ascii="Times New Roman" w:hAnsi="Times New Roman" w:cs="Times New Roman"/>
          <w:sz w:val="20"/>
          <w:szCs w:val="20"/>
          <w:lang w:bidi="ar-EG"/>
        </w:rPr>
        <w:t>endophytic</w:t>
      </w:r>
      <w:proofErr w:type="spellEnd"/>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fungus</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of</w:t>
      </w:r>
      <w:r w:rsidR="001841CD" w:rsidRPr="00DA6EB8">
        <w:rPr>
          <w:rFonts w:ascii="Times New Roman" w:hAnsi="Times New Roman" w:cs="Times New Roman"/>
          <w:sz w:val="20"/>
          <w:szCs w:val="20"/>
          <w:lang w:bidi="ar-EG"/>
        </w:rPr>
        <w:t xml:space="preserve"> </w:t>
      </w:r>
      <w:proofErr w:type="spellStart"/>
      <w:r w:rsidRPr="00DA6EB8">
        <w:rPr>
          <w:rFonts w:ascii="Times New Roman" w:hAnsi="Times New Roman" w:cs="Times New Roman"/>
          <w:i/>
          <w:iCs/>
          <w:sz w:val="20"/>
          <w:szCs w:val="20"/>
          <w:lang w:bidi="ar-EG"/>
        </w:rPr>
        <w:t>Abies</w:t>
      </w:r>
      <w:proofErr w:type="spellEnd"/>
      <w:r w:rsidR="001841CD" w:rsidRPr="00DA6EB8">
        <w:rPr>
          <w:rFonts w:ascii="Times New Roman" w:hAnsi="Times New Roman" w:cs="Times New Roman"/>
          <w:i/>
          <w:iCs/>
          <w:sz w:val="20"/>
          <w:szCs w:val="20"/>
          <w:lang w:bidi="ar-EG"/>
        </w:rPr>
        <w:t xml:space="preserve"> </w:t>
      </w:r>
      <w:proofErr w:type="spellStart"/>
      <w:r w:rsidRPr="00DA6EB8">
        <w:rPr>
          <w:rFonts w:ascii="Times New Roman" w:hAnsi="Times New Roman" w:cs="Times New Roman"/>
          <w:i/>
          <w:iCs/>
          <w:sz w:val="20"/>
          <w:szCs w:val="20"/>
          <w:lang w:bidi="ar-EG"/>
        </w:rPr>
        <w:t>holophylla</w:t>
      </w:r>
      <w:proofErr w:type="spellEnd"/>
      <w:r w:rsidR="001841CD" w:rsidRPr="00DA6EB8">
        <w:rPr>
          <w:rFonts w:ascii="Times New Roman" w:hAnsi="Times New Roman" w:cs="Times New Roman"/>
          <w:i/>
          <w:iCs/>
          <w:sz w:val="20"/>
          <w:szCs w:val="20"/>
          <w:lang w:bidi="ar-EG"/>
        </w:rPr>
        <w:t xml:space="preserve"> </w:t>
      </w:r>
      <w:r w:rsidRPr="00DA6EB8">
        <w:rPr>
          <w:rFonts w:ascii="Times New Roman" w:hAnsi="Times New Roman" w:cs="Times New Roman"/>
          <w:sz w:val="20"/>
          <w:szCs w:val="20"/>
          <w:lang w:bidi="ar-EG"/>
        </w:rPr>
        <w:t>and</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its</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antifungal</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activity</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against</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plant</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pathogenic</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fungi.</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J.</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of</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Microbiological</w:t>
      </w:r>
      <w:r w:rsidR="001841CD" w:rsidRPr="00DA6EB8">
        <w:rPr>
          <w:rFonts w:ascii="Times New Roman" w:hAnsi="Times New Roman" w:cs="Times New Roman"/>
          <w:sz w:val="20"/>
          <w:szCs w:val="20"/>
          <w:lang w:bidi="ar-EG"/>
        </w:rPr>
        <w:t xml:space="preserve"> </w:t>
      </w:r>
      <w:proofErr w:type="spellStart"/>
      <w:r w:rsidRPr="00DA6EB8">
        <w:rPr>
          <w:rFonts w:ascii="Times New Roman" w:hAnsi="Times New Roman" w:cs="Times New Roman"/>
          <w:sz w:val="20"/>
          <w:szCs w:val="20"/>
          <w:lang w:bidi="ar-EG"/>
        </w:rPr>
        <w:t>Biotechnol</w:t>
      </w:r>
      <w:proofErr w:type="spellEnd"/>
      <w:r w:rsidRPr="00DA6EB8">
        <w:rPr>
          <w:rFonts w:ascii="Times New Roman" w:hAnsi="Times New Roman" w:cs="Times New Roman"/>
          <w:sz w:val="20"/>
          <w:szCs w:val="20"/>
          <w:lang w:bidi="ar-EG"/>
        </w:rPr>
        <w:t>.,</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15(1),</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112</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w:t>
      </w:r>
      <w:r w:rsidR="001841CD" w:rsidRPr="00DA6EB8">
        <w:rPr>
          <w:rFonts w:ascii="Times New Roman" w:hAnsi="Times New Roman" w:cs="Times New Roman"/>
          <w:sz w:val="20"/>
          <w:szCs w:val="20"/>
          <w:lang w:bidi="ar-EG"/>
        </w:rPr>
        <w:t xml:space="preserve"> </w:t>
      </w:r>
      <w:r w:rsidRPr="00DA6EB8">
        <w:rPr>
          <w:rFonts w:ascii="Times New Roman" w:hAnsi="Times New Roman" w:cs="Times New Roman"/>
          <w:sz w:val="20"/>
          <w:szCs w:val="20"/>
          <w:lang w:bidi="ar-EG"/>
        </w:rPr>
        <w:t>117.</w:t>
      </w:r>
      <w:r w:rsidR="001841CD" w:rsidRPr="00DA6EB8">
        <w:rPr>
          <w:rFonts w:ascii="Times New Roman" w:hAnsi="Times New Roman" w:cs="Times New Roman"/>
          <w:sz w:val="20"/>
          <w:szCs w:val="20"/>
          <w:lang w:bidi="ar-EG"/>
        </w:rPr>
        <w:t xml:space="preserve"> </w:t>
      </w:r>
    </w:p>
    <w:p w:rsidR="00A17D08" w:rsidRPr="00DA6EB8" w:rsidRDefault="00A734DE"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Sztejnberg</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Azaizi</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w:t>
      </w:r>
      <w:r w:rsidR="002063CB"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Che</w:t>
      </w:r>
      <w:r w:rsidR="001841CD" w:rsidRPr="00DA6EB8">
        <w:rPr>
          <w:rFonts w:ascii="Times New Roman" w:hAnsi="Times New Roman" w:cs="Times New Roman"/>
          <w:sz w:val="20"/>
          <w:szCs w:val="20"/>
        </w:rPr>
        <w:t xml:space="preserve">t </w:t>
      </w:r>
      <w:r w:rsidR="001841CD" w:rsidRPr="00DA6EB8">
        <w:rPr>
          <w:rFonts w:ascii="Times New Roman" w:hAnsi="Times New Roman" w:cs="Times New Roman"/>
          <w:bCs/>
          <w:sz w:val="20"/>
          <w:szCs w:val="20"/>
        </w:rPr>
        <w:t>(</w:t>
      </w:r>
      <w:r w:rsidRPr="00DA6EB8">
        <w:rPr>
          <w:rFonts w:ascii="Times New Roman" w:hAnsi="Times New Roman" w:cs="Times New Roman"/>
          <w:bCs/>
          <w:sz w:val="20"/>
          <w:szCs w:val="20"/>
        </w:rPr>
        <w:t>1983).</w:t>
      </w:r>
      <w:r w:rsidR="001841CD" w:rsidRPr="00DA6EB8">
        <w:rPr>
          <w:rFonts w:ascii="Times New Roman" w:hAnsi="Times New Roman" w:cs="Times New Roman"/>
          <w:bCs/>
          <w:sz w:val="20"/>
          <w:szCs w:val="20"/>
        </w:rPr>
        <w:t xml:space="preserve"> </w:t>
      </w:r>
      <w:r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possible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role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phenolic</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compounds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resistance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horticultural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crops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to</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i/>
          <w:iCs/>
          <w:sz w:val="20"/>
          <w:szCs w:val="20"/>
        </w:rPr>
        <w:t>Dematophtora</w:t>
      </w:r>
      <w:proofErr w:type="spellEnd"/>
      <w:r w:rsidR="001841CD"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necatrix</w:t>
      </w:r>
      <w:proofErr w:type="spellEnd"/>
      <w:r w:rsidR="001841CD"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sz w:val="20"/>
          <w:szCs w:val="20"/>
        </w:rPr>
        <w:t>Hartig</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Phytopath</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Z.</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107:</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318</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326.</w:t>
      </w:r>
    </w:p>
    <w:p w:rsidR="00267002" w:rsidRPr="00DA6EB8" w:rsidRDefault="0019375E"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bCs/>
          <w:sz w:val="20"/>
          <w:szCs w:val="20"/>
        </w:rPr>
        <w:t>Finney,</w:t>
      </w:r>
      <w:r w:rsidR="001841CD" w:rsidRPr="00DA6EB8">
        <w:rPr>
          <w:rFonts w:ascii="Times New Roman" w:hAnsi="Times New Roman" w:cs="Times New Roman"/>
          <w:bCs/>
          <w:sz w:val="20"/>
          <w:szCs w:val="20"/>
        </w:rPr>
        <w:t xml:space="preserve"> </w:t>
      </w:r>
      <w:r w:rsidRPr="00DA6EB8">
        <w:rPr>
          <w:rFonts w:ascii="Times New Roman" w:hAnsi="Times New Roman" w:cs="Times New Roman"/>
          <w:bCs/>
          <w:sz w:val="20"/>
          <w:szCs w:val="20"/>
        </w:rPr>
        <w:t>D.</w:t>
      </w:r>
      <w:r w:rsidR="001841CD" w:rsidRPr="00DA6EB8">
        <w:rPr>
          <w:rFonts w:ascii="Times New Roman" w:hAnsi="Times New Roman" w:cs="Times New Roman"/>
          <w:bCs/>
          <w:sz w:val="20"/>
          <w:szCs w:val="20"/>
        </w:rPr>
        <w:t xml:space="preserve"> </w:t>
      </w:r>
      <w:r w:rsidRPr="00DA6EB8">
        <w:rPr>
          <w:rFonts w:ascii="Times New Roman" w:hAnsi="Times New Roman" w:cs="Times New Roman"/>
          <w:bCs/>
          <w:sz w:val="20"/>
          <w:szCs w:val="20"/>
        </w:rPr>
        <w:t>J.</w:t>
      </w:r>
      <w:r w:rsidR="001841CD" w:rsidRPr="00DA6EB8">
        <w:rPr>
          <w:rFonts w:ascii="Times New Roman" w:hAnsi="Times New Roman" w:cs="Times New Roman"/>
          <w:bCs/>
          <w:sz w:val="20"/>
          <w:szCs w:val="20"/>
        </w:rPr>
        <w:t xml:space="preserve"> </w:t>
      </w:r>
      <w:r w:rsidRPr="00DA6EB8">
        <w:rPr>
          <w:rFonts w:ascii="Times New Roman" w:hAnsi="Times New Roman" w:cs="Times New Roman"/>
          <w:sz w:val="20"/>
          <w:szCs w:val="20"/>
        </w:rPr>
        <w:t>(1971).</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Probit</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Analysis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(3</w:t>
      </w:r>
      <w:r w:rsidRPr="00DA6EB8">
        <w:rPr>
          <w:rFonts w:ascii="Times New Roman" w:hAnsi="Times New Roman" w:cs="Times New Roman"/>
          <w:sz w:val="20"/>
          <w:szCs w:val="20"/>
          <w:vertAlign w:val="superscript"/>
        </w:rPr>
        <w:t>rd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Cambridge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Univ.</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Press,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London).</w:t>
      </w:r>
    </w:p>
    <w:p w:rsidR="00B05D2E" w:rsidRPr="00DA6EB8" w:rsidRDefault="0019375E"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bCs/>
          <w:sz w:val="20"/>
          <w:szCs w:val="20"/>
        </w:rPr>
        <w:t>Sun,</w:t>
      </w:r>
      <w:r w:rsidR="001841CD" w:rsidRPr="00DA6EB8">
        <w:rPr>
          <w:rFonts w:ascii="Times New Roman" w:hAnsi="Times New Roman" w:cs="Times New Roman"/>
          <w:bCs/>
          <w:sz w:val="20"/>
          <w:szCs w:val="20"/>
        </w:rPr>
        <w:t xml:space="preserve"> </w:t>
      </w:r>
      <w:r w:rsidRPr="00DA6EB8">
        <w:rPr>
          <w:rFonts w:ascii="Times New Roman" w:hAnsi="Times New Roman" w:cs="Times New Roman"/>
          <w:bCs/>
          <w:sz w:val="20"/>
          <w:szCs w:val="20"/>
        </w:rPr>
        <w:t>Y.</w:t>
      </w:r>
      <w:r w:rsidR="001841CD" w:rsidRPr="00DA6EB8">
        <w:rPr>
          <w:rFonts w:ascii="Times New Roman" w:hAnsi="Times New Roman" w:cs="Times New Roman"/>
          <w:bCs/>
          <w:sz w:val="20"/>
          <w:szCs w:val="20"/>
        </w:rPr>
        <w:t xml:space="preserve"> </w:t>
      </w:r>
      <w:r w:rsidRPr="00DA6EB8">
        <w:rPr>
          <w:rFonts w:ascii="Times New Roman" w:hAnsi="Times New Roman" w:cs="Times New Roman"/>
          <w:bCs/>
          <w:sz w:val="20"/>
          <w:szCs w:val="20"/>
        </w:rPr>
        <w:t>P.</w:t>
      </w:r>
      <w:r w:rsidR="001841CD" w:rsidRPr="00DA6EB8">
        <w:rPr>
          <w:rFonts w:ascii="Times New Roman" w:hAnsi="Times New Roman" w:cs="Times New Roman"/>
          <w:bCs/>
          <w:sz w:val="20"/>
          <w:szCs w:val="20"/>
        </w:rPr>
        <w:t xml:space="preserve"> </w:t>
      </w:r>
      <w:r w:rsidRPr="00DA6EB8">
        <w:rPr>
          <w:rFonts w:ascii="Times New Roman" w:hAnsi="Times New Roman" w:cs="Times New Roman"/>
          <w:sz w:val="20"/>
          <w:szCs w:val="20"/>
        </w:rPr>
        <w:t>(1950):</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Toxicity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Index</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improved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method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comparing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relative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toxicity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insecticides.</w:t>
      </w:r>
      <w:r w:rsidR="001841CD" w:rsidRPr="00DA6EB8">
        <w:rPr>
          <w:rFonts w:ascii="Times New Roman" w:hAnsi="Times New Roman" w:cs="Times New Roman"/>
          <w:iCs/>
          <w:sz w:val="20"/>
          <w:szCs w:val="20"/>
        </w:rPr>
        <w:t xml:space="preserve"> </w:t>
      </w:r>
      <w:r w:rsidRPr="00DA6EB8">
        <w:rPr>
          <w:rFonts w:ascii="Times New Roman" w:hAnsi="Times New Roman" w:cs="Times New Roman"/>
          <w:iCs/>
          <w:sz w:val="20"/>
          <w:szCs w:val="20"/>
        </w:rPr>
        <w:t>J.</w:t>
      </w:r>
      <w:r w:rsidR="001841CD" w:rsidRPr="00DA6EB8">
        <w:rPr>
          <w:rFonts w:ascii="Times New Roman" w:hAnsi="Times New Roman" w:cs="Times New Roman"/>
          <w:iCs/>
          <w:sz w:val="20"/>
          <w:szCs w:val="20"/>
        </w:rPr>
        <w:t xml:space="preserve"> </w:t>
      </w:r>
      <w:r w:rsidRPr="00DA6EB8">
        <w:rPr>
          <w:rFonts w:ascii="Times New Roman" w:hAnsi="Times New Roman" w:cs="Times New Roman"/>
          <w:iCs/>
          <w:sz w:val="20"/>
          <w:szCs w:val="20"/>
        </w:rPr>
        <w:t>Econ.</w:t>
      </w:r>
      <w:r w:rsidR="001841CD" w:rsidRPr="00DA6EB8">
        <w:rPr>
          <w:rFonts w:ascii="Times New Roman" w:hAnsi="Times New Roman" w:cs="Times New Roman"/>
          <w:iCs/>
          <w:sz w:val="20"/>
          <w:szCs w:val="20"/>
        </w:rPr>
        <w:t xml:space="preserve"> </w:t>
      </w:r>
      <w:r w:rsidRPr="00DA6EB8">
        <w:rPr>
          <w:rFonts w:ascii="Times New Roman" w:hAnsi="Times New Roman" w:cs="Times New Roman"/>
          <w:iCs/>
          <w:sz w:val="20"/>
          <w:szCs w:val="20"/>
        </w:rPr>
        <w:t>Entom.,</w:t>
      </w:r>
      <w:r w:rsidR="001841CD" w:rsidRPr="00DA6EB8">
        <w:rPr>
          <w:rFonts w:ascii="Times New Roman" w:hAnsi="Times New Roman" w:cs="Times New Roman"/>
          <w:iCs/>
          <w:sz w:val="20"/>
          <w:szCs w:val="20"/>
        </w:rPr>
        <w:t xml:space="preserve"> </w:t>
      </w:r>
      <w:r w:rsidRPr="00DA6EB8">
        <w:rPr>
          <w:rFonts w:ascii="Times New Roman" w:hAnsi="Times New Roman" w:cs="Times New Roman"/>
          <w:iCs/>
          <w:sz w:val="20"/>
          <w:szCs w:val="20"/>
        </w:rPr>
        <w:t>43:</w:t>
      </w:r>
      <w:r w:rsidR="001841CD" w:rsidRPr="00DA6EB8">
        <w:rPr>
          <w:rFonts w:ascii="Times New Roman" w:hAnsi="Times New Roman" w:cs="Times New Roman"/>
          <w:iCs/>
          <w:sz w:val="20"/>
          <w:szCs w:val="20"/>
        </w:rPr>
        <w:t xml:space="preserve"> </w:t>
      </w:r>
      <w:r w:rsidRPr="00DA6EB8">
        <w:rPr>
          <w:rFonts w:ascii="Times New Roman" w:hAnsi="Times New Roman" w:cs="Times New Roman"/>
          <w:iCs/>
          <w:sz w:val="20"/>
          <w:szCs w:val="20"/>
        </w:rPr>
        <w:t>45</w:t>
      </w:r>
      <w:r w:rsidR="001841CD" w:rsidRPr="00DA6EB8">
        <w:rPr>
          <w:rFonts w:ascii="Times New Roman" w:hAnsi="Times New Roman" w:cs="Times New Roman"/>
          <w:iCs/>
          <w:sz w:val="20"/>
          <w:szCs w:val="20"/>
        </w:rPr>
        <w:t xml:space="preserve"> </w:t>
      </w:r>
      <w:r w:rsidRPr="00DA6EB8">
        <w:rPr>
          <w:rFonts w:ascii="Times New Roman" w:hAnsi="Times New Roman" w:cs="Times New Roman"/>
          <w:iCs/>
          <w:sz w:val="20"/>
          <w:szCs w:val="20"/>
        </w:rPr>
        <w:t>–</w:t>
      </w:r>
      <w:r w:rsidR="001841CD" w:rsidRPr="00DA6EB8">
        <w:rPr>
          <w:rFonts w:ascii="Times New Roman" w:hAnsi="Times New Roman" w:cs="Times New Roman"/>
          <w:iCs/>
          <w:sz w:val="20"/>
          <w:szCs w:val="20"/>
        </w:rPr>
        <w:t xml:space="preserve"> </w:t>
      </w:r>
      <w:r w:rsidRPr="00DA6EB8">
        <w:rPr>
          <w:rFonts w:ascii="Times New Roman" w:hAnsi="Times New Roman" w:cs="Times New Roman"/>
          <w:iCs/>
          <w:sz w:val="20"/>
          <w:szCs w:val="20"/>
        </w:rPr>
        <w:t>53</w:t>
      </w:r>
      <w:r w:rsidRPr="00DA6EB8">
        <w:rPr>
          <w:rFonts w:ascii="Times New Roman" w:hAnsi="Times New Roman" w:cs="Times New Roman"/>
          <w:sz w:val="20"/>
          <w:szCs w:val="20"/>
        </w:rPr>
        <w:t>.</w:t>
      </w:r>
    </w:p>
    <w:p w:rsidR="00B05D2E" w:rsidRPr="00DA6EB8" w:rsidRDefault="00B05D2E"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Khan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Y.,</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Talegaonkar</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Iqbal</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Z.,</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Ahmed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Khar</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K</w:t>
      </w:r>
      <w:r w:rsidR="001841CD" w:rsidRPr="00DA6EB8">
        <w:rPr>
          <w:rFonts w:ascii="Times New Roman" w:hAnsi="Times New Roman" w:cs="Times New Roman"/>
          <w:sz w:val="20"/>
          <w:szCs w:val="20"/>
        </w:rPr>
        <w:t xml:space="preserve">. </w:t>
      </w:r>
      <w:r w:rsidR="001841CD" w:rsidRPr="00DA6EB8">
        <w:rPr>
          <w:rFonts w:ascii="Times New Roman" w:hAnsi="Times New Roman" w:cs="Times New Roman"/>
          <w:bCs/>
          <w:sz w:val="20"/>
          <w:szCs w:val="20"/>
        </w:rPr>
        <w:t>(</w:t>
      </w:r>
      <w:r w:rsidR="003064FE" w:rsidRPr="00DA6EB8">
        <w:rPr>
          <w:rFonts w:ascii="Times New Roman" w:hAnsi="Times New Roman" w:cs="Times New Roman"/>
          <w:bCs/>
          <w:sz w:val="20"/>
          <w:szCs w:val="20"/>
        </w:rPr>
        <w:t>2006).</w:t>
      </w:r>
      <w:r w:rsidR="001841CD" w:rsidRPr="00DA6EB8">
        <w:rPr>
          <w:rFonts w:ascii="Times New Roman" w:hAnsi="Times New Roman" w:cs="Times New Roman"/>
          <w:bCs/>
          <w:sz w:val="20"/>
          <w:szCs w:val="20"/>
        </w:rPr>
        <w:t xml:space="preserve"> </w:t>
      </w:r>
      <w:r w:rsidRPr="00DA6EB8">
        <w:rPr>
          <w:rFonts w:ascii="Times New Roman" w:hAnsi="Times New Roman" w:cs="Times New Roman"/>
          <w:sz w:val="20"/>
          <w:szCs w:val="20"/>
        </w:rPr>
        <w:t>Multiple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emulsions: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overview.</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Curr</w:t>
      </w:r>
      <w:proofErr w:type="spellEnd"/>
      <w:r w:rsidR="007F27D2"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Drug</w:t>
      </w:r>
      <w:r w:rsidR="007F27D2"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proofErr w:type="spellStart"/>
      <w:r w:rsidR="003064FE" w:rsidRPr="00DA6EB8">
        <w:rPr>
          <w:rFonts w:ascii="Times New Roman" w:hAnsi="Times New Roman" w:cs="Times New Roman"/>
          <w:sz w:val="20"/>
          <w:szCs w:val="20"/>
        </w:rPr>
        <w:t>Deliv</w:t>
      </w:r>
      <w:proofErr w:type="spellEnd"/>
      <w:r w:rsidR="003064FE"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3(4):</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429-</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43.</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http://dx.doi.org/10.2174/156720106778559056;PMid:17076645.</w:t>
      </w:r>
    </w:p>
    <w:p w:rsidR="00B05D2E" w:rsidRPr="00DA6EB8" w:rsidRDefault="00B05D2E"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lastRenderedPageBreak/>
        <w:t>Kumar</w:t>
      </w:r>
      <w:r w:rsidR="003064FE"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w:t>
      </w:r>
      <w:r w:rsidR="003064FE"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3064FE"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Mittal</w:t>
      </w:r>
      <w:proofErr w:type="spellEnd"/>
      <w:r w:rsidR="003064FE"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K</w:t>
      </w:r>
      <w:r w:rsidR="003064FE"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L</w:t>
      </w:r>
      <w:r w:rsidR="001841CD" w:rsidRPr="00DA6EB8">
        <w:rPr>
          <w:rFonts w:ascii="Times New Roman" w:hAnsi="Times New Roman" w:cs="Times New Roman"/>
          <w:sz w:val="20"/>
          <w:szCs w:val="20"/>
        </w:rPr>
        <w:t xml:space="preserve">. </w:t>
      </w:r>
      <w:r w:rsidR="001841CD" w:rsidRPr="00DA6EB8">
        <w:rPr>
          <w:rFonts w:ascii="Times New Roman" w:hAnsi="Times New Roman" w:cs="Times New Roman"/>
          <w:bCs/>
          <w:sz w:val="20"/>
          <w:szCs w:val="20"/>
        </w:rPr>
        <w:t>(</w:t>
      </w:r>
      <w:r w:rsidR="003064FE" w:rsidRPr="00DA6EB8">
        <w:rPr>
          <w:rFonts w:ascii="Times New Roman" w:hAnsi="Times New Roman" w:cs="Times New Roman"/>
          <w:bCs/>
          <w:sz w:val="20"/>
          <w:szCs w:val="20"/>
        </w:rPr>
        <w:t>1999).</w:t>
      </w:r>
      <w:r w:rsidR="001841CD" w:rsidRPr="00DA6EB8">
        <w:rPr>
          <w:rFonts w:ascii="Times New Roman" w:hAnsi="Times New Roman" w:cs="Times New Roman"/>
          <w:bCs/>
          <w:sz w:val="20"/>
          <w:szCs w:val="20"/>
        </w:rPr>
        <w:t xml:space="preserve"> </w:t>
      </w:r>
      <w:r w:rsidRPr="00DA6EB8">
        <w:rPr>
          <w:rFonts w:ascii="Times New Roman" w:hAnsi="Times New Roman" w:cs="Times New Roman"/>
          <w:sz w:val="20"/>
          <w:szCs w:val="20"/>
        </w:rPr>
        <w:t>Handbook</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Micro</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emulsion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Science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Technology;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w:t>
      </w:r>
      <w:r w:rsidRPr="00DA6EB8">
        <w:rPr>
          <w:rFonts w:ascii="Times New Roman" w:hAnsi="Times New Roman" w:cs="Times New Roman"/>
          <w:sz w:val="20"/>
          <w:szCs w:val="20"/>
          <w:vertAlign w:val="superscript"/>
        </w:rPr>
        <w:t>st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Edn</w:t>
      </w:r>
      <w:proofErr w:type="spellEnd"/>
      <w:r w:rsidR="009443BF" w:rsidRPr="00DA6EB8">
        <w:rPr>
          <w:rFonts w:ascii="Times New Roman" w:hAnsi="Times New Roman" w:cs="Times New Roman"/>
          <w:sz w:val="20"/>
          <w:szCs w:val="20"/>
        </w:rPr>
        <w:t>.</w:t>
      </w:r>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CRC</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Press,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New</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York.</w:t>
      </w:r>
      <w:r w:rsidR="001841CD" w:rsidRPr="00DA6EB8">
        <w:rPr>
          <w:rFonts w:ascii="Times New Roman" w:hAnsi="Times New Roman" w:cs="Times New Roman"/>
          <w:sz w:val="20"/>
          <w:szCs w:val="20"/>
        </w:rPr>
        <w:t xml:space="preserve"> </w:t>
      </w:r>
    </w:p>
    <w:p w:rsidR="00B51E6A" w:rsidRPr="00DA6EB8" w:rsidRDefault="002063CB"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Santosh</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Kale</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Nemichand</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Sharada</w:t>
      </w:r>
      <w:proofErr w:type="spellEnd"/>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Deore</w:t>
      </w:r>
      <w:proofErr w:type="spellEnd"/>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Laxman</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(2016).</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Solubility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Enhancement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Nebivolol</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Micro</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Emulsion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Technique</w:t>
      </w:r>
      <w:r w:rsidR="00E9698D"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Young</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Pharm</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8(4):</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356-36</w:t>
      </w:r>
      <w:r w:rsidR="00B51E6A" w:rsidRPr="00DA6EB8">
        <w:rPr>
          <w:rFonts w:ascii="Times New Roman" w:hAnsi="Times New Roman" w:cs="Times New Roman"/>
          <w:sz w:val="20"/>
          <w:szCs w:val="20"/>
        </w:rPr>
        <w:t>7.</w:t>
      </w:r>
    </w:p>
    <w:p w:rsidR="00B05D2E" w:rsidRPr="00DA6EB8" w:rsidRDefault="00B05D2E"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Tang</w:t>
      </w:r>
      <w:r w:rsidR="009443BF"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9443BF"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L</w:t>
      </w:r>
      <w:r w:rsidR="009443BF"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Sun</w:t>
      </w:r>
      <w:r w:rsidR="009443BF"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9443BF"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9443BF"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He</w:t>
      </w:r>
      <w:r w:rsidR="009443BF"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Z</w:t>
      </w:r>
      <w:r w:rsidR="009443BF"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G</w:t>
      </w:r>
      <w:r w:rsidR="001841CD" w:rsidRPr="00DA6EB8">
        <w:rPr>
          <w:rFonts w:ascii="Times New Roman" w:hAnsi="Times New Roman" w:cs="Times New Roman"/>
          <w:sz w:val="20"/>
          <w:szCs w:val="20"/>
        </w:rPr>
        <w:t xml:space="preserve">. </w:t>
      </w:r>
      <w:r w:rsidR="001841CD" w:rsidRPr="00DA6EB8">
        <w:rPr>
          <w:rFonts w:ascii="Times New Roman" w:hAnsi="Times New Roman" w:cs="Times New Roman"/>
          <w:bCs/>
          <w:sz w:val="20"/>
          <w:szCs w:val="20"/>
        </w:rPr>
        <w:t>(</w:t>
      </w:r>
      <w:r w:rsidR="009443BF" w:rsidRPr="00DA6EB8">
        <w:rPr>
          <w:rFonts w:ascii="Times New Roman" w:hAnsi="Times New Roman" w:cs="Times New Roman"/>
          <w:bCs/>
          <w:sz w:val="20"/>
          <w:szCs w:val="20"/>
        </w:rPr>
        <w:t>2007).</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Self-Emulsifying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Drug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Delivery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Systems: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Strategy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Improving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Oral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Delivery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Poorly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Solu</w:t>
      </w:r>
      <w:r w:rsidR="009443BF" w:rsidRPr="00DA6EB8">
        <w:rPr>
          <w:rFonts w:ascii="Times New Roman" w:hAnsi="Times New Roman" w:cs="Times New Roman"/>
          <w:sz w:val="20"/>
          <w:szCs w:val="20"/>
        </w:rPr>
        <w:t>ble</w:t>
      </w:r>
      <w:r w:rsidR="001841CD" w:rsidRPr="00DA6EB8">
        <w:rPr>
          <w:rFonts w:ascii="Times New Roman" w:hAnsi="Times New Roman" w:cs="Times New Roman"/>
          <w:sz w:val="20"/>
          <w:szCs w:val="20"/>
        </w:rPr>
        <w:t xml:space="preserve"> </w:t>
      </w:r>
      <w:r w:rsidR="009443BF" w:rsidRPr="00DA6EB8">
        <w:rPr>
          <w:rFonts w:ascii="Times New Roman" w:hAnsi="Times New Roman" w:cs="Times New Roman"/>
          <w:sz w:val="20"/>
          <w:szCs w:val="20"/>
        </w:rPr>
        <w:t>Drugs.</w:t>
      </w:r>
      <w:r w:rsidR="001841CD" w:rsidRPr="00DA6EB8">
        <w:rPr>
          <w:rFonts w:ascii="Times New Roman" w:hAnsi="Times New Roman" w:cs="Times New Roman"/>
          <w:sz w:val="20"/>
          <w:szCs w:val="20"/>
        </w:rPr>
        <w:t xml:space="preserve"> </w:t>
      </w:r>
      <w:r w:rsidR="009443BF" w:rsidRPr="00DA6EB8">
        <w:rPr>
          <w:rFonts w:ascii="Times New Roman" w:hAnsi="Times New Roman" w:cs="Times New Roman"/>
          <w:sz w:val="20"/>
          <w:szCs w:val="20"/>
        </w:rPr>
        <w:t>Current</w:t>
      </w:r>
      <w:r w:rsidR="001841CD" w:rsidRPr="00DA6EB8">
        <w:rPr>
          <w:rFonts w:ascii="Times New Roman" w:hAnsi="Times New Roman" w:cs="Times New Roman"/>
          <w:sz w:val="20"/>
          <w:szCs w:val="20"/>
        </w:rPr>
        <w:t xml:space="preserve"> </w:t>
      </w:r>
      <w:r w:rsidR="009443BF" w:rsidRPr="00DA6EB8">
        <w:rPr>
          <w:rFonts w:ascii="Times New Roman" w:hAnsi="Times New Roman" w:cs="Times New Roman"/>
          <w:sz w:val="20"/>
          <w:szCs w:val="20"/>
        </w:rPr>
        <w:t>Drug</w:t>
      </w:r>
      <w:r w:rsidR="001841CD" w:rsidRPr="00DA6EB8">
        <w:rPr>
          <w:rFonts w:ascii="Times New Roman" w:hAnsi="Times New Roman" w:cs="Times New Roman"/>
          <w:sz w:val="20"/>
          <w:szCs w:val="20"/>
        </w:rPr>
        <w:t xml:space="preserve"> </w:t>
      </w:r>
      <w:r w:rsidR="009443BF" w:rsidRPr="00DA6EB8">
        <w:rPr>
          <w:rFonts w:ascii="Times New Roman" w:hAnsi="Times New Roman" w:cs="Times New Roman"/>
          <w:sz w:val="20"/>
          <w:szCs w:val="20"/>
        </w:rPr>
        <w:t>Therapy,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2(1):85-93.</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http://dx.doi.org/10.2174/157488507779422400.</w:t>
      </w:r>
      <w:r w:rsidR="001841CD" w:rsidRPr="00DA6EB8">
        <w:rPr>
          <w:rFonts w:ascii="Times New Roman" w:hAnsi="Times New Roman" w:cs="Times New Roman"/>
          <w:sz w:val="20"/>
          <w:szCs w:val="20"/>
        </w:rPr>
        <w:t xml:space="preserve"> </w:t>
      </w:r>
    </w:p>
    <w:p w:rsidR="000E5474" w:rsidRPr="00DA6EB8" w:rsidRDefault="000E5474"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Issa</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Philippe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Raymond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Michel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Jacques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w:t>
      </w:r>
      <w:r w:rsidR="001841CD" w:rsidRPr="00DA6EB8">
        <w:rPr>
          <w:rFonts w:ascii="Times New Roman" w:hAnsi="Times New Roman" w:cs="Times New Roman"/>
          <w:sz w:val="20"/>
          <w:szCs w:val="20"/>
        </w:rPr>
        <w:t xml:space="preserve"> </w:t>
      </w:r>
      <w:r w:rsidR="005F1ABF" w:rsidRPr="00DA6EB8">
        <w:rPr>
          <w:rFonts w:ascii="Times New Roman" w:hAnsi="Times New Roman" w:cs="Times New Roman"/>
          <w:bCs/>
          <w:sz w:val="20"/>
          <w:szCs w:val="20"/>
        </w:rPr>
        <w:t>(2000).</w:t>
      </w:r>
      <w:r w:rsidR="001841CD" w:rsidRPr="00DA6EB8">
        <w:rPr>
          <w:rFonts w:ascii="Times New Roman" w:hAnsi="Times New Roman" w:cs="Times New Roman"/>
          <w:bCs/>
          <w:sz w:val="20"/>
          <w:szCs w:val="20"/>
        </w:rPr>
        <w:t xml:space="preserve"> </w:t>
      </w:r>
      <w:r w:rsidRPr="00DA6EB8">
        <w:rPr>
          <w:rFonts w:ascii="Times New Roman" w:hAnsi="Times New Roman" w:cs="Times New Roman"/>
          <w:sz w:val="20"/>
          <w:szCs w:val="20"/>
        </w:rPr>
        <w:t>Improved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kinetic</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parameter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estimation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w:t>
      </w:r>
      <w:r w:rsidR="005F1ABF" w:rsidRPr="00DA6EB8">
        <w:rPr>
          <w:rFonts w:ascii="Times New Roman" w:hAnsi="Times New Roman" w:cs="Times New Roman"/>
          <w:sz w:val="20"/>
          <w:szCs w:val="20"/>
        </w:rPr>
        <w:t>H-profile</w:t>
      </w:r>
      <w:r w:rsidR="001841CD" w:rsidRPr="00DA6EB8">
        <w:rPr>
          <w:rFonts w:ascii="Times New Roman" w:hAnsi="Times New Roman" w:cs="Times New Roman"/>
          <w:sz w:val="20"/>
          <w:szCs w:val="20"/>
        </w:rPr>
        <w:t xml:space="preserve"> </w:t>
      </w:r>
      <w:r w:rsidR="005F1ABF" w:rsidRPr="00DA6EB8">
        <w:rPr>
          <w:rFonts w:ascii="Times New Roman" w:hAnsi="Times New Roman" w:cs="Times New Roman"/>
          <w:sz w:val="20"/>
          <w:szCs w:val="20"/>
        </w:rPr>
        <w:t>data.</w:t>
      </w:r>
      <w:r w:rsidR="001841CD" w:rsidRPr="00DA6EB8">
        <w:rPr>
          <w:rFonts w:ascii="Times New Roman" w:hAnsi="Times New Roman" w:cs="Times New Roman"/>
          <w:sz w:val="20"/>
          <w:szCs w:val="20"/>
        </w:rPr>
        <w:t xml:space="preserve"> </w:t>
      </w:r>
      <w:r w:rsidR="005F1ABF" w:rsidRPr="00DA6EB8">
        <w:rPr>
          <w:rFonts w:ascii="Times New Roman" w:hAnsi="Times New Roman" w:cs="Times New Roman"/>
          <w:sz w:val="20"/>
          <w:szCs w:val="20"/>
        </w:rPr>
        <w:t>Int.</w:t>
      </w:r>
      <w:r w:rsidR="001841CD" w:rsidRPr="00DA6EB8">
        <w:rPr>
          <w:rFonts w:ascii="Times New Roman" w:hAnsi="Times New Roman" w:cs="Times New Roman"/>
          <w:sz w:val="20"/>
          <w:szCs w:val="20"/>
        </w:rPr>
        <w:t xml:space="preserve"> </w:t>
      </w:r>
      <w:r w:rsidR="005F1ABF"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proofErr w:type="spellStart"/>
      <w:r w:rsidR="005F1ABF" w:rsidRPr="00DA6EB8">
        <w:rPr>
          <w:rFonts w:ascii="Times New Roman" w:hAnsi="Times New Roman" w:cs="Times New Roman"/>
          <w:sz w:val="20"/>
          <w:szCs w:val="20"/>
        </w:rPr>
        <w:t>Pharm</w:t>
      </w:r>
      <w:proofErr w:type="spellEnd"/>
      <w:r w:rsidR="00140BB0"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140BB0" w:rsidRPr="00DA6EB8">
        <w:rPr>
          <w:rFonts w:ascii="Times New Roman" w:hAnsi="Times New Roman" w:cs="Times New Roman"/>
          <w:sz w:val="20"/>
          <w:szCs w:val="20"/>
        </w:rPr>
        <w:t>198:39</w:t>
      </w:r>
      <w:r w:rsidRPr="00DA6EB8">
        <w:rPr>
          <w:rFonts w:ascii="Times New Roman" w:hAnsi="Times New Roman" w:cs="Times New Roman"/>
          <w:sz w:val="20"/>
          <w:szCs w:val="20"/>
        </w:rPr>
        <w:t>-49.</w:t>
      </w:r>
      <w:r w:rsidR="001841CD" w:rsidRPr="00DA6EB8">
        <w:rPr>
          <w:rFonts w:ascii="Times New Roman" w:hAnsi="Times New Roman" w:cs="Times New Roman"/>
          <w:sz w:val="20"/>
          <w:szCs w:val="20"/>
        </w:rPr>
        <w:t xml:space="preserve"> </w:t>
      </w:r>
    </w:p>
    <w:p w:rsidR="000E5474" w:rsidRPr="00DA6EB8" w:rsidRDefault="000E5474"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Molin</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W</w:t>
      </w:r>
      <w:r w:rsidR="00E41333"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w:t>
      </w:r>
      <w:r w:rsidR="00E41333" w:rsidRPr="00DA6EB8">
        <w:rPr>
          <w:rFonts w:ascii="Times New Roman" w:hAnsi="Times New Roman" w:cs="Times New Roman"/>
          <w:sz w:val="20"/>
          <w:szCs w:val="20"/>
        </w:rPr>
        <w:t>.</w:t>
      </w:r>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Hirase</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K.</w:t>
      </w:r>
      <w:r w:rsidR="001841CD" w:rsidRPr="00DA6EB8">
        <w:rPr>
          <w:rFonts w:ascii="Times New Roman" w:hAnsi="Times New Roman" w:cs="Times New Roman"/>
          <w:sz w:val="20"/>
          <w:szCs w:val="20"/>
        </w:rPr>
        <w:t xml:space="preserve"> </w:t>
      </w:r>
      <w:r w:rsidR="005F1ABF" w:rsidRPr="00DA6EB8">
        <w:rPr>
          <w:rFonts w:ascii="Times New Roman" w:hAnsi="Times New Roman" w:cs="Times New Roman"/>
          <w:bCs/>
          <w:sz w:val="20"/>
          <w:szCs w:val="20"/>
        </w:rPr>
        <w:t>(2004)</w:t>
      </w:r>
      <w:r w:rsidR="005F1ABF"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Comparison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commercial</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glyphosate</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formulations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control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prickly</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sida</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purple</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nutsedge</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morningglory</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sicklepo</w:t>
      </w:r>
      <w:r w:rsidR="005F1ABF" w:rsidRPr="00DA6EB8">
        <w:rPr>
          <w:rFonts w:ascii="Times New Roman" w:hAnsi="Times New Roman" w:cs="Times New Roman"/>
          <w:sz w:val="20"/>
          <w:szCs w:val="20"/>
        </w:rPr>
        <w:t>d</w:t>
      </w:r>
      <w:proofErr w:type="spellEnd"/>
      <w:r w:rsidR="005F1ABF"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005F1ABF" w:rsidRPr="00DA6EB8">
        <w:rPr>
          <w:rFonts w:ascii="Times New Roman" w:hAnsi="Times New Roman" w:cs="Times New Roman"/>
          <w:sz w:val="20"/>
          <w:szCs w:val="20"/>
        </w:rPr>
        <w:t>Weed</w:t>
      </w:r>
      <w:r w:rsidR="001841CD" w:rsidRPr="00DA6EB8">
        <w:rPr>
          <w:rFonts w:ascii="Times New Roman" w:hAnsi="Times New Roman" w:cs="Times New Roman"/>
          <w:sz w:val="20"/>
          <w:szCs w:val="20"/>
        </w:rPr>
        <w:t xml:space="preserve"> </w:t>
      </w:r>
      <w:r w:rsidR="005F1ABF" w:rsidRPr="00DA6EB8">
        <w:rPr>
          <w:rFonts w:ascii="Times New Roman" w:hAnsi="Times New Roman" w:cs="Times New Roman"/>
          <w:sz w:val="20"/>
          <w:szCs w:val="20"/>
        </w:rPr>
        <w:t>Biology</w:t>
      </w:r>
      <w:r w:rsidR="001841CD" w:rsidRPr="00DA6EB8">
        <w:rPr>
          <w:rFonts w:ascii="Times New Roman" w:hAnsi="Times New Roman" w:cs="Times New Roman"/>
          <w:sz w:val="20"/>
          <w:szCs w:val="20"/>
        </w:rPr>
        <w:t xml:space="preserve"> </w:t>
      </w:r>
      <w:r w:rsidR="005F1ABF"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005F1ABF" w:rsidRPr="00DA6EB8">
        <w:rPr>
          <w:rFonts w:ascii="Times New Roman" w:hAnsi="Times New Roman" w:cs="Times New Roman"/>
          <w:sz w:val="20"/>
          <w:szCs w:val="20"/>
        </w:rPr>
        <w:t>Management</w:t>
      </w:r>
      <w:r w:rsidRPr="00DA6EB8">
        <w:rPr>
          <w:rFonts w:ascii="Times New Roman" w:hAnsi="Times New Roman" w:cs="Times New Roman"/>
          <w:sz w:val="20"/>
          <w:szCs w:val="20"/>
        </w:rPr>
        <w:t>;4:136</w:t>
      </w:r>
      <w:r w:rsidR="001841CD" w:rsidRPr="00DA6EB8">
        <w:rPr>
          <w:rFonts w:ascii="Times New Roman" w:hAnsi="Times New Roman" w:cs="Times New Roman"/>
          <w:sz w:val="20"/>
          <w:szCs w:val="20"/>
        </w:rPr>
        <w:t xml:space="preserve"> </w:t>
      </w:r>
      <w:r w:rsidR="005F1ABF"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141.</w:t>
      </w:r>
    </w:p>
    <w:p w:rsidR="00D75806" w:rsidRPr="00DA6EB8" w:rsidRDefault="00D75806"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Spanoghe</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De</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Schampheleire</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Van</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der</w:t>
      </w:r>
      <w:proofErr w:type="spellEnd"/>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Meeren</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W.</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Steurbaut</w:t>
      </w:r>
      <w:proofErr w:type="spellEnd"/>
      <w:r w:rsidRPr="00DA6EB8">
        <w:rPr>
          <w:rFonts w:ascii="Times New Roman" w:hAnsi="Times New Roman" w:cs="Times New Roman"/>
          <w:sz w:val="20"/>
          <w:szCs w:val="20"/>
        </w:rPr>
        <w:t>,</w:t>
      </w:r>
      <w:r w:rsidR="001841CD" w:rsidRPr="00DA6EB8">
        <w:rPr>
          <w:rFonts w:ascii="Times New Roman" w:hAnsi="Times New Roman" w:cs="Times New Roman"/>
          <w:bCs/>
          <w:sz w:val="20"/>
          <w:szCs w:val="20"/>
        </w:rPr>
        <w:t xml:space="preserve"> </w:t>
      </w:r>
      <w:r w:rsidRPr="00DA6EB8">
        <w:rPr>
          <w:rFonts w:ascii="Times New Roman" w:hAnsi="Times New Roman" w:cs="Times New Roman"/>
          <w:bCs/>
          <w:sz w:val="20"/>
          <w:szCs w:val="20"/>
        </w:rPr>
        <w:t>(2007).</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Influence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Agricultural</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Adjuvants</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Droplet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Spectra.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Pest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managementScience;63(1):</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4-16.</w:t>
      </w:r>
    </w:p>
    <w:p w:rsidR="00FD5E98" w:rsidRPr="00DA6EB8" w:rsidRDefault="00FD5E98"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El-</w:t>
      </w:r>
      <w:proofErr w:type="spellStart"/>
      <w:r w:rsidRPr="00DA6EB8">
        <w:rPr>
          <w:rFonts w:ascii="Times New Roman" w:hAnsi="Times New Roman" w:cs="Times New Roman"/>
          <w:sz w:val="20"/>
          <w:szCs w:val="20"/>
        </w:rPr>
        <w:t>Attal</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Z.M.;</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O.K.</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Mostafa</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S.A.</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Diab</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(1984)</w:t>
      </w:r>
      <w:r w:rsidR="00B51E6A" w:rsidRPr="00DA6EB8">
        <w:rPr>
          <w:rFonts w:ascii="Times New Roman" w:hAnsi="Times New Roman" w:cs="Times New Roman"/>
          <w:sz w:val="20"/>
          <w:szCs w:val="20"/>
        </w:rPr>
        <w:t>. I</w:t>
      </w:r>
      <w:r w:rsidRPr="00DA6EB8">
        <w:rPr>
          <w:rFonts w:ascii="Times New Roman" w:hAnsi="Times New Roman" w:cs="Times New Roman"/>
          <w:sz w:val="20"/>
          <w:szCs w:val="20"/>
        </w:rPr>
        <w:t>nfluence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Foliar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Fertilizers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on</w:t>
      </w:r>
      <w:r w:rsidR="001841CD" w:rsidRPr="00DA6EB8">
        <w:rPr>
          <w:rFonts w:ascii="Times New Roman" w:hAnsi="Times New Roman" w:cs="Times New Roman"/>
          <w:sz w:val="20"/>
          <w:szCs w:val="20"/>
        </w:rPr>
        <w:t xml:space="preserve"> </w:t>
      </w:r>
      <w:r w:rsidR="001052A0"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Toxicity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Tolerance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to</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Some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Insecticides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w:t>
      </w:r>
      <w:r w:rsidR="001841CD" w:rsidRPr="00DA6EB8">
        <w:rPr>
          <w:rFonts w:ascii="Times New Roman" w:hAnsi="Times New Roman" w:cs="Times New Roman"/>
          <w:sz w:val="20"/>
          <w:szCs w:val="20"/>
        </w:rPr>
        <w:t xml:space="preserve"> </w:t>
      </w:r>
      <w:r w:rsidR="001052A0"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Cotton</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Leafworm</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B51E6A" w:rsidRPr="00DA6EB8">
        <w:rPr>
          <w:rFonts w:ascii="Times New Roman" w:hAnsi="Times New Roman" w:cs="Times New Roman"/>
          <w:sz w:val="20"/>
          <w:szCs w:val="20"/>
        </w:rPr>
        <w:t>. A</w:t>
      </w:r>
      <w:r w:rsidRPr="00DA6EB8">
        <w:rPr>
          <w:rFonts w:ascii="Times New Roman" w:hAnsi="Times New Roman" w:cs="Times New Roman"/>
          <w:sz w:val="20"/>
          <w:szCs w:val="20"/>
        </w:rPr>
        <w:t>gric</w:t>
      </w:r>
      <w:r w:rsidR="00B51E6A" w:rsidRPr="00DA6EB8">
        <w:rPr>
          <w:rFonts w:ascii="Times New Roman" w:hAnsi="Times New Roman" w:cs="Times New Roman"/>
          <w:sz w:val="20"/>
          <w:szCs w:val="20"/>
        </w:rPr>
        <w:t xml:space="preserve">. </w:t>
      </w:r>
      <w:proofErr w:type="spellStart"/>
      <w:r w:rsidR="00B51E6A" w:rsidRPr="00DA6EB8">
        <w:rPr>
          <w:rFonts w:ascii="Times New Roman" w:hAnsi="Times New Roman" w:cs="Times New Roman"/>
          <w:sz w:val="20"/>
          <w:szCs w:val="20"/>
        </w:rPr>
        <w:t>S</w:t>
      </w:r>
      <w:r w:rsidRPr="00DA6EB8">
        <w:rPr>
          <w:rFonts w:ascii="Times New Roman" w:hAnsi="Times New Roman" w:cs="Times New Roman"/>
          <w:sz w:val="20"/>
          <w:szCs w:val="20"/>
        </w:rPr>
        <w:t>ci</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Camb</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102</w:t>
      </w:r>
      <w:r w:rsidRPr="00DA6EB8">
        <w:rPr>
          <w:rFonts w:ascii="Times New Roman" w:hAnsi="Times New Roman" w:cs="Times New Roman"/>
          <w:bCs/>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111-114.</w:t>
      </w:r>
    </w:p>
    <w:p w:rsidR="00F36F1A" w:rsidRPr="00DA6EB8" w:rsidRDefault="00D75806"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Green,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J.M.</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Hale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(2005).</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Increasing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Biological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Activity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Weak</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Acid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Herbicides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Increasing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Decreasing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pH</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Spray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Mixture.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DuPont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Crop</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Protection,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Stine-Haskell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Research</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Center</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Bldg.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210</w:t>
      </w:r>
      <w:r w:rsidR="00B51E6A" w:rsidRPr="00DA6EB8">
        <w:rPr>
          <w:rFonts w:ascii="Times New Roman" w:hAnsi="Times New Roman" w:cs="Times New Roman"/>
          <w:sz w:val="20"/>
          <w:szCs w:val="20"/>
        </w:rPr>
        <w:t>, N</w:t>
      </w:r>
      <w:r w:rsidRPr="00DA6EB8">
        <w:rPr>
          <w:rFonts w:ascii="Times New Roman" w:hAnsi="Times New Roman" w:cs="Times New Roman"/>
          <w:sz w:val="20"/>
          <w:szCs w:val="20"/>
        </w:rPr>
        <w:t>ewark,</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Delaware;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2(6):</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10.</w:t>
      </w:r>
      <w:r w:rsidR="001841CD" w:rsidRPr="00DA6EB8">
        <w:rPr>
          <w:rFonts w:ascii="Times New Roman" w:hAnsi="Times New Roman" w:cs="Times New Roman"/>
          <w:sz w:val="20"/>
          <w:szCs w:val="20"/>
        </w:rPr>
        <w:t xml:space="preserve"> </w:t>
      </w:r>
    </w:p>
    <w:p w:rsidR="00F36F1A" w:rsidRPr="00DA6EB8" w:rsidRDefault="00F36F1A"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Osipow</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L.I.,</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(1964):</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Surface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chemistry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theory</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andapplication</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Reinhold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Publishing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Crop,</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New</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york</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pp:</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473.</w:t>
      </w:r>
      <w:r w:rsidR="001841CD" w:rsidRPr="00DA6EB8">
        <w:rPr>
          <w:rFonts w:ascii="Times New Roman" w:hAnsi="Times New Roman" w:cs="Times New Roman"/>
          <w:sz w:val="20"/>
          <w:szCs w:val="20"/>
        </w:rPr>
        <w:t xml:space="preserve"> </w:t>
      </w:r>
    </w:p>
    <w:p w:rsidR="002C4DED" w:rsidRPr="00DA6EB8" w:rsidRDefault="00FC5D17"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Clifford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NM.</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Chlorogenic</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acids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other</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cinnamatesÐnature</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occurrence,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dietary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burden,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absorption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metabolism.</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Sci</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Food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Agric.</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2000;</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80:</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1033±1043.</w:t>
      </w:r>
    </w:p>
    <w:p w:rsidR="00B51E6A" w:rsidRPr="00DA6EB8" w:rsidRDefault="00FC5D17"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lastRenderedPageBreak/>
        <w:t>Lafay</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Gil-</w:t>
      </w:r>
      <w:proofErr w:type="spellStart"/>
      <w:r w:rsidRPr="00DA6EB8">
        <w:rPr>
          <w:rFonts w:ascii="Times New Roman" w:hAnsi="Times New Roman" w:cs="Times New Roman"/>
          <w:sz w:val="20"/>
          <w:szCs w:val="20"/>
        </w:rPr>
        <w:t>Izquierdo</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Bioavailability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phenolic</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acids.</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Phytochem</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Rev.</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2008;</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7:</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301±31</w:t>
      </w:r>
      <w:r w:rsidR="00B51E6A" w:rsidRPr="00DA6EB8">
        <w:rPr>
          <w:rFonts w:ascii="Times New Roman" w:hAnsi="Times New Roman" w:cs="Times New Roman"/>
          <w:sz w:val="20"/>
          <w:szCs w:val="20"/>
        </w:rPr>
        <w:t>1.</w:t>
      </w:r>
    </w:p>
    <w:p w:rsidR="00B51E6A" w:rsidRPr="00DA6EB8" w:rsidRDefault="00FC5D17"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Hoskins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JA.</w:t>
      </w:r>
      <w:r w:rsidR="001841CD" w:rsidRPr="00DA6EB8">
        <w:rPr>
          <w:rFonts w:ascii="Times New Roman" w:hAnsi="Times New Roman" w:cs="Times New Roman"/>
          <w:sz w:val="20"/>
          <w:szCs w:val="20"/>
        </w:rPr>
        <w:t xml:space="preserve"> </w:t>
      </w:r>
      <w:r w:rsidR="00B93294" w:rsidRPr="00DA6EB8">
        <w:rPr>
          <w:rFonts w:ascii="Times New Roman" w:hAnsi="Times New Roman" w:cs="Times New Roman"/>
          <w:sz w:val="20"/>
          <w:szCs w:val="20"/>
        </w:rPr>
        <w:t>(1984)</w:t>
      </w:r>
      <w:r w:rsidR="00B51E6A" w:rsidRPr="00DA6EB8">
        <w:rPr>
          <w:rFonts w:ascii="Times New Roman" w:hAnsi="Times New Roman" w:cs="Times New Roman"/>
          <w:sz w:val="20"/>
          <w:szCs w:val="20"/>
        </w:rPr>
        <w:t>. T</w:t>
      </w:r>
      <w:r w:rsidRPr="00DA6EB8">
        <w:rPr>
          <w:rFonts w:ascii="Times New Roman" w:hAnsi="Times New Roman" w:cs="Times New Roman"/>
          <w:sz w:val="20"/>
          <w:szCs w:val="20"/>
        </w:rPr>
        <w:t>he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occurrence,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metabolism</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toxicity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cinnamic</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acid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related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compounds.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Appl</w:t>
      </w:r>
      <w:proofErr w:type="spellEnd"/>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Toxicol</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4:</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283±292.</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PMID: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639463</w:t>
      </w:r>
      <w:r w:rsidR="00B51E6A" w:rsidRPr="00DA6EB8">
        <w:rPr>
          <w:rFonts w:ascii="Times New Roman" w:hAnsi="Times New Roman" w:cs="Times New Roman"/>
          <w:sz w:val="20"/>
          <w:szCs w:val="20"/>
        </w:rPr>
        <w:t>7.</w:t>
      </w:r>
    </w:p>
    <w:p w:rsidR="00B51E6A" w:rsidRPr="00DA6EB8" w:rsidRDefault="00C42DF2"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De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Vita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Friggeri</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L,</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D'Auria</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Pandolfi</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Piccoli</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Panella</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al.</w:t>
      </w:r>
      <w:r w:rsidR="001841CD" w:rsidRPr="00DA6EB8">
        <w:rPr>
          <w:rFonts w:ascii="Times New Roman" w:hAnsi="Times New Roman" w:cs="Times New Roman"/>
          <w:sz w:val="20"/>
          <w:szCs w:val="20"/>
        </w:rPr>
        <w:t xml:space="preserve"> </w:t>
      </w:r>
      <w:r w:rsidR="00B93294" w:rsidRPr="00DA6EB8">
        <w:rPr>
          <w:rFonts w:ascii="Times New Roman" w:hAnsi="Times New Roman" w:cs="Times New Roman"/>
          <w:sz w:val="20"/>
          <w:szCs w:val="20"/>
        </w:rPr>
        <w:t>(2014).</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Activity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caffeic</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acid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derivatives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against</w:t>
      </w:r>
      <w:r w:rsidR="001841CD" w:rsidRPr="00DA6EB8">
        <w:rPr>
          <w:rFonts w:ascii="Times New Roman" w:hAnsi="Times New Roman" w:cs="Times New Roman"/>
          <w:sz w:val="20"/>
          <w:szCs w:val="20"/>
        </w:rPr>
        <w:t xml:space="preserve"> </w:t>
      </w:r>
      <w:r w:rsidRPr="00DA6EB8">
        <w:rPr>
          <w:rFonts w:ascii="Times New Roman" w:hAnsi="Times New Roman" w:cs="Times New Roman"/>
          <w:i/>
          <w:iCs/>
          <w:sz w:val="20"/>
          <w:szCs w:val="20"/>
        </w:rPr>
        <w:t>Candida</w:t>
      </w:r>
      <w:r w:rsidR="001841CD"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albicans</w:t>
      </w:r>
      <w:proofErr w:type="spellEnd"/>
      <w:r w:rsidR="001841CD"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sz w:val="20"/>
          <w:szCs w:val="20"/>
        </w:rPr>
        <w:t>biofilm</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Bioorg</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Med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Chem</w:t>
      </w:r>
      <w:proofErr w:type="spellEnd"/>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Lett</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24:</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1502</w:t>
      </w:r>
      <w:r w:rsidR="001841CD" w:rsidRPr="00DA6EB8">
        <w:rPr>
          <w:rFonts w:ascii="Times New Roman" w:hAnsi="Times New Roman" w:cs="Times New Roman"/>
          <w:sz w:val="20"/>
          <w:szCs w:val="20"/>
        </w:rPr>
        <w:t xml:space="preserve"> </w:t>
      </w:r>
      <w:r w:rsidR="00B93294"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1505.</w:t>
      </w:r>
      <w:r w:rsidR="001841CD" w:rsidRPr="00DA6EB8">
        <w:rPr>
          <w:rFonts w:ascii="Times New Roman" w:hAnsi="Times New Roman" w:cs="Times New Roman"/>
          <w:sz w:val="20"/>
          <w:szCs w:val="20"/>
        </w:rPr>
        <w:t xml:space="preserve"> </w:t>
      </w:r>
      <w:r w:rsidR="00B93294" w:rsidRPr="00DA6EB8">
        <w:rPr>
          <w:rFonts w:ascii="Times New Roman" w:hAnsi="Times New Roman" w:cs="Times New Roman"/>
          <w:sz w:val="20"/>
          <w:szCs w:val="20"/>
        </w:rPr>
        <w:t>https://doi.org/10.1016/j.bmcl.2014.02.005</w:t>
      </w:r>
      <w:r w:rsidR="001841CD" w:rsidRPr="00DA6EB8">
        <w:rPr>
          <w:rFonts w:ascii="Times New Roman" w:hAnsi="Times New Roman" w:cs="Times New Roman"/>
          <w:sz w:val="20"/>
          <w:szCs w:val="20"/>
        </w:rPr>
        <w:t xml:space="preserve"> </w:t>
      </w:r>
      <w:r w:rsidR="00B93294" w:rsidRPr="00DA6EB8">
        <w:rPr>
          <w:rFonts w:ascii="Times New Roman" w:hAnsi="Times New Roman" w:cs="Times New Roman"/>
          <w:sz w:val="20"/>
          <w:szCs w:val="20"/>
        </w:rPr>
        <w:t>PMID:</w:t>
      </w:r>
      <w:r w:rsidRPr="00DA6EB8">
        <w:rPr>
          <w:rFonts w:ascii="Times New Roman" w:hAnsi="Times New Roman" w:cs="Times New Roman"/>
          <w:sz w:val="20"/>
          <w:szCs w:val="20"/>
        </w:rPr>
        <w:t>2458298</w:t>
      </w:r>
      <w:r w:rsidR="00B51E6A" w:rsidRPr="00DA6EB8">
        <w:rPr>
          <w:rFonts w:ascii="Times New Roman" w:hAnsi="Times New Roman" w:cs="Times New Roman"/>
          <w:sz w:val="20"/>
          <w:szCs w:val="20"/>
        </w:rPr>
        <w:t>4.</w:t>
      </w:r>
    </w:p>
    <w:p w:rsidR="00B51E6A" w:rsidRPr="00DA6EB8" w:rsidRDefault="00C42DF2"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Fabricio</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Laura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Cecilia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Francisco</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Fernando</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Marcela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K-S,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al.</w:t>
      </w:r>
      <w:r w:rsidR="001841CD" w:rsidRPr="00DA6EB8">
        <w:rPr>
          <w:rFonts w:ascii="Times New Roman" w:hAnsi="Times New Roman" w:cs="Times New Roman"/>
          <w:sz w:val="20"/>
          <w:szCs w:val="20"/>
        </w:rPr>
        <w:t xml:space="preserve"> </w:t>
      </w:r>
      <w:r w:rsidR="00B93294" w:rsidRPr="00DA6EB8">
        <w:rPr>
          <w:rFonts w:ascii="Times New Roman" w:hAnsi="Times New Roman" w:cs="Times New Roman"/>
          <w:sz w:val="20"/>
          <w:szCs w:val="20"/>
        </w:rPr>
        <w:t>(2007).</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Structure-antifungal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activity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relationship</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cinnamic</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acid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derivatives.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Agric</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Food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Chem.</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55:</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10635</w:t>
      </w:r>
      <w:r w:rsidR="001841CD" w:rsidRPr="00DA6EB8">
        <w:rPr>
          <w:rFonts w:ascii="Times New Roman" w:hAnsi="Times New Roman" w:cs="Times New Roman"/>
          <w:sz w:val="20"/>
          <w:szCs w:val="20"/>
        </w:rPr>
        <w:t xml:space="preserve"> </w:t>
      </w:r>
      <w:r w:rsidR="00B93294"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10640.</w:t>
      </w:r>
      <w:r w:rsidR="001841CD" w:rsidRPr="00DA6EB8">
        <w:rPr>
          <w:rFonts w:ascii="Times New Roman" w:hAnsi="Times New Roman" w:cs="Times New Roman"/>
          <w:sz w:val="20"/>
          <w:szCs w:val="20"/>
        </w:rPr>
        <w:t xml:space="preserve"> </w:t>
      </w:r>
      <w:r w:rsidR="00140BB0" w:rsidRPr="00DA6EB8">
        <w:rPr>
          <w:rFonts w:ascii="Times New Roman" w:hAnsi="Times New Roman" w:cs="Times New Roman"/>
          <w:sz w:val="20"/>
          <w:szCs w:val="20"/>
        </w:rPr>
        <w:t>https://doi.org/10.1021</w:t>
      </w:r>
      <w:r w:rsidR="001841CD" w:rsidRPr="00DA6EB8">
        <w:rPr>
          <w:rFonts w:ascii="Times New Roman" w:hAnsi="Times New Roman" w:cs="Times New Roman"/>
          <w:sz w:val="20"/>
          <w:szCs w:val="20"/>
        </w:rPr>
        <w:t xml:space="preserve"> </w:t>
      </w:r>
      <w:r w:rsidR="00140BB0" w:rsidRPr="00DA6EB8">
        <w:rPr>
          <w:rFonts w:ascii="Times New Roman" w:hAnsi="Times New Roman" w:cs="Times New Roman"/>
          <w:sz w:val="20"/>
          <w:szCs w:val="20"/>
        </w:rPr>
        <w:t>/jf0729098</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PMID: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1803899</w:t>
      </w:r>
      <w:r w:rsidR="00B51E6A" w:rsidRPr="00DA6EB8">
        <w:rPr>
          <w:rFonts w:ascii="Times New Roman" w:hAnsi="Times New Roman" w:cs="Times New Roman"/>
          <w:sz w:val="20"/>
          <w:szCs w:val="20"/>
        </w:rPr>
        <w:t>8.</w:t>
      </w:r>
    </w:p>
    <w:p w:rsidR="00C42DF2" w:rsidRPr="00DA6EB8" w:rsidRDefault="00C42DF2"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A6EB8">
        <w:rPr>
          <w:rFonts w:ascii="Times New Roman" w:hAnsi="Times New Roman" w:cs="Times New Roman"/>
          <w:sz w:val="20"/>
          <w:szCs w:val="20"/>
        </w:rPr>
        <w:t>Hazir</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Shapiro-</w:t>
      </w:r>
      <w:proofErr w:type="spellStart"/>
      <w:r w:rsidRPr="00DA6EB8">
        <w:rPr>
          <w:rFonts w:ascii="Times New Roman" w:hAnsi="Times New Roman" w:cs="Times New Roman"/>
          <w:sz w:val="20"/>
          <w:szCs w:val="20"/>
        </w:rPr>
        <w:t>Ilan</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Bock</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Hazir</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Leite</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G,</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Hotchkiss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M</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W.</w:t>
      </w:r>
      <w:r w:rsidR="001841CD" w:rsidRPr="00DA6EB8">
        <w:rPr>
          <w:rFonts w:ascii="Times New Roman" w:hAnsi="Times New Roman" w:cs="Times New Roman"/>
          <w:sz w:val="20"/>
          <w:szCs w:val="20"/>
        </w:rPr>
        <w:t xml:space="preserve"> </w:t>
      </w:r>
      <w:r w:rsidR="00B93294" w:rsidRPr="00DA6EB8">
        <w:rPr>
          <w:rFonts w:ascii="Times New Roman" w:hAnsi="Times New Roman" w:cs="Times New Roman"/>
          <w:sz w:val="20"/>
          <w:szCs w:val="20"/>
        </w:rPr>
        <w:t>(2016).</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Relative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potency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culture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supernatants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Xenorhabdus</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Photorhabdus</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spp.</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growth</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some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fungal</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phytopathogens</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Eur</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Plant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Pathol</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146:</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369±381.</w:t>
      </w:r>
    </w:p>
    <w:p w:rsidR="00B51E6A" w:rsidRPr="00DA6EB8" w:rsidRDefault="00C42DF2"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Bock</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H</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Shapiro-</w:t>
      </w:r>
      <w:proofErr w:type="spellStart"/>
      <w:r w:rsidRPr="00DA6EB8">
        <w:rPr>
          <w:rFonts w:ascii="Times New Roman" w:hAnsi="Times New Roman" w:cs="Times New Roman"/>
          <w:sz w:val="20"/>
          <w:szCs w:val="20"/>
        </w:rPr>
        <w:t>Ilan</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Wedge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Cantrell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L.</w:t>
      </w:r>
      <w:r w:rsidR="001841CD" w:rsidRPr="00DA6EB8">
        <w:rPr>
          <w:rFonts w:ascii="Times New Roman" w:hAnsi="Times New Roman" w:cs="Times New Roman"/>
          <w:sz w:val="20"/>
          <w:szCs w:val="20"/>
        </w:rPr>
        <w:t xml:space="preserve"> </w:t>
      </w:r>
      <w:r w:rsidR="00B93294" w:rsidRPr="00DA6EB8">
        <w:rPr>
          <w:rFonts w:ascii="Times New Roman" w:hAnsi="Times New Roman" w:cs="Times New Roman"/>
          <w:sz w:val="20"/>
          <w:szCs w:val="20"/>
        </w:rPr>
        <w:t>(2014).</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Identification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antifungal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compound,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transcinnamic</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acid,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produced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by</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i/>
          <w:iCs/>
          <w:sz w:val="20"/>
          <w:szCs w:val="20"/>
        </w:rPr>
        <w:t>Photorhabdus</w:t>
      </w:r>
      <w:proofErr w:type="spellEnd"/>
      <w:r w:rsidR="001841CD" w:rsidRPr="00DA6EB8">
        <w:rPr>
          <w:rFonts w:ascii="Times New Roman" w:hAnsi="Times New Roman" w:cs="Times New Roman"/>
          <w:i/>
          <w:iCs/>
          <w:sz w:val="20"/>
          <w:szCs w:val="20"/>
        </w:rPr>
        <w:t xml:space="preserve"> </w:t>
      </w:r>
      <w:proofErr w:type="spellStart"/>
      <w:r w:rsidRPr="00DA6EB8">
        <w:rPr>
          <w:rFonts w:ascii="Times New Roman" w:hAnsi="Times New Roman" w:cs="Times New Roman"/>
          <w:i/>
          <w:iCs/>
          <w:sz w:val="20"/>
          <w:szCs w:val="20"/>
        </w:rPr>
        <w:t>luminescens</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potential</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biopesticide</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against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pecan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scab.</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Pest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Sci.</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87:</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155±162</w:t>
      </w:r>
      <w:r w:rsidR="00B51E6A" w:rsidRPr="00DA6EB8">
        <w:rPr>
          <w:rFonts w:ascii="Times New Roman" w:hAnsi="Times New Roman" w:cs="Times New Roman"/>
          <w:sz w:val="20"/>
          <w:szCs w:val="20"/>
        </w:rPr>
        <w:t>.</w:t>
      </w:r>
    </w:p>
    <w:p w:rsidR="00B51E6A" w:rsidRPr="00DA6EB8" w:rsidRDefault="00C7560F"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sz w:val="20"/>
          <w:szCs w:val="20"/>
        </w:rPr>
        <w:t>Ibrahim</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bin</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Jantan</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Bushra</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Abdul</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Karim</w:t>
      </w:r>
      <w:proofErr w:type="spellEnd"/>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Moharam</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Jacintha</w:t>
      </w:r>
      <w:proofErr w:type="spellEnd"/>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Santhanam</w:t>
      </w:r>
      <w:proofErr w:type="spellEnd"/>
      <w:r w:rsidRPr="00DA6EB8">
        <w:rPr>
          <w:rFonts w:ascii="Times New Roman" w:hAnsi="Times New Roman" w:cs="Times New Roman"/>
          <w:sz w:val="20"/>
          <w:szCs w:val="20"/>
        </w:rPr>
        <w:t>,</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Jamia</w:t>
      </w:r>
      <w:proofErr w:type="spellEnd"/>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sz w:val="20"/>
          <w:szCs w:val="20"/>
        </w:rPr>
        <w:t>Azdina</w:t>
      </w:r>
      <w:proofErr w:type="spellEnd"/>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Jamal</w:t>
      </w:r>
      <w:r w:rsidR="001841CD" w:rsidRPr="00DA6EB8">
        <w:rPr>
          <w:rFonts w:ascii="Times New Roman" w:hAnsi="Times New Roman" w:cs="Times New Roman"/>
          <w:sz w:val="20"/>
          <w:szCs w:val="20"/>
        </w:rPr>
        <w:t xml:space="preserve"> </w:t>
      </w:r>
      <w:r w:rsidRPr="00DA6EB8">
        <w:rPr>
          <w:rFonts w:ascii="Times New Roman" w:hAnsi="Times New Roman" w:cs="Times New Roman"/>
          <w:bCs/>
          <w:sz w:val="20"/>
          <w:szCs w:val="20"/>
        </w:rPr>
        <w:t>(2008).</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Correlation</w:t>
      </w:r>
      <w:r w:rsidR="001841CD" w:rsidRPr="00DA6EB8">
        <w:rPr>
          <w:rFonts w:ascii="Times New Roman" w:hAnsi="Times New Roman" w:cs="Times New Roman"/>
          <w:sz w:val="20"/>
          <w:szCs w:val="20"/>
        </w:rPr>
        <w:t xml:space="preserve"> </w:t>
      </w:r>
      <w:r w:rsidR="001052A0" w:rsidRPr="00DA6EB8">
        <w:rPr>
          <w:rFonts w:ascii="Times New Roman" w:hAnsi="Times New Roman" w:cs="Times New Roman"/>
          <w:sz w:val="20"/>
          <w:szCs w:val="20"/>
        </w:rPr>
        <w:t>b</w:t>
      </w:r>
      <w:r w:rsidRPr="00DA6EB8">
        <w:rPr>
          <w:rFonts w:ascii="Times New Roman" w:hAnsi="Times New Roman" w:cs="Times New Roman"/>
          <w:sz w:val="20"/>
          <w:szCs w:val="20"/>
        </w:rPr>
        <w:t>etween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Chemical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Composition</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and</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Antifungal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Activity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the</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Essential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Oils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of</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Eight</w:t>
      </w:r>
      <w:r w:rsidR="001841CD" w:rsidRPr="00DA6EB8">
        <w:rPr>
          <w:rFonts w:ascii="Times New Roman" w:hAnsi="Times New Roman" w:cs="Times New Roman"/>
          <w:sz w:val="20"/>
          <w:szCs w:val="20"/>
        </w:rPr>
        <w:t xml:space="preserve"> </w:t>
      </w:r>
      <w:proofErr w:type="spellStart"/>
      <w:r w:rsidRPr="00DA6EB8">
        <w:rPr>
          <w:rFonts w:ascii="Times New Roman" w:hAnsi="Times New Roman" w:cs="Times New Roman"/>
          <w:i/>
          <w:iCs/>
          <w:sz w:val="20"/>
          <w:szCs w:val="20"/>
        </w:rPr>
        <w:t>Cinnamomum</w:t>
      </w:r>
      <w:proofErr w:type="spellEnd"/>
      <w:r w:rsidR="001841CD" w:rsidRPr="00DA6EB8">
        <w:rPr>
          <w:rFonts w:ascii="Times New Roman" w:hAnsi="Times New Roman" w:cs="Times New Roman"/>
          <w:i/>
          <w:iCs/>
          <w:sz w:val="20"/>
          <w:szCs w:val="20"/>
        </w:rPr>
        <w:t xml:space="preserve"> </w:t>
      </w:r>
      <w:r w:rsidRPr="00DA6EB8">
        <w:rPr>
          <w:rFonts w:ascii="Times New Roman" w:hAnsi="Times New Roman" w:cs="Times New Roman"/>
          <w:sz w:val="20"/>
          <w:szCs w:val="20"/>
        </w:rPr>
        <w:t>Species.</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Pharmaceutical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Biology,</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Vol.</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46,</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No.</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6,</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pp.</w:t>
      </w:r>
      <w:r w:rsidR="001841CD" w:rsidRPr="00DA6EB8">
        <w:rPr>
          <w:rFonts w:ascii="Times New Roman" w:hAnsi="Times New Roman" w:cs="Times New Roman"/>
          <w:sz w:val="20"/>
          <w:szCs w:val="20"/>
        </w:rPr>
        <w:t xml:space="preserve"> </w:t>
      </w:r>
      <w:r w:rsidRPr="00DA6EB8">
        <w:rPr>
          <w:rFonts w:ascii="Times New Roman" w:hAnsi="Times New Roman" w:cs="Times New Roman"/>
          <w:sz w:val="20"/>
          <w:szCs w:val="20"/>
        </w:rPr>
        <w:t>406–41</w:t>
      </w:r>
      <w:r w:rsidR="00B51E6A" w:rsidRPr="00DA6EB8">
        <w:rPr>
          <w:rFonts w:ascii="Times New Roman" w:hAnsi="Times New Roman" w:cs="Times New Roman"/>
          <w:sz w:val="20"/>
          <w:szCs w:val="20"/>
        </w:rPr>
        <w:t>2.</w:t>
      </w:r>
    </w:p>
    <w:p w:rsidR="00B51E6A" w:rsidRPr="00DA6EB8" w:rsidRDefault="00DA54BD" w:rsidP="00B51E6A">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A6EB8">
        <w:rPr>
          <w:rFonts w:ascii="Times New Roman" w:hAnsi="Times New Roman" w:cs="Times New Roman"/>
          <w:color w:val="000000"/>
          <w:sz w:val="20"/>
          <w:szCs w:val="20"/>
        </w:rPr>
        <w:t>Kun</w:t>
      </w:r>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Zhou;</w:t>
      </w:r>
      <w:r w:rsidR="001841CD" w:rsidRPr="00DA6EB8">
        <w:rPr>
          <w:rFonts w:ascii="Times New Roman" w:hAnsi="Times New Roman" w:cs="Times New Roman"/>
          <w:color w:val="000000"/>
          <w:sz w:val="20"/>
          <w:szCs w:val="20"/>
        </w:rPr>
        <w:t xml:space="preserve"> </w:t>
      </w:r>
      <w:proofErr w:type="spellStart"/>
      <w:r w:rsidRPr="00DA6EB8">
        <w:rPr>
          <w:rFonts w:ascii="Times New Roman" w:hAnsi="Times New Roman" w:cs="Times New Roman"/>
          <w:color w:val="000000"/>
          <w:sz w:val="20"/>
          <w:szCs w:val="20"/>
        </w:rPr>
        <w:t>Dongdong</w:t>
      </w:r>
      <w:proofErr w:type="spellEnd"/>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Chen;</w:t>
      </w:r>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Bin</w:t>
      </w:r>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Li;</w:t>
      </w:r>
      <w:r w:rsidR="001841CD" w:rsidRPr="00DA6EB8">
        <w:rPr>
          <w:rFonts w:ascii="Times New Roman" w:hAnsi="Times New Roman" w:cs="Times New Roman"/>
          <w:color w:val="000000"/>
          <w:sz w:val="20"/>
          <w:szCs w:val="20"/>
        </w:rPr>
        <w:t xml:space="preserve"> </w:t>
      </w:r>
      <w:proofErr w:type="spellStart"/>
      <w:r w:rsidRPr="00DA6EB8">
        <w:rPr>
          <w:rFonts w:ascii="Times New Roman" w:hAnsi="Times New Roman" w:cs="Times New Roman"/>
          <w:color w:val="000000"/>
          <w:sz w:val="20"/>
          <w:szCs w:val="20"/>
        </w:rPr>
        <w:t>Bingyu</w:t>
      </w:r>
      <w:proofErr w:type="spellEnd"/>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Zhang;</w:t>
      </w:r>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Fang</w:t>
      </w:r>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Miao</w:t>
      </w:r>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and</w:t>
      </w:r>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Le</w:t>
      </w:r>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Zhou.</w:t>
      </w:r>
      <w:r w:rsidR="001841CD" w:rsidRPr="00DA6EB8">
        <w:rPr>
          <w:rFonts w:ascii="Times New Roman" w:hAnsi="Times New Roman" w:cs="Times New Roman"/>
          <w:color w:val="000000"/>
          <w:sz w:val="20"/>
          <w:szCs w:val="20"/>
        </w:rPr>
        <w:t xml:space="preserve"> </w:t>
      </w:r>
      <w:r w:rsidR="00927264" w:rsidRPr="00DA6EB8">
        <w:rPr>
          <w:rFonts w:ascii="Times New Roman" w:hAnsi="Times New Roman" w:cs="Times New Roman"/>
          <w:color w:val="000000"/>
          <w:sz w:val="20"/>
          <w:szCs w:val="20"/>
        </w:rPr>
        <w:t>Bioactivity</w:t>
      </w:r>
      <w:r w:rsidR="001841CD" w:rsidRPr="00DA6EB8">
        <w:rPr>
          <w:rFonts w:ascii="Times New Roman" w:hAnsi="Times New Roman" w:cs="Times New Roman"/>
          <w:color w:val="000000"/>
          <w:sz w:val="20"/>
          <w:szCs w:val="20"/>
        </w:rPr>
        <w:t xml:space="preserve"> </w:t>
      </w:r>
      <w:r w:rsidR="00927264" w:rsidRPr="00DA6EB8">
        <w:rPr>
          <w:rFonts w:ascii="Times New Roman" w:hAnsi="Times New Roman" w:cs="Times New Roman"/>
          <w:color w:val="000000"/>
          <w:sz w:val="20"/>
          <w:szCs w:val="20"/>
        </w:rPr>
        <w:t>and</w:t>
      </w:r>
      <w:r w:rsidR="001841CD" w:rsidRPr="00DA6EB8">
        <w:rPr>
          <w:rFonts w:ascii="Times New Roman" w:hAnsi="Times New Roman" w:cs="Times New Roman"/>
          <w:color w:val="000000"/>
          <w:sz w:val="20"/>
          <w:szCs w:val="20"/>
        </w:rPr>
        <w:t xml:space="preserve"> </w:t>
      </w:r>
      <w:r w:rsidR="00927264" w:rsidRPr="00DA6EB8">
        <w:rPr>
          <w:rFonts w:ascii="Times New Roman" w:hAnsi="Times New Roman" w:cs="Times New Roman"/>
          <w:color w:val="000000"/>
          <w:sz w:val="20"/>
          <w:szCs w:val="20"/>
        </w:rPr>
        <w:t>structure-activity</w:t>
      </w:r>
      <w:r w:rsidR="001841CD" w:rsidRPr="00DA6EB8">
        <w:rPr>
          <w:rFonts w:ascii="Times New Roman" w:hAnsi="Times New Roman" w:cs="Times New Roman"/>
          <w:color w:val="000000"/>
          <w:sz w:val="20"/>
          <w:szCs w:val="20"/>
        </w:rPr>
        <w:t xml:space="preserve"> </w:t>
      </w:r>
      <w:r w:rsidR="00927264" w:rsidRPr="00DA6EB8">
        <w:rPr>
          <w:rFonts w:ascii="Times New Roman" w:hAnsi="Times New Roman" w:cs="Times New Roman"/>
          <w:color w:val="000000"/>
          <w:sz w:val="20"/>
          <w:szCs w:val="20"/>
        </w:rPr>
        <w:t>relationship</w:t>
      </w:r>
      <w:r w:rsidR="001841CD" w:rsidRPr="00DA6EB8">
        <w:rPr>
          <w:rFonts w:ascii="Times New Roman" w:hAnsi="Times New Roman" w:cs="Times New Roman"/>
          <w:color w:val="000000"/>
          <w:sz w:val="20"/>
          <w:szCs w:val="20"/>
        </w:rPr>
        <w:t xml:space="preserve"> </w:t>
      </w:r>
      <w:r w:rsidR="00927264" w:rsidRPr="00DA6EB8">
        <w:rPr>
          <w:rFonts w:ascii="Times New Roman" w:hAnsi="Times New Roman" w:cs="Times New Roman"/>
          <w:color w:val="000000"/>
          <w:sz w:val="20"/>
          <w:szCs w:val="20"/>
        </w:rPr>
        <w:t>of</w:t>
      </w:r>
      <w:r w:rsidR="001841CD" w:rsidRPr="00DA6EB8">
        <w:rPr>
          <w:rFonts w:ascii="Times New Roman" w:hAnsi="Times New Roman" w:cs="Times New Roman"/>
          <w:color w:val="000000"/>
          <w:sz w:val="20"/>
          <w:szCs w:val="20"/>
        </w:rPr>
        <w:t xml:space="preserve"> </w:t>
      </w:r>
      <w:proofErr w:type="spellStart"/>
      <w:r w:rsidR="00927264" w:rsidRPr="00DA6EB8">
        <w:rPr>
          <w:rFonts w:ascii="Times New Roman" w:hAnsi="Times New Roman" w:cs="Times New Roman"/>
          <w:color w:val="000000"/>
          <w:sz w:val="20"/>
          <w:szCs w:val="20"/>
        </w:rPr>
        <w:t>cinnamic</w:t>
      </w:r>
      <w:proofErr w:type="spellEnd"/>
      <w:r w:rsidR="001841CD" w:rsidRPr="00DA6EB8">
        <w:rPr>
          <w:rFonts w:ascii="Times New Roman" w:hAnsi="Times New Roman" w:cs="Times New Roman"/>
          <w:color w:val="000000"/>
          <w:sz w:val="20"/>
          <w:szCs w:val="20"/>
        </w:rPr>
        <w:t xml:space="preserve"> </w:t>
      </w:r>
      <w:r w:rsidR="00927264" w:rsidRPr="00DA6EB8">
        <w:rPr>
          <w:rFonts w:ascii="Times New Roman" w:hAnsi="Times New Roman" w:cs="Times New Roman"/>
          <w:color w:val="000000"/>
          <w:sz w:val="20"/>
          <w:szCs w:val="20"/>
        </w:rPr>
        <w:t>acid</w:t>
      </w:r>
      <w:r w:rsidR="001841CD" w:rsidRPr="00DA6EB8">
        <w:rPr>
          <w:rFonts w:ascii="Times New Roman" w:hAnsi="Times New Roman" w:cs="Times New Roman"/>
          <w:color w:val="000000"/>
          <w:sz w:val="20"/>
          <w:szCs w:val="20"/>
        </w:rPr>
        <w:t xml:space="preserve"> </w:t>
      </w:r>
      <w:r w:rsidR="00927264" w:rsidRPr="00DA6EB8">
        <w:rPr>
          <w:rFonts w:ascii="Times New Roman" w:hAnsi="Times New Roman" w:cs="Times New Roman"/>
          <w:color w:val="000000"/>
          <w:sz w:val="20"/>
          <w:szCs w:val="20"/>
        </w:rPr>
        <w:t>esters</w:t>
      </w:r>
      <w:r w:rsidR="001841CD" w:rsidRPr="00DA6EB8">
        <w:rPr>
          <w:rFonts w:ascii="Times New Roman" w:hAnsi="Times New Roman" w:cs="Times New Roman"/>
          <w:color w:val="000000"/>
          <w:sz w:val="20"/>
          <w:szCs w:val="20"/>
        </w:rPr>
        <w:t xml:space="preserve"> </w:t>
      </w:r>
      <w:r w:rsidR="00927264" w:rsidRPr="00DA6EB8">
        <w:rPr>
          <w:rFonts w:ascii="Times New Roman" w:hAnsi="Times New Roman" w:cs="Times New Roman"/>
          <w:color w:val="000000"/>
          <w:sz w:val="20"/>
          <w:szCs w:val="20"/>
        </w:rPr>
        <w:t>and</w:t>
      </w:r>
      <w:r w:rsidR="001841CD" w:rsidRPr="00DA6EB8">
        <w:rPr>
          <w:rFonts w:ascii="Times New Roman" w:hAnsi="Times New Roman" w:cs="Times New Roman"/>
          <w:color w:val="000000"/>
          <w:sz w:val="20"/>
          <w:szCs w:val="20"/>
        </w:rPr>
        <w:t xml:space="preserve"> </w:t>
      </w:r>
      <w:r w:rsidR="00927264" w:rsidRPr="00DA6EB8">
        <w:rPr>
          <w:rFonts w:ascii="Times New Roman" w:hAnsi="Times New Roman" w:cs="Times New Roman"/>
          <w:color w:val="000000"/>
          <w:sz w:val="20"/>
          <w:szCs w:val="20"/>
        </w:rPr>
        <w:t>their</w:t>
      </w:r>
      <w:r w:rsidR="001841CD" w:rsidRPr="00DA6EB8">
        <w:rPr>
          <w:rFonts w:ascii="Times New Roman" w:hAnsi="Times New Roman" w:cs="Times New Roman"/>
          <w:color w:val="000000"/>
          <w:sz w:val="20"/>
          <w:szCs w:val="20"/>
        </w:rPr>
        <w:t xml:space="preserve"> </w:t>
      </w:r>
      <w:r w:rsidR="00927264" w:rsidRPr="00DA6EB8">
        <w:rPr>
          <w:rFonts w:ascii="Times New Roman" w:hAnsi="Times New Roman" w:cs="Times New Roman"/>
          <w:color w:val="000000"/>
          <w:sz w:val="20"/>
          <w:szCs w:val="20"/>
        </w:rPr>
        <w:t>derivatives</w:t>
      </w:r>
      <w:r w:rsidR="001841CD" w:rsidRPr="00DA6EB8">
        <w:rPr>
          <w:rFonts w:ascii="Times New Roman" w:hAnsi="Times New Roman" w:cs="Times New Roman"/>
          <w:color w:val="000000"/>
          <w:sz w:val="20"/>
          <w:szCs w:val="20"/>
        </w:rPr>
        <w:t xml:space="preserve"> </w:t>
      </w:r>
      <w:r w:rsidR="00927264" w:rsidRPr="00DA6EB8">
        <w:rPr>
          <w:rFonts w:ascii="Times New Roman" w:hAnsi="Times New Roman" w:cs="Times New Roman"/>
          <w:color w:val="000000"/>
          <w:sz w:val="20"/>
          <w:szCs w:val="20"/>
        </w:rPr>
        <w:t>as</w:t>
      </w:r>
      <w:r w:rsidR="001841CD" w:rsidRPr="00DA6EB8">
        <w:rPr>
          <w:rFonts w:ascii="Times New Roman" w:hAnsi="Times New Roman" w:cs="Times New Roman"/>
          <w:color w:val="000000"/>
          <w:sz w:val="20"/>
          <w:szCs w:val="20"/>
        </w:rPr>
        <w:t xml:space="preserve"> </w:t>
      </w:r>
      <w:r w:rsidR="00927264" w:rsidRPr="00DA6EB8">
        <w:rPr>
          <w:rFonts w:ascii="Times New Roman" w:hAnsi="Times New Roman" w:cs="Times New Roman"/>
          <w:color w:val="000000"/>
          <w:sz w:val="20"/>
          <w:szCs w:val="20"/>
        </w:rPr>
        <w:t>potential</w:t>
      </w:r>
      <w:r w:rsidR="001841CD" w:rsidRPr="00DA6EB8">
        <w:rPr>
          <w:rFonts w:ascii="Times New Roman" w:hAnsi="Times New Roman" w:cs="Times New Roman"/>
          <w:color w:val="000000"/>
          <w:sz w:val="20"/>
          <w:szCs w:val="20"/>
        </w:rPr>
        <w:t xml:space="preserve"> </w:t>
      </w:r>
      <w:r w:rsidR="00927264" w:rsidRPr="00DA6EB8">
        <w:rPr>
          <w:rFonts w:ascii="Times New Roman" w:hAnsi="Times New Roman" w:cs="Times New Roman"/>
          <w:color w:val="000000"/>
          <w:sz w:val="20"/>
          <w:szCs w:val="20"/>
        </w:rPr>
        <w:t>antifungal</w:t>
      </w:r>
      <w:r w:rsidR="001841CD" w:rsidRPr="00DA6EB8">
        <w:rPr>
          <w:rFonts w:ascii="Times New Roman" w:hAnsi="Times New Roman" w:cs="Times New Roman"/>
          <w:color w:val="000000"/>
          <w:sz w:val="20"/>
          <w:szCs w:val="20"/>
        </w:rPr>
        <w:t xml:space="preserve"> </w:t>
      </w:r>
      <w:r w:rsidR="00927264" w:rsidRPr="00DA6EB8">
        <w:rPr>
          <w:rFonts w:ascii="Times New Roman" w:hAnsi="Times New Roman" w:cs="Times New Roman"/>
          <w:color w:val="000000"/>
          <w:sz w:val="20"/>
          <w:szCs w:val="20"/>
        </w:rPr>
        <w:t>agents</w:t>
      </w:r>
      <w:r w:rsidR="001841CD" w:rsidRPr="00DA6EB8">
        <w:rPr>
          <w:rFonts w:ascii="Times New Roman" w:hAnsi="Times New Roman" w:cs="Times New Roman"/>
          <w:color w:val="000000"/>
          <w:sz w:val="20"/>
          <w:szCs w:val="20"/>
        </w:rPr>
        <w:t xml:space="preserve"> </w:t>
      </w:r>
      <w:r w:rsidR="00927264" w:rsidRPr="00DA6EB8">
        <w:rPr>
          <w:rFonts w:ascii="Times New Roman" w:hAnsi="Times New Roman" w:cs="Times New Roman"/>
          <w:color w:val="000000"/>
          <w:sz w:val="20"/>
          <w:szCs w:val="20"/>
        </w:rPr>
        <w:t>for</w:t>
      </w:r>
      <w:r w:rsidR="001841CD" w:rsidRPr="00DA6EB8">
        <w:rPr>
          <w:rFonts w:ascii="Times New Roman" w:hAnsi="Times New Roman" w:cs="Times New Roman"/>
          <w:color w:val="000000"/>
          <w:sz w:val="20"/>
          <w:szCs w:val="20"/>
        </w:rPr>
        <w:t xml:space="preserve"> </w:t>
      </w:r>
      <w:r w:rsidR="00927264" w:rsidRPr="00DA6EB8">
        <w:rPr>
          <w:rFonts w:ascii="Times New Roman" w:hAnsi="Times New Roman" w:cs="Times New Roman"/>
          <w:color w:val="000000"/>
          <w:sz w:val="20"/>
          <w:szCs w:val="20"/>
        </w:rPr>
        <w:t>plant</w:t>
      </w:r>
      <w:r w:rsidR="001841CD" w:rsidRPr="00DA6EB8">
        <w:rPr>
          <w:rFonts w:ascii="Times New Roman" w:hAnsi="Times New Roman" w:cs="Times New Roman"/>
          <w:color w:val="000000"/>
          <w:sz w:val="20"/>
          <w:szCs w:val="20"/>
        </w:rPr>
        <w:t xml:space="preserve"> </w:t>
      </w:r>
      <w:r w:rsidR="00927264" w:rsidRPr="00DA6EB8">
        <w:rPr>
          <w:rFonts w:ascii="Times New Roman" w:hAnsi="Times New Roman" w:cs="Times New Roman"/>
          <w:color w:val="000000"/>
          <w:sz w:val="20"/>
          <w:szCs w:val="20"/>
        </w:rPr>
        <w:t>protection</w:t>
      </w:r>
      <w:r w:rsidRPr="00DA6EB8">
        <w:rPr>
          <w:rFonts w:ascii="Times New Roman" w:hAnsi="Times New Roman" w:cs="Times New Roman"/>
          <w:color w:val="000000"/>
          <w:sz w:val="20"/>
          <w:szCs w:val="20"/>
        </w:rPr>
        <w:t>.</w:t>
      </w:r>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PLOS</w:t>
      </w:r>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ONE</w:t>
      </w:r>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April</w:t>
      </w:r>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19,</w:t>
      </w:r>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2017,</w:t>
      </w:r>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1</w:t>
      </w:r>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w:t>
      </w:r>
      <w:r w:rsidR="001841CD" w:rsidRPr="00DA6EB8">
        <w:rPr>
          <w:rFonts w:ascii="Times New Roman" w:hAnsi="Times New Roman" w:cs="Times New Roman"/>
          <w:color w:val="000000"/>
          <w:sz w:val="20"/>
          <w:szCs w:val="20"/>
        </w:rPr>
        <w:t xml:space="preserve"> </w:t>
      </w:r>
      <w:r w:rsidRPr="00DA6EB8">
        <w:rPr>
          <w:rFonts w:ascii="Times New Roman" w:hAnsi="Times New Roman" w:cs="Times New Roman"/>
          <w:color w:val="000000"/>
          <w:sz w:val="20"/>
          <w:szCs w:val="20"/>
        </w:rPr>
        <w:t>13.</w:t>
      </w:r>
      <w:r w:rsidR="001841CD" w:rsidRPr="00DA6EB8">
        <w:rPr>
          <w:rFonts w:ascii="Times New Roman" w:hAnsi="Times New Roman" w:cs="Times New Roman"/>
          <w:color w:val="000000"/>
          <w:sz w:val="20"/>
          <w:szCs w:val="20"/>
        </w:rPr>
        <w:t xml:space="preserve"> </w:t>
      </w:r>
      <w:r w:rsidR="00140BB0" w:rsidRPr="00DA6EB8">
        <w:rPr>
          <w:rFonts w:ascii="Times New Roman" w:hAnsi="Times New Roman" w:cs="Times New Roman"/>
          <w:sz w:val="20"/>
          <w:szCs w:val="20"/>
        </w:rPr>
        <w:t>https://doi.org/10.1371/journal.</w:t>
      </w:r>
      <w:r w:rsidR="001841CD" w:rsidRPr="00DA6EB8">
        <w:rPr>
          <w:rFonts w:ascii="Times New Roman" w:hAnsi="Times New Roman" w:cs="Times New Roman"/>
          <w:sz w:val="20"/>
          <w:szCs w:val="20"/>
        </w:rPr>
        <w:t xml:space="preserve"> </w:t>
      </w:r>
      <w:r w:rsidR="00140BB0" w:rsidRPr="00DA6EB8">
        <w:rPr>
          <w:rFonts w:ascii="Times New Roman" w:hAnsi="Times New Roman" w:cs="Times New Roman"/>
          <w:sz w:val="20"/>
          <w:szCs w:val="20"/>
        </w:rPr>
        <w:t>pone.017618</w:t>
      </w:r>
      <w:r w:rsidR="00B51E6A" w:rsidRPr="00DA6EB8">
        <w:rPr>
          <w:rFonts w:ascii="Times New Roman" w:hAnsi="Times New Roman" w:cs="Times New Roman"/>
          <w:sz w:val="20"/>
          <w:szCs w:val="20"/>
        </w:rPr>
        <w:t>9.</w:t>
      </w:r>
    </w:p>
    <w:p w:rsidR="00BD6349" w:rsidRPr="00DA6EB8" w:rsidRDefault="00BD6349" w:rsidP="00B51E6A">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rPr>
        <w:sectPr w:rsidR="00BD6349" w:rsidRPr="00DA6EB8" w:rsidSect="00BD6349">
          <w:type w:val="continuous"/>
          <w:pgSz w:w="12240" w:h="15840" w:code="1"/>
          <w:pgMar w:top="1440" w:right="1440" w:bottom="1440" w:left="1440" w:header="720" w:footer="720" w:gutter="0"/>
          <w:cols w:num="2" w:space="550"/>
          <w:docGrid w:linePitch="360"/>
        </w:sectPr>
      </w:pPr>
    </w:p>
    <w:p w:rsidR="001841CD" w:rsidRPr="00DA6EB8" w:rsidRDefault="001841CD" w:rsidP="00B51E6A">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4604AE" w:rsidRPr="00DA6EB8" w:rsidRDefault="009615FB" w:rsidP="00DA6EB8">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rPr>
      </w:pPr>
      <w:r>
        <w:rPr>
          <w:rFonts w:ascii="Times New Roman" w:hAnsi="Times New Roman" w:cs="Times New Roman" w:hint="eastAsia"/>
          <w:sz w:val="20"/>
          <w:szCs w:val="20"/>
          <w:lang w:eastAsia="zh-CN"/>
        </w:rPr>
        <w:t>7</w:t>
      </w:r>
      <w:r w:rsidR="001841CD" w:rsidRPr="00DA6EB8">
        <w:rPr>
          <w:rFonts w:ascii="Times New Roman" w:hAnsi="Times New Roman" w:cs="Times New Roman"/>
          <w:sz w:val="20"/>
          <w:szCs w:val="20"/>
        </w:rPr>
        <w:t>/</w:t>
      </w:r>
      <w:r>
        <w:rPr>
          <w:rFonts w:ascii="Times New Roman" w:hAnsi="Times New Roman" w:cs="Times New Roman" w:hint="eastAsia"/>
          <w:sz w:val="20"/>
          <w:szCs w:val="20"/>
          <w:lang w:eastAsia="zh-CN"/>
        </w:rPr>
        <w:t>25</w:t>
      </w:r>
      <w:r w:rsidR="001841CD" w:rsidRPr="00DA6EB8">
        <w:rPr>
          <w:rFonts w:ascii="Times New Roman" w:hAnsi="Times New Roman" w:cs="Times New Roman"/>
          <w:sz w:val="20"/>
          <w:szCs w:val="20"/>
        </w:rPr>
        <w:t>/2018</w:t>
      </w:r>
    </w:p>
    <w:sectPr w:rsidR="004604AE" w:rsidRPr="00DA6EB8" w:rsidSect="001841C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A18" w:rsidRDefault="00FD6A18" w:rsidP="00225FBF">
      <w:pPr>
        <w:spacing w:after="0" w:line="240" w:lineRule="auto"/>
      </w:pPr>
      <w:r>
        <w:separator/>
      </w:r>
    </w:p>
  </w:endnote>
  <w:endnote w:type="continuationSeparator" w:id="0">
    <w:p w:rsidR="00FD6A18" w:rsidRDefault="00FD6A18" w:rsidP="00225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raditional Arabic">
    <w:altName w:val="Times New Roman"/>
    <w:panose1 w:val="02020603050405020304"/>
    <w:charset w:val="00"/>
    <w:family w:val="roman"/>
    <w:pitch w:val="variable"/>
    <w:sig w:usb0="00002003" w:usb1="80000000" w:usb2="00000008" w:usb3="00000000" w:csb0="00000041" w:csb1="00000000"/>
  </w:font>
  <w:font w:name="等线">
    <w:altName w:val="宋体"/>
    <w:panose1 w:val="00000000000000000000"/>
    <w:charset w:val="86"/>
    <w:family w:val="roman"/>
    <w:notTrueType/>
    <w:pitch w:val="default"/>
    <w:sig w:usb0="00000000" w:usb1="00000000" w:usb2="00000000" w:usb3="00000000" w:csb0="00000000" w:csb1="00000000"/>
  </w:font>
  <w:font w:name="Yu Gothic UI">
    <w:altName w:val="MS Gothic"/>
    <w:charset w:val="80"/>
    <w:family w:val="swiss"/>
    <w:pitch w:val="variable"/>
    <w:sig w:usb0="00000000" w:usb1="2AC7FDFF" w:usb2="00000016" w:usb3="00000000" w:csb0="0002009F" w:csb1="00000000"/>
  </w:font>
  <w:font w:name="等线 Light">
    <w:altName w:val="宋体"/>
    <w:panose1 w:val="00000000000000000000"/>
    <w:charset w:val="86"/>
    <w:family w:val="roman"/>
    <w:notTrueType/>
    <w:pitch w:val="default"/>
    <w:sig w:usb0="00000000" w:usb1="00000000" w:usb2="00000000" w:usb3="00000000" w:csb0="0000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49" w:rsidRPr="00104558" w:rsidRDefault="007A2010" w:rsidP="00104558">
    <w:pPr>
      <w:spacing w:after="0" w:line="240" w:lineRule="auto"/>
      <w:jc w:val="center"/>
      <w:rPr>
        <w:rFonts w:ascii="Times New Roman" w:hAnsi="Times New Roman" w:cs="Times New Roman"/>
        <w:sz w:val="20"/>
      </w:rPr>
    </w:pPr>
    <w:r w:rsidRPr="00104558">
      <w:rPr>
        <w:rFonts w:ascii="Times New Roman" w:hAnsi="Times New Roman" w:cs="Times New Roman"/>
        <w:sz w:val="20"/>
      </w:rPr>
      <w:fldChar w:fldCharType="begin"/>
    </w:r>
    <w:r w:rsidR="00104558" w:rsidRPr="00104558">
      <w:rPr>
        <w:rFonts w:ascii="Times New Roman" w:hAnsi="Times New Roman" w:cs="Times New Roman"/>
        <w:sz w:val="20"/>
      </w:rPr>
      <w:instrText xml:space="preserve"> page </w:instrText>
    </w:r>
    <w:r w:rsidRPr="00104558">
      <w:rPr>
        <w:rFonts w:ascii="Times New Roman" w:hAnsi="Times New Roman" w:cs="Times New Roman"/>
        <w:sz w:val="20"/>
      </w:rPr>
      <w:fldChar w:fldCharType="separate"/>
    </w:r>
    <w:r w:rsidR="009D316E">
      <w:rPr>
        <w:rFonts w:ascii="Times New Roman" w:hAnsi="Times New Roman" w:cs="Times New Roman"/>
        <w:noProof/>
        <w:sz w:val="20"/>
      </w:rPr>
      <w:t>107</w:t>
    </w:r>
    <w:r w:rsidRPr="0010455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A18" w:rsidRDefault="00FD6A18" w:rsidP="00225FBF">
      <w:pPr>
        <w:spacing w:after="0" w:line="240" w:lineRule="auto"/>
      </w:pPr>
      <w:r>
        <w:separator/>
      </w:r>
    </w:p>
  </w:footnote>
  <w:footnote w:type="continuationSeparator" w:id="0">
    <w:p w:rsidR="00FD6A18" w:rsidRDefault="00FD6A18" w:rsidP="00225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558" w:rsidRPr="00104558" w:rsidRDefault="00104558" w:rsidP="0010455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04558">
      <w:rPr>
        <w:rFonts w:ascii="Times New Roman" w:hAnsi="Times New Roman" w:cs="Times New Roman" w:hint="eastAsia"/>
        <w:sz w:val="20"/>
        <w:szCs w:val="20"/>
      </w:rPr>
      <w:tab/>
    </w:r>
    <w:r w:rsidRPr="00104558">
      <w:rPr>
        <w:rFonts w:ascii="Times New Roman" w:hAnsi="Times New Roman" w:cs="Times New Roman"/>
        <w:sz w:val="20"/>
        <w:szCs w:val="20"/>
      </w:rPr>
      <w:t>New York Science Journal 201</w:t>
    </w:r>
    <w:r w:rsidRPr="00104558">
      <w:rPr>
        <w:rFonts w:ascii="Times New Roman" w:hAnsi="Times New Roman" w:cs="Times New Roman" w:hint="eastAsia"/>
        <w:sz w:val="20"/>
        <w:szCs w:val="20"/>
      </w:rPr>
      <w:t>8</w:t>
    </w:r>
    <w:r w:rsidRPr="00104558">
      <w:rPr>
        <w:rFonts w:ascii="Times New Roman" w:hAnsi="Times New Roman" w:cs="Times New Roman"/>
        <w:sz w:val="20"/>
        <w:szCs w:val="20"/>
      </w:rPr>
      <w:t>;</w:t>
    </w:r>
    <w:r w:rsidRPr="00104558">
      <w:rPr>
        <w:rFonts w:ascii="Times New Roman" w:hAnsi="Times New Roman" w:cs="Times New Roman" w:hint="eastAsia"/>
        <w:sz w:val="20"/>
        <w:szCs w:val="20"/>
      </w:rPr>
      <w:t>11</w:t>
    </w:r>
    <w:r w:rsidRPr="00104558">
      <w:rPr>
        <w:rFonts w:ascii="Times New Roman" w:hAnsi="Times New Roman" w:cs="Times New Roman"/>
        <w:sz w:val="20"/>
        <w:szCs w:val="20"/>
      </w:rPr>
      <w:t>(</w:t>
    </w:r>
    <w:r w:rsidR="009D316E">
      <w:rPr>
        <w:rFonts w:ascii="Times New Roman" w:hAnsi="Times New Roman" w:cs="Times New Roman" w:hint="eastAsia"/>
        <w:sz w:val="20"/>
        <w:szCs w:val="20"/>
        <w:lang w:eastAsia="zh-CN"/>
      </w:rPr>
      <w:t>7</w:t>
    </w:r>
    <w:r w:rsidRPr="00104558">
      <w:rPr>
        <w:rFonts w:ascii="Times New Roman" w:hAnsi="Times New Roman" w:cs="Times New Roman"/>
        <w:sz w:val="20"/>
        <w:szCs w:val="20"/>
      </w:rPr>
      <w:t>)</w:t>
    </w:r>
    <w:r w:rsidRPr="00104558">
      <w:rPr>
        <w:rFonts w:ascii="Times New Roman" w:hAnsi="Times New Roman" w:cs="Times New Roman"/>
        <w:iCs/>
        <w:sz w:val="20"/>
        <w:szCs w:val="20"/>
      </w:rPr>
      <w:t xml:space="preserve">     </w:t>
    </w:r>
    <w:r w:rsidRPr="00104558">
      <w:rPr>
        <w:rFonts w:ascii="Times New Roman" w:hAnsi="Times New Roman" w:cs="Times New Roman" w:hint="eastAsia"/>
        <w:iCs/>
        <w:sz w:val="20"/>
        <w:szCs w:val="20"/>
      </w:rPr>
      <w:tab/>
    </w:r>
    <w:r w:rsidRPr="00104558">
      <w:rPr>
        <w:rFonts w:ascii="Times New Roman" w:hAnsi="Times New Roman" w:cs="Times New Roman"/>
        <w:iCs/>
        <w:sz w:val="20"/>
        <w:szCs w:val="20"/>
      </w:rPr>
      <w:t xml:space="preserve"> </w:t>
    </w:r>
    <w:r w:rsidRPr="00104558">
      <w:rPr>
        <w:rFonts w:ascii="Times New Roman" w:hAnsi="Times New Roman" w:cs="Times New Roman" w:hint="eastAsia"/>
        <w:iCs/>
        <w:sz w:val="20"/>
        <w:szCs w:val="20"/>
      </w:rPr>
      <w:t xml:space="preserve"> </w:t>
    </w:r>
    <w:r w:rsidRPr="00104558">
      <w:rPr>
        <w:rFonts w:ascii="Times New Roman" w:hAnsi="Times New Roman" w:cs="Times New Roman"/>
        <w:iCs/>
        <w:sz w:val="20"/>
        <w:szCs w:val="20"/>
      </w:rPr>
      <w:t xml:space="preserve">   </w:t>
    </w:r>
    <w:hyperlink r:id="rId1" w:history="1">
      <w:r w:rsidRPr="00104558">
        <w:rPr>
          <w:rStyle w:val="Hyperlink"/>
          <w:rFonts w:ascii="Times New Roman" w:hAnsi="Times New Roman" w:cs="Times New Roman"/>
          <w:color w:val="0000FF"/>
          <w:sz w:val="20"/>
          <w:szCs w:val="20"/>
        </w:rPr>
        <w:t>http://www.sciencepub.net/newyork</w:t>
      </w:r>
    </w:hyperlink>
  </w:p>
  <w:p w:rsidR="00104558" w:rsidRPr="00104558" w:rsidRDefault="00104558" w:rsidP="00104558">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646AF"/>
    <w:multiLevelType w:val="hybridMultilevel"/>
    <w:tmpl w:val="4CD4CC84"/>
    <w:lvl w:ilvl="0" w:tplc="C5BA2CAC">
      <w:start w:val="1"/>
      <w:numFmt w:val="decimal"/>
      <w:lvlText w:val="%1."/>
      <w:lvlJc w:val="left"/>
      <w:pPr>
        <w:ind w:left="1080" w:hanging="360"/>
      </w:pPr>
      <w:rPr>
        <w:rFonts w:hint="default"/>
        <w:color w:val="000000"/>
        <w:sz w:val="18"/>
      </w:rPr>
    </w:lvl>
    <w:lvl w:ilvl="1" w:tplc="74BA63E8">
      <w:start w:val="1"/>
      <w:numFmt w:val="upperRoman"/>
      <w:lvlText w:val="%2."/>
      <w:lvlJc w:val="left"/>
      <w:pPr>
        <w:ind w:left="2160" w:hanging="720"/>
      </w:pPr>
      <w:rPr>
        <w:rFonts w:hint="default"/>
        <w:color w:val="000000"/>
      </w:rPr>
    </w:lvl>
    <w:lvl w:ilvl="2" w:tplc="FC2CBD76">
      <w:start w:val="1"/>
      <w:numFmt w:val="upperLetter"/>
      <w:lvlText w:val="%3."/>
      <w:lvlJc w:val="left"/>
      <w:pPr>
        <w:ind w:left="2700" w:hanging="360"/>
      </w:pPr>
      <w:rPr>
        <w:rFonts w:hint="default"/>
        <w:color w:val="00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A75E7B"/>
    <w:multiLevelType w:val="hybridMultilevel"/>
    <w:tmpl w:val="CDA01AA6"/>
    <w:lvl w:ilvl="0" w:tplc="1FDED57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74DB7"/>
    <w:multiLevelType w:val="hybridMultilevel"/>
    <w:tmpl w:val="0A9C7432"/>
    <w:lvl w:ilvl="0" w:tplc="D3B8B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585581"/>
    <w:multiLevelType w:val="hybridMultilevel"/>
    <w:tmpl w:val="9C0E57F6"/>
    <w:lvl w:ilvl="0" w:tplc="B4906D14">
      <w:start w:val="1"/>
      <w:numFmt w:val="decimal"/>
      <w:lvlText w:val="%1."/>
      <w:lvlJc w:val="left"/>
      <w:pPr>
        <w:ind w:left="1080" w:hanging="360"/>
      </w:pPr>
      <w:rPr>
        <w:rFonts w:hint="default"/>
        <w:color w:val="000000"/>
        <w:sz w:val="18"/>
      </w:rPr>
    </w:lvl>
    <w:lvl w:ilvl="1" w:tplc="74BA63E8">
      <w:start w:val="1"/>
      <w:numFmt w:val="upperRoman"/>
      <w:lvlText w:val="%2."/>
      <w:lvlJc w:val="left"/>
      <w:pPr>
        <w:ind w:left="2160" w:hanging="720"/>
      </w:pPr>
      <w:rPr>
        <w:rFonts w:hint="default"/>
        <w:color w:val="000000"/>
      </w:rPr>
    </w:lvl>
    <w:lvl w:ilvl="2" w:tplc="FC2CBD76">
      <w:start w:val="1"/>
      <w:numFmt w:val="upperLetter"/>
      <w:lvlText w:val="%3."/>
      <w:lvlJc w:val="left"/>
      <w:pPr>
        <w:ind w:left="2700" w:hanging="360"/>
      </w:pPr>
      <w:rPr>
        <w:rFonts w:hint="default"/>
        <w:color w:val="00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4676A7"/>
    <w:multiLevelType w:val="hybridMultilevel"/>
    <w:tmpl w:val="9C0E57F6"/>
    <w:lvl w:ilvl="0" w:tplc="B4906D14">
      <w:start w:val="1"/>
      <w:numFmt w:val="decimal"/>
      <w:lvlText w:val="%1."/>
      <w:lvlJc w:val="left"/>
      <w:pPr>
        <w:ind w:left="1080" w:hanging="360"/>
      </w:pPr>
      <w:rPr>
        <w:rFonts w:hint="default"/>
        <w:color w:val="000000"/>
        <w:sz w:val="18"/>
      </w:rPr>
    </w:lvl>
    <w:lvl w:ilvl="1" w:tplc="74BA63E8">
      <w:start w:val="1"/>
      <w:numFmt w:val="upperRoman"/>
      <w:lvlText w:val="%2."/>
      <w:lvlJc w:val="left"/>
      <w:pPr>
        <w:ind w:left="2160" w:hanging="720"/>
      </w:pPr>
      <w:rPr>
        <w:rFonts w:hint="default"/>
        <w:color w:val="000000"/>
      </w:rPr>
    </w:lvl>
    <w:lvl w:ilvl="2" w:tplc="FC2CBD76">
      <w:start w:val="1"/>
      <w:numFmt w:val="upperLetter"/>
      <w:lvlText w:val="%3."/>
      <w:lvlJc w:val="left"/>
      <w:pPr>
        <w:ind w:left="2700" w:hanging="360"/>
      </w:pPr>
      <w:rPr>
        <w:rFonts w:hint="default"/>
        <w:color w:val="00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D14C3A"/>
    <w:multiLevelType w:val="hybridMultilevel"/>
    <w:tmpl w:val="03E85130"/>
    <w:lvl w:ilvl="0" w:tplc="1BC4AA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310BA"/>
    <w:multiLevelType w:val="hybridMultilevel"/>
    <w:tmpl w:val="1E10AF7E"/>
    <w:lvl w:ilvl="0" w:tplc="DF903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DC219B"/>
    <w:multiLevelType w:val="hybridMultilevel"/>
    <w:tmpl w:val="C3180B0A"/>
    <w:lvl w:ilvl="0" w:tplc="1FDED57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F6297A"/>
    <w:multiLevelType w:val="hybridMultilevel"/>
    <w:tmpl w:val="9C0E57F6"/>
    <w:lvl w:ilvl="0" w:tplc="B4906D14">
      <w:start w:val="1"/>
      <w:numFmt w:val="decimal"/>
      <w:lvlText w:val="%1."/>
      <w:lvlJc w:val="left"/>
      <w:pPr>
        <w:ind w:left="1080" w:hanging="360"/>
      </w:pPr>
      <w:rPr>
        <w:rFonts w:hint="default"/>
        <w:color w:val="000000"/>
        <w:sz w:val="18"/>
      </w:rPr>
    </w:lvl>
    <w:lvl w:ilvl="1" w:tplc="74BA63E8">
      <w:start w:val="1"/>
      <w:numFmt w:val="upperRoman"/>
      <w:lvlText w:val="%2."/>
      <w:lvlJc w:val="left"/>
      <w:pPr>
        <w:ind w:left="2160" w:hanging="720"/>
      </w:pPr>
      <w:rPr>
        <w:rFonts w:hint="default"/>
        <w:color w:val="000000"/>
      </w:rPr>
    </w:lvl>
    <w:lvl w:ilvl="2" w:tplc="FC2CBD76">
      <w:start w:val="1"/>
      <w:numFmt w:val="upperLetter"/>
      <w:lvlText w:val="%3."/>
      <w:lvlJc w:val="left"/>
      <w:pPr>
        <w:ind w:left="2700" w:hanging="360"/>
      </w:pPr>
      <w:rPr>
        <w:rFonts w:hint="default"/>
        <w:color w:val="00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101EED"/>
    <w:multiLevelType w:val="hybridMultilevel"/>
    <w:tmpl w:val="669E2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C1308F"/>
    <w:multiLevelType w:val="hybridMultilevel"/>
    <w:tmpl w:val="0D5869CE"/>
    <w:lvl w:ilvl="0" w:tplc="73F032B0">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BC33B6"/>
    <w:multiLevelType w:val="hybridMultilevel"/>
    <w:tmpl w:val="6E96F6B8"/>
    <w:lvl w:ilvl="0" w:tplc="1FDED57C">
      <w:start w:val="1"/>
      <w:numFmt w:val="decimal"/>
      <w:lvlText w:val="%1."/>
      <w:lvlJc w:val="left"/>
      <w:pPr>
        <w:ind w:left="81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C21C51"/>
    <w:multiLevelType w:val="hybridMultilevel"/>
    <w:tmpl w:val="ACAA7320"/>
    <w:lvl w:ilvl="0" w:tplc="3D74EA22">
      <w:start w:val="1"/>
      <w:numFmt w:val="low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A3527E"/>
    <w:multiLevelType w:val="hybridMultilevel"/>
    <w:tmpl w:val="ED30DBA8"/>
    <w:lvl w:ilvl="0" w:tplc="1FDED57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406DF3"/>
    <w:multiLevelType w:val="hybridMultilevel"/>
    <w:tmpl w:val="C49039F8"/>
    <w:lvl w:ilvl="0" w:tplc="B4906D14">
      <w:start w:val="1"/>
      <w:numFmt w:val="decimal"/>
      <w:lvlText w:val="%1."/>
      <w:lvlJc w:val="left"/>
      <w:pPr>
        <w:ind w:left="720" w:hanging="360"/>
      </w:pPr>
      <w:rPr>
        <w:rFonts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B20B9C"/>
    <w:multiLevelType w:val="hybridMultilevel"/>
    <w:tmpl w:val="4462C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C72967"/>
    <w:multiLevelType w:val="hybridMultilevel"/>
    <w:tmpl w:val="4CD4CC84"/>
    <w:lvl w:ilvl="0" w:tplc="C5BA2CAC">
      <w:start w:val="1"/>
      <w:numFmt w:val="decimal"/>
      <w:lvlText w:val="%1."/>
      <w:lvlJc w:val="left"/>
      <w:pPr>
        <w:ind w:left="1080" w:hanging="360"/>
      </w:pPr>
      <w:rPr>
        <w:rFonts w:hint="default"/>
        <w:color w:val="000000"/>
        <w:sz w:val="18"/>
      </w:rPr>
    </w:lvl>
    <w:lvl w:ilvl="1" w:tplc="74BA63E8">
      <w:start w:val="1"/>
      <w:numFmt w:val="upperRoman"/>
      <w:lvlText w:val="%2."/>
      <w:lvlJc w:val="left"/>
      <w:pPr>
        <w:ind w:left="2160" w:hanging="720"/>
      </w:pPr>
      <w:rPr>
        <w:rFonts w:hint="default"/>
        <w:color w:val="000000"/>
      </w:rPr>
    </w:lvl>
    <w:lvl w:ilvl="2" w:tplc="FC2CBD76">
      <w:start w:val="1"/>
      <w:numFmt w:val="upperLetter"/>
      <w:lvlText w:val="%3."/>
      <w:lvlJc w:val="left"/>
      <w:pPr>
        <w:ind w:left="2700" w:hanging="360"/>
      </w:pPr>
      <w:rPr>
        <w:rFonts w:hint="default"/>
        <w:color w:val="00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A42172"/>
    <w:multiLevelType w:val="hybridMultilevel"/>
    <w:tmpl w:val="17B03B8A"/>
    <w:lvl w:ilvl="0" w:tplc="70281E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E67444"/>
    <w:multiLevelType w:val="hybridMultilevel"/>
    <w:tmpl w:val="4CD4CC84"/>
    <w:lvl w:ilvl="0" w:tplc="C5BA2CAC">
      <w:start w:val="1"/>
      <w:numFmt w:val="decimal"/>
      <w:lvlText w:val="%1."/>
      <w:lvlJc w:val="left"/>
      <w:pPr>
        <w:ind w:left="1080" w:hanging="360"/>
      </w:pPr>
      <w:rPr>
        <w:rFonts w:hint="default"/>
        <w:color w:val="000000"/>
        <w:sz w:val="18"/>
      </w:rPr>
    </w:lvl>
    <w:lvl w:ilvl="1" w:tplc="74BA63E8">
      <w:start w:val="1"/>
      <w:numFmt w:val="upperRoman"/>
      <w:lvlText w:val="%2."/>
      <w:lvlJc w:val="left"/>
      <w:pPr>
        <w:ind w:left="2160" w:hanging="720"/>
      </w:pPr>
      <w:rPr>
        <w:rFonts w:hint="default"/>
        <w:color w:val="000000"/>
      </w:rPr>
    </w:lvl>
    <w:lvl w:ilvl="2" w:tplc="FC2CBD76">
      <w:start w:val="1"/>
      <w:numFmt w:val="upperLetter"/>
      <w:lvlText w:val="%3."/>
      <w:lvlJc w:val="left"/>
      <w:pPr>
        <w:ind w:left="2700" w:hanging="360"/>
      </w:pPr>
      <w:rPr>
        <w:rFonts w:hint="default"/>
        <w:color w:val="00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BB4CBD"/>
    <w:multiLevelType w:val="hybridMultilevel"/>
    <w:tmpl w:val="4CD4CC84"/>
    <w:lvl w:ilvl="0" w:tplc="C5BA2CAC">
      <w:start w:val="1"/>
      <w:numFmt w:val="decimal"/>
      <w:lvlText w:val="%1."/>
      <w:lvlJc w:val="left"/>
      <w:pPr>
        <w:ind w:left="1080" w:hanging="360"/>
      </w:pPr>
      <w:rPr>
        <w:rFonts w:hint="default"/>
        <w:color w:val="000000"/>
        <w:sz w:val="18"/>
      </w:rPr>
    </w:lvl>
    <w:lvl w:ilvl="1" w:tplc="74BA63E8">
      <w:start w:val="1"/>
      <w:numFmt w:val="upperRoman"/>
      <w:lvlText w:val="%2."/>
      <w:lvlJc w:val="left"/>
      <w:pPr>
        <w:ind w:left="2160" w:hanging="720"/>
      </w:pPr>
      <w:rPr>
        <w:rFonts w:hint="default"/>
        <w:color w:val="000000"/>
      </w:rPr>
    </w:lvl>
    <w:lvl w:ilvl="2" w:tplc="FC2CBD76">
      <w:start w:val="1"/>
      <w:numFmt w:val="upperLetter"/>
      <w:lvlText w:val="%3."/>
      <w:lvlJc w:val="left"/>
      <w:pPr>
        <w:ind w:left="2700" w:hanging="360"/>
      </w:pPr>
      <w:rPr>
        <w:rFonts w:hint="default"/>
        <w:color w:val="00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704117"/>
    <w:multiLevelType w:val="hybridMultilevel"/>
    <w:tmpl w:val="0C8CD186"/>
    <w:lvl w:ilvl="0" w:tplc="CC149BD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AB004A"/>
    <w:multiLevelType w:val="hybridMultilevel"/>
    <w:tmpl w:val="9C0E57F6"/>
    <w:lvl w:ilvl="0" w:tplc="B4906D14">
      <w:start w:val="1"/>
      <w:numFmt w:val="decimal"/>
      <w:lvlText w:val="%1."/>
      <w:lvlJc w:val="left"/>
      <w:pPr>
        <w:ind w:left="1080" w:hanging="360"/>
      </w:pPr>
      <w:rPr>
        <w:rFonts w:hint="default"/>
        <w:color w:val="000000"/>
        <w:sz w:val="18"/>
      </w:rPr>
    </w:lvl>
    <w:lvl w:ilvl="1" w:tplc="74BA63E8">
      <w:start w:val="1"/>
      <w:numFmt w:val="upperRoman"/>
      <w:lvlText w:val="%2."/>
      <w:lvlJc w:val="left"/>
      <w:pPr>
        <w:ind w:left="2160" w:hanging="720"/>
      </w:pPr>
      <w:rPr>
        <w:rFonts w:hint="default"/>
        <w:color w:val="000000"/>
      </w:rPr>
    </w:lvl>
    <w:lvl w:ilvl="2" w:tplc="FC2CBD76">
      <w:start w:val="1"/>
      <w:numFmt w:val="upperLetter"/>
      <w:lvlText w:val="%3."/>
      <w:lvlJc w:val="left"/>
      <w:pPr>
        <w:ind w:left="2700" w:hanging="360"/>
      </w:pPr>
      <w:rPr>
        <w:rFonts w:hint="default"/>
        <w:color w:val="00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E049B0"/>
    <w:multiLevelType w:val="hybridMultilevel"/>
    <w:tmpl w:val="74206052"/>
    <w:lvl w:ilvl="0" w:tplc="39DAEA0E">
      <w:start w:val="5"/>
      <w:numFmt w:val="bullet"/>
      <w:lvlText w:val="-"/>
      <w:lvlJc w:val="left"/>
      <w:pPr>
        <w:ind w:left="126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74AB16F6"/>
    <w:multiLevelType w:val="hybridMultilevel"/>
    <w:tmpl w:val="9C0E57F6"/>
    <w:lvl w:ilvl="0" w:tplc="B4906D14">
      <w:start w:val="1"/>
      <w:numFmt w:val="decimal"/>
      <w:lvlText w:val="%1."/>
      <w:lvlJc w:val="left"/>
      <w:pPr>
        <w:ind w:left="1080" w:hanging="360"/>
      </w:pPr>
      <w:rPr>
        <w:rFonts w:hint="default"/>
        <w:color w:val="000000"/>
        <w:sz w:val="18"/>
      </w:rPr>
    </w:lvl>
    <w:lvl w:ilvl="1" w:tplc="74BA63E8">
      <w:start w:val="1"/>
      <w:numFmt w:val="upperRoman"/>
      <w:lvlText w:val="%2."/>
      <w:lvlJc w:val="left"/>
      <w:pPr>
        <w:ind w:left="2160" w:hanging="720"/>
      </w:pPr>
      <w:rPr>
        <w:rFonts w:hint="default"/>
        <w:color w:val="000000"/>
      </w:rPr>
    </w:lvl>
    <w:lvl w:ilvl="2" w:tplc="FC2CBD76">
      <w:start w:val="1"/>
      <w:numFmt w:val="upperLetter"/>
      <w:lvlText w:val="%3."/>
      <w:lvlJc w:val="left"/>
      <w:pPr>
        <w:ind w:left="2700" w:hanging="360"/>
      </w:pPr>
      <w:rPr>
        <w:rFonts w:hint="default"/>
        <w:color w:val="00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4976B0"/>
    <w:multiLevelType w:val="hybridMultilevel"/>
    <w:tmpl w:val="57327824"/>
    <w:lvl w:ilvl="0" w:tplc="92567878">
      <w:start w:val="1"/>
      <w:numFmt w:val="decimal"/>
      <w:lvlText w:val="%1."/>
      <w:lvlJc w:val="left"/>
      <w:pPr>
        <w:ind w:left="1080" w:hanging="360"/>
      </w:pPr>
      <w:rPr>
        <w:rFonts w:ascii="Times New Roman" w:hAnsi="Times New Roman" w:cs="Times New Roman" w:hint="default"/>
        <w:b w:val="0"/>
        <w:bCs w:val="0"/>
        <w:color w:val="000000"/>
        <w:spacing w:val="0"/>
        <w:w w:val="100"/>
        <w:kern w:val="0"/>
        <w:position w:val="0"/>
        <w:sz w:val="18"/>
        <w:szCs w:val="18"/>
      </w:rPr>
    </w:lvl>
    <w:lvl w:ilvl="1" w:tplc="74BA63E8">
      <w:start w:val="1"/>
      <w:numFmt w:val="upperRoman"/>
      <w:lvlText w:val="%2."/>
      <w:lvlJc w:val="left"/>
      <w:pPr>
        <w:ind w:left="2160" w:hanging="720"/>
      </w:pPr>
      <w:rPr>
        <w:rFonts w:hint="default"/>
        <w:color w:val="000000"/>
      </w:rPr>
    </w:lvl>
    <w:lvl w:ilvl="2" w:tplc="FC2CBD76">
      <w:start w:val="1"/>
      <w:numFmt w:val="upperLetter"/>
      <w:lvlText w:val="%3."/>
      <w:lvlJc w:val="left"/>
      <w:pPr>
        <w:ind w:left="2700" w:hanging="360"/>
      </w:pPr>
      <w:rPr>
        <w:rFonts w:hint="default"/>
        <w:color w:val="00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C3235F"/>
    <w:multiLevelType w:val="hybridMultilevel"/>
    <w:tmpl w:val="9FA4CECC"/>
    <w:lvl w:ilvl="0" w:tplc="B0682D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C0016C"/>
    <w:multiLevelType w:val="hybridMultilevel"/>
    <w:tmpl w:val="123E4142"/>
    <w:lvl w:ilvl="0" w:tplc="B4906D14">
      <w:start w:val="1"/>
      <w:numFmt w:val="decimal"/>
      <w:lvlText w:val="%1."/>
      <w:lvlJc w:val="left"/>
      <w:pPr>
        <w:ind w:left="720" w:hanging="360"/>
      </w:pPr>
      <w:rPr>
        <w:rFonts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E43868"/>
    <w:multiLevelType w:val="hybridMultilevel"/>
    <w:tmpl w:val="9C0E57F6"/>
    <w:lvl w:ilvl="0" w:tplc="B4906D14">
      <w:start w:val="1"/>
      <w:numFmt w:val="decimal"/>
      <w:lvlText w:val="%1."/>
      <w:lvlJc w:val="left"/>
      <w:pPr>
        <w:ind w:left="1080" w:hanging="360"/>
      </w:pPr>
      <w:rPr>
        <w:rFonts w:hint="default"/>
        <w:color w:val="000000"/>
        <w:sz w:val="18"/>
      </w:rPr>
    </w:lvl>
    <w:lvl w:ilvl="1" w:tplc="74BA63E8">
      <w:start w:val="1"/>
      <w:numFmt w:val="upperRoman"/>
      <w:lvlText w:val="%2."/>
      <w:lvlJc w:val="left"/>
      <w:pPr>
        <w:ind w:left="2160" w:hanging="720"/>
      </w:pPr>
      <w:rPr>
        <w:rFonts w:hint="default"/>
        <w:color w:val="000000"/>
      </w:rPr>
    </w:lvl>
    <w:lvl w:ilvl="2" w:tplc="FC2CBD76">
      <w:start w:val="1"/>
      <w:numFmt w:val="upperLetter"/>
      <w:lvlText w:val="%3."/>
      <w:lvlJc w:val="left"/>
      <w:pPr>
        <w:ind w:left="2700" w:hanging="360"/>
      </w:pPr>
      <w:rPr>
        <w:rFonts w:hint="default"/>
        <w:color w:val="00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121609"/>
    <w:multiLevelType w:val="hybridMultilevel"/>
    <w:tmpl w:val="9C0E57F6"/>
    <w:lvl w:ilvl="0" w:tplc="B4906D14">
      <w:start w:val="1"/>
      <w:numFmt w:val="decimal"/>
      <w:lvlText w:val="%1."/>
      <w:lvlJc w:val="left"/>
      <w:pPr>
        <w:ind w:left="1080" w:hanging="360"/>
      </w:pPr>
      <w:rPr>
        <w:rFonts w:hint="default"/>
        <w:color w:val="000000"/>
        <w:sz w:val="18"/>
      </w:rPr>
    </w:lvl>
    <w:lvl w:ilvl="1" w:tplc="74BA63E8">
      <w:start w:val="1"/>
      <w:numFmt w:val="upperRoman"/>
      <w:lvlText w:val="%2."/>
      <w:lvlJc w:val="left"/>
      <w:pPr>
        <w:ind w:left="2160" w:hanging="720"/>
      </w:pPr>
      <w:rPr>
        <w:rFonts w:hint="default"/>
        <w:color w:val="000000"/>
      </w:rPr>
    </w:lvl>
    <w:lvl w:ilvl="2" w:tplc="FC2CBD76">
      <w:start w:val="1"/>
      <w:numFmt w:val="upperLetter"/>
      <w:lvlText w:val="%3."/>
      <w:lvlJc w:val="left"/>
      <w:pPr>
        <w:ind w:left="2700" w:hanging="360"/>
      </w:pPr>
      <w:rPr>
        <w:rFonts w:hint="default"/>
        <w:color w:val="00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352834"/>
    <w:multiLevelType w:val="hybridMultilevel"/>
    <w:tmpl w:val="9C0E57F6"/>
    <w:lvl w:ilvl="0" w:tplc="B4906D14">
      <w:start w:val="1"/>
      <w:numFmt w:val="decimal"/>
      <w:lvlText w:val="%1."/>
      <w:lvlJc w:val="left"/>
      <w:pPr>
        <w:ind w:left="1080" w:hanging="360"/>
      </w:pPr>
      <w:rPr>
        <w:rFonts w:hint="default"/>
        <w:color w:val="000000"/>
        <w:sz w:val="18"/>
      </w:rPr>
    </w:lvl>
    <w:lvl w:ilvl="1" w:tplc="74BA63E8">
      <w:start w:val="1"/>
      <w:numFmt w:val="upperRoman"/>
      <w:lvlText w:val="%2."/>
      <w:lvlJc w:val="left"/>
      <w:pPr>
        <w:ind w:left="2160" w:hanging="720"/>
      </w:pPr>
      <w:rPr>
        <w:rFonts w:hint="default"/>
        <w:color w:val="000000"/>
      </w:rPr>
    </w:lvl>
    <w:lvl w:ilvl="2" w:tplc="FC2CBD76">
      <w:start w:val="1"/>
      <w:numFmt w:val="upperLetter"/>
      <w:lvlText w:val="%3."/>
      <w:lvlJc w:val="left"/>
      <w:pPr>
        <w:ind w:left="2700" w:hanging="360"/>
      </w:pPr>
      <w:rPr>
        <w:rFonts w:hint="default"/>
        <w:color w:val="00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6"/>
  </w:num>
  <w:num w:numId="3">
    <w:abstractNumId w:val="14"/>
  </w:num>
  <w:num w:numId="4">
    <w:abstractNumId w:val="24"/>
  </w:num>
  <w:num w:numId="5">
    <w:abstractNumId w:val="21"/>
  </w:num>
  <w:num w:numId="6">
    <w:abstractNumId w:val="3"/>
  </w:num>
  <w:num w:numId="7">
    <w:abstractNumId w:val="4"/>
  </w:num>
  <w:num w:numId="8">
    <w:abstractNumId w:val="29"/>
  </w:num>
  <w:num w:numId="9">
    <w:abstractNumId w:val="27"/>
  </w:num>
  <w:num w:numId="10">
    <w:abstractNumId w:val="11"/>
  </w:num>
  <w:num w:numId="11">
    <w:abstractNumId w:val="1"/>
  </w:num>
  <w:num w:numId="12">
    <w:abstractNumId w:val="13"/>
  </w:num>
  <w:num w:numId="13">
    <w:abstractNumId w:val="7"/>
  </w:num>
  <w:num w:numId="14">
    <w:abstractNumId w:val="5"/>
  </w:num>
  <w:num w:numId="15">
    <w:abstractNumId w:val="25"/>
  </w:num>
  <w:num w:numId="16">
    <w:abstractNumId w:val="20"/>
  </w:num>
  <w:num w:numId="17">
    <w:abstractNumId w:val="6"/>
  </w:num>
  <w:num w:numId="18">
    <w:abstractNumId w:val="12"/>
  </w:num>
  <w:num w:numId="19">
    <w:abstractNumId w:val="2"/>
  </w:num>
  <w:num w:numId="20">
    <w:abstractNumId w:val="17"/>
  </w:num>
  <w:num w:numId="21">
    <w:abstractNumId w:val="15"/>
  </w:num>
  <w:num w:numId="22">
    <w:abstractNumId w:val="10"/>
  </w:num>
  <w:num w:numId="23">
    <w:abstractNumId w:val="23"/>
  </w:num>
  <w:num w:numId="24">
    <w:abstractNumId w:val="28"/>
  </w:num>
  <w:num w:numId="25">
    <w:abstractNumId w:val="8"/>
  </w:num>
  <w:num w:numId="26">
    <w:abstractNumId w:val="22"/>
  </w:num>
  <w:num w:numId="27">
    <w:abstractNumId w:val="18"/>
  </w:num>
  <w:num w:numId="28">
    <w:abstractNumId w:val="0"/>
  </w:num>
  <w:num w:numId="29">
    <w:abstractNumId w:val="16"/>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compat>
  <w:rsids>
    <w:rsidRoot w:val="008664E8"/>
    <w:rsid w:val="00021D83"/>
    <w:rsid w:val="000307A0"/>
    <w:rsid w:val="00032193"/>
    <w:rsid w:val="00033B5A"/>
    <w:rsid w:val="00040F3F"/>
    <w:rsid w:val="00043C2C"/>
    <w:rsid w:val="00055218"/>
    <w:rsid w:val="0008250F"/>
    <w:rsid w:val="0008529B"/>
    <w:rsid w:val="000A0583"/>
    <w:rsid w:val="000A7B5D"/>
    <w:rsid w:val="000D3210"/>
    <w:rsid w:val="000E1D90"/>
    <w:rsid w:val="000E5474"/>
    <w:rsid w:val="000E7F9B"/>
    <w:rsid w:val="000F05F7"/>
    <w:rsid w:val="000F370A"/>
    <w:rsid w:val="00100755"/>
    <w:rsid w:val="00104558"/>
    <w:rsid w:val="001052A0"/>
    <w:rsid w:val="00115B50"/>
    <w:rsid w:val="00122B11"/>
    <w:rsid w:val="00125E36"/>
    <w:rsid w:val="001338BD"/>
    <w:rsid w:val="001340AF"/>
    <w:rsid w:val="001374BA"/>
    <w:rsid w:val="00140BB0"/>
    <w:rsid w:val="001740BA"/>
    <w:rsid w:val="00181B90"/>
    <w:rsid w:val="00183F46"/>
    <w:rsid w:val="001841CD"/>
    <w:rsid w:val="0019375E"/>
    <w:rsid w:val="001A1ECE"/>
    <w:rsid w:val="001D3DF1"/>
    <w:rsid w:val="001E5347"/>
    <w:rsid w:val="0020255F"/>
    <w:rsid w:val="002063CB"/>
    <w:rsid w:val="00217161"/>
    <w:rsid w:val="00225FBF"/>
    <w:rsid w:val="00235F3F"/>
    <w:rsid w:val="002450F4"/>
    <w:rsid w:val="00255551"/>
    <w:rsid w:val="00262BEB"/>
    <w:rsid w:val="00264489"/>
    <w:rsid w:val="00267002"/>
    <w:rsid w:val="00271551"/>
    <w:rsid w:val="00293760"/>
    <w:rsid w:val="002B23C0"/>
    <w:rsid w:val="002B5904"/>
    <w:rsid w:val="002C0507"/>
    <w:rsid w:val="002C0C40"/>
    <w:rsid w:val="002C4DED"/>
    <w:rsid w:val="002D0981"/>
    <w:rsid w:val="002E5753"/>
    <w:rsid w:val="002F1A00"/>
    <w:rsid w:val="002F5546"/>
    <w:rsid w:val="002F7A20"/>
    <w:rsid w:val="002F7A37"/>
    <w:rsid w:val="00300281"/>
    <w:rsid w:val="00301052"/>
    <w:rsid w:val="00302274"/>
    <w:rsid w:val="003064FE"/>
    <w:rsid w:val="00310888"/>
    <w:rsid w:val="00317CF1"/>
    <w:rsid w:val="0033713E"/>
    <w:rsid w:val="00337A42"/>
    <w:rsid w:val="003651A8"/>
    <w:rsid w:val="003909EC"/>
    <w:rsid w:val="003909F5"/>
    <w:rsid w:val="003A490D"/>
    <w:rsid w:val="003A7884"/>
    <w:rsid w:val="003D6100"/>
    <w:rsid w:val="003E71F7"/>
    <w:rsid w:val="003F64DE"/>
    <w:rsid w:val="00400014"/>
    <w:rsid w:val="00417F9C"/>
    <w:rsid w:val="00421F49"/>
    <w:rsid w:val="0042684F"/>
    <w:rsid w:val="00427306"/>
    <w:rsid w:val="0043571C"/>
    <w:rsid w:val="00441961"/>
    <w:rsid w:val="0044316F"/>
    <w:rsid w:val="00443A67"/>
    <w:rsid w:val="004456DE"/>
    <w:rsid w:val="00451343"/>
    <w:rsid w:val="004604AE"/>
    <w:rsid w:val="004667B0"/>
    <w:rsid w:val="004A40B0"/>
    <w:rsid w:val="004A6647"/>
    <w:rsid w:val="004B2EC5"/>
    <w:rsid w:val="004B4D2A"/>
    <w:rsid w:val="004D08F5"/>
    <w:rsid w:val="004D2F7A"/>
    <w:rsid w:val="004E62B6"/>
    <w:rsid w:val="004F1077"/>
    <w:rsid w:val="00501303"/>
    <w:rsid w:val="0050406E"/>
    <w:rsid w:val="005158B7"/>
    <w:rsid w:val="0052680A"/>
    <w:rsid w:val="00532B01"/>
    <w:rsid w:val="005502B8"/>
    <w:rsid w:val="00555270"/>
    <w:rsid w:val="005573FC"/>
    <w:rsid w:val="00576F70"/>
    <w:rsid w:val="005B5DA9"/>
    <w:rsid w:val="005E4A85"/>
    <w:rsid w:val="005F1ABF"/>
    <w:rsid w:val="005F4EF9"/>
    <w:rsid w:val="00606483"/>
    <w:rsid w:val="006100FA"/>
    <w:rsid w:val="00614387"/>
    <w:rsid w:val="00646583"/>
    <w:rsid w:val="0065356C"/>
    <w:rsid w:val="006773BF"/>
    <w:rsid w:val="00680EB5"/>
    <w:rsid w:val="0068597E"/>
    <w:rsid w:val="006970B2"/>
    <w:rsid w:val="006A20A4"/>
    <w:rsid w:val="006A275C"/>
    <w:rsid w:val="006D67FC"/>
    <w:rsid w:val="006E5478"/>
    <w:rsid w:val="006E692B"/>
    <w:rsid w:val="006F1ADB"/>
    <w:rsid w:val="006F3BC1"/>
    <w:rsid w:val="006F70F2"/>
    <w:rsid w:val="00703966"/>
    <w:rsid w:val="00724BE3"/>
    <w:rsid w:val="00725850"/>
    <w:rsid w:val="007528CC"/>
    <w:rsid w:val="007666A7"/>
    <w:rsid w:val="007674CF"/>
    <w:rsid w:val="00773B40"/>
    <w:rsid w:val="00786733"/>
    <w:rsid w:val="007A0119"/>
    <w:rsid w:val="007A2010"/>
    <w:rsid w:val="007A7802"/>
    <w:rsid w:val="007C5096"/>
    <w:rsid w:val="007D343F"/>
    <w:rsid w:val="007E01DA"/>
    <w:rsid w:val="007E341C"/>
    <w:rsid w:val="007F27D2"/>
    <w:rsid w:val="007F4BAA"/>
    <w:rsid w:val="007F72CD"/>
    <w:rsid w:val="00804AEE"/>
    <w:rsid w:val="00810AB9"/>
    <w:rsid w:val="00843187"/>
    <w:rsid w:val="008475E0"/>
    <w:rsid w:val="00853B9F"/>
    <w:rsid w:val="008664E8"/>
    <w:rsid w:val="00875F15"/>
    <w:rsid w:val="00890856"/>
    <w:rsid w:val="008A44F9"/>
    <w:rsid w:val="008A57FB"/>
    <w:rsid w:val="008E4058"/>
    <w:rsid w:val="0092407A"/>
    <w:rsid w:val="00927264"/>
    <w:rsid w:val="0093615A"/>
    <w:rsid w:val="009443BF"/>
    <w:rsid w:val="00960A6F"/>
    <w:rsid w:val="009615FB"/>
    <w:rsid w:val="009629CE"/>
    <w:rsid w:val="00973193"/>
    <w:rsid w:val="00977061"/>
    <w:rsid w:val="0097727E"/>
    <w:rsid w:val="00990945"/>
    <w:rsid w:val="0099477E"/>
    <w:rsid w:val="00996A7A"/>
    <w:rsid w:val="00996B8B"/>
    <w:rsid w:val="009A0EEF"/>
    <w:rsid w:val="009A3C58"/>
    <w:rsid w:val="009A4987"/>
    <w:rsid w:val="009B4C10"/>
    <w:rsid w:val="009C372B"/>
    <w:rsid w:val="009D1540"/>
    <w:rsid w:val="009D316E"/>
    <w:rsid w:val="009E3EF6"/>
    <w:rsid w:val="009F21BE"/>
    <w:rsid w:val="009F5DFD"/>
    <w:rsid w:val="00A0321E"/>
    <w:rsid w:val="00A03A1E"/>
    <w:rsid w:val="00A1611E"/>
    <w:rsid w:val="00A17D08"/>
    <w:rsid w:val="00A22012"/>
    <w:rsid w:val="00A23DE8"/>
    <w:rsid w:val="00A31032"/>
    <w:rsid w:val="00A3365F"/>
    <w:rsid w:val="00A569F9"/>
    <w:rsid w:val="00A601AE"/>
    <w:rsid w:val="00A67473"/>
    <w:rsid w:val="00A67698"/>
    <w:rsid w:val="00A734DE"/>
    <w:rsid w:val="00A744E6"/>
    <w:rsid w:val="00A83596"/>
    <w:rsid w:val="00AA1001"/>
    <w:rsid w:val="00AA3592"/>
    <w:rsid w:val="00AA4D64"/>
    <w:rsid w:val="00AA7407"/>
    <w:rsid w:val="00AC1008"/>
    <w:rsid w:val="00AC1FDD"/>
    <w:rsid w:val="00AD1CE1"/>
    <w:rsid w:val="00AD6D72"/>
    <w:rsid w:val="00AD7FC2"/>
    <w:rsid w:val="00AE0BDC"/>
    <w:rsid w:val="00AE76DB"/>
    <w:rsid w:val="00AF7F29"/>
    <w:rsid w:val="00B0104C"/>
    <w:rsid w:val="00B05D2E"/>
    <w:rsid w:val="00B2075C"/>
    <w:rsid w:val="00B22F8C"/>
    <w:rsid w:val="00B35268"/>
    <w:rsid w:val="00B40A86"/>
    <w:rsid w:val="00B412CC"/>
    <w:rsid w:val="00B51E6A"/>
    <w:rsid w:val="00B5470D"/>
    <w:rsid w:val="00B6246A"/>
    <w:rsid w:val="00B65B71"/>
    <w:rsid w:val="00B70401"/>
    <w:rsid w:val="00B756F1"/>
    <w:rsid w:val="00B83AD3"/>
    <w:rsid w:val="00B93294"/>
    <w:rsid w:val="00BA136D"/>
    <w:rsid w:val="00BB06DD"/>
    <w:rsid w:val="00BD6349"/>
    <w:rsid w:val="00BF13A4"/>
    <w:rsid w:val="00BF681E"/>
    <w:rsid w:val="00C00C14"/>
    <w:rsid w:val="00C022DE"/>
    <w:rsid w:val="00C067CC"/>
    <w:rsid w:val="00C15ED8"/>
    <w:rsid w:val="00C248CF"/>
    <w:rsid w:val="00C3179A"/>
    <w:rsid w:val="00C33496"/>
    <w:rsid w:val="00C4111C"/>
    <w:rsid w:val="00C42DF2"/>
    <w:rsid w:val="00C5286D"/>
    <w:rsid w:val="00C54D0F"/>
    <w:rsid w:val="00C616E5"/>
    <w:rsid w:val="00C61900"/>
    <w:rsid w:val="00C635D5"/>
    <w:rsid w:val="00C650AC"/>
    <w:rsid w:val="00C754F1"/>
    <w:rsid w:val="00C7560F"/>
    <w:rsid w:val="00C835F7"/>
    <w:rsid w:val="00CC2B73"/>
    <w:rsid w:val="00CC4FF1"/>
    <w:rsid w:val="00CC71F9"/>
    <w:rsid w:val="00CD0CAE"/>
    <w:rsid w:val="00CE6266"/>
    <w:rsid w:val="00CF2BE2"/>
    <w:rsid w:val="00D008CF"/>
    <w:rsid w:val="00D04670"/>
    <w:rsid w:val="00D10E3C"/>
    <w:rsid w:val="00D126E6"/>
    <w:rsid w:val="00D21499"/>
    <w:rsid w:val="00D241D5"/>
    <w:rsid w:val="00D26839"/>
    <w:rsid w:val="00D27629"/>
    <w:rsid w:val="00D3447F"/>
    <w:rsid w:val="00D355D8"/>
    <w:rsid w:val="00D5332A"/>
    <w:rsid w:val="00D54375"/>
    <w:rsid w:val="00D57902"/>
    <w:rsid w:val="00D60F68"/>
    <w:rsid w:val="00D655AC"/>
    <w:rsid w:val="00D74325"/>
    <w:rsid w:val="00D75806"/>
    <w:rsid w:val="00D761A3"/>
    <w:rsid w:val="00D7705D"/>
    <w:rsid w:val="00D82029"/>
    <w:rsid w:val="00D84CE4"/>
    <w:rsid w:val="00D973FD"/>
    <w:rsid w:val="00DA54BD"/>
    <w:rsid w:val="00DA6EB8"/>
    <w:rsid w:val="00DB29C6"/>
    <w:rsid w:val="00DB752D"/>
    <w:rsid w:val="00DD19D1"/>
    <w:rsid w:val="00DF3679"/>
    <w:rsid w:val="00E242DD"/>
    <w:rsid w:val="00E26250"/>
    <w:rsid w:val="00E33F72"/>
    <w:rsid w:val="00E34208"/>
    <w:rsid w:val="00E37974"/>
    <w:rsid w:val="00E37E65"/>
    <w:rsid w:val="00E41333"/>
    <w:rsid w:val="00E416B5"/>
    <w:rsid w:val="00E42E1C"/>
    <w:rsid w:val="00E56965"/>
    <w:rsid w:val="00E62E6A"/>
    <w:rsid w:val="00E71E8A"/>
    <w:rsid w:val="00E84C49"/>
    <w:rsid w:val="00E90491"/>
    <w:rsid w:val="00E90D61"/>
    <w:rsid w:val="00E9698D"/>
    <w:rsid w:val="00EC54CF"/>
    <w:rsid w:val="00EE0549"/>
    <w:rsid w:val="00EE23A9"/>
    <w:rsid w:val="00EF56F5"/>
    <w:rsid w:val="00F00944"/>
    <w:rsid w:val="00F015E6"/>
    <w:rsid w:val="00F029B9"/>
    <w:rsid w:val="00F209F7"/>
    <w:rsid w:val="00F36F1A"/>
    <w:rsid w:val="00F74800"/>
    <w:rsid w:val="00F7533A"/>
    <w:rsid w:val="00F81BBB"/>
    <w:rsid w:val="00FA1724"/>
    <w:rsid w:val="00FB21A4"/>
    <w:rsid w:val="00FC4B40"/>
    <w:rsid w:val="00FC5D17"/>
    <w:rsid w:val="00FD5E98"/>
    <w:rsid w:val="00FD6A18"/>
    <w:rsid w:val="00FE0F7E"/>
    <w:rsid w:val="00FE3E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9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E36"/>
    <w:pPr>
      <w:ind w:left="720"/>
      <w:contextualSpacing/>
    </w:pPr>
  </w:style>
  <w:style w:type="paragraph" w:styleId="BalloonText">
    <w:name w:val="Balloon Text"/>
    <w:basedOn w:val="Normal"/>
    <w:link w:val="BalloonTextChar"/>
    <w:uiPriority w:val="99"/>
    <w:semiHidden/>
    <w:unhideWhenUsed/>
    <w:rsid w:val="00C31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79A"/>
    <w:rPr>
      <w:rFonts w:ascii="Segoe UI" w:hAnsi="Segoe UI" w:cs="Segoe UI"/>
      <w:sz w:val="18"/>
      <w:szCs w:val="18"/>
    </w:rPr>
  </w:style>
  <w:style w:type="paragraph" w:styleId="BodyText3">
    <w:name w:val="Body Text 3"/>
    <w:basedOn w:val="Normal"/>
    <w:link w:val="BodyText3Char"/>
    <w:rsid w:val="0019375E"/>
    <w:pPr>
      <w:spacing w:after="0" w:line="360" w:lineRule="auto"/>
      <w:jc w:val="lowKashida"/>
    </w:pPr>
    <w:rPr>
      <w:rFonts w:ascii="Times New Roman" w:eastAsia="Times New Roman" w:hAnsi="Times New Roman" w:cs="Traditional Arabic"/>
      <w:sz w:val="28"/>
      <w:szCs w:val="24"/>
    </w:rPr>
  </w:style>
  <w:style w:type="character" w:customStyle="1" w:styleId="BodyText3Char">
    <w:name w:val="Body Text 3 Char"/>
    <w:basedOn w:val="DefaultParagraphFont"/>
    <w:link w:val="BodyText3"/>
    <w:rsid w:val="0019375E"/>
    <w:rPr>
      <w:rFonts w:ascii="Times New Roman" w:eastAsia="Times New Roman" w:hAnsi="Times New Roman" w:cs="Traditional Arabic"/>
      <w:sz w:val="28"/>
      <w:szCs w:val="24"/>
    </w:rPr>
  </w:style>
  <w:style w:type="paragraph" w:styleId="BodyText2">
    <w:name w:val="Body Text 2"/>
    <w:basedOn w:val="Normal"/>
    <w:link w:val="BodyText2Char"/>
    <w:rsid w:val="0019375E"/>
    <w:pPr>
      <w:bidi/>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9375E"/>
    <w:rPr>
      <w:rFonts w:ascii="Times New Roman" w:eastAsia="Times New Roman" w:hAnsi="Times New Roman" w:cs="Times New Roman"/>
      <w:sz w:val="24"/>
      <w:szCs w:val="24"/>
    </w:rPr>
  </w:style>
  <w:style w:type="table" w:styleId="TableGrid">
    <w:name w:val="Table Grid"/>
    <w:basedOn w:val="TableNormal"/>
    <w:uiPriority w:val="59"/>
    <w:rsid w:val="00F753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667B0"/>
    <w:pPr>
      <w:tabs>
        <w:tab w:val="center" w:pos="4153"/>
        <w:tab w:val="right" w:pos="8306"/>
      </w:tabs>
      <w:bidi/>
      <w:spacing w:after="0" w:line="240" w:lineRule="auto"/>
    </w:pPr>
    <w:rPr>
      <w:rFonts w:ascii="Times New Roman" w:eastAsia="Times New Roman" w:hAnsi="Times New Roman" w:cs="Traditional Arabic"/>
      <w:sz w:val="20"/>
      <w:szCs w:val="20"/>
    </w:rPr>
  </w:style>
  <w:style w:type="character" w:customStyle="1" w:styleId="HeaderChar">
    <w:name w:val="Header Char"/>
    <w:basedOn w:val="DefaultParagraphFont"/>
    <w:link w:val="Header"/>
    <w:rsid w:val="004667B0"/>
    <w:rPr>
      <w:rFonts w:ascii="Times New Roman" w:eastAsia="Times New Roman" w:hAnsi="Times New Roman" w:cs="Traditional Arabic"/>
      <w:sz w:val="20"/>
      <w:szCs w:val="20"/>
    </w:rPr>
  </w:style>
  <w:style w:type="character" w:styleId="Hyperlink">
    <w:name w:val="Hyperlink"/>
    <w:basedOn w:val="DefaultParagraphFont"/>
    <w:uiPriority w:val="99"/>
    <w:unhideWhenUsed/>
    <w:rsid w:val="00B05D2E"/>
    <w:rPr>
      <w:color w:val="0563C1" w:themeColor="hyperlink"/>
      <w:u w:val="single"/>
    </w:rPr>
  </w:style>
  <w:style w:type="paragraph" w:styleId="Footer">
    <w:name w:val="footer"/>
    <w:basedOn w:val="Normal"/>
    <w:link w:val="FooterChar"/>
    <w:uiPriority w:val="99"/>
    <w:unhideWhenUsed/>
    <w:rsid w:val="00225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F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moabdewahab_2004@yahoo.com"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nys110718.13"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963D-2136-463B-B2E0-1A32DEB3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5272</Words>
  <Characters>30052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7</cp:revision>
  <cp:lastPrinted>2018-10-16T23:16:00Z</cp:lastPrinted>
  <dcterms:created xsi:type="dcterms:W3CDTF">2018-10-11T10:44:00Z</dcterms:created>
  <dcterms:modified xsi:type="dcterms:W3CDTF">2018-10-16T23:17:00Z</dcterms:modified>
</cp:coreProperties>
</file>