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05" w:rsidRPr="008575AE" w:rsidRDefault="00DF4C29" w:rsidP="008575AE">
      <w:pPr>
        <w:snapToGrid w:val="0"/>
        <w:jc w:val="center"/>
        <w:rPr>
          <w:b/>
        </w:rPr>
      </w:pPr>
      <w:r w:rsidRPr="008575AE">
        <w:rPr>
          <w:b/>
        </w:rPr>
        <w:t xml:space="preserve">Iron </w:t>
      </w:r>
      <w:r w:rsidR="009E1D01" w:rsidRPr="008575AE">
        <w:rPr>
          <w:b/>
        </w:rPr>
        <w:t xml:space="preserve">Presented as Food (Sun Active Iron) versus Pharmaceutical Iron Therapy (Ferric Hydroxide </w:t>
      </w:r>
      <w:proofErr w:type="spellStart"/>
      <w:r w:rsidR="009E1D01" w:rsidRPr="008575AE">
        <w:rPr>
          <w:b/>
        </w:rPr>
        <w:t>Polymatose</w:t>
      </w:r>
      <w:proofErr w:type="spellEnd"/>
      <w:r w:rsidR="009E1D01" w:rsidRPr="008575AE">
        <w:rPr>
          <w:b/>
        </w:rPr>
        <w:t xml:space="preserve"> Complex) For Treatment of Iron Deficiency Anemia in Children</w:t>
      </w:r>
    </w:p>
    <w:p w:rsidR="00EC6205" w:rsidRPr="008575AE" w:rsidRDefault="00EC6205" w:rsidP="008575AE">
      <w:pPr>
        <w:snapToGrid w:val="0"/>
        <w:jc w:val="center"/>
        <w:rPr>
          <w:b/>
        </w:rPr>
      </w:pPr>
    </w:p>
    <w:p w:rsidR="00EC6205" w:rsidRPr="008575AE" w:rsidRDefault="00DF4C29" w:rsidP="008575AE">
      <w:pPr>
        <w:snapToGrid w:val="0"/>
        <w:jc w:val="center"/>
        <w:rPr>
          <w:bCs/>
        </w:rPr>
      </w:pPr>
      <w:proofErr w:type="spellStart"/>
      <w:r w:rsidRPr="008575AE">
        <w:rPr>
          <w:bCs/>
        </w:rPr>
        <w:t>Esam</w:t>
      </w:r>
      <w:proofErr w:type="spellEnd"/>
      <w:r w:rsidRPr="008575AE">
        <w:rPr>
          <w:bCs/>
        </w:rPr>
        <w:t xml:space="preserve"> </w:t>
      </w:r>
      <w:proofErr w:type="spellStart"/>
      <w:r w:rsidRPr="008575AE">
        <w:rPr>
          <w:bCs/>
        </w:rPr>
        <w:t>eldeen</w:t>
      </w:r>
      <w:proofErr w:type="spellEnd"/>
      <w:r w:rsidRPr="008575AE">
        <w:rPr>
          <w:bCs/>
        </w:rPr>
        <w:t xml:space="preserve"> Gadelrab</w:t>
      </w:r>
      <w:r w:rsidRPr="008575AE">
        <w:rPr>
          <w:bCs/>
          <w:vertAlign w:val="superscript"/>
        </w:rPr>
        <w:t>1</w:t>
      </w:r>
      <w:r w:rsidR="009E1D01" w:rsidRPr="008575AE">
        <w:rPr>
          <w:bCs/>
        </w:rPr>
        <w:t xml:space="preserve">, </w:t>
      </w:r>
      <w:proofErr w:type="spellStart"/>
      <w:r w:rsidRPr="008575AE">
        <w:rPr>
          <w:bCs/>
        </w:rPr>
        <w:t>Sayed</w:t>
      </w:r>
      <w:proofErr w:type="spellEnd"/>
      <w:r w:rsidRPr="008575AE">
        <w:rPr>
          <w:bCs/>
        </w:rPr>
        <w:t xml:space="preserve"> Ali</w:t>
      </w:r>
      <w:r w:rsidRPr="008575AE">
        <w:rPr>
          <w:bCs/>
          <w:vertAlign w:val="superscript"/>
        </w:rPr>
        <w:t>1</w:t>
      </w:r>
      <w:r w:rsidRPr="008575AE">
        <w:rPr>
          <w:bCs/>
        </w:rPr>
        <w:t>, Mohammed Mansour</w:t>
      </w:r>
      <w:r w:rsidRPr="008575AE">
        <w:rPr>
          <w:bCs/>
          <w:vertAlign w:val="superscript"/>
        </w:rPr>
        <w:t>2</w:t>
      </w:r>
      <w:r w:rsidR="009E1D01" w:rsidRPr="008575AE">
        <w:rPr>
          <w:bCs/>
        </w:rPr>
        <w:t xml:space="preserve"> and </w:t>
      </w:r>
      <w:proofErr w:type="spellStart"/>
      <w:r w:rsidRPr="008575AE">
        <w:rPr>
          <w:bCs/>
        </w:rPr>
        <w:t>Asmaa</w:t>
      </w:r>
      <w:proofErr w:type="spellEnd"/>
      <w:r w:rsidRPr="008575AE">
        <w:rPr>
          <w:bCs/>
        </w:rPr>
        <w:t xml:space="preserve"> Abdelall</w:t>
      </w:r>
      <w:r w:rsidRPr="008575AE">
        <w:rPr>
          <w:bCs/>
          <w:vertAlign w:val="superscript"/>
        </w:rPr>
        <w:t>1</w:t>
      </w:r>
    </w:p>
    <w:p w:rsidR="00EC6205" w:rsidRPr="008575AE" w:rsidRDefault="00EC6205" w:rsidP="008575AE">
      <w:pPr>
        <w:snapToGrid w:val="0"/>
        <w:jc w:val="center"/>
        <w:rPr>
          <w:bCs/>
        </w:rPr>
      </w:pPr>
    </w:p>
    <w:p w:rsidR="00EC6205" w:rsidRPr="008575AE" w:rsidRDefault="00DF4C29" w:rsidP="008575AE">
      <w:pPr>
        <w:snapToGrid w:val="0"/>
        <w:jc w:val="center"/>
      </w:pPr>
      <w:r w:rsidRPr="008575AE">
        <w:rPr>
          <w:vertAlign w:val="superscript"/>
        </w:rPr>
        <w:t>1</w:t>
      </w:r>
      <w:r w:rsidRPr="008575AE">
        <w:t>Pediatric Department,</w:t>
      </w:r>
      <w:r w:rsidR="009E1D01" w:rsidRPr="008575AE">
        <w:t xml:space="preserve"> Faculty of Medicine, </w:t>
      </w:r>
      <w:proofErr w:type="spellStart"/>
      <w:r w:rsidR="009E1D01" w:rsidRPr="008575AE">
        <w:t>Fayoum</w:t>
      </w:r>
      <w:proofErr w:type="spellEnd"/>
      <w:r w:rsidR="009E1D01" w:rsidRPr="008575AE">
        <w:t xml:space="preserve"> University, Egypt</w:t>
      </w:r>
    </w:p>
    <w:p w:rsidR="00EC6205" w:rsidRPr="008575AE" w:rsidRDefault="00EC6205" w:rsidP="008575AE">
      <w:pPr>
        <w:snapToGrid w:val="0"/>
        <w:jc w:val="center"/>
      </w:pPr>
      <w:r w:rsidRPr="008575AE">
        <w:rPr>
          <w:vertAlign w:val="superscript"/>
        </w:rPr>
        <w:t>2</w:t>
      </w:r>
      <w:r w:rsidR="00DF4C29" w:rsidRPr="008575AE">
        <w:t xml:space="preserve">Clinical Pathology Department, Faculty of Medicine, </w:t>
      </w:r>
      <w:proofErr w:type="spellStart"/>
      <w:r w:rsidR="00DF4C29" w:rsidRPr="008575AE">
        <w:t>Fayoum</w:t>
      </w:r>
      <w:proofErr w:type="spellEnd"/>
      <w:r w:rsidR="009E1D01" w:rsidRPr="008575AE">
        <w:t xml:space="preserve"> </w:t>
      </w:r>
      <w:r w:rsidR="00DF4C29" w:rsidRPr="008575AE">
        <w:t>University</w:t>
      </w:r>
      <w:r w:rsidR="009E1D01" w:rsidRPr="008575AE">
        <w:t>, Egypt</w:t>
      </w:r>
    </w:p>
    <w:p w:rsidR="00EC6205" w:rsidRPr="008575AE" w:rsidRDefault="00EC6205" w:rsidP="008575AE">
      <w:pPr>
        <w:snapToGrid w:val="0"/>
        <w:jc w:val="center"/>
      </w:pPr>
    </w:p>
    <w:p w:rsidR="00CE0D30" w:rsidRPr="008575AE" w:rsidRDefault="003B7381" w:rsidP="008575AE">
      <w:pPr>
        <w:snapToGrid w:val="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0;text-align:left;margin-left:77.65pt;margin-top:-3.35pt;width:18.95pt;height:9.95pt;z-index:-2;visibility:visible;mso-position-horizontal-relative:page">
            <v:imagedata r:id="rId7" o:title=""/>
            <w10:wrap anchorx="page"/>
          </v:shape>
        </w:pict>
      </w:r>
      <w:r w:rsidR="009E1D01" w:rsidRPr="008575AE">
        <w:rPr>
          <w:b/>
        </w:rPr>
        <w:t xml:space="preserve">Abstract: Background: </w:t>
      </w:r>
      <w:r w:rsidR="009E1D01" w:rsidRPr="008575AE">
        <w:t xml:space="preserve">iron deficiency is considered the most common nutritional deficiency worldwide, and the most significant negative consequence of iron deficiency is iron deficiency anemia (IDA). Treatments of IDA may include dietary changes and supplements. </w:t>
      </w:r>
      <w:r w:rsidR="009E1D01" w:rsidRPr="008575AE">
        <w:rPr>
          <w:b/>
        </w:rPr>
        <w:t>Methodology</w:t>
      </w:r>
      <w:r w:rsidR="009E1D01" w:rsidRPr="008575AE">
        <w:t xml:space="preserve">: The study had been conducted on 100 children diagnosed as iron deficiency anemia, their age from 1-5 years, classified into two groups: group one included 50 patients treated by essential iron micronized dispersible ferric pyrophosphate; group two included 50 patients treated by oral ferric hydroxide </w:t>
      </w:r>
      <w:proofErr w:type="spellStart"/>
      <w:r w:rsidR="009E1D01" w:rsidRPr="008575AE">
        <w:t>polymaltose</w:t>
      </w:r>
      <w:proofErr w:type="spellEnd"/>
      <w:r w:rsidR="009E1D01" w:rsidRPr="008575AE">
        <w:t xml:space="preserve"> complex for three months.</w:t>
      </w:r>
      <w:r w:rsidR="00EC6205" w:rsidRPr="008575AE">
        <w:t xml:space="preserve"> </w:t>
      </w:r>
      <w:proofErr w:type="spellStart"/>
      <w:r w:rsidR="009E1D01" w:rsidRPr="008575AE">
        <w:t>Hb</w:t>
      </w:r>
      <w:proofErr w:type="spellEnd"/>
      <w:r w:rsidR="009E1D01" w:rsidRPr="008575AE">
        <w:t xml:space="preserve">, RBCS indices and iron profile were obtained from all participants. </w:t>
      </w:r>
      <w:r w:rsidR="009E1D01" w:rsidRPr="008575AE">
        <w:rPr>
          <w:b/>
        </w:rPr>
        <w:t xml:space="preserve">Results: </w:t>
      </w:r>
      <w:r w:rsidR="009E1D01" w:rsidRPr="008575AE">
        <w:t xml:space="preserve">The mean of </w:t>
      </w:r>
      <w:proofErr w:type="spellStart"/>
      <w:r w:rsidR="009E1D01" w:rsidRPr="008575AE">
        <w:t>Hb</w:t>
      </w:r>
      <w:proofErr w:type="spellEnd"/>
      <w:r w:rsidR="009E1D01" w:rsidRPr="008575AE">
        <w:t xml:space="preserve"> and RBCS indices were significantly improved in the two groups after three months of treatment compared to their baseline. As regard iron profile, it has been found that the two groups show also improvement in parameters after treatment, but with no significant difference between them. </w:t>
      </w:r>
      <w:r w:rsidR="009E1D01" w:rsidRPr="008575AE">
        <w:rPr>
          <w:b/>
        </w:rPr>
        <w:t>Conclusion</w:t>
      </w:r>
      <w:r w:rsidR="009E1D01" w:rsidRPr="008575AE">
        <w:t>: The two groups showed improvement in all parameters of anemia and both treatment regimens are equally effective in treatment of iron deficiency anemia.</w:t>
      </w:r>
    </w:p>
    <w:p w:rsidR="008575AE" w:rsidRPr="008575AE" w:rsidRDefault="008575AE" w:rsidP="00BD4E5D">
      <w:pPr>
        <w:snapToGrid w:val="0"/>
        <w:jc w:val="both"/>
        <w:rPr>
          <w:bCs/>
        </w:rPr>
      </w:pPr>
      <w:r w:rsidRPr="008575AE">
        <w:rPr>
          <w:bCs/>
        </w:rPr>
        <w:t>[</w:t>
      </w:r>
      <w:proofErr w:type="spellStart"/>
      <w:r w:rsidRPr="008575AE">
        <w:rPr>
          <w:bCs/>
        </w:rPr>
        <w:t>Esam</w:t>
      </w:r>
      <w:proofErr w:type="spellEnd"/>
      <w:r w:rsidRPr="008575AE">
        <w:rPr>
          <w:bCs/>
        </w:rPr>
        <w:t xml:space="preserve"> </w:t>
      </w:r>
      <w:proofErr w:type="spellStart"/>
      <w:r w:rsidRPr="008575AE">
        <w:rPr>
          <w:bCs/>
        </w:rPr>
        <w:t>eldeen</w:t>
      </w:r>
      <w:proofErr w:type="spellEnd"/>
      <w:r w:rsidRPr="008575AE">
        <w:rPr>
          <w:bCs/>
        </w:rPr>
        <w:t xml:space="preserve"> </w:t>
      </w:r>
      <w:proofErr w:type="spellStart"/>
      <w:r w:rsidRPr="008575AE">
        <w:rPr>
          <w:bCs/>
        </w:rPr>
        <w:t>Gadelrab</w:t>
      </w:r>
      <w:proofErr w:type="spellEnd"/>
      <w:r w:rsidRPr="008575AE">
        <w:rPr>
          <w:bCs/>
        </w:rPr>
        <w:t xml:space="preserve">, </w:t>
      </w:r>
      <w:proofErr w:type="spellStart"/>
      <w:r w:rsidRPr="008575AE">
        <w:rPr>
          <w:bCs/>
        </w:rPr>
        <w:t>Sayed</w:t>
      </w:r>
      <w:proofErr w:type="spellEnd"/>
      <w:r w:rsidRPr="008575AE">
        <w:rPr>
          <w:bCs/>
        </w:rPr>
        <w:t xml:space="preserve"> Ali, Mohammed </w:t>
      </w:r>
      <w:proofErr w:type="spellStart"/>
      <w:r w:rsidRPr="008575AE">
        <w:rPr>
          <w:bCs/>
        </w:rPr>
        <w:t>Mansour</w:t>
      </w:r>
      <w:proofErr w:type="spellEnd"/>
      <w:r>
        <w:rPr>
          <w:bCs/>
          <w:vertAlign w:val="superscript"/>
        </w:rPr>
        <w:t xml:space="preserve"> </w:t>
      </w:r>
      <w:r w:rsidRPr="008575AE">
        <w:rPr>
          <w:bCs/>
        </w:rPr>
        <w:t xml:space="preserve">and </w:t>
      </w:r>
      <w:proofErr w:type="spellStart"/>
      <w:r w:rsidRPr="008575AE">
        <w:rPr>
          <w:bCs/>
        </w:rPr>
        <w:t>Asmaa</w:t>
      </w:r>
      <w:proofErr w:type="spellEnd"/>
      <w:r w:rsidRPr="008575AE">
        <w:rPr>
          <w:bCs/>
        </w:rPr>
        <w:t xml:space="preserve"> </w:t>
      </w:r>
      <w:proofErr w:type="spellStart"/>
      <w:r w:rsidRPr="008575AE">
        <w:rPr>
          <w:bCs/>
        </w:rPr>
        <w:t>Abdelall</w:t>
      </w:r>
      <w:proofErr w:type="spellEnd"/>
      <w:r w:rsidRPr="008575AE">
        <w:t>.</w:t>
      </w:r>
      <w:r w:rsidRPr="008575AE">
        <w:rPr>
          <w:rFonts w:eastAsiaTheme="minorEastAsia" w:hint="eastAsia"/>
          <w:b/>
          <w:bCs/>
          <w:lang w:bidi="fa-IR"/>
        </w:rPr>
        <w:t xml:space="preserve"> </w:t>
      </w:r>
      <w:r w:rsidRPr="008575AE">
        <w:rPr>
          <w:b/>
        </w:rPr>
        <w:t xml:space="preserve">Iron Presented as Food (Sun Active Iron) versus Pharmaceutical Iron Therapy (Ferric Hydroxide </w:t>
      </w:r>
      <w:proofErr w:type="spellStart"/>
      <w:r w:rsidRPr="008575AE">
        <w:rPr>
          <w:b/>
        </w:rPr>
        <w:t>Polymatose</w:t>
      </w:r>
      <w:proofErr w:type="spellEnd"/>
      <w:r w:rsidRPr="008575AE">
        <w:rPr>
          <w:b/>
        </w:rPr>
        <w:t xml:space="preserve"> Complex) For Treatment of Iron Deficiency Anemia in Children</w:t>
      </w:r>
      <w:r w:rsidRPr="008575AE">
        <w:rPr>
          <w:rFonts w:eastAsia="Times New Roman"/>
          <w:b/>
          <w:bCs/>
          <w:lang w:bidi="fa-IR"/>
        </w:rPr>
        <w:t>.</w:t>
      </w:r>
      <w:r w:rsidRPr="008575AE">
        <w:rPr>
          <w:bCs/>
          <w:i/>
        </w:rPr>
        <w:t xml:space="preserve"> N Y </w:t>
      </w:r>
      <w:proofErr w:type="spellStart"/>
      <w:r w:rsidRPr="008575AE">
        <w:rPr>
          <w:bCs/>
          <w:i/>
        </w:rPr>
        <w:t>Sci</w:t>
      </w:r>
      <w:proofErr w:type="spellEnd"/>
      <w:r w:rsidRPr="008575AE">
        <w:rPr>
          <w:bCs/>
          <w:i/>
        </w:rPr>
        <w:t xml:space="preserve"> J</w:t>
      </w:r>
      <w:r w:rsidRPr="008575AE">
        <w:rPr>
          <w:bCs/>
        </w:rPr>
        <w:t xml:space="preserve"> </w:t>
      </w:r>
      <w:r w:rsidRPr="008575AE">
        <w:t>201</w:t>
      </w:r>
      <w:r w:rsidRPr="008575AE">
        <w:rPr>
          <w:rFonts w:hint="eastAsia"/>
        </w:rPr>
        <w:t>8</w:t>
      </w:r>
      <w:r w:rsidRPr="008575AE">
        <w:t>;</w:t>
      </w:r>
      <w:r w:rsidRPr="008575AE">
        <w:rPr>
          <w:rFonts w:hint="eastAsia"/>
        </w:rPr>
        <w:t>11</w:t>
      </w:r>
      <w:r w:rsidRPr="008575AE">
        <w:t>(</w:t>
      </w:r>
      <w:r w:rsidRPr="008575AE">
        <w:rPr>
          <w:rFonts w:hint="eastAsia"/>
        </w:rPr>
        <w:t>8</w:t>
      </w:r>
      <w:r w:rsidRPr="008575AE">
        <w:t>):</w:t>
      </w:r>
      <w:r w:rsidR="00FF7838">
        <w:rPr>
          <w:noProof/>
          <w:color w:val="000000"/>
        </w:rPr>
        <w:t>51-54</w:t>
      </w:r>
      <w:r w:rsidRPr="008575AE">
        <w:t xml:space="preserve">]. </w:t>
      </w:r>
      <w:r w:rsidRPr="008575AE">
        <w:rPr>
          <w:iCs/>
          <w:color w:val="000000"/>
        </w:rPr>
        <w:t>ISSN 1554-0200 (print); ISSN 2375-723X (online)</w:t>
      </w:r>
      <w:r w:rsidRPr="008575AE">
        <w:t xml:space="preserve">. </w:t>
      </w:r>
      <w:hyperlink r:id="rId8" w:history="1">
        <w:r w:rsidRPr="008575AE">
          <w:rPr>
            <w:rStyle w:val="Hyperlink"/>
          </w:rPr>
          <w:t>http://www.sciencepub.net/newyork</w:t>
        </w:r>
      </w:hyperlink>
      <w:r w:rsidRPr="008575AE">
        <w:t xml:space="preserve">. </w:t>
      </w:r>
      <w:r w:rsidR="000E78AF">
        <w:rPr>
          <w:rFonts w:hint="eastAsia"/>
          <w:lang w:eastAsia="zh-CN"/>
        </w:rPr>
        <w:t>7</w:t>
      </w:r>
      <w:r w:rsidRPr="008575AE">
        <w:rPr>
          <w:rFonts w:hint="eastAsia"/>
        </w:rPr>
        <w:t xml:space="preserve">. </w:t>
      </w:r>
      <w:r w:rsidRPr="008575AE">
        <w:rPr>
          <w:color w:val="000000"/>
          <w:shd w:val="clear" w:color="auto" w:fill="FFFFFF"/>
        </w:rPr>
        <w:t>doi:</w:t>
      </w:r>
      <w:hyperlink r:id="rId9" w:history="1">
        <w:r w:rsidRPr="008575AE">
          <w:rPr>
            <w:rStyle w:val="Hyperlink"/>
            <w:shd w:val="clear" w:color="auto" w:fill="FFFFFF"/>
          </w:rPr>
          <w:t>10.7537/mars</w:t>
        </w:r>
        <w:r w:rsidRPr="008575AE">
          <w:rPr>
            <w:rStyle w:val="Hyperlink"/>
            <w:rFonts w:hint="eastAsia"/>
            <w:shd w:val="clear" w:color="auto" w:fill="FFFFFF"/>
          </w:rPr>
          <w:t>nys110818.</w:t>
        </w:r>
        <w:r w:rsidRPr="008575AE">
          <w:rPr>
            <w:rStyle w:val="Hyperlink"/>
            <w:shd w:val="clear" w:color="auto" w:fill="FFFFFF"/>
          </w:rPr>
          <w:t>0</w:t>
        </w:r>
        <w:r w:rsidR="000E78AF">
          <w:rPr>
            <w:rStyle w:val="Hyperlink"/>
            <w:rFonts w:hint="eastAsia"/>
            <w:shd w:val="clear" w:color="auto" w:fill="FFFFFF"/>
            <w:lang w:eastAsia="zh-CN"/>
          </w:rPr>
          <w:t>7</w:t>
        </w:r>
      </w:hyperlink>
      <w:r w:rsidRPr="008575AE">
        <w:rPr>
          <w:color w:val="000000"/>
          <w:shd w:val="clear" w:color="auto" w:fill="FFFFFF"/>
        </w:rPr>
        <w:t>.</w:t>
      </w:r>
    </w:p>
    <w:p w:rsidR="00CE0D30" w:rsidRPr="00EC6205" w:rsidRDefault="00CE0D30" w:rsidP="008575AE">
      <w:pPr>
        <w:snapToGrid w:val="0"/>
        <w:jc w:val="both"/>
      </w:pPr>
    </w:p>
    <w:p w:rsidR="00CE0D30" w:rsidRPr="00EC6205" w:rsidRDefault="009E1D01" w:rsidP="008575AE">
      <w:pPr>
        <w:snapToGrid w:val="0"/>
        <w:jc w:val="both"/>
      </w:pPr>
      <w:r w:rsidRPr="00EC6205">
        <w:rPr>
          <w:b/>
        </w:rPr>
        <w:t>Keywords</w:t>
      </w:r>
      <w:r w:rsidRPr="00EC6205">
        <w:t xml:space="preserve">: Iron deficiency anemia; treatment; Micronized dispersible ferric pyrophosphate, Ferric Hydroxide </w:t>
      </w:r>
      <w:proofErr w:type="spellStart"/>
      <w:r w:rsidRPr="00EC6205">
        <w:t>Polymaltose</w:t>
      </w:r>
      <w:proofErr w:type="spellEnd"/>
      <w:r w:rsidRPr="00EC6205">
        <w:t xml:space="preserve"> Complex, </w:t>
      </w:r>
      <w:proofErr w:type="spellStart"/>
      <w:r w:rsidRPr="00EC6205">
        <w:t>Hb</w:t>
      </w:r>
      <w:proofErr w:type="spellEnd"/>
      <w:r w:rsidRPr="00EC6205">
        <w:t>, iron profile</w:t>
      </w:r>
    </w:p>
    <w:p w:rsidR="000E78AF" w:rsidRDefault="00EC6205" w:rsidP="008575AE">
      <w:pPr>
        <w:snapToGrid w:val="0"/>
        <w:jc w:val="both"/>
        <w:rPr>
          <w:b/>
        </w:rPr>
        <w:sectPr w:rsidR="000E78AF" w:rsidSect="00FF7838">
          <w:headerReference w:type="default" r:id="rId10"/>
          <w:footerReference w:type="default" r:id="rId11"/>
          <w:type w:val="continuous"/>
          <w:pgSz w:w="12240" w:h="15840" w:code="1"/>
          <w:pgMar w:top="1440" w:right="1440" w:bottom="1440" w:left="1440" w:header="720" w:footer="720" w:gutter="0"/>
          <w:pgNumType w:start="51"/>
          <w:cols w:space="720"/>
          <w:docGrid w:linePitch="272"/>
        </w:sectPr>
      </w:pPr>
      <w:r>
        <w:rPr>
          <w:b/>
        </w:rPr>
        <w:cr/>
      </w:r>
    </w:p>
    <w:p w:rsidR="007F1F2E" w:rsidRPr="00EC6205" w:rsidRDefault="007F1F2E" w:rsidP="008575AE">
      <w:pPr>
        <w:snapToGrid w:val="0"/>
        <w:jc w:val="both"/>
        <w:rPr>
          <w:b/>
          <w:bCs/>
        </w:rPr>
      </w:pPr>
      <w:r w:rsidRPr="00EC6205">
        <w:rPr>
          <w:b/>
          <w:bCs/>
        </w:rPr>
        <w:lastRenderedPageBreak/>
        <w:t xml:space="preserve">1. Introduction </w:t>
      </w:r>
    </w:p>
    <w:p w:rsidR="00CE0D30" w:rsidRPr="00EC6205" w:rsidRDefault="009E1D01" w:rsidP="008575AE">
      <w:pPr>
        <w:snapToGrid w:val="0"/>
        <w:ind w:firstLine="425"/>
        <w:jc w:val="both"/>
      </w:pPr>
      <w:r w:rsidRPr="00EC6205">
        <w:t xml:space="preserve">Iron deficiency is the most common cause of anemia. There are different types of anemia including hemorrhagic anemia due to excessive loss of blood, hemolytic anemia due to red blood cell destruction and hematopoietic anemia due to less production of RBCS. There are many causes of anemia but the most common cause is iron deficiency </w:t>
      </w:r>
      <w:r w:rsidRPr="00EC6205">
        <w:rPr>
          <w:b/>
        </w:rPr>
        <w:t>(</w:t>
      </w:r>
      <w:proofErr w:type="spellStart"/>
      <w:r w:rsidRPr="00EC6205">
        <w:rPr>
          <w:b/>
        </w:rPr>
        <w:t>Ullah</w:t>
      </w:r>
      <w:proofErr w:type="spellEnd"/>
      <w:r w:rsidRPr="00EC6205">
        <w:rPr>
          <w:b/>
        </w:rPr>
        <w:t xml:space="preserve"> I et al, and 2013).</w:t>
      </w:r>
    </w:p>
    <w:p w:rsidR="00CE0D30" w:rsidRPr="00EC6205" w:rsidRDefault="009E1D01" w:rsidP="000E78AF">
      <w:pPr>
        <w:snapToGrid w:val="0"/>
        <w:ind w:firstLine="425"/>
        <w:jc w:val="both"/>
      </w:pPr>
      <w:r w:rsidRPr="00EC6205">
        <w:t xml:space="preserve">Iron deficiency anemia leads to weakness, poor physical growth, and a compromised immune system, decreasing the ability to fight infections and increasing morbidity and is also thought to impair cognitive performance and delay psychomotor development </w:t>
      </w:r>
      <w:r w:rsidRPr="00EC6205">
        <w:rPr>
          <w:b/>
        </w:rPr>
        <w:t>(Horton and Ross,</w:t>
      </w:r>
      <w:r w:rsidR="000E78AF">
        <w:rPr>
          <w:rFonts w:hint="eastAsia"/>
          <w:b/>
          <w:lang w:eastAsia="zh-CN"/>
        </w:rPr>
        <w:t xml:space="preserve"> </w:t>
      </w:r>
      <w:r w:rsidRPr="00EC6205">
        <w:rPr>
          <w:b/>
        </w:rPr>
        <w:t>2003).</w:t>
      </w:r>
    </w:p>
    <w:p w:rsidR="00CE0D30" w:rsidRPr="00EC6205" w:rsidRDefault="009E1D01" w:rsidP="008575AE">
      <w:pPr>
        <w:snapToGrid w:val="0"/>
        <w:ind w:firstLine="425"/>
        <w:jc w:val="both"/>
      </w:pPr>
      <w:r w:rsidRPr="00EC6205">
        <w:t>Treatment for iron-deficiency anemia will depend on its cause and severity. Severe iron- deficiency anemia may require iron injections, or intravenous (IV) iron therapy. The goals of treating iron-deficiency anemia are to treat its underlying causes and to restore normal levels of red blood cells, hemoglobin, and iron (</w:t>
      </w:r>
      <w:r w:rsidRPr="00EC6205">
        <w:rPr>
          <w:b/>
        </w:rPr>
        <w:t xml:space="preserve">Am </w:t>
      </w:r>
      <w:proofErr w:type="spellStart"/>
      <w:r w:rsidRPr="00EC6205">
        <w:rPr>
          <w:b/>
        </w:rPr>
        <w:t>Fam</w:t>
      </w:r>
      <w:proofErr w:type="spellEnd"/>
      <w:r w:rsidRPr="00EC6205">
        <w:rPr>
          <w:b/>
        </w:rPr>
        <w:t xml:space="preserve"> Physician, 2013</w:t>
      </w:r>
      <w:r w:rsidR="000E78AF">
        <w:rPr>
          <w:rFonts w:hint="eastAsia"/>
          <w:b/>
          <w:lang w:eastAsia="zh-CN"/>
        </w:rPr>
        <w:t>)</w:t>
      </w:r>
      <w:r w:rsidRPr="00EC6205">
        <w:rPr>
          <w:b/>
        </w:rPr>
        <w:t>.</w:t>
      </w:r>
    </w:p>
    <w:p w:rsidR="009E1D01" w:rsidRPr="00EC6205" w:rsidRDefault="009E1D01" w:rsidP="008575AE">
      <w:pPr>
        <w:snapToGrid w:val="0"/>
        <w:ind w:firstLine="425"/>
        <w:jc w:val="both"/>
      </w:pPr>
      <w:r w:rsidRPr="00EC6205">
        <w:t>Molecules are a micronized and microencapsulated ferric pyrophosphate produced by micro dispersion technology (</w:t>
      </w:r>
      <w:proofErr w:type="spellStart"/>
      <w:r w:rsidRPr="00EC6205">
        <w:t>nanao</w:t>
      </w:r>
      <w:proofErr w:type="spellEnd"/>
      <w:r w:rsidRPr="00EC6205">
        <w:t xml:space="preserve"> technology) to deliver highly </w:t>
      </w:r>
      <w:proofErr w:type="spellStart"/>
      <w:r w:rsidRPr="00EC6205">
        <w:t>bioavailable</w:t>
      </w:r>
      <w:proofErr w:type="spellEnd"/>
      <w:r w:rsidRPr="00EC6205">
        <w:t>, less reactive, taste free (non-metallic), dispersible (in liquids), relatively high gastric tolerant with negligible side effects for use in almost all kinds of foods fortification</w:t>
      </w:r>
      <w:r w:rsidR="00EC6205" w:rsidRPr="00EC6205">
        <w:t xml:space="preserve"> </w:t>
      </w:r>
      <w:r w:rsidRPr="00EC6205">
        <w:t xml:space="preserve">such as </w:t>
      </w:r>
      <w:r w:rsidRPr="00EC6205">
        <w:lastRenderedPageBreak/>
        <w:t>beverage, dairy and all other food applications. Due to its high bioavailability (&gt;90%) and high gastric tolerance, micronized dispersible ferric pyrophosphate has been used in number of food supplements targeting all age group (</w:t>
      </w:r>
      <w:r w:rsidRPr="00EC6205">
        <w:rPr>
          <w:b/>
        </w:rPr>
        <w:t>Taiyo, 2004)</w:t>
      </w:r>
      <w:r w:rsidRPr="00EC6205">
        <w:t>.</w:t>
      </w:r>
    </w:p>
    <w:p w:rsidR="009E1D01" w:rsidRPr="00EC6205" w:rsidRDefault="009E1D01" w:rsidP="008575AE">
      <w:pPr>
        <w:snapToGrid w:val="0"/>
        <w:ind w:firstLine="425"/>
        <w:jc w:val="both"/>
      </w:pPr>
    </w:p>
    <w:p w:rsidR="00CE0D30" w:rsidRPr="00EC6205" w:rsidRDefault="009E1D01" w:rsidP="008575AE">
      <w:pPr>
        <w:snapToGrid w:val="0"/>
        <w:jc w:val="both"/>
      </w:pPr>
      <w:r w:rsidRPr="00EC6205">
        <w:rPr>
          <w:b/>
        </w:rPr>
        <w:t>2. Patients and Methods:</w:t>
      </w:r>
    </w:p>
    <w:p w:rsidR="00CE0D30" w:rsidRPr="00EC6205" w:rsidRDefault="009E1D01" w:rsidP="008575AE">
      <w:pPr>
        <w:snapToGrid w:val="0"/>
        <w:ind w:firstLine="425"/>
        <w:jc w:val="both"/>
      </w:pPr>
      <w:r w:rsidRPr="00EC6205">
        <w:t xml:space="preserve">The study design was an open-label, randomized controlled clinical trial that was conducted on 100 patients from </w:t>
      </w:r>
      <w:proofErr w:type="spellStart"/>
      <w:r w:rsidRPr="00EC6205">
        <w:t>Fayoum</w:t>
      </w:r>
      <w:proofErr w:type="spellEnd"/>
      <w:r w:rsidRPr="00EC6205">
        <w:t xml:space="preserve"> governorate residents, aged from 1-5 years old, and diagnosed as iron deficiency anemia. Patients classified into two groups. Group one: Included 50 patients supplements with essential iron micronized dispersible ferric pyrophosphate (sun active iron) in the form of a 350 gm jar of liquid chocolate. At dose 7.5mg twice a day to children below four years old and 15mg twice a day to children above four years old, for three months</w:t>
      </w:r>
      <w:r w:rsidR="000E78AF" w:rsidRPr="00EC6205">
        <w:t>.</w:t>
      </w:r>
      <w:r w:rsidR="000E78AF">
        <w:t xml:space="preserve"> </w:t>
      </w:r>
      <w:r w:rsidR="000E78AF" w:rsidRPr="00EC6205">
        <w:t>G</w:t>
      </w:r>
      <w:r w:rsidRPr="00EC6205">
        <w:t xml:space="preserve">roup two: Included 50 patients who taking oral iron therapy in the form of ferric hydroxide </w:t>
      </w:r>
      <w:proofErr w:type="spellStart"/>
      <w:r w:rsidRPr="00EC6205">
        <w:t>polymaltose</w:t>
      </w:r>
      <w:proofErr w:type="spellEnd"/>
      <w:r w:rsidRPr="00EC6205">
        <w:t xml:space="preserve"> complex 50 mg/5ml at dose of 6mg/kg/day for three months.</w:t>
      </w:r>
    </w:p>
    <w:p w:rsidR="00CE0D30" w:rsidRPr="00EC6205" w:rsidRDefault="009E1D01" w:rsidP="008575AE">
      <w:pPr>
        <w:snapToGrid w:val="0"/>
        <w:ind w:firstLine="425"/>
        <w:jc w:val="both"/>
      </w:pPr>
      <w:r w:rsidRPr="00EC6205">
        <w:t>All the patients were subjected to full history taking focusing on nutritional history: Type of feeding: breast feeding, artificial feeding, vitamin supplementation, weaning: timing, type of food and amount. This was followed by general examination including head and neck, color (pallor), and extremities. Local Examination including: cardiac, chest, abdominal and neurological examination.</w:t>
      </w:r>
    </w:p>
    <w:p w:rsidR="00CE0D30" w:rsidRPr="00EC6205" w:rsidRDefault="009E1D01" w:rsidP="008575AE">
      <w:pPr>
        <w:snapToGrid w:val="0"/>
        <w:ind w:firstLine="425"/>
        <w:jc w:val="both"/>
      </w:pPr>
      <w:r w:rsidRPr="00EC6205">
        <w:lastRenderedPageBreak/>
        <w:t xml:space="preserve">Laboratory Investigations including: Complete blood count, Iron profile: serum Iron, serum </w:t>
      </w:r>
      <w:proofErr w:type="spellStart"/>
      <w:r w:rsidRPr="00EC6205">
        <w:t>ferritin</w:t>
      </w:r>
      <w:proofErr w:type="spellEnd"/>
      <w:r w:rsidRPr="00EC6205">
        <w:t xml:space="preserve">, TIBC and </w:t>
      </w:r>
      <w:proofErr w:type="spellStart"/>
      <w:r w:rsidRPr="00EC6205">
        <w:t>transferrin</w:t>
      </w:r>
      <w:proofErr w:type="spellEnd"/>
      <w:r w:rsidRPr="00EC6205">
        <w:t xml:space="preserve"> saturation.</w:t>
      </w:r>
    </w:p>
    <w:p w:rsidR="00CE0D30" w:rsidRPr="00EC6205" w:rsidRDefault="009E1D01" w:rsidP="008575AE">
      <w:pPr>
        <w:snapToGrid w:val="0"/>
        <w:ind w:firstLine="425"/>
        <w:jc w:val="both"/>
      </w:pPr>
      <w:r w:rsidRPr="00EC6205">
        <w:t>Complete blood count and iron profile were done in the beginning of the study and repeated at the end of study (after three months).</w:t>
      </w:r>
    </w:p>
    <w:p w:rsidR="00CE0D30" w:rsidRPr="00EC6205" w:rsidRDefault="009E1D01" w:rsidP="008575AE">
      <w:pPr>
        <w:snapToGrid w:val="0"/>
        <w:jc w:val="both"/>
      </w:pPr>
      <w:r w:rsidRPr="00EC6205">
        <w:rPr>
          <w:b/>
        </w:rPr>
        <w:t>Statistical Analysis:</w:t>
      </w:r>
    </w:p>
    <w:p w:rsidR="00CE0D30" w:rsidRPr="00EC6205" w:rsidRDefault="009E1D01" w:rsidP="008575AE">
      <w:pPr>
        <w:snapToGrid w:val="0"/>
        <w:ind w:firstLine="425"/>
        <w:jc w:val="both"/>
      </w:pPr>
      <w:r w:rsidRPr="00EC6205">
        <w:t>Data management was performed using the statistical package for social sciences (version 15.0; SPSS inc., Chicago, IL, USA). Compute standard descriptive statistics (e.g., mean standard deviation) was used to summarize the data. Nominal data was analyzed using simple X2test</w:t>
      </w:r>
      <w:r w:rsidR="000E78AF" w:rsidRPr="00EC6205">
        <w:t>,</w:t>
      </w:r>
      <w:r w:rsidR="000E78AF">
        <w:t xml:space="preserve"> </w:t>
      </w:r>
      <w:r w:rsidR="000E78AF" w:rsidRPr="00EC6205">
        <w:t>w</w:t>
      </w:r>
      <w:r w:rsidRPr="00EC6205">
        <w:t xml:space="preserve">hile independent sample T-test procedure was used to compare means for two groups of cases for more than two groups, data was evaluated with one-way analysis of variance </w:t>
      </w:r>
      <w:r w:rsidRPr="00EC6205">
        <w:lastRenderedPageBreak/>
        <w:t>(ANOVA)</w:t>
      </w:r>
      <w:r w:rsidR="000E78AF" w:rsidRPr="00EC6205">
        <w:t>.</w:t>
      </w:r>
      <w:r w:rsidR="000E78AF">
        <w:t xml:space="preserve"> </w:t>
      </w:r>
      <w:r w:rsidR="000E78AF" w:rsidRPr="00EC6205">
        <w:t>A</w:t>
      </w:r>
      <w:r w:rsidRPr="00EC6205">
        <w:t xml:space="preserve"> probability value (p value) less than 0.05 was considered significant.</w:t>
      </w:r>
    </w:p>
    <w:p w:rsidR="00CE0D30" w:rsidRPr="00EC6205" w:rsidRDefault="009E1D01" w:rsidP="008575AE">
      <w:pPr>
        <w:snapToGrid w:val="0"/>
        <w:ind w:firstLine="425"/>
        <w:jc w:val="both"/>
      </w:pPr>
      <w:r w:rsidRPr="00EC6205">
        <w:t>This study was reviewed by the Faculty of Medicine Research Ethical Committee.</w:t>
      </w:r>
    </w:p>
    <w:p w:rsidR="00CE0D30" w:rsidRPr="00EC6205" w:rsidRDefault="009E1D01" w:rsidP="008575AE">
      <w:pPr>
        <w:snapToGrid w:val="0"/>
        <w:ind w:firstLine="425"/>
        <w:jc w:val="both"/>
      </w:pPr>
      <w:r w:rsidRPr="00EC6205">
        <w:t>The researcher was informed the participants about the objectives of the study, the examination and</w:t>
      </w:r>
      <w:r w:rsidR="00EC6205" w:rsidRPr="00EC6205">
        <w:t xml:space="preserve"> </w:t>
      </w:r>
      <w:r w:rsidRPr="00EC6205">
        <w:t>investigation that were done. Also the confidentiality of their information and their right not participated in the study.</w:t>
      </w:r>
    </w:p>
    <w:p w:rsidR="009E1D01" w:rsidRPr="00EC6205" w:rsidRDefault="009E1D01" w:rsidP="008575AE">
      <w:pPr>
        <w:snapToGrid w:val="0"/>
        <w:ind w:firstLine="425"/>
        <w:jc w:val="both"/>
      </w:pPr>
    </w:p>
    <w:p w:rsidR="00CE0D30" w:rsidRPr="00EC6205" w:rsidRDefault="009E1D01" w:rsidP="008575AE">
      <w:pPr>
        <w:snapToGrid w:val="0"/>
        <w:jc w:val="both"/>
      </w:pPr>
      <w:r w:rsidRPr="00EC6205">
        <w:rPr>
          <w:b/>
        </w:rPr>
        <w:t>3. Results</w:t>
      </w:r>
    </w:p>
    <w:p w:rsidR="00EC6205" w:rsidRPr="00EC6205" w:rsidRDefault="009E1D01" w:rsidP="008575AE">
      <w:pPr>
        <w:snapToGrid w:val="0"/>
        <w:ind w:firstLine="425"/>
        <w:jc w:val="both"/>
        <w:rPr>
          <w:lang w:eastAsia="zh-CN"/>
        </w:rPr>
      </w:pPr>
      <w:r w:rsidRPr="00EC6205">
        <w:t>Our study included 100 patients diagnosed as iron deficiency anemia, classified into two groups, group one included 50 patients treated by essential iron micronized dispersible ferric pyrophosphate</w:t>
      </w:r>
      <w:r w:rsidR="00EC6205" w:rsidRPr="00EC6205">
        <w:t>,</w:t>
      </w:r>
      <w:r w:rsidRPr="00EC6205">
        <w:t xml:space="preserve"> group two included 50 patients treated by oral ferric hydroxide </w:t>
      </w:r>
      <w:proofErr w:type="spellStart"/>
      <w:r w:rsidRPr="00EC6205">
        <w:t>polymaltose</w:t>
      </w:r>
      <w:proofErr w:type="spellEnd"/>
      <w:r w:rsidRPr="00EC6205">
        <w:t xml:space="preserve"> complex for three months</w:t>
      </w:r>
      <w:r w:rsidR="000E78AF">
        <w:rPr>
          <w:rFonts w:hint="eastAsia"/>
          <w:lang w:eastAsia="zh-CN"/>
        </w:rPr>
        <w:t>.</w:t>
      </w:r>
    </w:p>
    <w:p w:rsidR="000E78AF" w:rsidRDefault="000E78AF" w:rsidP="008575AE">
      <w:pPr>
        <w:snapToGrid w:val="0"/>
        <w:jc w:val="center"/>
        <w:sectPr w:rsidR="000E78AF" w:rsidSect="000E78AF">
          <w:type w:val="continuous"/>
          <w:pgSz w:w="12240" w:h="15840" w:code="1"/>
          <w:pgMar w:top="1440" w:right="1440" w:bottom="1440" w:left="1440" w:header="720" w:footer="720" w:gutter="0"/>
          <w:cols w:num="2" w:space="500"/>
          <w:docGrid w:linePitch="272"/>
        </w:sectPr>
      </w:pPr>
    </w:p>
    <w:p w:rsidR="00CE0D30" w:rsidRPr="000E78AF" w:rsidRDefault="00EC6205" w:rsidP="008575AE">
      <w:pPr>
        <w:snapToGrid w:val="0"/>
        <w:jc w:val="center"/>
        <w:rPr>
          <w:b/>
          <w:bCs/>
          <w:sz w:val="19"/>
          <w:szCs w:val="19"/>
        </w:rPr>
      </w:pPr>
      <w:r w:rsidRPr="000E78AF">
        <w:rPr>
          <w:sz w:val="19"/>
          <w:szCs w:val="19"/>
        </w:rPr>
        <w:lastRenderedPageBreak/>
        <w:cr/>
      </w:r>
      <w:r w:rsidR="009E1D01" w:rsidRPr="000E78AF">
        <w:rPr>
          <w:b/>
          <w:bCs/>
          <w:sz w:val="19"/>
          <w:szCs w:val="19"/>
        </w:rPr>
        <w:t>Table1: Socio-demographic characteristics of children in the study groups</w:t>
      </w:r>
    </w:p>
    <w:tbl>
      <w:tblPr>
        <w:tblW w:w="5000" w:type="pct"/>
        <w:jc w:val="center"/>
        <w:tblCellMar>
          <w:left w:w="57" w:type="dxa"/>
          <w:right w:w="57" w:type="dxa"/>
        </w:tblCellMar>
        <w:tblLook w:val="01E0"/>
      </w:tblPr>
      <w:tblGrid>
        <w:gridCol w:w="2745"/>
        <w:gridCol w:w="2562"/>
        <w:gridCol w:w="2564"/>
        <w:gridCol w:w="1603"/>
      </w:tblGrid>
      <w:tr w:rsidR="00CE0D30" w:rsidRPr="000E78AF" w:rsidTr="00EC6205">
        <w:trPr>
          <w:jc w:val="center"/>
        </w:trPr>
        <w:tc>
          <w:tcPr>
            <w:tcW w:w="1449" w:type="pct"/>
            <w:vMerge w:val="restart"/>
            <w:tcBorders>
              <w:top w:val="single" w:sz="5" w:space="0" w:color="000000"/>
              <w:left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Variable</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Group 1 (50)</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Group 2 (50)</w:t>
            </w:r>
          </w:p>
        </w:tc>
        <w:tc>
          <w:tcPr>
            <w:tcW w:w="846" w:type="pct"/>
            <w:vMerge w:val="restart"/>
            <w:tcBorders>
              <w:top w:val="single" w:sz="5" w:space="0" w:color="000000"/>
              <w:left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P-value</w:t>
            </w:r>
          </w:p>
        </w:tc>
      </w:tr>
      <w:tr w:rsidR="00CE0D30" w:rsidRPr="000E78AF" w:rsidTr="00EC6205">
        <w:trPr>
          <w:jc w:val="center"/>
        </w:trPr>
        <w:tc>
          <w:tcPr>
            <w:tcW w:w="1449"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c>
          <w:tcPr>
            <w:tcW w:w="2705" w:type="pct"/>
            <w:gridSpan w:val="2"/>
            <w:tcBorders>
              <w:top w:val="nil"/>
              <w:left w:val="single" w:sz="5" w:space="0" w:color="000000"/>
              <w:bottom w:val="nil"/>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Mean ± SD</w:t>
            </w:r>
          </w:p>
        </w:tc>
        <w:tc>
          <w:tcPr>
            <w:tcW w:w="846"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r>
      <w:tr w:rsidR="00CE0D30" w:rsidRPr="000E78AF" w:rsidTr="00EC6205">
        <w:trPr>
          <w:jc w:val="center"/>
        </w:trPr>
        <w:tc>
          <w:tcPr>
            <w:tcW w:w="1449"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Age (Months)</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34.9 ± 18.2</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32.5 ± 17.9</w:t>
            </w:r>
          </w:p>
        </w:tc>
        <w:tc>
          <w:tcPr>
            <w:tcW w:w="846"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0.522</w:t>
            </w:r>
          </w:p>
        </w:tc>
      </w:tr>
      <w:tr w:rsidR="00CE0D30" w:rsidRPr="000E78AF" w:rsidTr="00EC6205">
        <w:trPr>
          <w:jc w:val="center"/>
        </w:trPr>
        <w:tc>
          <w:tcPr>
            <w:tcW w:w="1449"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Variable</w:t>
            </w:r>
          </w:p>
        </w:tc>
        <w:tc>
          <w:tcPr>
            <w:tcW w:w="2705" w:type="pct"/>
            <w:gridSpan w:val="2"/>
            <w:tcBorders>
              <w:top w:val="nil"/>
              <w:left w:val="single" w:sz="5" w:space="0" w:color="000000"/>
              <w:bottom w:val="nil"/>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N (%)</w:t>
            </w:r>
          </w:p>
        </w:tc>
        <w:tc>
          <w:tcPr>
            <w:tcW w:w="846"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P-value</w:t>
            </w:r>
          </w:p>
        </w:tc>
      </w:tr>
      <w:tr w:rsidR="00CE0D30" w:rsidRPr="000E78AF" w:rsidTr="00EC6205">
        <w:trPr>
          <w:jc w:val="center"/>
        </w:trPr>
        <w:tc>
          <w:tcPr>
            <w:tcW w:w="1449"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Sex:</w:t>
            </w:r>
          </w:p>
          <w:p w:rsidR="00CE0D30" w:rsidRPr="000E78AF" w:rsidRDefault="009E1D01" w:rsidP="008575AE">
            <w:pPr>
              <w:snapToGrid w:val="0"/>
              <w:jc w:val="both"/>
              <w:rPr>
                <w:sz w:val="19"/>
                <w:szCs w:val="19"/>
              </w:rPr>
            </w:pPr>
            <w:r w:rsidRPr="000E78AF">
              <w:rPr>
                <w:sz w:val="19"/>
                <w:szCs w:val="19"/>
              </w:rPr>
              <w:t>Male</w:t>
            </w:r>
          </w:p>
          <w:p w:rsidR="00CE0D30" w:rsidRPr="000E78AF" w:rsidRDefault="009E1D01" w:rsidP="008575AE">
            <w:pPr>
              <w:snapToGrid w:val="0"/>
              <w:jc w:val="both"/>
              <w:rPr>
                <w:sz w:val="19"/>
                <w:szCs w:val="19"/>
              </w:rPr>
            </w:pPr>
            <w:r w:rsidRPr="000E78AF">
              <w:rPr>
                <w:sz w:val="19"/>
                <w:szCs w:val="19"/>
              </w:rPr>
              <w:t>Female</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24 (48.0)</w:t>
            </w:r>
          </w:p>
          <w:p w:rsidR="00CE0D30" w:rsidRPr="000E78AF" w:rsidRDefault="009E1D01" w:rsidP="008575AE">
            <w:pPr>
              <w:snapToGrid w:val="0"/>
              <w:jc w:val="both"/>
              <w:rPr>
                <w:sz w:val="19"/>
                <w:szCs w:val="19"/>
              </w:rPr>
            </w:pPr>
            <w:r w:rsidRPr="000E78AF">
              <w:rPr>
                <w:sz w:val="19"/>
                <w:szCs w:val="19"/>
              </w:rPr>
              <w:t>26 (52.0)</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29 (58.0)</w:t>
            </w:r>
          </w:p>
          <w:p w:rsidR="00CE0D30" w:rsidRPr="000E78AF" w:rsidRDefault="009E1D01" w:rsidP="008575AE">
            <w:pPr>
              <w:snapToGrid w:val="0"/>
              <w:jc w:val="both"/>
              <w:rPr>
                <w:sz w:val="19"/>
                <w:szCs w:val="19"/>
              </w:rPr>
            </w:pPr>
            <w:r w:rsidRPr="000E78AF">
              <w:rPr>
                <w:sz w:val="19"/>
                <w:szCs w:val="19"/>
              </w:rPr>
              <w:t>21 (42.0)</w:t>
            </w:r>
          </w:p>
        </w:tc>
        <w:tc>
          <w:tcPr>
            <w:tcW w:w="846"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0.316</w:t>
            </w:r>
          </w:p>
        </w:tc>
      </w:tr>
      <w:tr w:rsidR="00CE0D30" w:rsidRPr="000E78AF" w:rsidTr="00EC6205">
        <w:trPr>
          <w:jc w:val="center"/>
        </w:trPr>
        <w:tc>
          <w:tcPr>
            <w:tcW w:w="1449"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Residence:</w:t>
            </w:r>
          </w:p>
          <w:p w:rsidR="00CE0D30" w:rsidRPr="000E78AF" w:rsidRDefault="009E1D01" w:rsidP="008575AE">
            <w:pPr>
              <w:snapToGrid w:val="0"/>
              <w:jc w:val="both"/>
              <w:rPr>
                <w:sz w:val="19"/>
                <w:szCs w:val="19"/>
              </w:rPr>
            </w:pPr>
            <w:r w:rsidRPr="000E78AF">
              <w:rPr>
                <w:sz w:val="19"/>
                <w:szCs w:val="19"/>
              </w:rPr>
              <w:t>Urban</w:t>
            </w:r>
          </w:p>
          <w:p w:rsidR="00CE0D30" w:rsidRPr="000E78AF" w:rsidRDefault="009E1D01" w:rsidP="008575AE">
            <w:pPr>
              <w:snapToGrid w:val="0"/>
              <w:jc w:val="both"/>
              <w:rPr>
                <w:sz w:val="19"/>
                <w:szCs w:val="19"/>
              </w:rPr>
            </w:pPr>
            <w:r w:rsidRPr="000E78AF">
              <w:rPr>
                <w:sz w:val="19"/>
                <w:szCs w:val="19"/>
              </w:rPr>
              <w:t>Rural</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21 (42.0)</w:t>
            </w:r>
          </w:p>
          <w:p w:rsidR="00CE0D30" w:rsidRPr="000E78AF" w:rsidRDefault="009E1D01" w:rsidP="008575AE">
            <w:pPr>
              <w:snapToGrid w:val="0"/>
              <w:jc w:val="both"/>
              <w:rPr>
                <w:sz w:val="19"/>
                <w:szCs w:val="19"/>
              </w:rPr>
            </w:pPr>
            <w:r w:rsidRPr="000E78AF">
              <w:rPr>
                <w:sz w:val="19"/>
                <w:szCs w:val="19"/>
              </w:rPr>
              <w:t>29 (58.0)</w:t>
            </w:r>
          </w:p>
        </w:tc>
        <w:tc>
          <w:tcPr>
            <w:tcW w:w="135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18 (36.0)</w:t>
            </w:r>
          </w:p>
          <w:p w:rsidR="00CE0D30" w:rsidRPr="000E78AF" w:rsidRDefault="009E1D01" w:rsidP="008575AE">
            <w:pPr>
              <w:snapToGrid w:val="0"/>
              <w:jc w:val="both"/>
              <w:rPr>
                <w:sz w:val="19"/>
                <w:szCs w:val="19"/>
              </w:rPr>
            </w:pPr>
            <w:r w:rsidRPr="000E78AF">
              <w:rPr>
                <w:sz w:val="19"/>
                <w:szCs w:val="19"/>
              </w:rPr>
              <w:t>32 (64.0)</w:t>
            </w:r>
          </w:p>
        </w:tc>
        <w:tc>
          <w:tcPr>
            <w:tcW w:w="846"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0.539</w:t>
            </w:r>
          </w:p>
        </w:tc>
      </w:tr>
    </w:tbl>
    <w:p w:rsidR="00B219B8" w:rsidRPr="000E78AF" w:rsidRDefault="00B219B8" w:rsidP="008575AE">
      <w:pPr>
        <w:snapToGrid w:val="0"/>
        <w:jc w:val="center"/>
        <w:rPr>
          <w:sz w:val="19"/>
          <w:szCs w:val="19"/>
        </w:rPr>
      </w:pPr>
    </w:p>
    <w:p w:rsidR="00CE0D30" w:rsidRPr="000E78AF" w:rsidRDefault="009E1D01" w:rsidP="008575AE">
      <w:pPr>
        <w:snapToGrid w:val="0"/>
        <w:jc w:val="center"/>
        <w:rPr>
          <w:sz w:val="19"/>
          <w:szCs w:val="19"/>
        </w:rPr>
      </w:pPr>
      <w:r w:rsidRPr="000E78AF">
        <w:rPr>
          <w:b/>
          <w:sz w:val="19"/>
          <w:szCs w:val="19"/>
        </w:rPr>
        <w:t xml:space="preserve">Table 2: Difference in </w:t>
      </w:r>
      <w:proofErr w:type="spellStart"/>
      <w:r w:rsidRPr="000E78AF">
        <w:rPr>
          <w:b/>
          <w:sz w:val="19"/>
          <w:szCs w:val="19"/>
        </w:rPr>
        <w:t>Hb</w:t>
      </w:r>
      <w:proofErr w:type="spellEnd"/>
      <w:r w:rsidRPr="000E78AF">
        <w:rPr>
          <w:b/>
          <w:sz w:val="19"/>
          <w:szCs w:val="19"/>
        </w:rPr>
        <w:t xml:space="preserve"> and RBCS indices before intervention in relation to the study</w:t>
      </w:r>
      <w:r w:rsidR="00B219B8" w:rsidRPr="000E78AF">
        <w:rPr>
          <w:sz w:val="19"/>
          <w:szCs w:val="19"/>
        </w:rPr>
        <w:t xml:space="preserve"> </w:t>
      </w:r>
      <w:r w:rsidRPr="000E78AF">
        <w:rPr>
          <w:b/>
          <w:sz w:val="19"/>
          <w:szCs w:val="19"/>
        </w:rPr>
        <w:t>groups</w:t>
      </w:r>
    </w:p>
    <w:tbl>
      <w:tblPr>
        <w:tblW w:w="5000" w:type="pct"/>
        <w:jc w:val="center"/>
        <w:tblCellMar>
          <w:left w:w="57" w:type="dxa"/>
          <w:right w:w="57" w:type="dxa"/>
        </w:tblCellMar>
        <w:tblLook w:val="01E0"/>
      </w:tblPr>
      <w:tblGrid>
        <w:gridCol w:w="2595"/>
        <w:gridCol w:w="2621"/>
        <w:gridCol w:w="2621"/>
        <w:gridCol w:w="1637"/>
      </w:tblGrid>
      <w:tr w:rsidR="00CE0D30" w:rsidRPr="000E78AF" w:rsidTr="00EC6205">
        <w:trPr>
          <w:jc w:val="center"/>
        </w:trPr>
        <w:tc>
          <w:tcPr>
            <w:tcW w:w="1370" w:type="pct"/>
            <w:vMerge w:val="restart"/>
            <w:tcBorders>
              <w:top w:val="single" w:sz="5" w:space="0" w:color="000000"/>
              <w:left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Variable</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Group 1 (50)</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Group 2 (50)</w:t>
            </w:r>
          </w:p>
        </w:tc>
        <w:tc>
          <w:tcPr>
            <w:tcW w:w="864" w:type="pct"/>
            <w:vMerge w:val="restart"/>
            <w:tcBorders>
              <w:top w:val="single" w:sz="5" w:space="0" w:color="000000"/>
              <w:left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P-value</w:t>
            </w:r>
          </w:p>
        </w:tc>
      </w:tr>
      <w:tr w:rsidR="00CE0D30" w:rsidRPr="000E78AF" w:rsidTr="00EC6205">
        <w:trPr>
          <w:jc w:val="center"/>
        </w:trPr>
        <w:tc>
          <w:tcPr>
            <w:tcW w:w="1370"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c>
          <w:tcPr>
            <w:tcW w:w="2765" w:type="pct"/>
            <w:gridSpan w:val="2"/>
            <w:tcBorders>
              <w:top w:val="nil"/>
              <w:left w:val="single" w:sz="5" w:space="0" w:color="000000"/>
              <w:bottom w:val="nil"/>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Mean ± SD</w:t>
            </w:r>
          </w:p>
        </w:tc>
        <w:tc>
          <w:tcPr>
            <w:tcW w:w="864"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r>
      <w:tr w:rsidR="00CE0D30" w:rsidRPr="000E78AF" w:rsidTr="00EC6205">
        <w:trPr>
          <w:jc w:val="center"/>
        </w:trPr>
        <w:tc>
          <w:tcPr>
            <w:tcW w:w="1370"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HB</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9.77 ± 1.09</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9.57 ± 1.76</w:t>
            </w:r>
          </w:p>
        </w:tc>
        <w:tc>
          <w:tcPr>
            <w:tcW w:w="86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0.508</w:t>
            </w:r>
          </w:p>
        </w:tc>
      </w:tr>
      <w:tr w:rsidR="00CE0D30" w:rsidRPr="000E78AF" w:rsidTr="00EC6205">
        <w:trPr>
          <w:jc w:val="center"/>
        </w:trPr>
        <w:tc>
          <w:tcPr>
            <w:tcW w:w="1370"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MCV</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65.29 ± 5.67</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66.89 ± 9.08</w:t>
            </w:r>
          </w:p>
        </w:tc>
        <w:tc>
          <w:tcPr>
            <w:tcW w:w="86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0.295</w:t>
            </w:r>
          </w:p>
        </w:tc>
      </w:tr>
      <w:tr w:rsidR="00CE0D30" w:rsidRPr="000E78AF" w:rsidTr="00EC6205">
        <w:trPr>
          <w:jc w:val="center"/>
        </w:trPr>
        <w:tc>
          <w:tcPr>
            <w:tcW w:w="1370"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MCH</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20.06 ± 2.64</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19.98 ± 3.55</w:t>
            </w:r>
          </w:p>
        </w:tc>
        <w:tc>
          <w:tcPr>
            <w:tcW w:w="86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0.898</w:t>
            </w:r>
          </w:p>
        </w:tc>
      </w:tr>
      <w:tr w:rsidR="00CE0D30" w:rsidRPr="000E78AF" w:rsidTr="00EC6205">
        <w:trPr>
          <w:jc w:val="center"/>
        </w:trPr>
        <w:tc>
          <w:tcPr>
            <w:tcW w:w="1370"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proofErr w:type="spellStart"/>
            <w:r w:rsidRPr="000E78AF">
              <w:rPr>
                <w:sz w:val="19"/>
                <w:szCs w:val="19"/>
              </w:rPr>
              <w:t>Reticulocytes</w:t>
            </w:r>
            <w:proofErr w:type="spellEnd"/>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1.31 ± 0.53</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1.25 ± 0.38</w:t>
            </w:r>
          </w:p>
        </w:tc>
        <w:tc>
          <w:tcPr>
            <w:tcW w:w="86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0.517</w:t>
            </w:r>
          </w:p>
        </w:tc>
      </w:tr>
      <w:tr w:rsidR="00CE0D30" w:rsidRPr="000E78AF" w:rsidTr="00EC6205">
        <w:trPr>
          <w:jc w:val="center"/>
        </w:trPr>
        <w:tc>
          <w:tcPr>
            <w:tcW w:w="1370"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RDW</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16.89 ± 2.70</w:t>
            </w:r>
          </w:p>
        </w:tc>
        <w:tc>
          <w:tcPr>
            <w:tcW w:w="138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17.14 ± 3.01</w:t>
            </w:r>
          </w:p>
        </w:tc>
        <w:tc>
          <w:tcPr>
            <w:tcW w:w="86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0.673</w:t>
            </w:r>
          </w:p>
        </w:tc>
      </w:tr>
    </w:tbl>
    <w:p w:rsidR="00CE0D30" w:rsidRPr="000E78AF" w:rsidRDefault="00CE0D30" w:rsidP="008575AE">
      <w:pPr>
        <w:snapToGrid w:val="0"/>
        <w:jc w:val="center"/>
        <w:rPr>
          <w:sz w:val="19"/>
          <w:szCs w:val="19"/>
        </w:rPr>
      </w:pPr>
    </w:p>
    <w:p w:rsidR="00CE0D30" w:rsidRPr="000E78AF" w:rsidRDefault="009E1D01" w:rsidP="008575AE">
      <w:pPr>
        <w:snapToGrid w:val="0"/>
        <w:jc w:val="center"/>
        <w:rPr>
          <w:sz w:val="19"/>
          <w:szCs w:val="19"/>
        </w:rPr>
      </w:pPr>
      <w:r w:rsidRPr="000E78AF">
        <w:rPr>
          <w:b/>
          <w:sz w:val="19"/>
          <w:szCs w:val="19"/>
        </w:rPr>
        <w:t xml:space="preserve">Table 3: Difference in </w:t>
      </w:r>
      <w:proofErr w:type="spellStart"/>
      <w:r w:rsidRPr="000E78AF">
        <w:rPr>
          <w:b/>
          <w:sz w:val="19"/>
          <w:szCs w:val="19"/>
        </w:rPr>
        <w:t>Hb</w:t>
      </w:r>
      <w:proofErr w:type="spellEnd"/>
      <w:r w:rsidRPr="000E78AF">
        <w:rPr>
          <w:b/>
          <w:sz w:val="19"/>
          <w:szCs w:val="19"/>
        </w:rPr>
        <w:t xml:space="preserve"> and RBCS indices after intervention of iron therapy in relation to the stud</w:t>
      </w:r>
      <w:r w:rsidR="00B219B8" w:rsidRPr="000E78AF">
        <w:rPr>
          <w:b/>
          <w:sz w:val="19"/>
          <w:szCs w:val="19"/>
        </w:rPr>
        <w:t xml:space="preserve">y </w:t>
      </w:r>
      <w:r w:rsidRPr="000E78AF">
        <w:rPr>
          <w:b/>
          <w:sz w:val="19"/>
          <w:szCs w:val="19"/>
        </w:rPr>
        <w:t>groups</w:t>
      </w:r>
    </w:p>
    <w:tbl>
      <w:tblPr>
        <w:tblW w:w="5000" w:type="pct"/>
        <w:jc w:val="center"/>
        <w:tblCellMar>
          <w:left w:w="57" w:type="dxa"/>
          <w:right w:w="57" w:type="dxa"/>
        </w:tblCellMar>
        <w:tblLook w:val="01E0"/>
      </w:tblPr>
      <w:tblGrid>
        <w:gridCol w:w="2105"/>
        <w:gridCol w:w="2755"/>
        <w:gridCol w:w="2755"/>
        <w:gridCol w:w="1859"/>
      </w:tblGrid>
      <w:tr w:rsidR="00CE0D30" w:rsidRPr="000E78AF" w:rsidTr="00EC6205">
        <w:trPr>
          <w:jc w:val="center"/>
        </w:trPr>
        <w:tc>
          <w:tcPr>
            <w:tcW w:w="1111" w:type="pct"/>
            <w:vMerge w:val="restart"/>
            <w:tcBorders>
              <w:top w:val="single" w:sz="5" w:space="0" w:color="000000"/>
              <w:left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Variable</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Group 1</w:t>
            </w:r>
            <w:r w:rsidR="000E78AF" w:rsidRPr="000E78AF">
              <w:rPr>
                <w:sz w:val="19"/>
                <w:szCs w:val="19"/>
              </w:rPr>
              <w:t xml:space="preserve"> </w:t>
            </w:r>
            <w:r w:rsidRPr="000E78AF">
              <w:rPr>
                <w:b/>
                <w:sz w:val="19"/>
                <w:szCs w:val="19"/>
              </w:rPr>
              <w:t>(50)</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Group 2</w:t>
            </w:r>
            <w:r w:rsidR="000E78AF" w:rsidRPr="000E78AF">
              <w:rPr>
                <w:sz w:val="19"/>
                <w:szCs w:val="19"/>
              </w:rPr>
              <w:t xml:space="preserve"> </w:t>
            </w:r>
            <w:r w:rsidRPr="000E78AF">
              <w:rPr>
                <w:b/>
                <w:sz w:val="19"/>
                <w:szCs w:val="19"/>
              </w:rPr>
              <w:t>(50)</w:t>
            </w:r>
          </w:p>
        </w:tc>
        <w:tc>
          <w:tcPr>
            <w:tcW w:w="982" w:type="pct"/>
            <w:vMerge w:val="restart"/>
            <w:tcBorders>
              <w:top w:val="single" w:sz="5" w:space="0" w:color="000000"/>
              <w:left w:val="single" w:sz="5" w:space="0" w:color="000000"/>
              <w:right w:val="single" w:sz="5" w:space="0" w:color="000000"/>
            </w:tcBorders>
            <w:vAlign w:val="center"/>
          </w:tcPr>
          <w:p w:rsidR="00CE0D30" w:rsidRPr="000E78AF" w:rsidRDefault="000E78AF" w:rsidP="008575AE">
            <w:pPr>
              <w:snapToGrid w:val="0"/>
              <w:jc w:val="both"/>
              <w:rPr>
                <w:sz w:val="19"/>
                <w:szCs w:val="19"/>
              </w:rPr>
            </w:pPr>
            <w:r w:rsidRPr="000E78AF">
              <w:rPr>
                <w:sz w:val="19"/>
                <w:szCs w:val="19"/>
              </w:rPr>
              <w:t xml:space="preserve"> </w:t>
            </w:r>
            <w:r w:rsidR="009E1D01" w:rsidRPr="000E78AF">
              <w:rPr>
                <w:b/>
                <w:sz w:val="19"/>
                <w:szCs w:val="19"/>
              </w:rPr>
              <w:t>P-value</w:t>
            </w:r>
          </w:p>
        </w:tc>
      </w:tr>
      <w:tr w:rsidR="00CE0D30" w:rsidRPr="000E78AF" w:rsidTr="00EC6205">
        <w:trPr>
          <w:jc w:val="center"/>
        </w:trPr>
        <w:tc>
          <w:tcPr>
            <w:tcW w:w="1111"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c>
          <w:tcPr>
            <w:tcW w:w="2907" w:type="pct"/>
            <w:gridSpan w:val="2"/>
            <w:tcBorders>
              <w:top w:val="nil"/>
              <w:left w:val="single" w:sz="5" w:space="0" w:color="000000"/>
              <w:bottom w:val="nil"/>
              <w:right w:val="single" w:sz="5" w:space="0" w:color="000000"/>
            </w:tcBorders>
            <w:vAlign w:val="center"/>
          </w:tcPr>
          <w:p w:rsidR="00CE0D30" w:rsidRPr="000E78AF" w:rsidRDefault="009E1D01" w:rsidP="008575AE">
            <w:pPr>
              <w:snapToGrid w:val="0"/>
              <w:jc w:val="both"/>
              <w:rPr>
                <w:sz w:val="19"/>
                <w:szCs w:val="19"/>
              </w:rPr>
            </w:pPr>
            <w:r w:rsidRPr="000E78AF">
              <w:rPr>
                <w:b/>
                <w:sz w:val="19"/>
                <w:szCs w:val="19"/>
              </w:rPr>
              <w:t>Mean ± SD</w:t>
            </w:r>
          </w:p>
        </w:tc>
        <w:tc>
          <w:tcPr>
            <w:tcW w:w="982"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r>
      <w:tr w:rsidR="00CE0D30" w:rsidRPr="000E78AF" w:rsidTr="00EC6205">
        <w:trPr>
          <w:jc w:val="center"/>
        </w:trPr>
        <w:tc>
          <w:tcPr>
            <w:tcW w:w="1111"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HB</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10.94 ± 1.05</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11.13 ± 1.44</w:t>
            </w:r>
          </w:p>
        </w:tc>
        <w:tc>
          <w:tcPr>
            <w:tcW w:w="98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0.453</w:t>
            </w:r>
          </w:p>
        </w:tc>
      </w:tr>
      <w:tr w:rsidR="00CE0D30" w:rsidRPr="000E78AF" w:rsidTr="00EC6205">
        <w:trPr>
          <w:jc w:val="center"/>
        </w:trPr>
        <w:tc>
          <w:tcPr>
            <w:tcW w:w="1111"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MCV</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69.62 ± 6.09</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70.54 ± 9.03</w:t>
            </w:r>
          </w:p>
        </w:tc>
        <w:tc>
          <w:tcPr>
            <w:tcW w:w="98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0.552</w:t>
            </w:r>
          </w:p>
        </w:tc>
      </w:tr>
      <w:tr w:rsidR="00CE0D30" w:rsidRPr="000E78AF" w:rsidTr="00EC6205">
        <w:trPr>
          <w:jc w:val="center"/>
        </w:trPr>
        <w:tc>
          <w:tcPr>
            <w:tcW w:w="1111"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MCH</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22.37 ± 2.23</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22.34 ± 3.55</w:t>
            </w:r>
          </w:p>
        </w:tc>
        <w:tc>
          <w:tcPr>
            <w:tcW w:w="98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0.552</w:t>
            </w:r>
          </w:p>
        </w:tc>
      </w:tr>
      <w:tr w:rsidR="00CE0D30" w:rsidRPr="000E78AF" w:rsidTr="00EC6205">
        <w:trPr>
          <w:jc w:val="center"/>
        </w:trPr>
        <w:tc>
          <w:tcPr>
            <w:tcW w:w="1111"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RDW</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15.52 ± 2.77</w:t>
            </w:r>
          </w:p>
        </w:tc>
        <w:tc>
          <w:tcPr>
            <w:tcW w:w="145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16.33 ± 3.45</w:t>
            </w:r>
          </w:p>
        </w:tc>
        <w:tc>
          <w:tcPr>
            <w:tcW w:w="982"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0.199</w:t>
            </w:r>
          </w:p>
        </w:tc>
      </w:tr>
    </w:tbl>
    <w:p w:rsidR="00CE0D30" w:rsidRPr="000E78AF" w:rsidRDefault="00CE0D30" w:rsidP="008575AE">
      <w:pPr>
        <w:snapToGrid w:val="0"/>
        <w:ind w:firstLine="425"/>
        <w:jc w:val="both"/>
        <w:rPr>
          <w:sz w:val="19"/>
          <w:szCs w:val="19"/>
        </w:rPr>
      </w:pPr>
    </w:p>
    <w:p w:rsidR="00CE0D30" w:rsidRPr="000E78AF" w:rsidRDefault="009E1D01" w:rsidP="008575AE">
      <w:pPr>
        <w:snapToGrid w:val="0"/>
        <w:jc w:val="center"/>
        <w:rPr>
          <w:sz w:val="19"/>
          <w:szCs w:val="19"/>
        </w:rPr>
      </w:pPr>
      <w:r w:rsidRPr="000E78AF">
        <w:rPr>
          <w:b/>
          <w:sz w:val="19"/>
          <w:szCs w:val="19"/>
        </w:rPr>
        <w:t>Table 4: Differences in iron profile before intervention in relation to the study groups</w:t>
      </w:r>
    </w:p>
    <w:tbl>
      <w:tblPr>
        <w:tblW w:w="5000" w:type="pct"/>
        <w:jc w:val="center"/>
        <w:tblCellMar>
          <w:left w:w="57" w:type="dxa"/>
          <w:right w:w="57" w:type="dxa"/>
        </w:tblCellMar>
        <w:tblLook w:val="01E0"/>
      </w:tblPr>
      <w:tblGrid>
        <w:gridCol w:w="3359"/>
        <w:gridCol w:w="2401"/>
        <w:gridCol w:w="2401"/>
        <w:gridCol w:w="1313"/>
      </w:tblGrid>
      <w:tr w:rsidR="00CE0D30" w:rsidRPr="000E78AF" w:rsidTr="00EC6205">
        <w:trPr>
          <w:jc w:val="center"/>
        </w:trPr>
        <w:tc>
          <w:tcPr>
            <w:tcW w:w="1773" w:type="pct"/>
            <w:vMerge w:val="restart"/>
            <w:tcBorders>
              <w:top w:val="single" w:sz="5" w:space="0" w:color="000000"/>
              <w:left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Variable</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tabs>
                <w:tab w:val="right" w:pos="1921"/>
              </w:tabs>
              <w:snapToGrid w:val="0"/>
              <w:jc w:val="both"/>
              <w:rPr>
                <w:sz w:val="19"/>
                <w:szCs w:val="19"/>
              </w:rPr>
            </w:pPr>
            <w:r w:rsidRPr="000E78AF">
              <w:rPr>
                <w:sz w:val="19"/>
                <w:szCs w:val="19"/>
              </w:rPr>
              <w:t>Group 1 (50)</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Group 2 (50)</w:t>
            </w:r>
          </w:p>
        </w:tc>
        <w:tc>
          <w:tcPr>
            <w:tcW w:w="694" w:type="pct"/>
            <w:vMerge w:val="restart"/>
            <w:tcBorders>
              <w:top w:val="single" w:sz="5" w:space="0" w:color="000000"/>
              <w:left w:val="single" w:sz="5" w:space="0" w:color="000000"/>
              <w:right w:val="single" w:sz="5" w:space="0" w:color="000000"/>
            </w:tcBorders>
            <w:vAlign w:val="center"/>
          </w:tcPr>
          <w:p w:rsidR="00CE0D30" w:rsidRPr="000E78AF" w:rsidRDefault="00CE0D30" w:rsidP="008575AE">
            <w:pPr>
              <w:snapToGrid w:val="0"/>
              <w:jc w:val="both"/>
              <w:rPr>
                <w:sz w:val="19"/>
                <w:szCs w:val="19"/>
              </w:rPr>
            </w:pPr>
          </w:p>
          <w:p w:rsidR="00CE0D30" w:rsidRPr="000E78AF" w:rsidRDefault="009E1D01" w:rsidP="008575AE">
            <w:pPr>
              <w:snapToGrid w:val="0"/>
              <w:jc w:val="both"/>
              <w:rPr>
                <w:sz w:val="19"/>
                <w:szCs w:val="19"/>
              </w:rPr>
            </w:pPr>
            <w:r w:rsidRPr="000E78AF">
              <w:rPr>
                <w:sz w:val="19"/>
                <w:szCs w:val="19"/>
              </w:rPr>
              <w:t>P-value</w:t>
            </w:r>
          </w:p>
        </w:tc>
      </w:tr>
      <w:tr w:rsidR="00CE0D30" w:rsidRPr="000E78AF" w:rsidTr="00EC6205">
        <w:trPr>
          <w:jc w:val="center"/>
        </w:trPr>
        <w:tc>
          <w:tcPr>
            <w:tcW w:w="1773"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c>
          <w:tcPr>
            <w:tcW w:w="2533" w:type="pct"/>
            <w:gridSpan w:val="2"/>
            <w:tcBorders>
              <w:top w:val="nil"/>
              <w:left w:val="single" w:sz="5" w:space="0" w:color="000000"/>
              <w:bottom w:val="nil"/>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Mean ± SD</w:t>
            </w:r>
          </w:p>
        </w:tc>
        <w:tc>
          <w:tcPr>
            <w:tcW w:w="694" w:type="pct"/>
            <w:vMerge/>
            <w:tcBorders>
              <w:left w:val="single" w:sz="5" w:space="0" w:color="000000"/>
              <w:bottom w:val="single" w:sz="5" w:space="0" w:color="000000"/>
              <w:right w:val="single" w:sz="5" w:space="0" w:color="000000"/>
            </w:tcBorders>
            <w:vAlign w:val="center"/>
          </w:tcPr>
          <w:p w:rsidR="00CE0D30" w:rsidRPr="000E78AF" w:rsidRDefault="00CE0D30" w:rsidP="008575AE">
            <w:pPr>
              <w:snapToGrid w:val="0"/>
              <w:jc w:val="both"/>
              <w:rPr>
                <w:sz w:val="19"/>
                <w:szCs w:val="19"/>
              </w:rPr>
            </w:pPr>
          </w:p>
        </w:tc>
      </w:tr>
      <w:tr w:rsidR="00CE0D30" w:rsidRPr="000E78AF"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Iron</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40.74 ± 19.73</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38.12 ± 21.36</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0.525</w:t>
            </w:r>
          </w:p>
        </w:tc>
      </w:tr>
      <w:tr w:rsidR="00CE0D30" w:rsidRPr="000E78AF"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TIBC</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360.56 ± 93.07</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348.39 ± 71.81</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0.196</w:t>
            </w:r>
          </w:p>
        </w:tc>
      </w:tr>
      <w:tr w:rsidR="00CE0D30" w:rsidRPr="000E78AF"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proofErr w:type="spellStart"/>
            <w:r w:rsidRPr="000E78AF">
              <w:rPr>
                <w:sz w:val="19"/>
                <w:szCs w:val="19"/>
              </w:rPr>
              <w:t>Ferritin</w:t>
            </w:r>
            <w:proofErr w:type="spellEnd"/>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8.79 ± 4.94</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11.11 ± 7.15</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0.062</w:t>
            </w:r>
          </w:p>
        </w:tc>
      </w:tr>
      <w:tr w:rsidR="00CE0D30" w:rsidRPr="000E78AF"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proofErr w:type="spellStart"/>
            <w:r w:rsidRPr="000E78AF">
              <w:rPr>
                <w:sz w:val="19"/>
                <w:szCs w:val="19"/>
              </w:rPr>
              <w:t>Transferrin</w:t>
            </w:r>
            <w:proofErr w:type="spellEnd"/>
            <w:r w:rsidRPr="000E78AF">
              <w:rPr>
                <w:sz w:val="19"/>
                <w:szCs w:val="19"/>
              </w:rPr>
              <w:t xml:space="preserve"> saturation</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12.36 ± 6.70</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11.92 ± 7.29</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E78AF" w:rsidRDefault="009E1D01" w:rsidP="008575AE">
            <w:pPr>
              <w:snapToGrid w:val="0"/>
              <w:jc w:val="both"/>
              <w:rPr>
                <w:sz w:val="19"/>
                <w:szCs w:val="19"/>
              </w:rPr>
            </w:pPr>
            <w:r w:rsidRPr="000E78AF">
              <w:rPr>
                <w:sz w:val="19"/>
                <w:szCs w:val="19"/>
              </w:rPr>
              <w:t>0.757</w:t>
            </w:r>
          </w:p>
        </w:tc>
      </w:tr>
    </w:tbl>
    <w:p w:rsidR="006B4DB2" w:rsidRDefault="006B4DB2" w:rsidP="008575AE">
      <w:pPr>
        <w:snapToGrid w:val="0"/>
        <w:jc w:val="center"/>
        <w:rPr>
          <w:rFonts w:hint="eastAsia"/>
          <w:b/>
          <w:lang w:eastAsia="zh-CN"/>
        </w:rPr>
      </w:pPr>
    </w:p>
    <w:p w:rsidR="006B4DB2" w:rsidRDefault="006B4DB2" w:rsidP="008575AE">
      <w:pPr>
        <w:snapToGrid w:val="0"/>
        <w:jc w:val="center"/>
        <w:rPr>
          <w:rFonts w:hint="eastAsia"/>
          <w:b/>
          <w:lang w:eastAsia="zh-CN"/>
        </w:rPr>
      </w:pPr>
    </w:p>
    <w:p w:rsidR="006B4DB2" w:rsidRDefault="006B4DB2" w:rsidP="008575AE">
      <w:pPr>
        <w:snapToGrid w:val="0"/>
        <w:jc w:val="center"/>
        <w:rPr>
          <w:rFonts w:hint="eastAsia"/>
          <w:b/>
          <w:lang w:eastAsia="zh-CN"/>
        </w:rPr>
      </w:pPr>
    </w:p>
    <w:p w:rsidR="00D32E6B" w:rsidRDefault="00D32E6B" w:rsidP="008575AE">
      <w:pPr>
        <w:snapToGrid w:val="0"/>
        <w:jc w:val="center"/>
        <w:rPr>
          <w:rFonts w:hint="eastAsia"/>
          <w:b/>
          <w:lang w:eastAsia="zh-CN"/>
        </w:rPr>
      </w:pPr>
    </w:p>
    <w:p w:rsidR="00CE0D30" w:rsidRPr="00EC6205" w:rsidRDefault="009E1D01" w:rsidP="008575AE">
      <w:pPr>
        <w:snapToGrid w:val="0"/>
        <w:jc w:val="center"/>
      </w:pPr>
      <w:r w:rsidRPr="00EC6205">
        <w:rPr>
          <w:b/>
        </w:rPr>
        <w:t>Table 5: Differences in iron profile after intervention in relation to the study groups</w:t>
      </w:r>
    </w:p>
    <w:tbl>
      <w:tblPr>
        <w:tblW w:w="5000" w:type="pct"/>
        <w:jc w:val="center"/>
        <w:tblCellMar>
          <w:left w:w="57" w:type="dxa"/>
          <w:right w:w="57" w:type="dxa"/>
        </w:tblCellMar>
        <w:tblLook w:val="01E0"/>
      </w:tblPr>
      <w:tblGrid>
        <w:gridCol w:w="3359"/>
        <w:gridCol w:w="2401"/>
        <w:gridCol w:w="2401"/>
        <w:gridCol w:w="1313"/>
      </w:tblGrid>
      <w:tr w:rsidR="00CE0D30" w:rsidRPr="00033CB7" w:rsidTr="00EC6205">
        <w:trPr>
          <w:jc w:val="center"/>
        </w:trPr>
        <w:tc>
          <w:tcPr>
            <w:tcW w:w="1773" w:type="pct"/>
            <w:vMerge w:val="restart"/>
            <w:tcBorders>
              <w:top w:val="single" w:sz="5" w:space="0" w:color="000000"/>
              <w:left w:val="single" w:sz="5" w:space="0" w:color="000000"/>
              <w:right w:val="single" w:sz="5" w:space="0" w:color="000000"/>
            </w:tcBorders>
            <w:vAlign w:val="center"/>
          </w:tcPr>
          <w:p w:rsidR="00CE0D30" w:rsidRPr="00033CB7" w:rsidRDefault="00CE0D30" w:rsidP="008575AE">
            <w:pPr>
              <w:snapToGrid w:val="0"/>
              <w:jc w:val="both"/>
            </w:pPr>
          </w:p>
          <w:p w:rsidR="00CE0D30" w:rsidRPr="00033CB7" w:rsidRDefault="009E1D01" w:rsidP="008575AE">
            <w:pPr>
              <w:snapToGrid w:val="0"/>
              <w:jc w:val="both"/>
            </w:pPr>
            <w:r w:rsidRPr="00033CB7">
              <w:t>Variable</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Group 1 (50)</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Group 2 (50)</w:t>
            </w:r>
          </w:p>
        </w:tc>
        <w:tc>
          <w:tcPr>
            <w:tcW w:w="694" w:type="pct"/>
            <w:vMerge w:val="restart"/>
            <w:tcBorders>
              <w:top w:val="single" w:sz="5" w:space="0" w:color="000000"/>
              <w:left w:val="single" w:sz="5" w:space="0" w:color="000000"/>
              <w:right w:val="single" w:sz="5" w:space="0" w:color="000000"/>
            </w:tcBorders>
            <w:vAlign w:val="center"/>
          </w:tcPr>
          <w:p w:rsidR="00CE0D30" w:rsidRPr="00033CB7" w:rsidRDefault="00CE0D30" w:rsidP="008575AE">
            <w:pPr>
              <w:snapToGrid w:val="0"/>
              <w:jc w:val="both"/>
            </w:pPr>
          </w:p>
          <w:p w:rsidR="00CE0D30" w:rsidRPr="00033CB7" w:rsidRDefault="009E1D01" w:rsidP="008575AE">
            <w:pPr>
              <w:snapToGrid w:val="0"/>
              <w:jc w:val="both"/>
            </w:pPr>
            <w:r w:rsidRPr="00033CB7">
              <w:t>P-value</w:t>
            </w:r>
          </w:p>
        </w:tc>
      </w:tr>
      <w:tr w:rsidR="00CE0D30" w:rsidRPr="00033CB7" w:rsidTr="00EC6205">
        <w:trPr>
          <w:jc w:val="center"/>
        </w:trPr>
        <w:tc>
          <w:tcPr>
            <w:tcW w:w="1773" w:type="pct"/>
            <w:vMerge/>
            <w:tcBorders>
              <w:left w:val="single" w:sz="5" w:space="0" w:color="000000"/>
              <w:bottom w:val="single" w:sz="5" w:space="0" w:color="000000"/>
              <w:right w:val="single" w:sz="5" w:space="0" w:color="000000"/>
            </w:tcBorders>
            <w:vAlign w:val="center"/>
          </w:tcPr>
          <w:p w:rsidR="00CE0D30" w:rsidRPr="00033CB7" w:rsidRDefault="00CE0D30" w:rsidP="008575AE">
            <w:pPr>
              <w:snapToGrid w:val="0"/>
              <w:jc w:val="both"/>
            </w:pPr>
          </w:p>
        </w:tc>
        <w:tc>
          <w:tcPr>
            <w:tcW w:w="2533" w:type="pct"/>
            <w:gridSpan w:val="2"/>
            <w:tcBorders>
              <w:top w:val="nil"/>
              <w:left w:val="single" w:sz="5" w:space="0" w:color="000000"/>
              <w:bottom w:val="nil"/>
              <w:right w:val="single" w:sz="5" w:space="0" w:color="000000"/>
            </w:tcBorders>
            <w:vAlign w:val="center"/>
          </w:tcPr>
          <w:p w:rsidR="00CE0D30" w:rsidRPr="00033CB7" w:rsidRDefault="009E1D01" w:rsidP="008575AE">
            <w:pPr>
              <w:snapToGrid w:val="0"/>
              <w:jc w:val="both"/>
            </w:pPr>
            <w:r w:rsidRPr="00033CB7">
              <w:t>Mean ± SD</w:t>
            </w:r>
          </w:p>
        </w:tc>
        <w:tc>
          <w:tcPr>
            <w:tcW w:w="694" w:type="pct"/>
            <w:vMerge/>
            <w:tcBorders>
              <w:left w:val="single" w:sz="5" w:space="0" w:color="000000"/>
              <w:bottom w:val="single" w:sz="5" w:space="0" w:color="000000"/>
              <w:right w:val="single" w:sz="5" w:space="0" w:color="000000"/>
            </w:tcBorders>
            <w:vAlign w:val="center"/>
          </w:tcPr>
          <w:p w:rsidR="00CE0D30" w:rsidRPr="00033CB7" w:rsidRDefault="00CE0D30" w:rsidP="008575AE">
            <w:pPr>
              <w:snapToGrid w:val="0"/>
              <w:jc w:val="both"/>
            </w:pPr>
          </w:p>
        </w:tc>
      </w:tr>
      <w:tr w:rsidR="00CE0D30" w:rsidRPr="00033CB7"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Iron</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62.58 ± 23.62</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61.72 ± 22.81</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0.690</w:t>
            </w:r>
          </w:p>
        </w:tc>
      </w:tr>
      <w:tr w:rsidR="00CE0D30" w:rsidRPr="00033CB7"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TIBC</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317.74 ± 73.15</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301.54 ± 65.81</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0.245</w:t>
            </w:r>
          </w:p>
        </w:tc>
      </w:tr>
      <w:tr w:rsidR="00CE0D30" w:rsidRPr="00033CB7"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proofErr w:type="spellStart"/>
            <w:r w:rsidRPr="00033CB7">
              <w:t>Ferritin</w:t>
            </w:r>
            <w:proofErr w:type="spellEnd"/>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33.64 ± 12.34</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33.82 ± 16.96</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0.952</w:t>
            </w:r>
          </w:p>
        </w:tc>
      </w:tr>
      <w:tr w:rsidR="00CE0D30" w:rsidRPr="00033CB7" w:rsidTr="00EC6205">
        <w:trPr>
          <w:jc w:val="center"/>
        </w:trPr>
        <w:tc>
          <w:tcPr>
            <w:tcW w:w="1773"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proofErr w:type="spellStart"/>
            <w:r w:rsidRPr="00033CB7">
              <w:t>Transferrin</w:t>
            </w:r>
            <w:proofErr w:type="spellEnd"/>
            <w:r w:rsidRPr="00033CB7">
              <w:t xml:space="preserve"> saturation</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22.94 ± 11.87</w:t>
            </w:r>
          </w:p>
        </w:tc>
        <w:tc>
          <w:tcPr>
            <w:tcW w:w="1267"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20.59 ± 9.67</w:t>
            </w:r>
          </w:p>
        </w:tc>
        <w:tc>
          <w:tcPr>
            <w:tcW w:w="694"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0.283</w:t>
            </w:r>
          </w:p>
        </w:tc>
      </w:tr>
    </w:tbl>
    <w:p w:rsidR="00CE0D30" w:rsidRDefault="00CE0D30" w:rsidP="008575AE">
      <w:pPr>
        <w:snapToGrid w:val="0"/>
        <w:jc w:val="center"/>
        <w:rPr>
          <w:rFonts w:hint="eastAsia"/>
          <w:lang w:eastAsia="zh-CN"/>
        </w:rPr>
      </w:pPr>
    </w:p>
    <w:p w:rsidR="00D32E6B" w:rsidRPr="00EC6205" w:rsidRDefault="00D32E6B" w:rsidP="008575AE">
      <w:pPr>
        <w:snapToGrid w:val="0"/>
        <w:jc w:val="center"/>
        <w:rPr>
          <w:rFonts w:hint="eastAsia"/>
          <w:lang w:eastAsia="zh-CN"/>
        </w:rPr>
      </w:pPr>
    </w:p>
    <w:p w:rsidR="00CE0D30" w:rsidRPr="00EC6205" w:rsidRDefault="009E1D01" w:rsidP="008575AE">
      <w:pPr>
        <w:snapToGrid w:val="0"/>
        <w:jc w:val="center"/>
      </w:pPr>
      <w:r w:rsidRPr="00EC6205">
        <w:rPr>
          <w:b/>
        </w:rPr>
        <w:t xml:space="preserve">Table </w:t>
      </w:r>
      <w:r w:rsidR="00B219B8" w:rsidRPr="00EC6205">
        <w:rPr>
          <w:b/>
        </w:rPr>
        <w:t xml:space="preserve">6: </w:t>
      </w:r>
      <w:r w:rsidRPr="00EC6205">
        <w:rPr>
          <w:b/>
        </w:rPr>
        <w:t>Improvement in anemia in the study groups</w:t>
      </w:r>
    </w:p>
    <w:tbl>
      <w:tblPr>
        <w:tblW w:w="5000" w:type="pct"/>
        <w:jc w:val="center"/>
        <w:tblCellMar>
          <w:left w:w="57" w:type="dxa"/>
          <w:right w:w="57" w:type="dxa"/>
        </w:tblCellMar>
        <w:tblLook w:val="01E0"/>
      </w:tblPr>
      <w:tblGrid>
        <w:gridCol w:w="3804"/>
        <w:gridCol w:w="1986"/>
        <w:gridCol w:w="1986"/>
        <w:gridCol w:w="1698"/>
      </w:tblGrid>
      <w:tr w:rsidR="00CE0D30" w:rsidRPr="00033CB7" w:rsidTr="00EC6205">
        <w:trPr>
          <w:jc w:val="center"/>
        </w:trPr>
        <w:tc>
          <w:tcPr>
            <w:tcW w:w="2008" w:type="pct"/>
            <w:vMerge w:val="restart"/>
            <w:tcBorders>
              <w:top w:val="single" w:sz="5" w:space="0" w:color="000000"/>
              <w:left w:val="single" w:sz="5" w:space="0" w:color="000000"/>
              <w:right w:val="single" w:sz="5" w:space="0" w:color="000000"/>
            </w:tcBorders>
            <w:vAlign w:val="center"/>
          </w:tcPr>
          <w:p w:rsidR="00CE0D30" w:rsidRPr="00033CB7" w:rsidRDefault="00CE0D30" w:rsidP="008575AE">
            <w:pPr>
              <w:snapToGrid w:val="0"/>
              <w:jc w:val="both"/>
            </w:pPr>
          </w:p>
          <w:p w:rsidR="00CE0D30" w:rsidRPr="00033CB7" w:rsidRDefault="009E1D01" w:rsidP="008575AE">
            <w:pPr>
              <w:snapToGrid w:val="0"/>
              <w:jc w:val="both"/>
            </w:pPr>
            <w:r w:rsidRPr="00033CB7">
              <w:t>Variable</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Group 1</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Group 2</w:t>
            </w:r>
          </w:p>
        </w:tc>
        <w:tc>
          <w:tcPr>
            <w:tcW w:w="896" w:type="pct"/>
            <w:vMerge w:val="restart"/>
            <w:tcBorders>
              <w:top w:val="single" w:sz="5" w:space="0" w:color="000000"/>
              <w:left w:val="single" w:sz="5" w:space="0" w:color="000000"/>
              <w:right w:val="single" w:sz="5" w:space="0" w:color="000000"/>
            </w:tcBorders>
            <w:vAlign w:val="center"/>
          </w:tcPr>
          <w:p w:rsidR="00CE0D30" w:rsidRPr="00033CB7" w:rsidRDefault="009E1D01" w:rsidP="008575AE">
            <w:pPr>
              <w:snapToGrid w:val="0"/>
              <w:jc w:val="both"/>
            </w:pPr>
            <w:r w:rsidRPr="00033CB7">
              <w:t>P-value</w:t>
            </w:r>
          </w:p>
        </w:tc>
      </w:tr>
      <w:tr w:rsidR="00CE0D30" w:rsidRPr="00033CB7" w:rsidTr="00EC6205">
        <w:trPr>
          <w:jc w:val="center"/>
        </w:trPr>
        <w:tc>
          <w:tcPr>
            <w:tcW w:w="2008" w:type="pct"/>
            <w:vMerge/>
            <w:tcBorders>
              <w:left w:val="single" w:sz="5" w:space="0" w:color="000000"/>
              <w:bottom w:val="single" w:sz="5" w:space="0" w:color="000000"/>
              <w:right w:val="single" w:sz="5" w:space="0" w:color="000000"/>
            </w:tcBorders>
            <w:vAlign w:val="center"/>
          </w:tcPr>
          <w:p w:rsidR="00CE0D30" w:rsidRPr="00033CB7" w:rsidRDefault="00CE0D30" w:rsidP="008575AE">
            <w:pPr>
              <w:snapToGrid w:val="0"/>
              <w:jc w:val="both"/>
            </w:pPr>
          </w:p>
        </w:tc>
        <w:tc>
          <w:tcPr>
            <w:tcW w:w="2096" w:type="pct"/>
            <w:gridSpan w:val="2"/>
            <w:tcBorders>
              <w:top w:val="nil"/>
              <w:left w:val="single" w:sz="5" w:space="0" w:color="000000"/>
              <w:bottom w:val="nil"/>
              <w:right w:val="single" w:sz="5" w:space="0" w:color="000000"/>
            </w:tcBorders>
            <w:vAlign w:val="center"/>
          </w:tcPr>
          <w:p w:rsidR="00CE0D30" w:rsidRPr="00033CB7" w:rsidRDefault="009E1D01" w:rsidP="008575AE">
            <w:pPr>
              <w:snapToGrid w:val="0"/>
              <w:jc w:val="both"/>
            </w:pPr>
            <w:r w:rsidRPr="00033CB7">
              <w:t>N (%)</w:t>
            </w:r>
          </w:p>
        </w:tc>
        <w:tc>
          <w:tcPr>
            <w:tcW w:w="896" w:type="pct"/>
            <w:vMerge/>
            <w:tcBorders>
              <w:left w:val="single" w:sz="5" w:space="0" w:color="000000"/>
              <w:bottom w:val="single" w:sz="5" w:space="0" w:color="000000"/>
              <w:right w:val="single" w:sz="5" w:space="0" w:color="000000"/>
            </w:tcBorders>
            <w:vAlign w:val="center"/>
          </w:tcPr>
          <w:p w:rsidR="00CE0D30" w:rsidRPr="00033CB7" w:rsidRDefault="00CE0D30" w:rsidP="008575AE">
            <w:pPr>
              <w:snapToGrid w:val="0"/>
              <w:jc w:val="both"/>
            </w:pPr>
          </w:p>
        </w:tc>
      </w:tr>
      <w:tr w:rsidR="00CE0D30" w:rsidRPr="00033CB7" w:rsidTr="00EC6205">
        <w:trPr>
          <w:jc w:val="center"/>
        </w:trPr>
        <w:tc>
          <w:tcPr>
            <w:tcW w:w="200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Improved</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31 (62.0)</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35 (70.0)</w:t>
            </w:r>
          </w:p>
        </w:tc>
        <w:tc>
          <w:tcPr>
            <w:tcW w:w="896" w:type="pct"/>
            <w:vMerge w:val="restart"/>
            <w:tcBorders>
              <w:top w:val="single" w:sz="5" w:space="0" w:color="000000"/>
              <w:left w:val="single" w:sz="5" w:space="0" w:color="000000"/>
              <w:right w:val="single" w:sz="5" w:space="0" w:color="000000"/>
            </w:tcBorders>
            <w:vAlign w:val="center"/>
          </w:tcPr>
          <w:p w:rsidR="00CE0D30" w:rsidRPr="00033CB7" w:rsidRDefault="00CE0D30" w:rsidP="008575AE">
            <w:pPr>
              <w:snapToGrid w:val="0"/>
              <w:jc w:val="both"/>
            </w:pPr>
          </w:p>
          <w:p w:rsidR="00CE0D30" w:rsidRPr="00033CB7" w:rsidRDefault="009E1D01" w:rsidP="008575AE">
            <w:pPr>
              <w:snapToGrid w:val="0"/>
              <w:jc w:val="both"/>
            </w:pPr>
            <w:r w:rsidRPr="00033CB7">
              <w:t>0.211</w:t>
            </w:r>
          </w:p>
        </w:tc>
      </w:tr>
      <w:tr w:rsidR="00CE0D30" w:rsidRPr="00033CB7" w:rsidTr="00EC6205">
        <w:trPr>
          <w:jc w:val="center"/>
        </w:trPr>
        <w:tc>
          <w:tcPr>
            <w:tcW w:w="200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Not well improved</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19 (38.0)</w:t>
            </w:r>
          </w:p>
        </w:tc>
        <w:tc>
          <w:tcPr>
            <w:tcW w:w="1048" w:type="pct"/>
            <w:tcBorders>
              <w:top w:val="single" w:sz="5" w:space="0" w:color="000000"/>
              <w:left w:val="single" w:sz="5" w:space="0" w:color="000000"/>
              <w:bottom w:val="single" w:sz="5" w:space="0" w:color="000000"/>
              <w:right w:val="single" w:sz="5" w:space="0" w:color="000000"/>
            </w:tcBorders>
            <w:vAlign w:val="center"/>
          </w:tcPr>
          <w:p w:rsidR="00CE0D30" w:rsidRPr="00033CB7" w:rsidRDefault="009E1D01" w:rsidP="008575AE">
            <w:pPr>
              <w:snapToGrid w:val="0"/>
              <w:jc w:val="both"/>
            </w:pPr>
            <w:r w:rsidRPr="00033CB7">
              <w:t>15 (30.0)</w:t>
            </w:r>
          </w:p>
        </w:tc>
        <w:tc>
          <w:tcPr>
            <w:tcW w:w="896" w:type="pct"/>
            <w:vMerge/>
            <w:tcBorders>
              <w:left w:val="single" w:sz="5" w:space="0" w:color="000000"/>
              <w:bottom w:val="single" w:sz="5" w:space="0" w:color="000000"/>
              <w:right w:val="single" w:sz="5" w:space="0" w:color="000000"/>
            </w:tcBorders>
            <w:vAlign w:val="center"/>
          </w:tcPr>
          <w:p w:rsidR="00CE0D30" w:rsidRPr="00033CB7" w:rsidRDefault="00CE0D30" w:rsidP="008575AE">
            <w:pPr>
              <w:snapToGrid w:val="0"/>
              <w:jc w:val="both"/>
            </w:pPr>
          </w:p>
        </w:tc>
      </w:tr>
    </w:tbl>
    <w:p w:rsidR="000E78AF" w:rsidRDefault="00EC6205" w:rsidP="008575AE">
      <w:pPr>
        <w:snapToGrid w:val="0"/>
        <w:jc w:val="both"/>
        <w:rPr>
          <w:rFonts w:hint="eastAsia"/>
          <w:b/>
          <w:lang w:eastAsia="zh-CN"/>
        </w:rPr>
      </w:pPr>
      <w:r>
        <w:rPr>
          <w:b/>
        </w:rPr>
        <w:cr/>
      </w:r>
    </w:p>
    <w:p w:rsidR="006B4DB2" w:rsidRDefault="006B4DB2" w:rsidP="008575AE">
      <w:pPr>
        <w:snapToGrid w:val="0"/>
        <w:jc w:val="both"/>
        <w:rPr>
          <w:rFonts w:hint="eastAsia"/>
          <w:b/>
          <w:lang w:eastAsia="zh-CN"/>
        </w:rPr>
        <w:sectPr w:rsidR="006B4DB2" w:rsidSect="00EC6205">
          <w:type w:val="continuous"/>
          <w:pgSz w:w="12240" w:h="15840" w:code="1"/>
          <w:pgMar w:top="1440" w:right="1440" w:bottom="1440" w:left="1440" w:header="720" w:footer="720" w:gutter="0"/>
          <w:cols w:space="720"/>
          <w:docGrid w:linePitch="272"/>
        </w:sectPr>
      </w:pPr>
    </w:p>
    <w:p w:rsidR="00CE0D30" w:rsidRPr="00EC6205" w:rsidRDefault="00B219B8" w:rsidP="008575AE">
      <w:pPr>
        <w:snapToGrid w:val="0"/>
        <w:jc w:val="both"/>
      </w:pPr>
      <w:r w:rsidRPr="00EC6205">
        <w:rPr>
          <w:b/>
        </w:rPr>
        <w:lastRenderedPageBreak/>
        <w:t>4. Discussion</w:t>
      </w:r>
    </w:p>
    <w:p w:rsidR="00CE0D30" w:rsidRPr="00EC6205" w:rsidRDefault="009E1D01" w:rsidP="008575AE">
      <w:pPr>
        <w:snapToGrid w:val="0"/>
        <w:ind w:firstLine="425"/>
        <w:jc w:val="both"/>
      </w:pPr>
      <w:r w:rsidRPr="00EC6205">
        <w:t>In the present study there is no significant difference between the two groups as regards the mean of socio-demographic characteristics, anthropometric measurements, nutritional history, developmental history, iron supplementation, and the clinical data.</w:t>
      </w:r>
    </w:p>
    <w:p w:rsidR="00CE0D30" w:rsidRPr="00EC6205" w:rsidRDefault="009E1D01" w:rsidP="008575AE">
      <w:pPr>
        <w:snapToGrid w:val="0"/>
        <w:ind w:firstLine="425"/>
        <w:jc w:val="both"/>
      </w:pPr>
      <w:r w:rsidRPr="00EC6205">
        <w:t>Before treatment, in the present study both groups showed decline below the normal level in measurement of parameters of IDA (</w:t>
      </w:r>
      <w:proofErr w:type="spellStart"/>
      <w:r w:rsidRPr="00EC6205">
        <w:t>Hb</w:t>
      </w:r>
      <w:proofErr w:type="spellEnd"/>
      <w:r w:rsidRPr="00EC6205">
        <w:t>, RBCS indices, and iron profile), with no statistically significant difference between them.</w:t>
      </w:r>
    </w:p>
    <w:p w:rsidR="00CE0D30" w:rsidRPr="00EC6205" w:rsidRDefault="009E1D01" w:rsidP="008575AE">
      <w:pPr>
        <w:snapToGrid w:val="0"/>
        <w:ind w:firstLine="425"/>
        <w:jc w:val="both"/>
      </w:pPr>
      <w:r w:rsidRPr="00EC6205">
        <w:t>After treatment for three months by food supplementation in group one</w:t>
      </w:r>
      <w:r w:rsidRPr="00EC6205">
        <w:rPr>
          <w:b/>
        </w:rPr>
        <w:t xml:space="preserve">: </w:t>
      </w:r>
      <w:r w:rsidRPr="00EC6205">
        <w:t>the rate of anemia regarding the hemoglobin level, showed significant difference before (9.77 ± 1.09) and after treatment (10.94 ± 1.05) ml/dl %) with p-value &lt; 0.0001.</w:t>
      </w:r>
    </w:p>
    <w:p w:rsidR="00CE0D30" w:rsidRPr="00EC6205" w:rsidRDefault="009E1D01" w:rsidP="008575AE">
      <w:pPr>
        <w:snapToGrid w:val="0"/>
        <w:ind w:firstLine="425"/>
        <w:jc w:val="both"/>
      </w:pPr>
      <w:r w:rsidRPr="00EC6205">
        <w:t>Out of the 50 patients received food supplementation with iron in group one, only</w:t>
      </w:r>
      <w:r w:rsidR="00B219B8" w:rsidRPr="00EC6205">
        <w:t xml:space="preserve"> </w:t>
      </w:r>
      <w:r w:rsidRPr="00EC6205">
        <w:t>31 patients improv</w:t>
      </w:r>
      <w:r w:rsidR="00B219B8" w:rsidRPr="00EC6205">
        <w:t xml:space="preserve">ed </w:t>
      </w:r>
      <w:r w:rsidRPr="00EC6205">
        <w:t>from anemia.</w:t>
      </w:r>
    </w:p>
    <w:p w:rsidR="00CE0D30" w:rsidRPr="00EC6205" w:rsidRDefault="009E1D01" w:rsidP="008575AE">
      <w:pPr>
        <w:snapToGrid w:val="0"/>
        <w:ind w:firstLine="425"/>
        <w:jc w:val="both"/>
      </w:pPr>
      <w:r w:rsidRPr="00EC6205">
        <w:t>After treatment for three months by oral iron therapy in group two</w:t>
      </w:r>
      <w:r w:rsidRPr="00EC6205">
        <w:rPr>
          <w:b/>
        </w:rPr>
        <w:t xml:space="preserve">: </w:t>
      </w:r>
      <w:r w:rsidRPr="00EC6205">
        <w:t>Regarding the</w:t>
      </w:r>
      <w:r w:rsidR="00B219B8" w:rsidRPr="00EC6205">
        <w:t xml:space="preserve"> </w:t>
      </w:r>
      <w:r w:rsidRPr="00EC6205">
        <w:t>hemoglobin level showed significant difference before (9.57 ± 1.76) and after treatment (11.13 ±</w:t>
      </w:r>
      <w:r w:rsidR="00B219B8" w:rsidRPr="00EC6205">
        <w:t xml:space="preserve"> </w:t>
      </w:r>
      <w:r w:rsidRPr="00EC6205">
        <w:t>1.44) ml/dl %) with p-value &lt;0.0001.</w:t>
      </w:r>
    </w:p>
    <w:p w:rsidR="00CE0D30" w:rsidRPr="00EC6205" w:rsidRDefault="009E1D01" w:rsidP="008575AE">
      <w:pPr>
        <w:snapToGrid w:val="0"/>
        <w:ind w:firstLine="425"/>
        <w:jc w:val="both"/>
      </w:pPr>
      <w:r w:rsidRPr="00EC6205">
        <w:t>Out of the 50 patients received oral iron therapy in group two, only 35 patients improved from anemia.</w:t>
      </w:r>
    </w:p>
    <w:p w:rsidR="00CE0D30" w:rsidRPr="00EC6205" w:rsidRDefault="009E1D01" w:rsidP="008575AE">
      <w:pPr>
        <w:snapToGrid w:val="0"/>
        <w:ind w:firstLine="425"/>
        <w:jc w:val="both"/>
      </w:pPr>
      <w:r w:rsidRPr="00EC6205">
        <w:t xml:space="preserve">Our results agreed with </w:t>
      </w:r>
      <w:r w:rsidRPr="00EC6205">
        <w:rPr>
          <w:b/>
        </w:rPr>
        <w:t xml:space="preserve">(Imelda Angeles et al, 2010) </w:t>
      </w:r>
      <w:r w:rsidRPr="00EC6205">
        <w:t>who studied Basal</w:t>
      </w:r>
      <w:r w:rsidR="00B219B8" w:rsidRPr="00EC6205">
        <w:t xml:space="preserve"> </w:t>
      </w:r>
      <w:r w:rsidRPr="00EC6205">
        <w:t xml:space="preserve">hemoglobin levels in both the fortified and </w:t>
      </w:r>
      <w:proofErr w:type="spellStart"/>
      <w:r w:rsidRPr="00EC6205">
        <w:t>nonfortified</w:t>
      </w:r>
      <w:proofErr w:type="spellEnd"/>
      <w:r w:rsidRPr="00EC6205">
        <w:t xml:space="preserve"> groups suffering from IDA</w:t>
      </w:r>
      <w:r w:rsidR="000E78AF" w:rsidRPr="00EC6205">
        <w:t>,</w:t>
      </w:r>
      <w:r w:rsidR="000E78AF">
        <w:t xml:space="preserve"> </w:t>
      </w:r>
      <w:r w:rsidR="000E78AF" w:rsidRPr="00EC6205">
        <w:t>G</w:t>
      </w:r>
      <w:r w:rsidRPr="00EC6205">
        <w:t xml:space="preserve">roup 1 received the fortified juice, Group 2 received the </w:t>
      </w:r>
      <w:proofErr w:type="spellStart"/>
      <w:r w:rsidRPr="00EC6205">
        <w:t>nonfortified</w:t>
      </w:r>
      <w:proofErr w:type="spellEnd"/>
      <w:r w:rsidRPr="00EC6205">
        <w:t xml:space="preserve"> juice for 100 days, The juice drink was fortified with iron (Micronized dispersible ferric pyrophosphate), vitamin A, zinc, vitamin C and lysine. The non-fortified juice was fortified only with vitamin C. Hemoglobin, plasma </w:t>
      </w:r>
      <w:proofErr w:type="spellStart"/>
      <w:r w:rsidRPr="00EC6205">
        <w:t>ferritin</w:t>
      </w:r>
      <w:proofErr w:type="spellEnd"/>
      <w:r w:rsidRPr="00EC6205">
        <w:t xml:space="preserve"> were assessed before and after intervention.</w:t>
      </w:r>
    </w:p>
    <w:p w:rsidR="00CE0D30" w:rsidRPr="00EC6205" w:rsidRDefault="009E1D01" w:rsidP="008575AE">
      <w:pPr>
        <w:snapToGrid w:val="0"/>
        <w:ind w:firstLine="425"/>
        <w:jc w:val="both"/>
      </w:pPr>
      <w:r w:rsidRPr="00EC6205">
        <w:lastRenderedPageBreak/>
        <w:t xml:space="preserve">Basal hemoglobin levels in both the fortified and </w:t>
      </w:r>
      <w:proofErr w:type="spellStart"/>
      <w:r w:rsidRPr="00EC6205">
        <w:t>nonfortified</w:t>
      </w:r>
      <w:proofErr w:type="spellEnd"/>
      <w:r w:rsidRPr="00EC6205">
        <w:t xml:space="preserve"> groups were similar at baseline. At </w:t>
      </w:r>
      <w:proofErr w:type="spellStart"/>
      <w:r w:rsidRPr="00EC6205">
        <w:t>endline</w:t>
      </w:r>
      <w:proofErr w:type="spellEnd"/>
      <w:r w:rsidRPr="00EC6205">
        <w:t>, the mean hemoglobin levels in both the fortified and non-fortified groups</w:t>
      </w:r>
      <w:r w:rsidR="000E78AF">
        <w:rPr>
          <w:rFonts w:hint="eastAsia"/>
          <w:lang w:eastAsia="zh-CN"/>
        </w:rPr>
        <w:t xml:space="preserve"> </w:t>
      </w:r>
      <w:r w:rsidRPr="00EC6205">
        <w:t>had significantly increased. However; mean change in the fortified group was significantly higher than the non-fortified group. The rate of anemia in the fortified group significantly reduced from</w:t>
      </w:r>
      <w:r w:rsidR="000E78AF">
        <w:rPr>
          <w:rFonts w:hint="eastAsia"/>
          <w:lang w:eastAsia="zh-CN"/>
        </w:rPr>
        <w:t xml:space="preserve"> </w:t>
      </w:r>
      <w:r w:rsidRPr="00EC6205">
        <w:t xml:space="preserve">100% to 13.0%; while in non-fortified group, from 100% at baseline to 39.5% at </w:t>
      </w:r>
      <w:proofErr w:type="spellStart"/>
      <w:r w:rsidRPr="00EC6205">
        <w:t>endline</w:t>
      </w:r>
      <w:proofErr w:type="spellEnd"/>
      <w:r w:rsidRPr="00EC6205">
        <w:t xml:space="preserve">. Basal plasma </w:t>
      </w:r>
      <w:proofErr w:type="spellStart"/>
      <w:r w:rsidRPr="00EC6205">
        <w:t>ferritin</w:t>
      </w:r>
      <w:proofErr w:type="spellEnd"/>
      <w:r w:rsidRPr="00EC6205">
        <w:t xml:space="preserve"> levels of the fortified (27.6 </w:t>
      </w:r>
      <w:proofErr w:type="spellStart"/>
      <w:r w:rsidRPr="00EC6205">
        <w:t>μg</w:t>
      </w:r>
      <w:proofErr w:type="spellEnd"/>
      <w:r w:rsidRPr="00EC6205">
        <w:t xml:space="preserve">/L) and non-fortified (28.8 </w:t>
      </w:r>
      <w:proofErr w:type="spellStart"/>
      <w:r w:rsidRPr="00EC6205">
        <w:t>μg</w:t>
      </w:r>
      <w:proofErr w:type="spellEnd"/>
      <w:r w:rsidRPr="00EC6205">
        <w:t xml:space="preserve">/L) groups were similar at baseline. At </w:t>
      </w:r>
      <w:proofErr w:type="spellStart"/>
      <w:r w:rsidRPr="00EC6205">
        <w:t>endline</w:t>
      </w:r>
      <w:proofErr w:type="spellEnd"/>
      <w:r w:rsidRPr="00EC6205">
        <w:t xml:space="preserve">, significant increases in plasma </w:t>
      </w:r>
      <w:proofErr w:type="spellStart"/>
      <w:r w:rsidRPr="00EC6205">
        <w:t>ferritin</w:t>
      </w:r>
      <w:proofErr w:type="spellEnd"/>
      <w:r w:rsidRPr="00EC6205">
        <w:t xml:space="preserve"> levels were achieved by both groups.</w:t>
      </w:r>
    </w:p>
    <w:p w:rsidR="00CE0D30" w:rsidRPr="00EC6205" w:rsidRDefault="009E1D01" w:rsidP="008575AE">
      <w:pPr>
        <w:snapToGrid w:val="0"/>
        <w:ind w:firstLine="425"/>
        <w:jc w:val="both"/>
      </w:pPr>
      <w:r w:rsidRPr="00EC6205">
        <w:t xml:space="preserve">Also our results agreed with </w:t>
      </w:r>
      <w:r w:rsidRPr="00EC6205">
        <w:rPr>
          <w:b/>
        </w:rPr>
        <w:t>(</w:t>
      </w:r>
      <w:proofErr w:type="spellStart"/>
      <w:r w:rsidRPr="00EC6205">
        <w:rPr>
          <w:b/>
        </w:rPr>
        <w:t>Int</w:t>
      </w:r>
      <w:proofErr w:type="spellEnd"/>
      <w:r w:rsidRPr="00EC6205">
        <w:rPr>
          <w:b/>
        </w:rPr>
        <w:t xml:space="preserve"> J </w:t>
      </w:r>
      <w:proofErr w:type="spellStart"/>
      <w:r w:rsidRPr="00EC6205">
        <w:rPr>
          <w:b/>
        </w:rPr>
        <w:t>Vitam</w:t>
      </w:r>
      <w:proofErr w:type="spellEnd"/>
      <w:r w:rsidRPr="00EC6205">
        <w:rPr>
          <w:b/>
        </w:rPr>
        <w:t xml:space="preserve"> </w:t>
      </w:r>
      <w:proofErr w:type="spellStart"/>
      <w:r w:rsidRPr="00EC6205">
        <w:rPr>
          <w:b/>
        </w:rPr>
        <w:t>Nutr</w:t>
      </w:r>
      <w:proofErr w:type="spellEnd"/>
      <w:r w:rsidRPr="00EC6205">
        <w:rPr>
          <w:b/>
        </w:rPr>
        <w:t xml:space="preserve"> Res, 2008) </w:t>
      </w:r>
      <w:r w:rsidRPr="00EC6205">
        <w:t>who studied 180</w:t>
      </w:r>
      <w:r w:rsidR="00EC6205" w:rsidRPr="00EC6205">
        <w:t xml:space="preserve"> </w:t>
      </w:r>
      <w:r w:rsidRPr="00EC6205">
        <w:t>randomly selected 6-9-years old anemic children were randomly allocated to three groups in a</w:t>
      </w:r>
      <w:r w:rsidR="00B219B8" w:rsidRPr="00EC6205">
        <w:t xml:space="preserve"> </w:t>
      </w:r>
      <w:r w:rsidRPr="00EC6205">
        <w:t xml:space="preserve">double-blinded manner: One group received iron-enriched rice (IER) with extruded iron premix rice (IPR) using ferrous sulfate as </w:t>
      </w:r>
      <w:proofErr w:type="spellStart"/>
      <w:r w:rsidRPr="00EC6205">
        <w:t>fortificant</w:t>
      </w:r>
      <w:proofErr w:type="spellEnd"/>
      <w:r w:rsidRPr="00EC6205">
        <w:t xml:space="preserve"> (ExFeSO4); the second group received IER with extruded IPR using micronized dispersible ferric pyrophosphate (ExFeP80); and the third group received non-fortified rice (Control). These were administered daily for 5 days a week for 6 months. Blood samples were collected at baseline after 3 and 6 months.</w:t>
      </w:r>
    </w:p>
    <w:p w:rsidR="00CE0D30" w:rsidRPr="00EC6205" w:rsidRDefault="009E1D01" w:rsidP="008575AE">
      <w:pPr>
        <w:snapToGrid w:val="0"/>
        <w:ind w:firstLine="425"/>
        <w:jc w:val="both"/>
      </w:pPr>
      <w:r w:rsidRPr="00EC6205">
        <w:t>At baseline prevalence of anemia in all groups, which was 100%, was significantly</w:t>
      </w:r>
      <w:r w:rsidR="00B219B8" w:rsidRPr="00EC6205">
        <w:t xml:space="preserve"> </w:t>
      </w:r>
      <w:r w:rsidRPr="00EC6205">
        <w:t>reduced to 51%, 54%, and 63% in the ExFeSO4, ExFeP80 and Control groups respectively. After</w:t>
      </w:r>
      <w:r w:rsidR="00B219B8" w:rsidRPr="00EC6205">
        <w:t xml:space="preserve"> </w:t>
      </w:r>
      <w:r w:rsidRPr="00EC6205">
        <w:t xml:space="preserve">6 months, further significant reductions were observed in the ExFeSO4 (38%) and ExFeP80 (33%) but remained at 63% in the Control group. Greater, significant increases were also observed in plasma </w:t>
      </w:r>
      <w:proofErr w:type="spellStart"/>
      <w:r w:rsidRPr="00EC6205">
        <w:t>ferritin</w:t>
      </w:r>
      <w:proofErr w:type="spellEnd"/>
      <w:r w:rsidRPr="00EC6205">
        <w:t xml:space="preserve"> in the fortified groups than in the Control group from baseline to 6 months. The predictors of change in hemoglobin (</w:t>
      </w:r>
      <w:proofErr w:type="spellStart"/>
      <w:r w:rsidRPr="00EC6205">
        <w:t>Hb</w:t>
      </w:r>
      <w:proofErr w:type="spellEnd"/>
      <w:r w:rsidRPr="00EC6205">
        <w:t xml:space="preserve">) and plasma </w:t>
      </w:r>
      <w:proofErr w:type="spellStart"/>
      <w:r w:rsidRPr="00EC6205">
        <w:t>ferritin</w:t>
      </w:r>
      <w:proofErr w:type="spellEnd"/>
      <w:r w:rsidRPr="00EC6205">
        <w:t xml:space="preserve"> were group allocation and basal values.</w:t>
      </w:r>
    </w:p>
    <w:p w:rsidR="00CE0D30" w:rsidRPr="00EC6205" w:rsidRDefault="009E1D01" w:rsidP="008575AE">
      <w:pPr>
        <w:snapToGrid w:val="0"/>
        <w:ind w:firstLine="425"/>
        <w:jc w:val="both"/>
      </w:pPr>
      <w:r w:rsidRPr="00EC6205">
        <w:lastRenderedPageBreak/>
        <w:t xml:space="preserve">Our results agreed with </w:t>
      </w:r>
      <w:r w:rsidRPr="00EC6205">
        <w:rPr>
          <w:b/>
        </w:rPr>
        <w:t>(</w:t>
      </w:r>
      <w:proofErr w:type="spellStart"/>
      <w:r w:rsidRPr="00EC6205">
        <w:rPr>
          <w:b/>
        </w:rPr>
        <w:t>Beril</w:t>
      </w:r>
      <w:proofErr w:type="spellEnd"/>
      <w:r w:rsidRPr="00EC6205">
        <w:rPr>
          <w:b/>
        </w:rPr>
        <w:t xml:space="preserve"> </w:t>
      </w:r>
      <w:proofErr w:type="spellStart"/>
      <w:r w:rsidRPr="00EC6205">
        <w:rPr>
          <w:b/>
        </w:rPr>
        <w:t>Yasa</w:t>
      </w:r>
      <w:proofErr w:type="spellEnd"/>
      <w:r w:rsidRPr="00EC6205">
        <w:rPr>
          <w:b/>
        </w:rPr>
        <w:t xml:space="preserve"> et al, 2011) </w:t>
      </w:r>
      <w:r w:rsidRPr="00EC6205">
        <w:t>In a prospective, open-label, 4-</w:t>
      </w:r>
      <w:r w:rsidR="00B219B8" w:rsidRPr="00EC6205">
        <w:t xml:space="preserve"> </w:t>
      </w:r>
      <w:r w:rsidRPr="00EC6205">
        <w:t>month study, 103 children aged &gt;6 months with iron deficiency anemia (IDA) were randomized to IPC once daily or ferrous sulfate twice daily, (both 5mg iron/kg/day)</w:t>
      </w:r>
      <w:r w:rsidR="000E78AF" w:rsidRPr="00EC6205">
        <w:t>.</w:t>
      </w:r>
      <w:r w:rsidR="000E78AF">
        <w:t xml:space="preserve"> </w:t>
      </w:r>
      <w:r w:rsidR="000E78AF" w:rsidRPr="00EC6205">
        <w:t>M</w:t>
      </w:r>
      <w:r w:rsidRPr="00EC6205">
        <w:t xml:space="preserve">ean increases in </w:t>
      </w:r>
      <w:proofErr w:type="spellStart"/>
      <w:r w:rsidRPr="00EC6205">
        <w:t>Hb</w:t>
      </w:r>
      <w:proofErr w:type="spellEnd"/>
      <w:r w:rsidRPr="00EC6205">
        <w:t xml:space="preserve"> to months 1 and 4 with IPC were 1.2±0.9 g/</w:t>
      </w:r>
      <w:proofErr w:type="spellStart"/>
      <w:r w:rsidRPr="00EC6205">
        <w:t>dL</w:t>
      </w:r>
      <w:proofErr w:type="spellEnd"/>
      <w:r w:rsidRPr="00EC6205">
        <w:t xml:space="preserve"> and 2.3±1.3 g/</w:t>
      </w:r>
      <w:proofErr w:type="spellStart"/>
      <w:r w:rsidRPr="00EC6205">
        <w:t>dL</w:t>
      </w:r>
      <w:proofErr w:type="spellEnd"/>
      <w:r w:rsidRPr="00EC6205">
        <w:t>, respectively, (both P = 0.001 versus baseline).</w:t>
      </w:r>
    </w:p>
    <w:p w:rsidR="00CE0D30" w:rsidRPr="00EC6205" w:rsidRDefault="009E1D01" w:rsidP="008575AE">
      <w:pPr>
        <w:snapToGrid w:val="0"/>
        <w:ind w:firstLine="425"/>
        <w:jc w:val="both"/>
      </w:pPr>
      <w:r w:rsidRPr="00EC6205">
        <w:t xml:space="preserve">In the study of </w:t>
      </w:r>
      <w:r w:rsidRPr="00EC6205">
        <w:rPr>
          <w:b/>
        </w:rPr>
        <w:t>(</w:t>
      </w:r>
      <w:proofErr w:type="spellStart"/>
      <w:r w:rsidRPr="00EC6205">
        <w:rPr>
          <w:b/>
        </w:rPr>
        <w:t>Irfan</w:t>
      </w:r>
      <w:proofErr w:type="spellEnd"/>
      <w:r w:rsidRPr="00EC6205">
        <w:rPr>
          <w:b/>
        </w:rPr>
        <w:t xml:space="preserve"> </w:t>
      </w:r>
      <w:proofErr w:type="spellStart"/>
      <w:r w:rsidRPr="00EC6205">
        <w:rPr>
          <w:b/>
        </w:rPr>
        <w:t>Ullah</w:t>
      </w:r>
      <w:proofErr w:type="spellEnd"/>
      <w:r w:rsidRPr="00EC6205">
        <w:rPr>
          <w:b/>
        </w:rPr>
        <w:t xml:space="preserve"> </w:t>
      </w:r>
      <w:proofErr w:type="spellStart"/>
      <w:r w:rsidRPr="00EC6205">
        <w:rPr>
          <w:b/>
        </w:rPr>
        <w:t>Marwat</w:t>
      </w:r>
      <w:proofErr w:type="spellEnd"/>
      <w:r w:rsidRPr="00EC6205">
        <w:rPr>
          <w:b/>
        </w:rPr>
        <w:t xml:space="preserve"> et al, 2013) </w:t>
      </w:r>
      <w:r w:rsidRPr="00EC6205">
        <w:t>150 children of IDA were enrolled</w:t>
      </w:r>
      <w:r w:rsidR="00B219B8" w:rsidRPr="00EC6205">
        <w:t xml:space="preserve"> </w:t>
      </w:r>
      <w:r w:rsidRPr="00EC6205">
        <w:t xml:space="preserve">and randomized them into two treatment groups; FS and IPC. Efficacy (rise in </w:t>
      </w:r>
      <w:proofErr w:type="spellStart"/>
      <w:r w:rsidRPr="00EC6205">
        <w:t>Hb</w:t>
      </w:r>
      <w:proofErr w:type="spellEnd"/>
      <w:r w:rsidRPr="00EC6205">
        <w:t xml:space="preserve"> concentration</w:t>
      </w:r>
      <w:r w:rsidR="00B219B8" w:rsidRPr="00EC6205">
        <w:t xml:space="preserve"> </w:t>
      </w:r>
      <w:r w:rsidRPr="00EC6205">
        <w:t>by ≥2 gm/dl) after regular use of IPC in adequate dosage for three months was assessed.</w:t>
      </w:r>
    </w:p>
    <w:p w:rsidR="00CE0D30" w:rsidRPr="00EC6205" w:rsidRDefault="009E1D01" w:rsidP="008575AE">
      <w:pPr>
        <w:snapToGrid w:val="0"/>
        <w:ind w:firstLine="425"/>
        <w:jc w:val="both"/>
      </w:pPr>
      <w:r w:rsidRPr="00EC6205">
        <w:t>Our results agreed with (</w:t>
      </w:r>
      <w:proofErr w:type="spellStart"/>
      <w:r w:rsidRPr="00EC6205">
        <w:rPr>
          <w:b/>
        </w:rPr>
        <w:t>Sozmen</w:t>
      </w:r>
      <w:proofErr w:type="spellEnd"/>
      <w:r w:rsidRPr="00EC6205">
        <w:rPr>
          <w:b/>
        </w:rPr>
        <w:t xml:space="preserve"> et al, 2003</w:t>
      </w:r>
      <w:r w:rsidRPr="00EC6205">
        <w:t>) who studied Thirty-seven children</w:t>
      </w:r>
      <w:r w:rsidR="00B219B8" w:rsidRPr="00EC6205">
        <w:t xml:space="preserve"> </w:t>
      </w:r>
      <w:r w:rsidRPr="00EC6205">
        <w:t>(aged 8–168 MS) with IDA were taken into the study. Seventeen children were treated with the ferric hydroxide–</w:t>
      </w:r>
      <w:proofErr w:type="spellStart"/>
      <w:r w:rsidRPr="00EC6205">
        <w:t>polymaltose</w:t>
      </w:r>
      <w:proofErr w:type="spellEnd"/>
      <w:r w:rsidRPr="00EC6205">
        <w:t xml:space="preserve"> complex (IPC); twenty children were treated with a ferrous sulfate complex. Fasting blood samples of patients were obtained at baseline, the first and the third month of treatment period. Hemoglobin and iron levels of patients in both groups were higher in the first and third months compared to baseline. Regarding hemoglobin level in group who treated by IPC showed rise from (10.0± 0.6) to (11.6 ± 1.05) and regarding to serum iron level showed rise fro</w:t>
      </w:r>
      <w:r w:rsidR="00EC6205" w:rsidRPr="00EC6205">
        <w:t>m (</w:t>
      </w:r>
      <w:r w:rsidRPr="00EC6205">
        <w:t>23.4 ± 25.9) at baseline to (66.6±26.1)mcg/dl at 3 months.</w:t>
      </w:r>
    </w:p>
    <w:p w:rsidR="00CE0D30" w:rsidRPr="00EC6205" w:rsidRDefault="009E1D01" w:rsidP="008575AE">
      <w:pPr>
        <w:snapToGrid w:val="0"/>
        <w:ind w:firstLine="425"/>
        <w:jc w:val="both"/>
      </w:pPr>
      <w:r w:rsidRPr="00EC6205">
        <w:t>Finally in the present study, by comparison between the two groups, the rate of</w:t>
      </w:r>
      <w:r w:rsidR="00B219B8" w:rsidRPr="00EC6205">
        <w:t xml:space="preserve"> </w:t>
      </w:r>
      <w:r w:rsidRPr="00EC6205">
        <w:t xml:space="preserve">anemia was significantly reduced from 100% at baseline to 38% at </w:t>
      </w:r>
      <w:proofErr w:type="spellStart"/>
      <w:r w:rsidRPr="00EC6205">
        <w:t>endline</w:t>
      </w:r>
      <w:proofErr w:type="spellEnd"/>
      <w:r w:rsidRPr="00EC6205">
        <w:t xml:space="preserve"> in fortified group</w:t>
      </w:r>
      <w:r w:rsidR="00B219B8" w:rsidRPr="00EC6205">
        <w:t xml:space="preserve"> </w:t>
      </w:r>
      <w:r w:rsidRPr="00EC6205">
        <w:t xml:space="preserve">(group one) and from 100% at baseline to 30% at </w:t>
      </w:r>
      <w:proofErr w:type="spellStart"/>
      <w:r w:rsidRPr="00EC6205">
        <w:t>endline</w:t>
      </w:r>
      <w:proofErr w:type="spellEnd"/>
      <w:r w:rsidRPr="00EC6205">
        <w:t xml:space="preserve"> in oral group (group two) regarding the hemoglobin level after three months from treatment. So some time, more time is needed for completion of treating patients with IDA.</w:t>
      </w:r>
    </w:p>
    <w:p w:rsidR="00CE0D30" w:rsidRPr="00EC6205" w:rsidRDefault="00CE0D30" w:rsidP="008575AE">
      <w:pPr>
        <w:snapToGrid w:val="0"/>
        <w:ind w:firstLine="425"/>
        <w:jc w:val="both"/>
      </w:pPr>
    </w:p>
    <w:p w:rsidR="00CE0D30" w:rsidRPr="000E78AF" w:rsidRDefault="007F1F2E" w:rsidP="008575AE">
      <w:pPr>
        <w:snapToGrid w:val="0"/>
        <w:jc w:val="both"/>
      </w:pPr>
      <w:r w:rsidRPr="00EC6205">
        <w:rPr>
          <w:b/>
        </w:rPr>
        <w:lastRenderedPageBreak/>
        <w:t>References</w:t>
      </w:r>
    </w:p>
    <w:p w:rsidR="00CE0D30" w:rsidRPr="000E78AF" w:rsidRDefault="007F1F2E" w:rsidP="008575AE">
      <w:pPr>
        <w:numPr>
          <w:ilvl w:val="0"/>
          <w:numId w:val="3"/>
        </w:numPr>
        <w:snapToGrid w:val="0"/>
        <w:ind w:left="425" w:hanging="425"/>
        <w:jc w:val="both"/>
      </w:pPr>
      <w:r w:rsidRPr="000E78AF">
        <w:t>Am</w:t>
      </w:r>
      <w:r w:rsidR="00EC6205" w:rsidRPr="000E78AF">
        <w:t xml:space="preserve"> </w:t>
      </w:r>
      <w:r w:rsidR="009E1D01" w:rsidRPr="000E78AF">
        <w:t>F</w:t>
      </w:r>
      <w:r w:rsidR="00EC6205" w:rsidRPr="000E78AF">
        <w:t xml:space="preserve"> </w:t>
      </w:r>
      <w:r w:rsidR="009E1D01" w:rsidRPr="000E78AF">
        <w:t>(2013):</w:t>
      </w:r>
      <w:r w:rsidR="00EC6205" w:rsidRPr="000E78AF">
        <w:t xml:space="preserve"> </w:t>
      </w:r>
      <w:r w:rsidR="009E1D01" w:rsidRPr="000E78AF">
        <w:t>Iron</w:t>
      </w:r>
      <w:r w:rsidR="00EC6205" w:rsidRPr="000E78AF">
        <w:t xml:space="preserve"> </w:t>
      </w:r>
      <w:r w:rsidR="009E1D01" w:rsidRPr="000E78AF">
        <w:t>Deficiency</w:t>
      </w:r>
      <w:r w:rsidR="00EC6205" w:rsidRPr="000E78AF">
        <w:t xml:space="preserve"> </w:t>
      </w:r>
      <w:r w:rsidR="009E1D01" w:rsidRPr="000E78AF">
        <w:t>Anemia:</w:t>
      </w:r>
      <w:r w:rsidR="00EC6205" w:rsidRPr="000E78AF">
        <w:t xml:space="preserve"> </w:t>
      </w:r>
      <w:r w:rsidR="009E1D01" w:rsidRPr="000E78AF">
        <w:t>Evaluation</w:t>
      </w:r>
      <w:r w:rsidR="00EC6205" w:rsidRPr="000E78AF">
        <w:t xml:space="preserve"> </w:t>
      </w:r>
      <w:r w:rsidR="009E1D01" w:rsidRPr="000E78AF">
        <w:t>and</w:t>
      </w:r>
      <w:r w:rsidR="00EC6205" w:rsidRPr="000E78AF">
        <w:t xml:space="preserve"> </w:t>
      </w:r>
      <w:r w:rsidR="009E1D01" w:rsidRPr="000E78AF">
        <w:t>Management.</w:t>
      </w:r>
      <w:r w:rsidR="00EC6205" w:rsidRPr="000E78AF">
        <w:t xml:space="preserve"> </w:t>
      </w:r>
      <w:r w:rsidR="009E1D01" w:rsidRPr="000E78AF">
        <w:t>Copyright</w:t>
      </w:r>
      <w:r w:rsidR="00EC6205" w:rsidRPr="000E78AF">
        <w:t xml:space="preserve"> </w:t>
      </w:r>
      <w:r w:rsidR="009E1D01" w:rsidRPr="000E78AF">
        <w:t>American</w:t>
      </w:r>
      <w:r w:rsidR="00EC6205" w:rsidRPr="000E78AF">
        <w:t xml:space="preserve"> </w:t>
      </w:r>
      <w:r w:rsidR="009E1D01" w:rsidRPr="000E78AF">
        <w:t>Academy</w:t>
      </w:r>
      <w:r w:rsidR="00EC6205" w:rsidRPr="000E78AF">
        <w:t xml:space="preserve"> </w:t>
      </w:r>
      <w:r w:rsidR="009E1D01" w:rsidRPr="000E78AF">
        <w:t>of</w:t>
      </w:r>
      <w:r w:rsidR="00EC6205" w:rsidRPr="000E78AF">
        <w:t xml:space="preserve"> </w:t>
      </w:r>
      <w:r w:rsidR="009E1D01" w:rsidRPr="000E78AF">
        <w:t>Family</w:t>
      </w:r>
      <w:r w:rsidR="00EC6205" w:rsidRPr="000E78AF">
        <w:t xml:space="preserve"> </w:t>
      </w:r>
      <w:r w:rsidR="009E1D01" w:rsidRPr="000E78AF">
        <w:t>Physicians.</w:t>
      </w:r>
    </w:p>
    <w:p w:rsidR="000E78AF" w:rsidRDefault="007F1F2E" w:rsidP="008575AE">
      <w:pPr>
        <w:numPr>
          <w:ilvl w:val="0"/>
          <w:numId w:val="3"/>
        </w:numPr>
        <w:snapToGrid w:val="0"/>
        <w:ind w:left="425" w:hanging="425"/>
        <w:jc w:val="both"/>
      </w:pPr>
      <w:proofErr w:type="spellStart"/>
      <w:r w:rsidRPr="000E78AF">
        <w:t>Beril</w:t>
      </w:r>
      <w:proofErr w:type="spellEnd"/>
      <w:r w:rsidR="00EC6205" w:rsidRPr="000E78AF">
        <w:t xml:space="preserve"> </w:t>
      </w:r>
      <w:r w:rsidR="009E1D01" w:rsidRPr="000E78AF">
        <w:t>Y.,</w:t>
      </w:r>
      <w:r w:rsidR="00EC6205" w:rsidRPr="000E78AF">
        <w:t xml:space="preserve"> </w:t>
      </w:r>
      <w:proofErr w:type="spellStart"/>
      <w:r w:rsidR="009E1D01" w:rsidRPr="000E78AF">
        <w:t>Leyla</w:t>
      </w:r>
      <w:proofErr w:type="spellEnd"/>
      <w:r w:rsidR="00EC6205" w:rsidRPr="000E78AF">
        <w:t xml:space="preserve"> </w:t>
      </w:r>
      <w:r w:rsidR="009E1D01" w:rsidRPr="000E78AF">
        <w:t>A.,</w:t>
      </w:r>
      <w:r w:rsidR="00EC6205" w:rsidRPr="000E78AF">
        <w:t xml:space="preserve"> </w:t>
      </w:r>
      <w:r w:rsidR="009E1D01" w:rsidRPr="000E78AF">
        <w:t>and</w:t>
      </w:r>
      <w:r w:rsidR="00EC6205" w:rsidRPr="000E78AF">
        <w:t xml:space="preserve"> </w:t>
      </w:r>
      <w:proofErr w:type="spellStart"/>
      <w:r w:rsidR="009E1D01" w:rsidRPr="000E78AF">
        <w:t>Emin</w:t>
      </w:r>
      <w:proofErr w:type="spellEnd"/>
      <w:r w:rsidR="00EC6205" w:rsidRPr="000E78AF">
        <w:t xml:space="preserve"> </w:t>
      </w:r>
      <w:r w:rsidR="009E1D01" w:rsidRPr="000E78AF">
        <w:t>U</w:t>
      </w:r>
      <w:r w:rsidR="00EC6205" w:rsidRPr="000E78AF">
        <w:t>. (</w:t>
      </w:r>
      <w:r w:rsidR="009E1D01" w:rsidRPr="000E78AF">
        <w:t>2011):</w:t>
      </w:r>
      <w:r w:rsidR="00EC6205" w:rsidRPr="000E78AF">
        <w:t xml:space="preserve"> </w:t>
      </w:r>
      <w:r w:rsidR="009E1D01" w:rsidRPr="000E78AF">
        <w:t>Efficacy,</w:t>
      </w:r>
      <w:r w:rsidR="00EC6205" w:rsidRPr="000E78AF">
        <w:t xml:space="preserve"> </w:t>
      </w:r>
      <w:r w:rsidR="009E1D01" w:rsidRPr="000E78AF">
        <w:t>Tolerability,</w:t>
      </w:r>
      <w:r w:rsidR="00EC6205" w:rsidRPr="000E78AF">
        <w:t xml:space="preserve"> </w:t>
      </w:r>
      <w:r w:rsidR="009E1D01" w:rsidRPr="000E78AF">
        <w:t>and</w:t>
      </w:r>
      <w:r w:rsidR="00EC6205" w:rsidRPr="000E78AF">
        <w:t xml:space="preserve"> </w:t>
      </w:r>
      <w:r w:rsidR="009E1D01" w:rsidRPr="000E78AF">
        <w:t>Acceptability</w:t>
      </w:r>
      <w:r w:rsidR="00EC6205" w:rsidRPr="000E78AF">
        <w:t xml:space="preserve"> </w:t>
      </w:r>
      <w:r w:rsidR="009E1D01" w:rsidRPr="000E78AF">
        <w:t>of</w:t>
      </w:r>
      <w:r w:rsidR="00EC6205" w:rsidRPr="000E78AF">
        <w:t xml:space="preserve"> </w:t>
      </w:r>
      <w:r w:rsidR="009E1D01" w:rsidRPr="000E78AF">
        <w:t>Iron</w:t>
      </w:r>
      <w:r w:rsidR="00EC6205" w:rsidRPr="000E78AF">
        <w:t xml:space="preserve"> </w:t>
      </w:r>
      <w:r w:rsidR="009E1D01" w:rsidRPr="000E78AF">
        <w:t>Hydroxide</w:t>
      </w:r>
      <w:r w:rsidR="00EC6205" w:rsidRPr="000E78AF">
        <w:t xml:space="preserve"> </w:t>
      </w:r>
      <w:proofErr w:type="spellStart"/>
      <w:r w:rsidR="009E1D01" w:rsidRPr="000E78AF">
        <w:t>Polymaltose</w:t>
      </w:r>
      <w:proofErr w:type="spellEnd"/>
      <w:r w:rsidR="00EC6205" w:rsidRPr="000E78AF">
        <w:t xml:space="preserve"> </w:t>
      </w:r>
      <w:r w:rsidR="009E1D01" w:rsidRPr="000E78AF">
        <w:t>Complex</w:t>
      </w:r>
      <w:r w:rsidR="00EC6205" w:rsidRPr="000E78AF">
        <w:t xml:space="preserve"> </w:t>
      </w:r>
      <w:r w:rsidR="009E1D01" w:rsidRPr="000E78AF">
        <w:t>versus</w:t>
      </w:r>
      <w:r w:rsidR="00EC6205" w:rsidRPr="000E78AF">
        <w:t xml:space="preserve"> </w:t>
      </w:r>
      <w:r w:rsidR="009E1D01" w:rsidRPr="000E78AF">
        <w:t>Ferrous</w:t>
      </w:r>
      <w:r w:rsidR="00EC6205" w:rsidRPr="000E78AF">
        <w:t xml:space="preserve"> </w:t>
      </w:r>
      <w:r w:rsidR="009E1D01" w:rsidRPr="000E78AF">
        <w:t>Sulfate:</w:t>
      </w:r>
      <w:r w:rsidR="00EC6205" w:rsidRPr="000E78AF">
        <w:t xml:space="preserve"> </w:t>
      </w:r>
      <w:r w:rsidR="009E1D01" w:rsidRPr="000E78AF">
        <w:t>A</w:t>
      </w:r>
      <w:r w:rsidR="00EC6205" w:rsidRPr="000E78AF">
        <w:t xml:space="preserve"> </w:t>
      </w:r>
      <w:r w:rsidR="009E1D01" w:rsidRPr="000E78AF">
        <w:t>Randomized</w:t>
      </w:r>
      <w:r w:rsidR="00EC6205" w:rsidRPr="000E78AF">
        <w:t xml:space="preserve"> </w:t>
      </w:r>
      <w:r w:rsidR="009E1D01" w:rsidRPr="000E78AF">
        <w:t>Trial</w:t>
      </w:r>
      <w:r w:rsidR="00EC6205" w:rsidRPr="000E78AF">
        <w:t xml:space="preserve"> </w:t>
      </w:r>
      <w:r w:rsidR="009E1D01" w:rsidRPr="000E78AF">
        <w:t>in</w:t>
      </w:r>
      <w:r w:rsidR="00EC6205" w:rsidRPr="000E78AF">
        <w:t xml:space="preserve"> </w:t>
      </w:r>
      <w:r w:rsidR="009E1D01" w:rsidRPr="000E78AF">
        <w:t>Pediatric</w:t>
      </w:r>
      <w:r w:rsidR="00EC6205" w:rsidRPr="000E78AF">
        <w:t xml:space="preserve"> </w:t>
      </w:r>
      <w:r w:rsidR="009E1D01" w:rsidRPr="000E78AF">
        <w:t>Patients</w:t>
      </w:r>
      <w:r w:rsidR="00EC6205" w:rsidRPr="000E78AF">
        <w:t xml:space="preserve"> </w:t>
      </w:r>
      <w:r w:rsidR="009E1D01" w:rsidRPr="000E78AF">
        <w:t>with</w:t>
      </w:r>
      <w:r w:rsidR="00EC6205" w:rsidRPr="000E78AF">
        <w:t xml:space="preserve"> </w:t>
      </w:r>
      <w:r w:rsidR="009E1D01" w:rsidRPr="000E78AF">
        <w:t>Iron</w:t>
      </w:r>
      <w:r w:rsidR="00EC6205" w:rsidRPr="000E78AF">
        <w:t xml:space="preserve"> </w:t>
      </w:r>
      <w:r w:rsidR="009E1D01" w:rsidRPr="000E78AF">
        <w:t>Deficiency</w:t>
      </w:r>
      <w:r w:rsidR="00EC6205" w:rsidRPr="000E78AF">
        <w:t xml:space="preserve"> </w:t>
      </w:r>
      <w:r w:rsidR="009E1D01" w:rsidRPr="000E78AF">
        <w:t>Anemia,</w:t>
      </w:r>
      <w:r w:rsidR="00EC6205" w:rsidRPr="000E78AF">
        <w:t xml:space="preserve"> </w:t>
      </w:r>
      <w:r w:rsidR="009E1D01" w:rsidRPr="000E78AF">
        <w:t>Accepted</w:t>
      </w:r>
      <w:r w:rsidR="00EC6205" w:rsidRPr="000E78AF">
        <w:t xml:space="preserve"> </w:t>
      </w:r>
      <w:r w:rsidR="009E1D01" w:rsidRPr="000E78AF">
        <w:t>29</w:t>
      </w:r>
      <w:r w:rsidR="00EC6205" w:rsidRPr="000E78AF">
        <w:t xml:space="preserve"> </w:t>
      </w:r>
      <w:r w:rsidR="009E1D01" w:rsidRPr="000E78AF">
        <w:t>September</w:t>
      </w:r>
      <w:r w:rsidR="00EC6205" w:rsidRPr="000E78AF">
        <w:t xml:space="preserve"> </w:t>
      </w:r>
      <w:r w:rsidR="009E1D01" w:rsidRPr="000E78AF">
        <w:t>2011</w:t>
      </w:r>
      <w:r w:rsidR="00EC6205" w:rsidRPr="000E78AF">
        <w:t xml:space="preserve"> </w:t>
      </w:r>
      <w:r w:rsidR="009E1D01" w:rsidRPr="000E78AF">
        <w:t>Academic</w:t>
      </w:r>
      <w:r w:rsidR="00EC6205" w:rsidRPr="000E78AF">
        <w:t xml:space="preserve"> </w:t>
      </w:r>
      <w:r w:rsidR="009E1D01" w:rsidRPr="000E78AF">
        <w:t>Editor:</w:t>
      </w:r>
      <w:r w:rsidR="00EC6205" w:rsidRPr="000E78AF">
        <w:t xml:space="preserve"> </w:t>
      </w:r>
      <w:proofErr w:type="spellStart"/>
      <w:r w:rsidR="009E1D01" w:rsidRPr="000E78AF">
        <w:t>Frans</w:t>
      </w:r>
      <w:proofErr w:type="spellEnd"/>
      <w:r w:rsidR="00EC6205" w:rsidRPr="000E78AF">
        <w:t xml:space="preserve"> </w:t>
      </w:r>
      <w:r w:rsidR="009E1D01" w:rsidRPr="000E78AF">
        <w:t>J</w:t>
      </w:r>
      <w:r w:rsidR="000E78AF" w:rsidRPr="000E78AF">
        <w:t>.</w:t>
      </w:r>
      <w:r w:rsidR="000E78AF">
        <w:t xml:space="preserve"> </w:t>
      </w:r>
      <w:r w:rsidR="000E78AF" w:rsidRPr="000E78AF">
        <w:t>W</w:t>
      </w:r>
      <w:r w:rsidR="009E1D01" w:rsidRPr="000E78AF">
        <w:t>althe</w:t>
      </w:r>
      <w:r w:rsidR="000E78AF" w:rsidRPr="000E78AF">
        <w:t>r</w:t>
      </w:r>
      <w:r w:rsidR="000E78AF">
        <w:t>.</w:t>
      </w:r>
    </w:p>
    <w:p w:rsidR="00CE0D30" w:rsidRPr="000E78AF" w:rsidRDefault="007F1F2E" w:rsidP="008575AE">
      <w:pPr>
        <w:numPr>
          <w:ilvl w:val="0"/>
          <w:numId w:val="3"/>
        </w:numPr>
        <w:snapToGrid w:val="0"/>
        <w:ind w:left="425" w:hanging="425"/>
        <w:jc w:val="both"/>
      </w:pPr>
      <w:r w:rsidRPr="000E78AF">
        <w:t>Horton</w:t>
      </w:r>
      <w:r w:rsidR="009E1D01" w:rsidRPr="000E78AF">
        <w:t>,</w:t>
      </w:r>
      <w:r w:rsidR="00EC6205" w:rsidRPr="000E78AF">
        <w:t xml:space="preserve"> </w:t>
      </w:r>
      <w:r w:rsidR="009E1D01" w:rsidRPr="000E78AF">
        <w:t>S.</w:t>
      </w:r>
      <w:r w:rsidR="00EC6205" w:rsidRPr="000E78AF">
        <w:t xml:space="preserve"> </w:t>
      </w:r>
      <w:r w:rsidR="009E1D01" w:rsidRPr="000E78AF">
        <w:t>and</w:t>
      </w:r>
      <w:r w:rsidR="00EC6205" w:rsidRPr="000E78AF">
        <w:t xml:space="preserve"> </w:t>
      </w:r>
      <w:r w:rsidR="009E1D01" w:rsidRPr="000E78AF">
        <w:t>Ross</w:t>
      </w:r>
      <w:r w:rsidR="00EC6205" w:rsidRPr="000E78AF">
        <w:t xml:space="preserve"> </w:t>
      </w:r>
      <w:r w:rsidR="009E1D01" w:rsidRPr="000E78AF">
        <w:t>J.</w:t>
      </w:r>
      <w:r w:rsidR="00EC6205" w:rsidRPr="000E78AF">
        <w:t xml:space="preserve"> </w:t>
      </w:r>
      <w:r w:rsidR="009E1D01" w:rsidRPr="000E78AF">
        <w:t>(2003):“The</w:t>
      </w:r>
      <w:r w:rsidR="00EC6205" w:rsidRPr="000E78AF">
        <w:t xml:space="preserve"> </w:t>
      </w:r>
      <w:r w:rsidR="009E1D01" w:rsidRPr="000E78AF">
        <w:t>economics</w:t>
      </w:r>
      <w:r w:rsidR="00EC6205" w:rsidRPr="000E78AF">
        <w:t xml:space="preserve"> </w:t>
      </w:r>
      <w:r w:rsidR="009E1D01" w:rsidRPr="000E78AF">
        <w:t>of</w:t>
      </w:r>
      <w:r w:rsidR="00EC6205" w:rsidRPr="000E78AF">
        <w:t xml:space="preserve"> </w:t>
      </w:r>
      <w:r w:rsidR="009E1D01" w:rsidRPr="000E78AF">
        <w:t>iron</w:t>
      </w:r>
      <w:r w:rsidR="00EC6205" w:rsidRPr="000E78AF">
        <w:t xml:space="preserve"> </w:t>
      </w:r>
      <w:r w:rsidR="009E1D01" w:rsidRPr="000E78AF">
        <w:t>deficiency”,</w:t>
      </w:r>
      <w:r w:rsidR="00EC6205" w:rsidRPr="000E78AF">
        <w:t xml:space="preserve"> </w:t>
      </w:r>
      <w:r w:rsidR="009E1D01" w:rsidRPr="000E78AF">
        <w:t>Food</w:t>
      </w:r>
      <w:r w:rsidR="00EC6205" w:rsidRPr="000E78AF">
        <w:t xml:space="preserve"> </w:t>
      </w:r>
      <w:r w:rsidR="009E1D01" w:rsidRPr="000E78AF">
        <w:t>Policy</w:t>
      </w:r>
      <w:r w:rsidR="00EC6205" w:rsidRPr="000E78AF">
        <w:t xml:space="preserve"> </w:t>
      </w:r>
      <w:r w:rsidR="009E1D01" w:rsidRPr="000E78AF">
        <w:t>28:</w:t>
      </w:r>
      <w:r w:rsidR="00EC6205" w:rsidRPr="000E78AF">
        <w:t xml:space="preserve"> </w:t>
      </w:r>
      <w:r w:rsidR="009E1D01" w:rsidRPr="000E78AF">
        <w:t>51-75.</w:t>
      </w:r>
    </w:p>
    <w:p w:rsidR="00CE0D30" w:rsidRPr="000E78AF" w:rsidRDefault="007F1F2E" w:rsidP="008575AE">
      <w:pPr>
        <w:numPr>
          <w:ilvl w:val="0"/>
          <w:numId w:val="3"/>
        </w:numPr>
        <w:snapToGrid w:val="0"/>
        <w:ind w:left="425" w:hanging="425"/>
        <w:jc w:val="both"/>
      </w:pPr>
      <w:r w:rsidRPr="000E78AF">
        <w:t>Imelda</w:t>
      </w:r>
      <w:r w:rsidR="00EC6205" w:rsidRPr="000E78AF">
        <w:t xml:space="preserve"> </w:t>
      </w:r>
      <w:r w:rsidR="009E1D01" w:rsidRPr="000E78AF">
        <w:t>A.,</w:t>
      </w:r>
      <w:r w:rsidR="00EC6205" w:rsidRPr="000E78AF">
        <w:t xml:space="preserve"> </w:t>
      </w:r>
      <w:r w:rsidR="009E1D01" w:rsidRPr="000E78AF">
        <w:t>Clarita</w:t>
      </w:r>
      <w:r w:rsidR="00EC6205" w:rsidRPr="000E78AF">
        <w:t xml:space="preserve"> </w:t>
      </w:r>
      <w:r w:rsidR="009E1D01" w:rsidRPr="000E78AF">
        <w:t>R</w:t>
      </w:r>
      <w:r w:rsidR="00EC6205" w:rsidRPr="000E78AF">
        <w:t xml:space="preserve"> </w:t>
      </w:r>
      <w:r w:rsidR="009E1D01" w:rsidRPr="000E78AF">
        <w:t>M.</w:t>
      </w:r>
      <w:r w:rsidR="00EC6205" w:rsidRPr="000E78AF">
        <w:t xml:space="preserve"> </w:t>
      </w:r>
      <w:r w:rsidR="009E1D01" w:rsidRPr="000E78AF">
        <w:t>Mario</w:t>
      </w:r>
      <w:r w:rsidR="00EC6205" w:rsidRPr="000E78AF">
        <w:t xml:space="preserve"> </w:t>
      </w:r>
      <w:r w:rsidR="009E1D01" w:rsidRPr="000E78AF">
        <w:t>V</w:t>
      </w:r>
      <w:r w:rsidR="00EC6205" w:rsidRPr="000E78AF">
        <w:t xml:space="preserve"> </w:t>
      </w:r>
      <w:proofErr w:type="spellStart"/>
      <w:r w:rsidR="009E1D01" w:rsidRPr="000E78AF">
        <w:t>Capanzana</w:t>
      </w:r>
      <w:proofErr w:type="spellEnd"/>
      <w:r w:rsidR="00EC6205" w:rsidRPr="000E78AF">
        <w:t xml:space="preserve"> </w:t>
      </w:r>
      <w:r w:rsidR="009E1D01" w:rsidRPr="000E78AF">
        <w:t>(2011):</w:t>
      </w:r>
      <w:r w:rsidR="00EC6205" w:rsidRPr="000E78AF">
        <w:t xml:space="preserve"> </w:t>
      </w:r>
      <w:r w:rsidR="009E1D01" w:rsidRPr="000E78AF">
        <w:t>Food</w:t>
      </w:r>
      <w:r w:rsidR="00EC6205" w:rsidRPr="000E78AF">
        <w:t xml:space="preserve"> </w:t>
      </w:r>
      <w:r w:rsidR="009E1D01" w:rsidRPr="000E78AF">
        <w:t>and</w:t>
      </w:r>
      <w:r w:rsidR="00EC6205" w:rsidRPr="000E78AF">
        <w:t xml:space="preserve"> </w:t>
      </w:r>
      <w:r w:rsidR="009E1D01" w:rsidRPr="000E78AF">
        <w:t>Nutrition</w:t>
      </w:r>
      <w:r w:rsidR="00EC6205" w:rsidRPr="000E78AF">
        <w:t xml:space="preserve"> </w:t>
      </w:r>
      <w:r w:rsidR="009E1D01" w:rsidRPr="000E78AF">
        <w:t>Research</w:t>
      </w:r>
      <w:r w:rsidR="00EC6205" w:rsidRPr="000E78AF">
        <w:t xml:space="preserve"> </w:t>
      </w:r>
      <w:r w:rsidR="009E1D01" w:rsidRPr="000E78AF">
        <w:t>Institute-Department</w:t>
      </w:r>
      <w:r w:rsidR="00EC6205" w:rsidRPr="000E78AF">
        <w:t xml:space="preserve"> </w:t>
      </w:r>
      <w:r w:rsidR="009E1D01" w:rsidRPr="000E78AF">
        <w:t>of</w:t>
      </w:r>
      <w:r w:rsidR="00EC6205" w:rsidRPr="000E78AF">
        <w:t xml:space="preserve"> </w:t>
      </w:r>
      <w:r w:rsidR="009E1D01" w:rsidRPr="000E78AF">
        <w:t>Science</w:t>
      </w:r>
      <w:r w:rsidR="00EC6205" w:rsidRPr="000E78AF">
        <w:t xml:space="preserve"> </w:t>
      </w:r>
      <w:r w:rsidR="009E1D01" w:rsidRPr="000E78AF">
        <w:t>and</w:t>
      </w:r>
      <w:r w:rsidR="00EC6205" w:rsidRPr="000E78AF">
        <w:t xml:space="preserve"> </w:t>
      </w:r>
      <w:r w:rsidR="009E1D01" w:rsidRPr="000E78AF">
        <w:t>Technology,</w:t>
      </w:r>
      <w:r w:rsidR="00EC6205" w:rsidRPr="000E78AF">
        <w:t xml:space="preserve"> </w:t>
      </w:r>
      <w:r w:rsidR="009E1D01" w:rsidRPr="000E78AF">
        <w:t>Fortified</w:t>
      </w:r>
      <w:r w:rsidR="00EC6205" w:rsidRPr="000E78AF">
        <w:t xml:space="preserve"> </w:t>
      </w:r>
      <w:r w:rsidR="009E1D01" w:rsidRPr="000E78AF">
        <w:t>juice</w:t>
      </w:r>
      <w:r w:rsidR="00EC6205" w:rsidRPr="000E78AF">
        <w:t xml:space="preserve"> </w:t>
      </w:r>
      <w:r w:rsidR="009E1D01" w:rsidRPr="000E78AF">
        <w:t>drink</w:t>
      </w:r>
      <w:r w:rsidR="00EC6205" w:rsidRPr="000E78AF">
        <w:t xml:space="preserve"> </w:t>
      </w:r>
      <w:r w:rsidR="009E1D01" w:rsidRPr="000E78AF">
        <w:t>improved</w:t>
      </w:r>
      <w:r w:rsidR="00EC6205" w:rsidRPr="000E78AF">
        <w:t xml:space="preserve"> </w:t>
      </w:r>
      <w:r w:rsidR="009E1D01" w:rsidRPr="000E78AF">
        <w:t>iron</w:t>
      </w:r>
      <w:r w:rsidR="00EC6205" w:rsidRPr="000E78AF">
        <w:t xml:space="preserve"> </w:t>
      </w:r>
      <w:r w:rsidR="009E1D01" w:rsidRPr="000E78AF">
        <w:t>and</w:t>
      </w:r>
      <w:r w:rsidR="00EC6205" w:rsidRPr="000E78AF">
        <w:t xml:space="preserve"> </w:t>
      </w:r>
      <w:r w:rsidR="009E1D01" w:rsidRPr="000E78AF">
        <w:t>zinc</w:t>
      </w:r>
      <w:r w:rsidR="00EC6205" w:rsidRPr="000E78AF">
        <w:t xml:space="preserve"> </w:t>
      </w:r>
      <w:r w:rsidR="009E1D01" w:rsidRPr="000E78AF">
        <w:t>status</w:t>
      </w:r>
      <w:r w:rsidR="00EC6205" w:rsidRPr="000E78AF">
        <w:t xml:space="preserve"> </w:t>
      </w:r>
      <w:r w:rsidR="009E1D01" w:rsidRPr="000E78AF">
        <w:t>of</w:t>
      </w:r>
      <w:r w:rsidR="00EC6205" w:rsidRPr="000E78AF">
        <w:t xml:space="preserve"> </w:t>
      </w:r>
      <w:r w:rsidR="009E1D01" w:rsidRPr="000E78AF">
        <w:t>schoolchildren</w:t>
      </w:r>
      <w:r w:rsidR="00EC6205" w:rsidRPr="000E78AF">
        <w:t xml:space="preserve"> </w:t>
      </w:r>
      <w:r w:rsidR="009E1D01" w:rsidRPr="000E78AF">
        <w:t>Manuscript</w:t>
      </w:r>
      <w:r w:rsidR="00EC6205" w:rsidRPr="000E78AF">
        <w:t xml:space="preserve"> </w:t>
      </w:r>
      <w:r w:rsidR="009E1D01" w:rsidRPr="000E78AF">
        <w:t>received</w:t>
      </w:r>
      <w:r w:rsidR="00EC6205" w:rsidRPr="000E78AF">
        <w:t xml:space="preserve"> </w:t>
      </w:r>
      <w:r w:rsidR="009E1D01" w:rsidRPr="000E78AF">
        <w:t>21</w:t>
      </w:r>
      <w:r w:rsidR="00EC6205" w:rsidRPr="000E78AF">
        <w:t xml:space="preserve"> </w:t>
      </w:r>
      <w:r w:rsidR="009E1D01" w:rsidRPr="000E78AF">
        <w:t>September</w:t>
      </w:r>
      <w:r w:rsidR="00EC6205" w:rsidRPr="000E78AF">
        <w:t xml:space="preserve"> </w:t>
      </w:r>
      <w:r w:rsidR="009E1D01" w:rsidRPr="000E78AF">
        <w:t>2010.</w:t>
      </w:r>
      <w:r w:rsidR="00EC6205" w:rsidRPr="000E78AF">
        <w:t xml:space="preserve"> </w:t>
      </w:r>
      <w:r w:rsidR="009E1D01" w:rsidRPr="000E78AF">
        <w:t>Initial</w:t>
      </w:r>
      <w:r w:rsidR="00EC6205" w:rsidRPr="000E78AF">
        <w:t xml:space="preserve"> </w:t>
      </w:r>
      <w:r w:rsidR="009E1D01" w:rsidRPr="000E78AF">
        <w:t>review</w:t>
      </w:r>
      <w:r w:rsidR="00EC6205" w:rsidRPr="000E78AF">
        <w:t xml:space="preserve"> </w:t>
      </w:r>
      <w:r w:rsidR="009E1D01" w:rsidRPr="000E78AF">
        <w:t>completed</w:t>
      </w:r>
      <w:r w:rsidR="00EC6205" w:rsidRPr="000E78AF">
        <w:t xml:space="preserve"> </w:t>
      </w:r>
      <w:r w:rsidR="009E1D01" w:rsidRPr="000E78AF">
        <w:t>18</w:t>
      </w:r>
      <w:r w:rsidR="00EC6205" w:rsidRPr="000E78AF">
        <w:t xml:space="preserve"> </w:t>
      </w:r>
      <w:r w:rsidR="009E1D01" w:rsidRPr="000E78AF">
        <w:t>May</w:t>
      </w:r>
      <w:r w:rsidR="00EC6205" w:rsidRPr="000E78AF">
        <w:t xml:space="preserve"> </w:t>
      </w:r>
      <w:r w:rsidR="009E1D01" w:rsidRPr="000E78AF">
        <w:t>2011.</w:t>
      </w:r>
      <w:r w:rsidR="00EC6205" w:rsidRPr="000E78AF">
        <w:t xml:space="preserve"> </w:t>
      </w:r>
      <w:r w:rsidR="009E1D01" w:rsidRPr="000E78AF">
        <w:t>Revision</w:t>
      </w:r>
      <w:r w:rsidR="00EC6205" w:rsidRPr="000E78AF">
        <w:t xml:space="preserve"> </w:t>
      </w:r>
      <w:r w:rsidR="009E1D01" w:rsidRPr="000E78AF">
        <w:t>accepted</w:t>
      </w:r>
      <w:r w:rsidR="00EC6205" w:rsidRPr="000E78AF">
        <w:t xml:space="preserve"> </w:t>
      </w:r>
      <w:r w:rsidR="009E1D01" w:rsidRPr="000E78AF">
        <w:t>27</w:t>
      </w:r>
      <w:r w:rsidR="00EC6205" w:rsidRPr="000E78AF">
        <w:t xml:space="preserve"> </w:t>
      </w:r>
      <w:r w:rsidR="009E1D01" w:rsidRPr="000E78AF">
        <w:t>June</w:t>
      </w:r>
      <w:r w:rsidR="00EC6205" w:rsidRPr="000E78AF">
        <w:t xml:space="preserve"> </w:t>
      </w:r>
      <w:r w:rsidR="009E1D01" w:rsidRPr="000E78AF">
        <w:t>2011.</w:t>
      </w:r>
    </w:p>
    <w:p w:rsidR="00CE0D30" w:rsidRPr="000E78AF" w:rsidRDefault="003B7381" w:rsidP="008575AE">
      <w:pPr>
        <w:numPr>
          <w:ilvl w:val="0"/>
          <w:numId w:val="3"/>
        </w:numPr>
        <w:snapToGrid w:val="0"/>
        <w:ind w:left="425" w:hanging="425"/>
        <w:jc w:val="both"/>
      </w:pPr>
      <w:r>
        <w:rPr>
          <w:noProof/>
        </w:rPr>
        <w:pict>
          <v:group id="Group 3" o:spid="_x0000_s1026" style="position:absolute;left:0;text-align:left;margin-left:217pt;margin-top:12pt;width:3.7pt;height:0;z-index:-1;mso-position-horizontal-relative:page" coordorigin="4340,240"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">
            <v:shape id="Freeform 4" o:spid="_x0000_s1027" style="position:absolute;left:4340;top:240;width:74;height:0;visibility:visible;mso-wrap-style:square;v-text-anchor:top" coordsize="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DsQA&#10;AADaAAAADwAAAGRycy9kb3ducmV2LnhtbESPQWsCMRSE70L/Q3gFL6JZbSmyGqUUFnprq+3B23Pz&#10;3KzdvCxJ1Oy/bwqFHoeZ+YZZb5PtxJV8aB0rmM8KEMS10y03Cj731XQJIkRkjZ1jUjBQgO3mbrTG&#10;Ursbf9B1FxuRIRxKVGBi7EspQ23IYpi5njh7J+ctxix9I7XHW4bbTi6K4klabDkvGOzpxVD9vbtY&#10;BcfHSezn+/PgL8vq7fBuvtKQKqXG9+l5BSJSiv/hv/arVvAAv1fy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FiQ7EAAAA2gAAAA8AAAAAAAAAAAAAAAAAmAIAAGRycy9k&#10;b3ducmV2LnhtbFBLBQYAAAAABAAEAPUAAACJAwAAAAA=&#10;" path="m,l75,e" filled="f" strokecolor="#606" strokeweight="1.18pt">
              <v:path arrowok="t" o:connecttype="custom" o:connectlocs="0,0;75,0" o:connectangles="0,0"/>
            </v:shape>
            <w10:wrap anchorx="page"/>
          </v:group>
        </w:pict>
      </w:r>
      <w:proofErr w:type="spellStart"/>
      <w:r w:rsidR="009E1D01" w:rsidRPr="000E78AF">
        <w:t>Int</w:t>
      </w:r>
      <w:proofErr w:type="spellEnd"/>
      <w:r w:rsidR="00EC6205" w:rsidRPr="000E78AF">
        <w:t xml:space="preserve"> </w:t>
      </w:r>
      <w:r w:rsidR="009E1D01" w:rsidRPr="000E78AF">
        <w:t>J</w:t>
      </w:r>
      <w:r w:rsidR="00EC6205" w:rsidRPr="000E78AF">
        <w:t xml:space="preserve"> </w:t>
      </w:r>
      <w:r w:rsidR="009E1D01" w:rsidRPr="000E78AF">
        <w:t>and</w:t>
      </w:r>
      <w:r w:rsidR="00EC6205" w:rsidRPr="000E78AF">
        <w:t xml:space="preserve"> </w:t>
      </w:r>
      <w:proofErr w:type="spellStart"/>
      <w:r w:rsidR="009E1D01" w:rsidRPr="000E78AF">
        <w:t>Vitam</w:t>
      </w:r>
      <w:proofErr w:type="spellEnd"/>
      <w:r w:rsidR="00EC6205" w:rsidRPr="000E78AF">
        <w:t xml:space="preserve"> </w:t>
      </w:r>
      <w:r w:rsidR="009E1D01" w:rsidRPr="000E78AF">
        <w:t>N.</w:t>
      </w:r>
      <w:r w:rsidR="00EC6205" w:rsidRPr="000E78AF">
        <w:t xml:space="preserve"> </w:t>
      </w:r>
      <w:r w:rsidR="009E1D01" w:rsidRPr="000E78AF">
        <w:t>R</w:t>
      </w:r>
      <w:r w:rsidR="00EC6205" w:rsidRPr="000E78AF">
        <w:t xml:space="preserve">. </w:t>
      </w:r>
      <w:r w:rsidR="00EC6205" w:rsidRPr="000E78AF">
        <w:rPr>
          <w:color w:val="660066"/>
        </w:rPr>
        <w:t xml:space="preserve">( </w:t>
      </w:r>
      <w:r w:rsidR="009E1D01" w:rsidRPr="000E78AF">
        <w:rPr>
          <w:color w:val="000000"/>
        </w:rPr>
        <w:t>2008):</w:t>
      </w:r>
      <w:r w:rsidR="00EC6205" w:rsidRPr="000E78AF">
        <w:rPr>
          <w:color w:val="000000"/>
        </w:rPr>
        <w:t xml:space="preserve"> </w:t>
      </w:r>
      <w:r w:rsidR="009E1D01" w:rsidRPr="000E78AF">
        <w:rPr>
          <w:color w:val="000000"/>
        </w:rPr>
        <w:t>Efficacy</w:t>
      </w:r>
      <w:r w:rsidR="00EC6205" w:rsidRPr="000E78AF">
        <w:rPr>
          <w:color w:val="000000"/>
        </w:rPr>
        <w:t xml:space="preserve"> </w:t>
      </w:r>
      <w:r w:rsidR="009E1D01" w:rsidRPr="000E78AF">
        <w:rPr>
          <w:color w:val="000000"/>
        </w:rPr>
        <w:t>of</w:t>
      </w:r>
      <w:r w:rsidR="00EC6205" w:rsidRPr="000E78AF">
        <w:rPr>
          <w:color w:val="000000"/>
        </w:rPr>
        <w:t xml:space="preserve"> </w:t>
      </w:r>
      <w:r w:rsidR="009E1D01" w:rsidRPr="000E78AF">
        <w:rPr>
          <w:color w:val="000000"/>
        </w:rPr>
        <w:t>iron-fortified</w:t>
      </w:r>
      <w:r w:rsidR="00EC6205" w:rsidRPr="000E78AF">
        <w:rPr>
          <w:color w:val="000000"/>
        </w:rPr>
        <w:t xml:space="preserve"> </w:t>
      </w:r>
      <w:r w:rsidR="009E1D01" w:rsidRPr="000E78AF">
        <w:rPr>
          <w:color w:val="000000"/>
        </w:rPr>
        <w:t>rice</w:t>
      </w:r>
      <w:r w:rsidR="00EC6205" w:rsidRPr="000E78AF">
        <w:rPr>
          <w:color w:val="000000"/>
        </w:rPr>
        <w:t xml:space="preserve"> </w:t>
      </w:r>
      <w:r w:rsidR="009E1D01" w:rsidRPr="000E78AF">
        <w:rPr>
          <w:color w:val="000000"/>
        </w:rPr>
        <w:t>in</w:t>
      </w:r>
      <w:r w:rsidR="00EC6205" w:rsidRPr="000E78AF">
        <w:rPr>
          <w:color w:val="000000"/>
        </w:rPr>
        <w:t xml:space="preserve"> </w:t>
      </w:r>
      <w:r w:rsidR="009E1D01" w:rsidRPr="000E78AF">
        <w:rPr>
          <w:color w:val="000000"/>
        </w:rPr>
        <w:t>reducing</w:t>
      </w:r>
      <w:r w:rsidR="00EC6205" w:rsidRPr="000E78AF">
        <w:rPr>
          <w:color w:val="000000"/>
        </w:rPr>
        <w:t xml:space="preserve"> </w:t>
      </w:r>
      <w:r w:rsidR="009E1D01" w:rsidRPr="000E78AF">
        <w:rPr>
          <w:color w:val="000000"/>
        </w:rPr>
        <w:t>anemia</w:t>
      </w:r>
      <w:r w:rsidR="00EC6205" w:rsidRPr="000E78AF">
        <w:rPr>
          <w:color w:val="000000"/>
        </w:rPr>
        <w:t xml:space="preserve"> </w:t>
      </w:r>
      <w:r w:rsidR="009E1D01" w:rsidRPr="000E78AF">
        <w:rPr>
          <w:color w:val="000000"/>
        </w:rPr>
        <w:t>among</w:t>
      </w:r>
      <w:r w:rsidR="00EC6205" w:rsidRPr="000E78AF">
        <w:rPr>
          <w:color w:val="000000"/>
        </w:rPr>
        <w:t xml:space="preserve"> </w:t>
      </w:r>
      <w:r w:rsidR="009E1D01" w:rsidRPr="000E78AF">
        <w:rPr>
          <w:color w:val="000000"/>
        </w:rPr>
        <w:t>schoolchildren</w:t>
      </w:r>
      <w:r w:rsidR="00EC6205" w:rsidRPr="000E78AF">
        <w:rPr>
          <w:color w:val="000000"/>
        </w:rPr>
        <w:t xml:space="preserve"> </w:t>
      </w:r>
      <w:r w:rsidR="009E1D01" w:rsidRPr="000E78AF">
        <w:rPr>
          <w:color w:val="000000"/>
        </w:rPr>
        <w:t>in</w:t>
      </w:r>
      <w:r w:rsidR="00EC6205" w:rsidRPr="000E78AF">
        <w:rPr>
          <w:color w:val="000000"/>
        </w:rPr>
        <w:t xml:space="preserve"> </w:t>
      </w:r>
      <w:r w:rsidR="009E1D01" w:rsidRPr="000E78AF">
        <w:rPr>
          <w:color w:val="000000"/>
        </w:rPr>
        <w:t>the</w:t>
      </w:r>
      <w:r w:rsidR="00EC6205" w:rsidRPr="000E78AF">
        <w:rPr>
          <w:color w:val="000000"/>
        </w:rPr>
        <w:t xml:space="preserve"> </w:t>
      </w:r>
      <w:r w:rsidR="009E1D01" w:rsidRPr="000E78AF">
        <w:rPr>
          <w:color w:val="000000"/>
        </w:rPr>
        <w:t>Philippines.</w:t>
      </w:r>
      <w:r w:rsidR="00EC6205" w:rsidRPr="000E78AF">
        <w:rPr>
          <w:color w:val="000000"/>
        </w:rPr>
        <w:t xml:space="preserve"> </w:t>
      </w:r>
      <w:r w:rsidR="009E1D01" w:rsidRPr="000E78AF">
        <w:rPr>
          <w:color w:val="000000"/>
        </w:rPr>
        <w:t>Mar;78(2):74-86.</w:t>
      </w:r>
      <w:r w:rsidR="00EC6205" w:rsidRPr="000E78AF">
        <w:rPr>
          <w:color w:val="000000"/>
        </w:rPr>
        <w:t xml:space="preserve"> </w:t>
      </w:r>
      <w:proofErr w:type="spellStart"/>
      <w:r w:rsidR="009E1D01" w:rsidRPr="000E78AF">
        <w:rPr>
          <w:color w:val="000000"/>
        </w:rPr>
        <w:t>doi</w:t>
      </w:r>
      <w:proofErr w:type="spellEnd"/>
      <w:r w:rsidR="009E1D01" w:rsidRPr="000E78AF">
        <w:rPr>
          <w:color w:val="000000"/>
        </w:rPr>
        <w:t>:</w:t>
      </w:r>
      <w:r w:rsidR="00EC6205" w:rsidRPr="000E78AF">
        <w:rPr>
          <w:color w:val="000000"/>
        </w:rPr>
        <w:t xml:space="preserve"> </w:t>
      </w:r>
      <w:r w:rsidR="009E1D01" w:rsidRPr="000E78AF">
        <w:rPr>
          <w:color w:val="000000"/>
        </w:rPr>
        <w:t>10.1024/0300-9831.78.2.74.</w:t>
      </w:r>
    </w:p>
    <w:p w:rsidR="00CE0D30" w:rsidRPr="000E78AF" w:rsidRDefault="007F1F2E" w:rsidP="008575AE">
      <w:pPr>
        <w:numPr>
          <w:ilvl w:val="0"/>
          <w:numId w:val="3"/>
        </w:numPr>
        <w:snapToGrid w:val="0"/>
        <w:ind w:left="425" w:hanging="425"/>
        <w:jc w:val="both"/>
      </w:pPr>
      <w:proofErr w:type="spellStart"/>
      <w:r w:rsidRPr="000E78AF">
        <w:t>Irfan</w:t>
      </w:r>
      <w:proofErr w:type="spellEnd"/>
      <w:r w:rsidR="00EC6205" w:rsidRPr="000E78AF">
        <w:t xml:space="preserve"> </w:t>
      </w:r>
      <w:r w:rsidR="009E1D01" w:rsidRPr="000E78AF">
        <w:t>U.</w:t>
      </w:r>
      <w:r w:rsidR="00EC6205" w:rsidRPr="000E78AF">
        <w:t xml:space="preserve"> </w:t>
      </w:r>
      <w:r w:rsidR="009E1D01" w:rsidRPr="000E78AF">
        <w:t>M.,</w:t>
      </w:r>
      <w:r w:rsidR="00EC6205" w:rsidRPr="000E78AF">
        <w:t xml:space="preserve"> </w:t>
      </w:r>
      <w:proofErr w:type="spellStart"/>
      <w:r w:rsidR="009E1D01" w:rsidRPr="000E78AF">
        <w:t>Khawaja</w:t>
      </w:r>
      <w:proofErr w:type="spellEnd"/>
      <w:r w:rsidR="00EC6205" w:rsidRPr="000E78AF">
        <w:t xml:space="preserve"> </w:t>
      </w:r>
      <w:r w:rsidR="009E1D01" w:rsidRPr="000E78AF">
        <w:t>A.</w:t>
      </w:r>
      <w:r w:rsidR="00EC6205" w:rsidRPr="000E78AF">
        <w:t xml:space="preserve"> </w:t>
      </w:r>
      <w:r w:rsidR="009E1D01" w:rsidRPr="000E78AF">
        <w:t>H,</w:t>
      </w:r>
      <w:r w:rsidR="00EC6205" w:rsidRPr="000E78AF">
        <w:t xml:space="preserve"> </w:t>
      </w:r>
      <w:proofErr w:type="spellStart"/>
      <w:r w:rsidR="009E1D01" w:rsidRPr="000E78AF">
        <w:t>Tahir</w:t>
      </w:r>
      <w:proofErr w:type="spellEnd"/>
      <w:r w:rsidR="00EC6205" w:rsidRPr="000E78AF">
        <w:t xml:space="preserve"> </w:t>
      </w:r>
      <w:r w:rsidR="009E1D01" w:rsidRPr="000E78AF">
        <w:t>J</w:t>
      </w:r>
      <w:r w:rsidR="00EC6205" w:rsidRPr="000E78AF">
        <w:t xml:space="preserve"> </w:t>
      </w:r>
      <w:r w:rsidR="009E1D01" w:rsidRPr="000E78AF">
        <w:t>and</w:t>
      </w:r>
      <w:r w:rsidR="00EC6205" w:rsidRPr="000E78AF">
        <w:t xml:space="preserve"> </w:t>
      </w:r>
      <w:proofErr w:type="spellStart"/>
      <w:r w:rsidR="009E1D01" w:rsidRPr="000E78AF">
        <w:t>Akmal</w:t>
      </w:r>
      <w:proofErr w:type="spellEnd"/>
      <w:r w:rsidR="00EC6205" w:rsidRPr="000E78AF">
        <w:t xml:space="preserve"> </w:t>
      </w:r>
      <w:r w:rsidR="009E1D01" w:rsidRPr="000E78AF">
        <w:t>L.</w:t>
      </w:r>
      <w:r w:rsidR="00EC6205" w:rsidRPr="000E78AF">
        <w:t xml:space="preserve"> C (</w:t>
      </w:r>
      <w:r w:rsidR="009E1D01" w:rsidRPr="000E78AF">
        <w:t>2013):</w:t>
      </w:r>
      <w:r w:rsidR="00EC6205" w:rsidRPr="000E78AF">
        <w:t xml:space="preserve"> </w:t>
      </w:r>
      <w:r w:rsidR="009E1D01" w:rsidRPr="000E78AF">
        <w:t>Comparison</w:t>
      </w:r>
      <w:r w:rsidR="00EC6205" w:rsidRPr="000E78AF">
        <w:t xml:space="preserve"> </w:t>
      </w:r>
      <w:r w:rsidR="009E1D01" w:rsidRPr="000E78AF">
        <w:t>of</w:t>
      </w:r>
      <w:r w:rsidR="00EC6205" w:rsidRPr="000E78AF">
        <w:t xml:space="preserve"> </w:t>
      </w:r>
      <w:r w:rsidR="009E1D01" w:rsidRPr="000E78AF">
        <w:t>efficacy</w:t>
      </w:r>
      <w:r w:rsidR="00EC6205" w:rsidRPr="000E78AF">
        <w:t xml:space="preserve"> </w:t>
      </w:r>
      <w:r w:rsidR="009E1D01" w:rsidRPr="000E78AF">
        <w:t>of</w:t>
      </w:r>
      <w:r w:rsidR="00EC6205" w:rsidRPr="000E78AF">
        <w:t xml:space="preserve"> </w:t>
      </w:r>
      <w:r w:rsidR="009E1D01" w:rsidRPr="000E78AF">
        <w:t>Ferrous</w:t>
      </w:r>
      <w:r w:rsidR="00EC6205" w:rsidRPr="000E78AF">
        <w:t xml:space="preserve"> </w:t>
      </w:r>
      <w:r w:rsidR="009E1D01" w:rsidRPr="000E78AF">
        <w:t>and</w:t>
      </w:r>
      <w:r w:rsidR="00EC6205" w:rsidRPr="000E78AF">
        <w:t xml:space="preserve"> </w:t>
      </w:r>
      <w:r w:rsidR="009E1D01" w:rsidRPr="000E78AF">
        <w:t>Iron</w:t>
      </w:r>
      <w:r w:rsidR="00EC6205" w:rsidRPr="000E78AF">
        <w:t xml:space="preserve"> </w:t>
      </w:r>
      <w:proofErr w:type="spellStart"/>
      <w:r w:rsidR="009E1D01" w:rsidRPr="000E78AF">
        <w:t>Polymaltose</w:t>
      </w:r>
      <w:proofErr w:type="spellEnd"/>
      <w:r w:rsidR="00EC6205" w:rsidRPr="000E78AF">
        <w:t xml:space="preserve"> </w:t>
      </w:r>
      <w:r w:rsidR="009E1D01" w:rsidRPr="000E78AF">
        <w:t>salts</w:t>
      </w:r>
      <w:r w:rsidR="00EC6205" w:rsidRPr="000E78AF">
        <w:t xml:space="preserve"> </w:t>
      </w:r>
      <w:r w:rsidR="009E1D01" w:rsidRPr="000E78AF">
        <w:t>in</w:t>
      </w:r>
      <w:r w:rsidR="00EC6205" w:rsidRPr="000E78AF">
        <w:t xml:space="preserve"> </w:t>
      </w:r>
      <w:r w:rsidR="009E1D01" w:rsidRPr="000E78AF">
        <w:t>the</w:t>
      </w:r>
      <w:r w:rsidR="00EC6205" w:rsidRPr="000E78AF">
        <w:t xml:space="preserve"> </w:t>
      </w:r>
      <w:r w:rsidR="009E1D01" w:rsidRPr="000E78AF">
        <w:t>treatment</w:t>
      </w:r>
      <w:r w:rsidR="00EC6205" w:rsidRPr="000E78AF">
        <w:t xml:space="preserve"> </w:t>
      </w:r>
      <w:r w:rsidR="009E1D01" w:rsidRPr="000E78AF">
        <w:t>of</w:t>
      </w:r>
      <w:r w:rsidR="00EC6205" w:rsidRPr="000E78AF">
        <w:t xml:space="preserve"> </w:t>
      </w:r>
      <w:r w:rsidR="009E1D01" w:rsidRPr="000E78AF">
        <w:t>childhood</w:t>
      </w:r>
      <w:r w:rsidR="00EC6205" w:rsidRPr="000E78AF">
        <w:t xml:space="preserve"> </w:t>
      </w:r>
      <w:r w:rsidR="009E1D01" w:rsidRPr="000E78AF">
        <w:t>Iron</w:t>
      </w:r>
      <w:r w:rsidR="00EC6205" w:rsidRPr="000E78AF">
        <w:t xml:space="preserve"> </w:t>
      </w:r>
      <w:r w:rsidR="009E1D01" w:rsidRPr="000E78AF">
        <w:t>Deficiency</w:t>
      </w:r>
      <w:r w:rsidR="00EC6205" w:rsidRPr="000E78AF">
        <w:t xml:space="preserve"> </w:t>
      </w:r>
      <w:r w:rsidR="009E1D01" w:rsidRPr="000E78AF">
        <w:t>Anemia</w:t>
      </w:r>
      <w:r w:rsidR="00EC6205" w:rsidRPr="000E78AF">
        <w:t xml:space="preserve"> </w:t>
      </w:r>
      <w:r w:rsidR="006B4DB2">
        <w:rPr>
          <w:noProof/>
        </w:rPr>
        <w:pict>
          <v:shape id="Picture 1" o:spid="_x0000_i1025" type="#_x0000_t75" style="width:166.55pt;height:10pt;visibility:visible">
            <v:imagedata r:id="rId12" o:title=""/>
          </v:shape>
        </w:pict>
      </w:r>
    </w:p>
    <w:p w:rsidR="00BD63EE" w:rsidRPr="000E78AF" w:rsidRDefault="009E1D01" w:rsidP="008575AE">
      <w:pPr>
        <w:numPr>
          <w:ilvl w:val="0"/>
          <w:numId w:val="3"/>
        </w:numPr>
        <w:snapToGrid w:val="0"/>
        <w:ind w:left="425" w:hanging="425"/>
        <w:jc w:val="both"/>
      </w:pPr>
      <w:proofErr w:type="spellStart"/>
      <w:r w:rsidRPr="000E78AF">
        <w:t>Sozmen</w:t>
      </w:r>
      <w:proofErr w:type="spellEnd"/>
      <w:r w:rsidR="00EC6205" w:rsidRPr="000E78AF">
        <w:t xml:space="preserve"> </w:t>
      </w:r>
      <w:r w:rsidRPr="000E78AF">
        <w:t>EY,</w:t>
      </w:r>
      <w:r w:rsidR="00EC6205" w:rsidRPr="000E78AF">
        <w:t xml:space="preserve"> </w:t>
      </w:r>
      <w:proofErr w:type="spellStart"/>
      <w:r w:rsidRPr="000E78AF">
        <w:t>Kavakli</w:t>
      </w:r>
      <w:proofErr w:type="spellEnd"/>
      <w:r w:rsidR="00EC6205" w:rsidRPr="000E78AF">
        <w:t xml:space="preserve"> </w:t>
      </w:r>
      <w:r w:rsidRPr="000E78AF">
        <w:t>K,</w:t>
      </w:r>
      <w:r w:rsidR="00EC6205" w:rsidRPr="000E78AF">
        <w:t xml:space="preserve"> </w:t>
      </w:r>
      <w:proofErr w:type="spellStart"/>
      <w:r w:rsidRPr="000E78AF">
        <w:t>Cetinkaya</w:t>
      </w:r>
      <w:proofErr w:type="spellEnd"/>
      <w:r w:rsidR="00EC6205" w:rsidRPr="000E78AF">
        <w:t xml:space="preserve"> </w:t>
      </w:r>
      <w:r w:rsidRPr="000E78AF">
        <w:t>B,</w:t>
      </w:r>
      <w:r w:rsidR="00EC6205" w:rsidRPr="000E78AF">
        <w:t xml:space="preserve"> </w:t>
      </w:r>
      <w:proofErr w:type="spellStart"/>
      <w:r w:rsidRPr="000E78AF">
        <w:t>Akcay</w:t>
      </w:r>
      <w:proofErr w:type="spellEnd"/>
      <w:r w:rsidR="00EC6205" w:rsidRPr="000E78AF">
        <w:t xml:space="preserve"> </w:t>
      </w:r>
      <w:r w:rsidRPr="000E78AF">
        <w:t>YD,</w:t>
      </w:r>
      <w:r w:rsidR="00EC6205" w:rsidRPr="000E78AF">
        <w:t xml:space="preserve"> </w:t>
      </w:r>
      <w:proofErr w:type="spellStart"/>
      <w:r w:rsidRPr="000E78AF">
        <w:t>Yilmaz</w:t>
      </w:r>
      <w:proofErr w:type="spellEnd"/>
      <w:r w:rsidR="00EC6205" w:rsidRPr="000E78AF">
        <w:t xml:space="preserve"> </w:t>
      </w:r>
      <w:r w:rsidRPr="000E78AF">
        <w:t>D,</w:t>
      </w:r>
      <w:r w:rsidR="00EC6205" w:rsidRPr="000E78AF">
        <w:t xml:space="preserve"> </w:t>
      </w:r>
      <w:proofErr w:type="spellStart"/>
      <w:r w:rsidRPr="000E78AF">
        <w:t>Aydinok</w:t>
      </w:r>
      <w:proofErr w:type="spellEnd"/>
      <w:r w:rsidR="00EC6205" w:rsidRPr="000E78AF">
        <w:t xml:space="preserve"> </w:t>
      </w:r>
      <w:r w:rsidRPr="000E78AF">
        <w:t>Y.</w:t>
      </w:r>
      <w:r w:rsidR="00EC6205" w:rsidRPr="000E78AF">
        <w:t xml:space="preserve"> </w:t>
      </w:r>
      <w:r w:rsidRPr="000E78AF">
        <w:t>(2003)</w:t>
      </w:r>
      <w:r w:rsidR="00EC6205" w:rsidRPr="000E78AF">
        <w:t xml:space="preserve"> </w:t>
      </w:r>
      <w:r w:rsidRPr="000E78AF">
        <w:t>Effects</w:t>
      </w:r>
      <w:r w:rsidR="00EC6205" w:rsidRPr="000E78AF">
        <w:t xml:space="preserve"> </w:t>
      </w:r>
      <w:r w:rsidRPr="000E78AF">
        <w:t>of</w:t>
      </w:r>
      <w:r w:rsidR="00EC6205" w:rsidRPr="000E78AF">
        <w:t xml:space="preserve"> </w:t>
      </w:r>
      <w:r w:rsidRPr="000E78AF">
        <w:t>iron</w:t>
      </w:r>
      <w:r w:rsidR="00EC6205" w:rsidRPr="000E78AF">
        <w:t xml:space="preserve"> </w:t>
      </w:r>
      <w:r w:rsidRPr="000E78AF">
        <w:t>(II)</w:t>
      </w:r>
      <w:r w:rsidR="00EC6205" w:rsidRPr="000E78AF">
        <w:t xml:space="preserve"> </w:t>
      </w:r>
      <w:r w:rsidRPr="000E78AF">
        <w:t>salts</w:t>
      </w:r>
      <w:r w:rsidR="00EC6205" w:rsidRPr="000E78AF">
        <w:t xml:space="preserve"> </w:t>
      </w:r>
      <w:r w:rsidRPr="000E78AF">
        <w:t>and</w:t>
      </w:r>
      <w:r w:rsidR="00EC6205" w:rsidRPr="000E78AF">
        <w:t xml:space="preserve"> </w:t>
      </w:r>
      <w:r w:rsidRPr="000E78AF">
        <w:t>iron</w:t>
      </w:r>
      <w:r w:rsidR="00EC6205" w:rsidRPr="000E78AF">
        <w:t xml:space="preserve"> </w:t>
      </w:r>
      <w:r w:rsidRPr="000E78AF">
        <w:t>(III)</w:t>
      </w:r>
      <w:r w:rsidR="00EC6205" w:rsidRPr="000E78AF">
        <w:t xml:space="preserve"> </w:t>
      </w:r>
      <w:r w:rsidRPr="000E78AF">
        <w:t>complexes</w:t>
      </w:r>
      <w:r w:rsidR="00EC6205" w:rsidRPr="000E78AF">
        <w:t xml:space="preserve"> </w:t>
      </w:r>
      <w:r w:rsidRPr="000E78AF">
        <w:t>on</w:t>
      </w:r>
      <w:r w:rsidR="00EC6205" w:rsidRPr="000E78AF">
        <w:t xml:space="preserve"> </w:t>
      </w:r>
      <w:r w:rsidRPr="000E78AF">
        <w:t>trace</w:t>
      </w:r>
      <w:r w:rsidR="00EC6205" w:rsidRPr="000E78AF">
        <w:t xml:space="preserve"> </w:t>
      </w:r>
      <w:r w:rsidRPr="000E78AF">
        <w:t>element</w:t>
      </w:r>
      <w:r w:rsidR="00EC6205" w:rsidRPr="000E78AF">
        <w:t xml:space="preserve"> </w:t>
      </w:r>
      <w:r w:rsidRPr="000E78AF">
        <w:t>status</w:t>
      </w:r>
      <w:r w:rsidR="00EC6205" w:rsidRPr="000E78AF">
        <w:t xml:space="preserve"> </w:t>
      </w:r>
      <w:r w:rsidRPr="000E78AF">
        <w:t>in</w:t>
      </w:r>
      <w:r w:rsidR="00EC6205" w:rsidRPr="000E78AF">
        <w:t xml:space="preserve"> </w:t>
      </w:r>
      <w:r w:rsidRPr="000E78AF">
        <w:t>children</w:t>
      </w:r>
      <w:r w:rsidR="00EC6205" w:rsidRPr="000E78AF">
        <w:t xml:space="preserve"> </w:t>
      </w:r>
      <w:r w:rsidRPr="000E78AF">
        <w:t>with</w:t>
      </w:r>
      <w:r w:rsidR="00EC6205" w:rsidRPr="000E78AF">
        <w:t xml:space="preserve"> </w:t>
      </w:r>
      <w:r w:rsidRPr="000E78AF">
        <w:t>iron-</w:t>
      </w:r>
      <w:r w:rsidR="00EC6205" w:rsidRPr="000E78AF">
        <w:t xml:space="preserve"> </w:t>
      </w:r>
      <w:r w:rsidRPr="000E78AF">
        <w:t>deficiency</w:t>
      </w:r>
      <w:r w:rsidR="00EC6205" w:rsidRPr="000E78AF">
        <w:t xml:space="preserve"> </w:t>
      </w:r>
      <w:r w:rsidRPr="000E78AF">
        <w:t>anemia.</w:t>
      </w:r>
      <w:r w:rsidR="00EC6205" w:rsidRPr="000E78AF">
        <w:t xml:space="preserve"> </w:t>
      </w:r>
      <w:proofErr w:type="spellStart"/>
      <w:r w:rsidRPr="000E78AF">
        <w:t>Biol</w:t>
      </w:r>
      <w:proofErr w:type="spellEnd"/>
      <w:r w:rsidR="00EC6205" w:rsidRPr="000E78AF">
        <w:t xml:space="preserve"> </w:t>
      </w:r>
      <w:r w:rsidRPr="000E78AF">
        <w:t>Trace</w:t>
      </w:r>
      <w:r w:rsidR="00EC6205" w:rsidRPr="000E78AF">
        <w:t xml:space="preserve"> </w:t>
      </w:r>
      <w:r w:rsidRPr="000E78AF">
        <w:t>Elem</w:t>
      </w:r>
      <w:r w:rsidR="00EC6205" w:rsidRPr="000E78AF">
        <w:t xml:space="preserve"> </w:t>
      </w:r>
      <w:r w:rsidRPr="000E78AF">
        <w:t>Res</w:t>
      </w:r>
      <w:r w:rsidR="00EC6205" w:rsidRPr="000E78AF">
        <w:t xml:space="preserve"> </w:t>
      </w:r>
      <w:r w:rsidRPr="000E78AF">
        <w:t>2003;</w:t>
      </w:r>
      <w:r w:rsidR="00EC6205" w:rsidRPr="000E78AF">
        <w:t xml:space="preserve"> </w:t>
      </w:r>
      <w:r w:rsidRPr="000E78AF">
        <w:t>94:</w:t>
      </w:r>
      <w:r w:rsidR="00EC6205" w:rsidRPr="000E78AF">
        <w:t xml:space="preserve"> </w:t>
      </w:r>
      <w:r w:rsidRPr="000E78AF">
        <w:t>79-86.</w:t>
      </w:r>
    </w:p>
    <w:p w:rsidR="00CE0D30" w:rsidRPr="00EC6205" w:rsidRDefault="007F1F2E" w:rsidP="008575AE">
      <w:pPr>
        <w:numPr>
          <w:ilvl w:val="0"/>
          <w:numId w:val="3"/>
        </w:numPr>
        <w:snapToGrid w:val="0"/>
        <w:ind w:left="425" w:hanging="425"/>
        <w:jc w:val="both"/>
      </w:pPr>
      <w:r w:rsidRPr="000E78AF">
        <w:t>Taiyo</w:t>
      </w:r>
      <w:r w:rsidR="00EC6205" w:rsidRPr="000E78AF">
        <w:rPr>
          <w:color w:val="000000"/>
        </w:rPr>
        <w:t xml:space="preserve"> </w:t>
      </w:r>
      <w:r w:rsidR="009E1D01" w:rsidRPr="000E78AF">
        <w:rPr>
          <w:color w:val="000000"/>
        </w:rPr>
        <w:t>I.</w:t>
      </w:r>
      <w:r w:rsidR="00EC6205" w:rsidRPr="000E78AF">
        <w:rPr>
          <w:color w:val="000000"/>
        </w:rPr>
        <w:t xml:space="preserve"> </w:t>
      </w:r>
      <w:r w:rsidR="009E1D01" w:rsidRPr="000E78AF">
        <w:rPr>
          <w:color w:val="000000"/>
        </w:rPr>
        <w:t>and</w:t>
      </w:r>
      <w:r w:rsidR="00EC6205" w:rsidRPr="000E78AF">
        <w:rPr>
          <w:color w:val="000000"/>
        </w:rPr>
        <w:t xml:space="preserve"> </w:t>
      </w:r>
      <w:r w:rsidR="009E1D01" w:rsidRPr="000E78AF">
        <w:rPr>
          <w:color w:val="000000"/>
        </w:rPr>
        <w:t>Bill</w:t>
      </w:r>
      <w:r w:rsidR="00EC6205" w:rsidRPr="000E78AF">
        <w:rPr>
          <w:color w:val="000000"/>
        </w:rPr>
        <w:t xml:space="preserve"> </w:t>
      </w:r>
      <w:r w:rsidR="009E1D01" w:rsidRPr="000E78AF">
        <w:rPr>
          <w:color w:val="000000"/>
        </w:rPr>
        <w:t>D</w:t>
      </w:r>
      <w:r w:rsidR="00EC6205" w:rsidRPr="000E78AF">
        <w:rPr>
          <w:color w:val="000000"/>
        </w:rPr>
        <w:t xml:space="preserve"> </w:t>
      </w:r>
      <w:r w:rsidR="009E1D01" w:rsidRPr="000E78AF">
        <w:rPr>
          <w:color w:val="000000"/>
        </w:rPr>
        <w:t>(2004):</w:t>
      </w:r>
      <w:r w:rsidR="00EC6205" w:rsidRPr="000E78AF">
        <w:rPr>
          <w:color w:val="000000"/>
        </w:rPr>
        <w:t xml:space="preserve"> </w:t>
      </w:r>
      <w:r w:rsidR="009E1D01" w:rsidRPr="000E78AF">
        <w:rPr>
          <w:color w:val="000000"/>
        </w:rPr>
        <w:t>billd@taiyoint.com,</w:t>
      </w:r>
      <w:r w:rsidR="00EC6205" w:rsidRPr="000E78AF">
        <w:rPr>
          <w:color w:val="000000"/>
        </w:rPr>
        <w:t xml:space="preserve"> </w:t>
      </w:r>
      <w:proofErr w:type="spellStart"/>
      <w:r w:rsidR="009E1D01" w:rsidRPr="000E78AF">
        <w:rPr>
          <w:color w:val="000000"/>
        </w:rPr>
        <w:t>www.taiyokagaku.comTaiyo's</w:t>
      </w:r>
      <w:proofErr w:type="spellEnd"/>
      <w:r w:rsidR="00EC6205" w:rsidRPr="000E78AF">
        <w:rPr>
          <w:color w:val="000000"/>
        </w:rPr>
        <w:t xml:space="preserve"> </w:t>
      </w:r>
      <w:r w:rsidR="009E1D01" w:rsidRPr="000E78AF">
        <w:rPr>
          <w:color w:val="000000"/>
        </w:rPr>
        <w:t>iron</w:t>
      </w:r>
      <w:r w:rsidR="00EC6205" w:rsidRPr="000E78AF">
        <w:rPr>
          <w:color w:val="000000"/>
        </w:rPr>
        <w:t xml:space="preserve"> </w:t>
      </w:r>
      <w:r w:rsidR="009E1D01" w:rsidRPr="000E78AF">
        <w:rPr>
          <w:color w:val="000000"/>
        </w:rPr>
        <w:t>fortification</w:t>
      </w:r>
      <w:r w:rsidR="00EC6205" w:rsidRPr="000E78AF">
        <w:rPr>
          <w:color w:val="000000"/>
        </w:rPr>
        <w:t xml:space="preserve"> </w:t>
      </w:r>
      <w:r w:rsidR="009E1D01" w:rsidRPr="000E78AF">
        <w:rPr>
          <w:color w:val="000000"/>
        </w:rPr>
        <w:t>ingredient</w:t>
      </w:r>
      <w:r w:rsidR="00EC6205" w:rsidRPr="000E78AF">
        <w:rPr>
          <w:color w:val="000000"/>
        </w:rPr>
        <w:t xml:space="preserve"> </w:t>
      </w:r>
      <w:r w:rsidR="009E1D01" w:rsidRPr="000E78AF">
        <w:rPr>
          <w:color w:val="000000"/>
        </w:rPr>
        <w:t>awarded</w:t>
      </w:r>
      <w:r w:rsidR="00EC6205" w:rsidRPr="000E78AF">
        <w:rPr>
          <w:color w:val="000000"/>
        </w:rPr>
        <w:t xml:space="preserve"> </w:t>
      </w:r>
      <w:r w:rsidR="009E1D01" w:rsidRPr="000E78AF">
        <w:rPr>
          <w:color w:val="000000"/>
        </w:rPr>
        <w:t>GRAS09-Dec-2004.</w:t>
      </w:r>
    </w:p>
    <w:p w:rsidR="000E78AF" w:rsidRDefault="000E78AF" w:rsidP="008575AE">
      <w:pPr>
        <w:snapToGrid w:val="0"/>
        <w:ind w:left="425" w:hanging="425"/>
        <w:jc w:val="both"/>
        <w:sectPr w:rsidR="000E78AF" w:rsidSect="000E78AF">
          <w:type w:val="continuous"/>
          <w:pgSz w:w="12240" w:h="15840" w:code="1"/>
          <w:pgMar w:top="1440" w:right="1440" w:bottom="1440" w:left="1440" w:header="720" w:footer="720" w:gutter="0"/>
          <w:cols w:num="2" w:space="500"/>
          <w:docGrid w:linePitch="272"/>
        </w:sectPr>
      </w:pPr>
    </w:p>
    <w:p w:rsidR="00EC6205" w:rsidRPr="00EC6205" w:rsidRDefault="00EC6205" w:rsidP="008575AE">
      <w:pPr>
        <w:snapToGrid w:val="0"/>
        <w:ind w:left="425" w:hanging="425"/>
        <w:jc w:val="both"/>
      </w:pPr>
    </w:p>
    <w:p w:rsidR="00837570" w:rsidRPr="00EC6205" w:rsidRDefault="00EC6205" w:rsidP="000E78AF">
      <w:pPr>
        <w:snapToGrid w:val="0"/>
        <w:ind w:firstLineChars="262" w:firstLine="524"/>
        <w:jc w:val="both"/>
      </w:pPr>
      <w:r>
        <w:cr/>
        <w:t xml:space="preserve"> </w:t>
      </w:r>
      <w:r>
        <w:cr/>
      </w:r>
      <w:r w:rsidRPr="00EC6205">
        <w:t>8/2</w:t>
      </w:r>
      <w:r w:rsidR="00670FFF">
        <w:rPr>
          <w:rFonts w:hint="eastAsia"/>
          <w:lang w:eastAsia="zh-CN"/>
        </w:rPr>
        <w:t>5</w:t>
      </w:r>
      <w:r w:rsidRPr="00EC6205">
        <w:t>/2018</w:t>
      </w:r>
    </w:p>
    <w:sectPr w:rsidR="00837570" w:rsidRPr="00EC6205" w:rsidSect="00EC6205">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D1" w:rsidRDefault="00D347D1" w:rsidP="007F1F2E">
      <w:r>
        <w:separator/>
      </w:r>
    </w:p>
  </w:endnote>
  <w:endnote w:type="continuationSeparator" w:id="0">
    <w:p w:rsidR="00D347D1" w:rsidRDefault="00D347D1" w:rsidP="007F1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AE" w:rsidRPr="00F561BC" w:rsidRDefault="003B7381" w:rsidP="00F561BC">
    <w:pPr>
      <w:jc w:val="center"/>
    </w:pPr>
    <w:fldSimple w:instr=" page ">
      <w:r w:rsidR="00D32E6B">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D1" w:rsidRDefault="00D347D1" w:rsidP="007F1F2E">
      <w:r>
        <w:separator/>
      </w:r>
    </w:p>
  </w:footnote>
  <w:footnote w:type="continuationSeparator" w:id="0">
    <w:p w:rsidR="00D347D1" w:rsidRDefault="00D347D1" w:rsidP="007F1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BC" w:rsidRPr="00F561BC" w:rsidRDefault="00F561BC" w:rsidP="00F561BC">
    <w:pPr>
      <w:pBdr>
        <w:bottom w:val="thinThickMediumGap" w:sz="12" w:space="1" w:color="auto"/>
      </w:pBdr>
      <w:tabs>
        <w:tab w:val="left" w:pos="851"/>
        <w:tab w:val="right" w:pos="8364"/>
      </w:tabs>
      <w:adjustRightInd w:val="0"/>
      <w:snapToGrid w:val="0"/>
      <w:jc w:val="both"/>
      <w:rPr>
        <w:iCs/>
      </w:rPr>
    </w:pPr>
    <w:r w:rsidRPr="00F561BC">
      <w:rPr>
        <w:rFonts w:hint="eastAsia"/>
      </w:rPr>
      <w:tab/>
    </w:r>
    <w:r w:rsidRPr="00F561BC">
      <w:t>New York Science Journal 201</w:t>
    </w:r>
    <w:r w:rsidRPr="00F561BC">
      <w:rPr>
        <w:rFonts w:hint="eastAsia"/>
      </w:rPr>
      <w:t>8</w:t>
    </w:r>
    <w:r w:rsidRPr="00F561BC">
      <w:t>;</w:t>
    </w:r>
    <w:r w:rsidRPr="00F561BC">
      <w:rPr>
        <w:rFonts w:hint="eastAsia"/>
      </w:rPr>
      <w:t>11</w:t>
    </w:r>
    <w:r w:rsidRPr="00F561BC">
      <w:t>(</w:t>
    </w:r>
    <w:r w:rsidRPr="00F561BC">
      <w:rPr>
        <w:rFonts w:hint="eastAsia"/>
      </w:rPr>
      <w:t>8</w:t>
    </w:r>
    <w:r w:rsidRPr="00F561BC">
      <w:t>)</w:t>
    </w:r>
    <w:r w:rsidRPr="00F561BC">
      <w:rPr>
        <w:iCs/>
      </w:rPr>
      <w:t xml:space="preserve">     </w:t>
    </w:r>
    <w:r w:rsidRPr="00F561BC">
      <w:rPr>
        <w:rFonts w:hint="eastAsia"/>
        <w:iCs/>
      </w:rPr>
      <w:tab/>
    </w:r>
    <w:r w:rsidRPr="00F561BC">
      <w:rPr>
        <w:iCs/>
      </w:rPr>
      <w:t xml:space="preserve"> </w:t>
    </w:r>
    <w:r w:rsidRPr="00F561BC">
      <w:rPr>
        <w:rFonts w:hint="eastAsia"/>
        <w:iCs/>
      </w:rPr>
      <w:t xml:space="preserve"> </w:t>
    </w:r>
    <w:r w:rsidRPr="00F561BC">
      <w:rPr>
        <w:iCs/>
      </w:rPr>
      <w:t xml:space="preserve">   </w:t>
    </w:r>
    <w:hyperlink r:id="rId1" w:history="1">
      <w:r w:rsidRPr="00F561BC">
        <w:rPr>
          <w:rStyle w:val="Hyperlink"/>
        </w:rPr>
        <w:t>http://www.sciencepub.net/newyork</w:t>
      </w:r>
    </w:hyperlink>
  </w:p>
  <w:p w:rsidR="00F561BC" w:rsidRPr="00F561BC" w:rsidRDefault="00F561BC" w:rsidP="00F561BC">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42A2"/>
    <w:multiLevelType w:val="hybridMultilevel"/>
    <w:tmpl w:val="15ACCB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C2D0436"/>
    <w:multiLevelType w:val="multilevel"/>
    <w:tmpl w:val="6180CE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45F63246"/>
    <w:multiLevelType w:val="hybridMultilevel"/>
    <w:tmpl w:val="740205F4"/>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doNotTrackMoves/>
  <w:documentProtection w:edit="readOnly" w:enforcement="0"/>
  <w:defaultTabStop w:val="720"/>
  <w:drawingGridHorizontalSpacing w:val="10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8C7"/>
    <w:rsid w:val="00033CB7"/>
    <w:rsid w:val="000443B5"/>
    <w:rsid w:val="0009025D"/>
    <w:rsid w:val="000A6199"/>
    <w:rsid w:val="000E78AF"/>
    <w:rsid w:val="00126180"/>
    <w:rsid w:val="001831AB"/>
    <w:rsid w:val="001D0AB6"/>
    <w:rsid w:val="001D4AE6"/>
    <w:rsid w:val="002579DE"/>
    <w:rsid w:val="002F68C7"/>
    <w:rsid w:val="003B7381"/>
    <w:rsid w:val="004326BC"/>
    <w:rsid w:val="00536A00"/>
    <w:rsid w:val="005B4A17"/>
    <w:rsid w:val="00626CF7"/>
    <w:rsid w:val="00670FFF"/>
    <w:rsid w:val="006B4DB2"/>
    <w:rsid w:val="006B6A10"/>
    <w:rsid w:val="007F1F2E"/>
    <w:rsid w:val="00837570"/>
    <w:rsid w:val="008575AE"/>
    <w:rsid w:val="009E1D01"/>
    <w:rsid w:val="00B219B8"/>
    <w:rsid w:val="00B27680"/>
    <w:rsid w:val="00BD4E5D"/>
    <w:rsid w:val="00BD63EE"/>
    <w:rsid w:val="00C0086E"/>
    <w:rsid w:val="00CE0D30"/>
    <w:rsid w:val="00D32E6B"/>
    <w:rsid w:val="00D347D1"/>
    <w:rsid w:val="00DB2007"/>
    <w:rsid w:val="00DF4C29"/>
    <w:rsid w:val="00EC6205"/>
    <w:rsid w:val="00F561BC"/>
    <w:rsid w:val="00FF78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eastAsia="Times New Roman" w:hAnsi="Cambria"/>
      <w:b/>
      <w:bCs/>
      <w:sz w:val="26"/>
      <w:szCs w:val="26"/>
      <w:lang/>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eastAsia="Times New Roman" w:hAnsi="Calibri"/>
      <w:b/>
      <w:bCs/>
      <w:sz w:val="28"/>
      <w:szCs w:val="28"/>
      <w:lang/>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eastAsia="Times New Roman" w:hAnsi="Calibri"/>
      <w:b/>
      <w:bCs/>
      <w:i/>
      <w:iCs/>
      <w:sz w:val="26"/>
      <w:szCs w:val="26"/>
      <w:lang/>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lang/>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eastAsia="Times New Roman" w:hAnsi="Calibri"/>
      <w:sz w:val="24"/>
      <w:szCs w:val="24"/>
      <w:lang/>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eastAsia="Times New Roman" w:hAnsi="Calibri"/>
      <w:i/>
      <w:iCs/>
      <w:sz w:val="24"/>
      <w:szCs w:val="24"/>
      <w:lang/>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eastAsia="Times New Roman"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Arial"/>
      <w:b/>
      <w:bCs/>
      <w:sz w:val="28"/>
      <w:szCs w:val="28"/>
    </w:rPr>
  </w:style>
  <w:style w:type="character" w:customStyle="1" w:styleId="Heading5Char">
    <w:name w:val="Heading 5 Char"/>
    <w:link w:val="Heading5"/>
    <w:uiPriority w:val="9"/>
    <w:semiHidden/>
    <w:rsid w:val="001B3490"/>
    <w:rPr>
      <w:rFonts w:ascii="Calibri" w:eastAsia="Times New Roman" w:hAnsi="Calibri" w:cs="Arial"/>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Arial"/>
      <w:sz w:val="24"/>
      <w:szCs w:val="24"/>
    </w:rPr>
  </w:style>
  <w:style w:type="character" w:customStyle="1" w:styleId="Heading8Char">
    <w:name w:val="Heading 8 Char"/>
    <w:link w:val="Heading8"/>
    <w:uiPriority w:val="9"/>
    <w:semiHidden/>
    <w:rsid w:val="001B3490"/>
    <w:rPr>
      <w:rFonts w:ascii="Calibri" w:eastAsia="Times New Roman" w:hAnsi="Calibri" w:cs="Arial"/>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ListParagraph">
    <w:name w:val="List Paragraph"/>
    <w:basedOn w:val="Normal"/>
    <w:uiPriority w:val="34"/>
    <w:qFormat/>
    <w:rsid w:val="009E1D01"/>
    <w:pPr>
      <w:ind w:left="720"/>
      <w:contextualSpacing/>
    </w:pPr>
  </w:style>
  <w:style w:type="paragraph" w:styleId="Header">
    <w:name w:val="header"/>
    <w:basedOn w:val="Normal"/>
    <w:link w:val="HeaderChar"/>
    <w:uiPriority w:val="99"/>
    <w:unhideWhenUsed/>
    <w:rsid w:val="007F1F2E"/>
    <w:pPr>
      <w:tabs>
        <w:tab w:val="center" w:pos="4680"/>
        <w:tab w:val="right" w:pos="9360"/>
      </w:tabs>
    </w:pPr>
  </w:style>
  <w:style w:type="character" w:customStyle="1" w:styleId="HeaderChar">
    <w:name w:val="Header Char"/>
    <w:basedOn w:val="DefaultParagraphFont"/>
    <w:link w:val="Header"/>
    <w:uiPriority w:val="99"/>
    <w:rsid w:val="007F1F2E"/>
  </w:style>
  <w:style w:type="paragraph" w:styleId="Footer">
    <w:name w:val="footer"/>
    <w:basedOn w:val="Normal"/>
    <w:link w:val="FooterChar"/>
    <w:uiPriority w:val="99"/>
    <w:unhideWhenUsed/>
    <w:rsid w:val="007F1F2E"/>
    <w:pPr>
      <w:tabs>
        <w:tab w:val="center" w:pos="4680"/>
        <w:tab w:val="right" w:pos="9360"/>
      </w:tabs>
    </w:pPr>
  </w:style>
  <w:style w:type="character" w:customStyle="1" w:styleId="FooterChar">
    <w:name w:val="Footer Char"/>
    <w:basedOn w:val="DefaultParagraphFont"/>
    <w:link w:val="Footer"/>
    <w:uiPriority w:val="99"/>
    <w:rsid w:val="007F1F2E"/>
  </w:style>
  <w:style w:type="character" w:styleId="Hyperlink">
    <w:name w:val="Hyperlink"/>
    <w:uiPriority w:val="99"/>
    <w:unhideWhenUsed/>
    <w:rsid w:val="007F1F2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818.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Y%20BOY\Documents\Custom%20Office%20Templates\Ny%20template%20dr%20Asmaa%20Abdelal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 template dr Asmaa Abdelall.dot</Template>
  <TotalTime>1</TotalTime>
  <Pages>4</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14964</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BOY</dc:creator>
  <cp:lastModifiedBy>Administrator</cp:lastModifiedBy>
  <cp:revision>4</cp:revision>
  <dcterms:created xsi:type="dcterms:W3CDTF">2018-09-02T10:23:00Z</dcterms:created>
  <dcterms:modified xsi:type="dcterms:W3CDTF">2018-09-02T11:38:00Z</dcterms:modified>
</cp:coreProperties>
</file>