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4E" w:rsidRPr="00C40F99" w:rsidRDefault="002065DF" w:rsidP="002A1C69">
      <w:pPr>
        <w:snapToGrid w:val="0"/>
        <w:spacing w:after="0" w:line="240" w:lineRule="auto"/>
        <w:jc w:val="center"/>
        <w:outlineLvl w:val="0"/>
        <w:rPr>
          <w:rFonts w:eastAsiaTheme="majorEastAsia" w:cs="Times New Roman"/>
          <w:b/>
          <w:bCs/>
          <w:sz w:val="20"/>
          <w:szCs w:val="20"/>
        </w:rPr>
      </w:pPr>
      <w:r w:rsidRPr="00C40F99">
        <w:rPr>
          <w:rFonts w:eastAsiaTheme="majorEastAsia" w:cs="Times New Roman"/>
          <w:b/>
          <w:bCs/>
          <w:sz w:val="20"/>
          <w:szCs w:val="20"/>
        </w:rPr>
        <w:t>Anterior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="00CF5E81" w:rsidRPr="00C40F99">
        <w:rPr>
          <w:rFonts w:eastAsiaTheme="majorEastAsia" w:cs="Times New Roman"/>
          <w:b/>
          <w:bCs/>
          <w:sz w:val="20"/>
          <w:szCs w:val="20"/>
        </w:rPr>
        <w:t>Segment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="00CF5E81" w:rsidRPr="00C40F99">
        <w:rPr>
          <w:rFonts w:eastAsiaTheme="majorEastAsia" w:cs="Times New Roman"/>
          <w:b/>
          <w:bCs/>
          <w:sz w:val="20"/>
          <w:szCs w:val="20"/>
        </w:rPr>
        <w:t>Biometry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="00CF5E81" w:rsidRPr="00C40F99">
        <w:rPr>
          <w:rFonts w:eastAsiaTheme="majorEastAsia" w:cs="Times New Roman"/>
          <w:b/>
          <w:bCs/>
          <w:sz w:val="20"/>
          <w:szCs w:val="20"/>
        </w:rPr>
        <w:t>Using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="00CF5E81" w:rsidRPr="00C40F99">
        <w:rPr>
          <w:rFonts w:eastAsiaTheme="majorEastAsia" w:cs="Times New Roman"/>
          <w:b/>
          <w:bCs/>
          <w:sz w:val="20"/>
          <w:szCs w:val="20"/>
        </w:rPr>
        <w:t>Spectral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="00CF5E81" w:rsidRPr="00C40F99">
        <w:rPr>
          <w:rFonts w:eastAsiaTheme="majorEastAsia" w:cs="Times New Roman"/>
          <w:b/>
          <w:bCs/>
          <w:sz w:val="20"/>
          <w:szCs w:val="20"/>
        </w:rPr>
        <w:t>Domain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="00CF5E81" w:rsidRPr="00C40F99">
        <w:rPr>
          <w:rFonts w:eastAsiaTheme="majorEastAsia" w:cs="Times New Roman"/>
          <w:b/>
          <w:bCs/>
          <w:sz w:val="20"/>
          <w:szCs w:val="20"/>
        </w:rPr>
        <w:t>Optical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="00CF5E81" w:rsidRPr="00C40F99">
        <w:rPr>
          <w:rFonts w:eastAsiaTheme="majorEastAsia" w:cs="Times New Roman"/>
          <w:b/>
          <w:bCs/>
          <w:sz w:val="20"/>
          <w:szCs w:val="20"/>
        </w:rPr>
        <w:t>Coherence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="00CF5E81" w:rsidRPr="00C40F99">
        <w:rPr>
          <w:rFonts w:eastAsiaTheme="majorEastAsia" w:cs="Times New Roman"/>
          <w:b/>
          <w:bCs/>
          <w:sz w:val="20"/>
          <w:szCs w:val="20"/>
        </w:rPr>
        <w:t>Tomography</w:t>
      </w:r>
    </w:p>
    <w:p w:rsidR="00C27A4E" w:rsidRPr="00C40F99" w:rsidRDefault="00C27A4E" w:rsidP="002A1C69">
      <w:pPr>
        <w:snapToGrid w:val="0"/>
        <w:spacing w:after="0" w:line="240" w:lineRule="auto"/>
        <w:jc w:val="center"/>
        <w:outlineLvl w:val="0"/>
        <w:rPr>
          <w:rFonts w:eastAsiaTheme="majorEastAsia" w:cs="Times New Roman"/>
          <w:b/>
          <w:bCs/>
          <w:sz w:val="20"/>
          <w:szCs w:val="20"/>
        </w:rPr>
      </w:pPr>
    </w:p>
    <w:p w:rsidR="00C27A4E" w:rsidRPr="00C40F99" w:rsidRDefault="00E107C7" w:rsidP="002A1C69">
      <w:pPr>
        <w:snapToGrid w:val="0"/>
        <w:spacing w:after="0" w:line="240" w:lineRule="auto"/>
        <w:jc w:val="center"/>
        <w:rPr>
          <w:rFonts w:cs="Times New Roman"/>
          <w:sz w:val="20"/>
          <w:szCs w:val="20"/>
          <w:lang w:eastAsia="zh-CN"/>
        </w:rPr>
      </w:pPr>
      <w:r w:rsidRPr="00C40F99">
        <w:rPr>
          <w:rFonts w:cs="Times New Roman"/>
          <w:sz w:val="20"/>
          <w:szCs w:val="20"/>
        </w:rPr>
        <w:t>Prof.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</w:t>
      </w:r>
      <w:r w:rsidR="00C14323" w:rsidRPr="00C40F99">
        <w:rPr>
          <w:rFonts w:cs="Times New Roman"/>
          <w:sz w:val="20"/>
          <w:szCs w:val="20"/>
        </w:rPr>
        <w:t>r</w:t>
      </w:r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Moustafa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Kamal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Nassar</w:t>
      </w:r>
      <w:proofErr w:type="spellEnd"/>
      <w:r w:rsidRPr="00C40F99">
        <w:rPr>
          <w:rFonts w:cs="Times New Roman"/>
          <w:sz w:val="20"/>
          <w:szCs w:val="20"/>
        </w:rPr>
        <w:t>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Dr.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Moataz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Fayez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Elsawy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2065DF" w:rsidRPr="00C40F99">
        <w:rPr>
          <w:rFonts w:cs="Times New Roman"/>
          <w:sz w:val="20"/>
          <w:szCs w:val="20"/>
        </w:rPr>
        <w:t>Amira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="002065DF" w:rsidRPr="00C40F99">
        <w:rPr>
          <w:rFonts w:cs="Times New Roman"/>
          <w:sz w:val="20"/>
          <w:szCs w:val="20"/>
        </w:rPr>
        <w:t>Ebrahiem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="002065DF" w:rsidRPr="00C40F99">
        <w:rPr>
          <w:rFonts w:cs="Times New Roman"/>
          <w:sz w:val="20"/>
          <w:szCs w:val="20"/>
        </w:rPr>
        <w:t>Zaki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="002065DF" w:rsidRPr="00C40F99">
        <w:rPr>
          <w:rFonts w:cs="Times New Roman"/>
          <w:sz w:val="20"/>
          <w:szCs w:val="20"/>
        </w:rPr>
        <w:t>El-Hayes</w:t>
      </w:r>
    </w:p>
    <w:p w:rsidR="00C27A4E" w:rsidRPr="00C40F99" w:rsidRDefault="00C27A4E" w:rsidP="002A1C69">
      <w:pPr>
        <w:snapToGrid w:val="0"/>
        <w:spacing w:after="0" w:line="240" w:lineRule="auto"/>
        <w:jc w:val="center"/>
        <w:rPr>
          <w:rFonts w:cs="Times New Roman"/>
          <w:sz w:val="20"/>
          <w:szCs w:val="20"/>
          <w:lang w:eastAsia="zh-CN"/>
        </w:rPr>
      </w:pPr>
    </w:p>
    <w:p w:rsidR="00E107C7" w:rsidRPr="00C40F99" w:rsidRDefault="00E107C7" w:rsidP="002A1C6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  <w:lang w:val="en-US" w:bidi="ar-EG"/>
        </w:rPr>
        <w:t>Ophthalmology,</w:t>
      </w:r>
      <w:r w:rsidR="00C27A4E" w:rsidRPr="00C40F99">
        <w:rPr>
          <w:rFonts w:eastAsia="Times New Roman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Times New Roman" w:cs="Times New Roman"/>
          <w:sz w:val="20"/>
          <w:szCs w:val="20"/>
          <w:lang w:bidi="ar-EG"/>
        </w:rPr>
        <w:t>Faculty</w:t>
      </w:r>
      <w:r w:rsidR="00C27A4E" w:rsidRPr="00C40F99">
        <w:rPr>
          <w:rFonts w:eastAsia="Times New Roman" w:cs="Times New Roman"/>
          <w:sz w:val="20"/>
          <w:szCs w:val="20"/>
          <w:lang w:bidi="ar-EG"/>
        </w:rPr>
        <w:t xml:space="preserve"> </w:t>
      </w:r>
      <w:r w:rsidRPr="00C40F99">
        <w:rPr>
          <w:rFonts w:eastAsia="Times New Roman" w:cs="Times New Roman"/>
          <w:sz w:val="20"/>
          <w:szCs w:val="20"/>
          <w:lang w:bidi="ar-EG"/>
        </w:rPr>
        <w:t>of</w:t>
      </w:r>
      <w:r w:rsidR="00C27A4E" w:rsidRPr="00C40F99">
        <w:rPr>
          <w:rFonts w:eastAsia="Times New Roman" w:cs="Times New Roman"/>
          <w:sz w:val="20"/>
          <w:szCs w:val="20"/>
          <w:lang w:bidi="ar-EG"/>
        </w:rPr>
        <w:t xml:space="preserve"> </w:t>
      </w:r>
      <w:r w:rsidRPr="00C40F99">
        <w:rPr>
          <w:rFonts w:eastAsia="Times New Roman" w:cs="Times New Roman"/>
          <w:sz w:val="20"/>
          <w:szCs w:val="20"/>
          <w:lang w:bidi="ar-EG"/>
        </w:rPr>
        <w:t>Medicine,</w:t>
      </w:r>
      <w:r w:rsidR="00C27A4E" w:rsidRPr="00C40F99">
        <w:rPr>
          <w:rFonts w:eastAsia="Times New Roman" w:cs="Times New Roman"/>
          <w:sz w:val="20"/>
          <w:szCs w:val="20"/>
          <w:lang w:bidi="ar-EG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 w:bidi="ar-EG"/>
        </w:rPr>
        <w:t>Menoufia</w:t>
      </w:r>
      <w:proofErr w:type="spellEnd"/>
      <w:r w:rsidR="00C27A4E" w:rsidRPr="00C40F99">
        <w:rPr>
          <w:rFonts w:eastAsia="Times New Roman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 w:bidi="ar-EG"/>
        </w:rPr>
        <w:t>University,</w:t>
      </w:r>
      <w:r w:rsidR="00C27A4E" w:rsidRPr="00C40F99">
        <w:rPr>
          <w:rFonts w:eastAsia="Times New Roman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 w:bidi="ar-EG"/>
        </w:rPr>
        <w:t>Egypt</w:t>
      </w:r>
    </w:p>
    <w:p w:rsidR="00C27A4E" w:rsidRPr="00C40F99" w:rsidRDefault="008E7690" w:rsidP="002A1C69">
      <w:pPr>
        <w:snapToGrid w:val="0"/>
        <w:spacing w:after="0" w:line="240" w:lineRule="auto"/>
        <w:jc w:val="center"/>
        <w:rPr>
          <w:rFonts w:eastAsiaTheme="majorEastAsia" w:cs="Times New Roman"/>
          <w:color w:val="365F91" w:themeColor="accent1" w:themeShade="BF"/>
          <w:sz w:val="20"/>
          <w:szCs w:val="20"/>
          <w:u w:val="single"/>
        </w:rPr>
      </w:pPr>
      <w:hyperlink r:id="rId7" w:history="1">
        <w:r w:rsidR="0072506D" w:rsidRPr="00C40F99">
          <w:rPr>
            <w:rStyle w:val="Hyperlink"/>
            <w:rFonts w:eastAsiaTheme="majorEastAsia" w:cs="Times New Roman"/>
            <w:sz w:val="20"/>
            <w:szCs w:val="20"/>
          </w:rPr>
          <w:t>ahmedabdelbaeth@yahoo.com</w:t>
        </w:r>
      </w:hyperlink>
    </w:p>
    <w:p w:rsidR="00C27A4E" w:rsidRPr="00C40F99" w:rsidRDefault="00C27A4E" w:rsidP="002A1C69">
      <w:pPr>
        <w:snapToGrid w:val="0"/>
        <w:spacing w:after="0" w:line="240" w:lineRule="auto"/>
        <w:jc w:val="center"/>
        <w:rPr>
          <w:rFonts w:eastAsiaTheme="majorEastAsia" w:cs="Times New Roman"/>
          <w:color w:val="365F91" w:themeColor="accent1" w:themeShade="BF"/>
          <w:sz w:val="20"/>
          <w:szCs w:val="20"/>
          <w:u w:val="single"/>
        </w:rPr>
      </w:pPr>
    </w:p>
    <w:p w:rsidR="00CC3EA3" w:rsidRPr="00C40F99" w:rsidRDefault="00CC3EA3" w:rsidP="002A1C69">
      <w:pPr>
        <w:snapToGrid w:val="0"/>
        <w:spacing w:after="0" w:line="240" w:lineRule="auto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</w:rPr>
        <w:t>Abstract: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Background: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prevalence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non-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invasive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methods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have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ability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situ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visualization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tissue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became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particular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importance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ophthalmology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because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key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information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provided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regarding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physiology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diseases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related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eye</w:t>
      </w:r>
      <w:r w:rsidR="001D0A33" w:rsidRPr="00C40F99">
        <w:rPr>
          <w:rFonts w:cs="Times New Roman"/>
          <w:sz w:val="20"/>
          <w:szCs w:val="20"/>
        </w:rPr>
        <w:t>. T</w:t>
      </w:r>
      <w:r w:rsidR="00E107C7" w:rsidRPr="00C40F99">
        <w:rPr>
          <w:rFonts w:cs="Times New Roman"/>
          <w:sz w:val="20"/>
          <w:szCs w:val="20"/>
        </w:rPr>
        <w:t>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structures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segment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can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analyzed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using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many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ultrasonic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methods.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among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methods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which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became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used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increasingly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due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ability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providing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non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-contact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scans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segment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eye.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makes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examination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comfortable,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safe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fast.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addition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making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high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transverse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axial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spatial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resolution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order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not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much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dozen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E107C7" w:rsidRPr="00C40F99">
        <w:rPr>
          <w:rFonts w:cs="Times New Roman"/>
          <w:sz w:val="20"/>
          <w:szCs w:val="20"/>
        </w:rPr>
        <w:t>micrometers</w:t>
      </w:r>
      <w:r w:rsidR="00C27A4E" w:rsidRPr="00C40F99">
        <w:rPr>
          <w:rFonts w:cs="Times New Roman"/>
          <w:sz w:val="20"/>
          <w:szCs w:val="20"/>
        </w:rPr>
        <w:t>. [</w:t>
      </w:r>
      <w:r w:rsidR="00E107C7" w:rsidRPr="00C40F99">
        <w:rPr>
          <w:rFonts w:cs="Times New Roman"/>
          <w:sz w:val="20"/>
          <w:szCs w:val="20"/>
        </w:rPr>
        <w:t>1-3]</w:t>
      </w:r>
      <w:r w:rsidR="00C27A4E" w:rsidRPr="00C40F99">
        <w:rPr>
          <w:rFonts w:cs="Times New Roman" w:hint="eastAsia"/>
          <w:sz w:val="20"/>
          <w:szCs w:val="20"/>
          <w:lang w:eastAsia="zh-CN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This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includes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option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determine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central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thickness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also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epithelial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thickness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addition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anterior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radius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107C7" w:rsidRPr="00C40F99">
        <w:rPr>
          <w:rFonts w:cs="Times New Roman"/>
          <w:bCs/>
          <w:sz w:val="20"/>
          <w:szCs w:val="20"/>
        </w:rPr>
        <w:t>curvature.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/>
          <w:bCs/>
          <w:sz w:val="20"/>
          <w:szCs w:val="20"/>
        </w:rPr>
        <w:t>Patients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/>
          <w:bCs/>
          <w:sz w:val="20"/>
          <w:szCs w:val="20"/>
        </w:rPr>
        <w:t>and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/>
          <w:bCs/>
          <w:sz w:val="20"/>
          <w:szCs w:val="20"/>
        </w:rPr>
        <w:t>methods: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study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was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designed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cross-sectional,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observational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study,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participants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were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chosen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by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simple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random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cs="Times New Roman"/>
          <w:bCs/>
          <w:sz w:val="20"/>
          <w:szCs w:val="20"/>
        </w:rPr>
        <w:t>sampling.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study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carried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out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in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accordance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with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ethical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standards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stated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in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declaration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Helsinki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approved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by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Ethical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Committee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="00F62A3B" w:rsidRPr="00C40F99">
        <w:rPr>
          <w:rFonts w:eastAsia="Times New Roman" w:cs="Times New Roman"/>
          <w:sz w:val="20"/>
          <w:szCs w:val="20"/>
          <w:lang w:val="en-US"/>
        </w:rPr>
        <w:t>Menoufia</w:t>
      </w:r>
      <w:proofErr w:type="spellEnd"/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Medical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School.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study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protocol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explained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to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patients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all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patients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provided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written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informed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F62A3B" w:rsidRPr="00C40F99">
        <w:rPr>
          <w:rFonts w:eastAsia="Times New Roman" w:cs="Times New Roman"/>
          <w:sz w:val="20"/>
          <w:szCs w:val="20"/>
          <w:lang w:val="en-US"/>
        </w:rPr>
        <w:t>consent.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</w:rPr>
        <w:t>Results: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This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study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included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100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eyes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100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individual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with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mean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age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40.82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11.30</w:t>
      </w:r>
      <w:r w:rsidR="00C27A4E" w:rsidRPr="00C40F99">
        <w:rPr>
          <w:rFonts w:cs="Times New Roman" w:hint="eastAsia"/>
          <w:sz w:val="20"/>
          <w:szCs w:val="20"/>
          <w:lang w:eastAsia="zh-CN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years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(range,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20-60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years),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patients ̓̓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gender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52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(52.0</w:t>
      </w:r>
      <w:r w:rsidRPr="00C40F99">
        <w:rPr>
          <w:rFonts w:eastAsia="Times New Roman" w:cs="Times New Roman"/>
          <w:sz w:val="20"/>
          <w:szCs w:val="20"/>
          <w:lang w:val="en-US"/>
        </w:rPr>
        <w:t>%)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male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48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(48.0%)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female.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</w:rPr>
        <w:t>Discussion</w:t>
      </w:r>
      <w:r w:rsidRPr="00C40F99">
        <w:rPr>
          <w:rFonts w:eastAsia="Times New Roman" w:cs="Times New Roman"/>
          <w:sz w:val="20"/>
          <w:szCs w:val="20"/>
          <w:lang w:val="en-US"/>
        </w:rPr>
        <w:t>: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anterior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segment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spectral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domain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OCT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designed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analyze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anterior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se</w:t>
      </w:r>
      <w:r w:rsidR="009165A5" w:rsidRPr="00C40F99">
        <w:rPr>
          <w:rFonts w:cs="Times New Roman"/>
          <w:sz w:val="20"/>
          <w:szCs w:val="20"/>
          <w:lang w:val="en-US"/>
        </w:rPr>
        <w:t>gment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9165A5"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9165A5"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9165A5" w:rsidRPr="00C40F99">
        <w:rPr>
          <w:rFonts w:cs="Times New Roman"/>
          <w:sz w:val="20"/>
          <w:szCs w:val="20"/>
          <w:lang w:val="en-US"/>
        </w:rPr>
        <w:t>eye.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high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scan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rate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makes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="00724429" w:rsidRPr="00C40F99">
        <w:rPr>
          <w:rFonts w:cs="Times New Roman"/>
          <w:sz w:val="20"/>
          <w:szCs w:val="20"/>
          <w:lang w:val="en-US"/>
        </w:rPr>
        <w:t>it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possible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capture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large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number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two-dimensional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tomographic</w:t>
      </w:r>
      <w:proofErr w:type="spellEnd"/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images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within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="00724429"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limited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="00724429" w:rsidRPr="00C40F99">
        <w:rPr>
          <w:rFonts w:cs="Times New Roman"/>
          <w:sz w:val="20"/>
          <w:szCs w:val="20"/>
          <w:lang w:val="en-US"/>
        </w:rPr>
        <w:t>time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then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generate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three­dimensional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representation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72506D" w:rsidRPr="00C40F99">
        <w:rPr>
          <w:rFonts w:cs="Times New Roman"/>
          <w:sz w:val="20"/>
          <w:szCs w:val="20"/>
          <w:lang w:val="en-US"/>
        </w:rPr>
        <w:t>v</w:t>
      </w:r>
      <w:r w:rsidRPr="00C40F99">
        <w:rPr>
          <w:rFonts w:cs="Times New Roman"/>
          <w:sz w:val="20"/>
          <w:szCs w:val="20"/>
          <w:lang w:val="en-US"/>
        </w:rPr>
        <w:t>the</w:t>
      </w:r>
      <w:proofErr w:type="spellEnd"/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anterior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segment.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high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scan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rate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should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also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decrease</w:t>
      </w:r>
      <w:r w:rsidR="00C27A4E" w:rsidRPr="00C40F99">
        <w:rPr>
          <w:rFonts w:cs="Times New Roman" w:hint="eastAsia"/>
          <w:sz w:val="20"/>
          <w:szCs w:val="20"/>
          <w:lang w:val="en-US" w:eastAsia="zh-CN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motion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artifacts.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Conclusion</w:t>
      </w:r>
      <w:r w:rsidR="00CF5E81" w:rsidRPr="00C40F99">
        <w:rPr>
          <w:rFonts w:cs="Times New Roman"/>
          <w:sz w:val="20"/>
          <w:szCs w:val="20"/>
          <w:lang w:val="en-US"/>
        </w:rPr>
        <w:t>: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highlights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value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segment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SD-OCT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assessment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segment.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evaluated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readings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determined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SD-OCT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healthy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explicitly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focused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healthy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approach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worthwhile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defining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norm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values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specific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technology.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Analysis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confirmed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pressure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error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factors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examined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parameters.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also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assisted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gender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biometry.</w:t>
      </w:r>
    </w:p>
    <w:p w:rsidR="002A1C69" w:rsidRPr="00C40F99" w:rsidRDefault="00CF5E81" w:rsidP="002A1C69">
      <w:pPr>
        <w:tabs>
          <w:tab w:val="righ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sz w:val="20"/>
          <w:szCs w:val="20"/>
          <w:lang w:eastAsia="zh-CN"/>
        </w:rPr>
      </w:pPr>
      <w:r w:rsidRPr="00C40F99">
        <w:rPr>
          <w:rFonts w:eastAsia="Times New Roman" w:cs="Times New Roman"/>
          <w:sz w:val="20"/>
          <w:szCs w:val="20"/>
        </w:rPr>
        <w:t>[</w:t>
      </w:r>
      <w:proofErr w:type="spellStart"/>
      <w:r w:rsidRPr="00C40F99">
        <w:rPr>
          <w:rFonts w:cs="Times New Roman"/>
          <w:sz w:val="20"/>
          <w:szCs w:val="20"/>
        </w:rPr>
        <w:t>Moustafa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Kamal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Nassar</w:t>
      </w:r>
      <w:proofErr w:type="spellEnd"/>
      <w:r w:rsidRPr="00C40F99">
        <w:rPr>
          <w:rFonts w:cs="Times New Roman"/>
          <w:sz w:val="20"/>
          <w:szCs w:val="20"/>
        </w:rPr>
        <w:t>,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Moataz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Fayez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Elsawy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Amira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Ebrahiem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Zaki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El-Hayes</w:t>
      </w:r>
      <w:r w:rsidR="0072506D"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Anterior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Segment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Biometry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Using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Spectral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Domain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Optical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Coherence</w:t>
      </w:r>
      <w:r w:rsidR="00C27A4E" w:rsidRPr="00C40F99">
        <w:rPr>
          <w:rFonts w:eastAsiaTheme="majorEastAsia" w:cs="Times New Roman"/>
          <w:b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/>
          <w:bCs/>
          <w:sz w:val="20"/>
          <w:szCs w:val="20"/>
        </w:rPr>
        <w:t>Tomography</w:t>
      </w:r>
      <w:r w:rsidR="002A1C69" w:rsidRPr="00C40F99">
        <w:rPr>
          <w:rFonts w:eastAsia="Times New Roman" w:cs="Times New Roman"/>
          <w:b/>
          <w:bCs/>
          <w:sz w:val="20"/>
          <w:szCs w:val="20"/>
          <w:lang w:bidi="fa-IR"/>
        </w:rPr>
        <w:t>.</w:t>
      </w:r>
      <w:r w:rsidR="002A1C69" w:rsidRPr="00C40F99">
        <w:rPr>
          <w:rFonts w:cs="Times New Roman"/>
          <w:bCs/>
          <w:i/>
          <w:sz w:val="20"/>
          <w:szCs w:val="20"/>
        </w:rPr>
        <w:t xml:space="preserve"> N Y </w:t>
      </w:r>
      <w:proofErr w:type="spellStart"/>
      <w:r w:rsidR="002A1C69" w:rsidRPr="00C40F99">
        <w:rPr>
          <w:rFonts w:cs="Times New Roman"/>
          <w:bCs/>
          <w:i/>
          <w:sz w:val="20"/>
          <w:szCs w:val="20"/>
        </w:rPr>
        <w:t>Sci</w:t>
      </w:r>
      <w:proofErr w:type="spellEnd"/>
      <w:r w:rsidR="002A1C69" w:rsidRPr="00C40F99">
        <w:rPr>
          <w:rFonts w:cs="Times New Roman"/>
          <w:bCs/>
          <w:i/>
          <w:sz w:val="20"/>
          <w:szCs w:val="20"/>
        </w:rPr>
        <w:t xml:space="preserve"> J</w:t>
      </w:r>
      <w:r w:rsidR="002A1C69" w:rsidRPr="00C40F99">
        <w:rPr>
          <w:rFonts w:cs="Times New Roman"/>
          <w:bCs/>
          <w:sz w:val="20"/>
          <w:szCs w:val="20"/>
        </w:rPr>
        <w:t xml:space="preserve"> </w:t>
      </w:r>
      <w:r w:rsidR="002A1C69" w:rsidRPr="00C40F99">
        <w:rPr>
          <w:rFonts w:cs="Times New Roman"/>
          <w:sz w:val="20"/>
          <w:szCs w:val="20"/>
        </w:rPr>
        <w:t>201</w:t>
      </w:r>
      <w:r w:rsidR="002A1C69" w:rsidRPr="00C40F99">
        <w:rPr>
          <w:rFonts w:cs="Times New Roman" w:hint="eastAsia"/>
          <w:sz w:val="20"/>
          <w:szCs w:val="20"/>
        </w:rPr>
        <w:t>8</w:t>
      </w:r>
      <w:r w:rsidR="002A1C69" w:rsidRPr="00C40F99">
        <w:rPr>
          <w:rFonts w:cs="Times New Roman"/>
          <w:sz w:val="20"/>
          <w:szCs w:val="20"/>
        </w:rPr>
        <w:t>;</w:t>
      </w:r>
      <w:r w:rsidR="002A1C69" w:rsidRPr="00C40F99">
        <w:rPr>
          <w:rFonts w:cs="Times New Roman" w:hint="eastAsia"/>
          <w:sz w:val="20"/>
          <w:szCs w:val="20"/>
        </w:rPr>
        <w:t>11</w:t>
      </w:r>
      <w:r w:rsidR="002A1C69" w:rsidRPr="00C40F99">
        <w:rPr>
          <w:rFonts w:cs="Times New Roman"/>
          <w:sz w:val="20"/>
          <w:szCs w:val="20"/>
        </w:rPr>
        <w:t>(</w:t>
      </w:r>
      <w:r w:rsidR="002A1C69" w:rsidRPr="00C40F99">
        <w:rPr>
          <w:rFonts w:cs="Times New Roman" w:hint="eastAsia"/>
          <w:sz w:val="20"/>
          <w:szCs w:val="20"/>
        </w:rPr>
        <w:t>10</w:t>
      </w:r>
      <w:r w:rsidR="002A1C69" w:rsidRPr="00C40F99">
        <w:rPr>
          <w:rFonts w:cs="Times New Roman"/>
          <w:sz w:val="20"/>
          <w:szCs w:val="20"/>
        </w:rPr>
        <w:t>):</w:t>
      </w:r>
      <w:r w:rsidR="00CB409A" w:rsidRPr="00C40F99">
        <w:rPr>
          <w:rFonts w:cs="Times New Roman"/>
          <w:noProof/>
          <w:color w:val="000000"/>
          <w:sz w:val="20"/>
          <w:szCs w:val="20"/>
        </w:rPr>
        <w:t>19-27</w:t>
      </w:r>
      <w:r w:rsidR="002A1C69" w:rsidRPr="00C40F99">
        <w:rPr>
          <w:rFonts w:cs="Times New Roman"/>
          <w:sz w:val="20"/>
          <w:szCs w:val="20"/>
        </w:rPr>
        <w:t xml:space="preserve">]. </w:t>
      </w:r>
      <w:r w:rsidR="002A1C69" w:rsidRPr="00C40F99">
        <w:rPr>
          <w:rFonts w:cs="Times New Roman"/>
          <w:iCs/>
          <w:color w:val="000000"/>
          <w:sz w:val="20"/>
          <w:szCs w:val="20"/>
        </w:rPr>
        <w:t>ISSN 1554-0200 (print); ISSN 2375-723X (online)</w:t>
      </w:r>
      <w:r w:rsidR="002A1C69" w:rsidRPr="00C40F99">
        <w:rPr>
          <w:rFonts w:cs="Times New Roman"/>
          <w:sz w:val="20"/>
          <w:szCs w:val="20"/>
        </w:rPr>
        <w:t xml:space="preserve">. </w:t>
      </w:r>
      <w:hyperlink r:id="rId8" w:history="1">
        <w:r w:rsidR="002A1C69" w:rsidRPr="00C40F99">
          <w:rPr>
            <w:rStyle w:val="Hyperlink"/>
            <w:rFonts w:cs="Times New Roman"/>
            <w:color w:val="0000FF"/>
            <w:sz w:val="20"/>
            <w:szCs w:val="20"/>
          </w:rPr>
          <w:t>http://www.sciencepub.net/newyork</w:t>
        </w:r>
      </w:hyperlink>
      <w:r w:rsidR="002A1C69" w:rsidRPr="00C40F99">
        <w:rPr>
          <w:rFonts w:cs="Times New Roman"/>
          <w:sz w:val="20"/>
          <w:szCs w:val="20"/>
        </w:rPr>
        <w:t xml:space="preserve">. </w:t>
      </w:r>
      <w:r w:rsidR="002A1C69" w:rsidRPr="00C40F99">
        <w:rPr>
          <w:rFonts w:cs="Times New Roman" w:hint="eastAsia"/>
          <w:sz w:val="20"/>
          <w:szCs w:val="20"/>
          <w:lang w:eastAsia="zh-CN"/>
        </w:rPr>
        <w:t>3</w:t>
      </w:r>
      <w:r w:rsidR="002A1C69" w:rsidRPr="00C40F99">
        <w:rPr>
          <w:rFonts w:cs="Times New Roman" w:hint="eastAsia"/>
          <w:sz w:val="20"/>
          <w:szCs w:val="20"/>
        </w:rPr>
        <w:t xml:space="preserve">. </w:t>
      </w:r>
      <w:r w:rsidR="002A1C69" w:rsidRPr="00C40F99">
        <w:rPr>
          <w:rFonts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2A1C69" w:rsidRPr="00C40F99">
          <w:rPr>
            <w:rStyle w:val="Hyperlink"/>
            <w:rFonts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="002A1C69" w:rsidRPr="00C40F99">
          <w:rPr>
            <w:rStyle w:val="Hyperlink"/>
            <w:rFonts w:cs="Times New Roman" w:hint="eastAsia"/>
            <w:color w:val="0000FF"/>
            <w:sz w:val="20"/>
            <w:szCs w:val="20"/>
            <w:shd w:val="clear" w:color="auto" w:fill="FFFFFF"/>
          </w:rPr>
          <w:t>nys111018.</w:t>
        </w:r>
        <w:r w:rsidR="002A1C69" w:rsidRPr="00C40F99">
          <w:rPr>
            <w:rStyle w:val="Hyperlink"/>
            <w:rFonts w:cs="Times New Roman"/>
            <w:color w:val="0000FF"/>
            <w:sz w:val="20"/>
            <w:szCs w:val="20"/>
            <w:shd w:val="clear" w:color="auto" w:fill="FFFFFF"/>
          </w:rPr>
          <w:t>0</w:t>
        </w:r>
        <w:r w:rsidR="002A1C69" w:rsidRPr="00C40F99">
          <w:rPr>
            <w:rStyle w:val="Hyperlink"/>
            <w:rFonts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3</w:t>
        </w:r>
      </w:hyperlink>
      <w:r w:rsidR="002A1C69" w:rsidRPr="00C40F99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724429" w:rsidRPr="00C40F99" w:rsidRDefault="00724429" w:rsidP="002A1C69">
      <w:pPr>
        <w:tabs>
          <w:tab w:val="righ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sz w:val="20"/>
          <w:szCs w:val="20"/>
          <w:lang w:eastAsia="zh-CN"/>
        </w:rPr>
      </w:pPr>
    </w:p>
    <w:p w:rsidR="00724429" w:rsidRPr="00C40F99" w:rsidRDefault="00724429" w:rsidP="002A1C69">
      <w:pPr>
        <w:tabs>
          <w:tab w:val="righ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eastAsia="zh-CN"/>
        </w:rPr>
      </w:pPr>
      <w:r w:rsidRPr="00C40F99">
        <w:rPr>
          <w:rFonts w:cs="Times New Roman" w:hint="eastAsia"/>
          <w:b/>
          <w:sz w:val="20"/>
          <w:szCs w:val="20"/>
          <w:lang w:eastAsia="zh-CN"/>
        </w:rPr>
        <w:t>Keywords:</w:t>
      </w:r>
      <w:r w:rsidR="00C27A4E" w:rsidRPr="00C40F99">
        <w:rPr>
          <w:rFonts w:cs="Times New Roman" w:hint="eastAsia"/>
          <w:b/>
          <w:sz w:val="20"/>
          <w:szCs w:val="20"/>
          <w:lang w:eastAsia="zh-CN"/>
        </w:rPr>
        <w:t xml:space="preserve"> </w:t>
      </w:r>
      <w:r w:rsidRPr="00C40F99">
        <w:rPr>
          <w:rFonts w:eastAsiaTheme="majorEastAsia" w:cs="Times New Roman"/>
          <w:bCs/>
          <w:sz w:val="20"/>
          <w:szCs w:val="20"/>
        </w:rPr>
        <w:t>Anterior</w:t>
      </w:r>
      <w:r w:rsidRPr="00C40F99">
        <w:rPr>
          <w:rFonts w:eastAsiaTheme="majorEastAsia" w:cs="Times New Roman" w:hint="eastAsia"/>
          <w:bCs/>
          <w:sz w:val="20"/>
          <w:szCs w:val="20"/>
          <w:lang w:eastAsia="zh-CN"/>
        </w:rPr>
        <w:t>;</w:t>
      </w:r>
      <w:r w:rsidR="00C27A4E" w:rsidRPr="00C40F99">
        <w:rPr>
          <w:rFonts w:eastAsiaTheme="majorEastAsia" w:cs="Times New Roman"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Cs/>
          <w:sz w:val="20"/>
          <w:szCs w:val="20"/>
        </w:rPr>
        <w:t>Segment</w:t>
      </w:r>
      <w:r w:rsidRPr="00C40F99">
        <w:rPr>
          <w:rFonts w:eastAsiaTheme="majorEastAsia" w:cs="Times New Roman" w:hint="eastAsia"/>
          <w:bCs/>
          <w:sz w:val="20"/>
          <w:szCs w:val="20"/>
          <w:lang w:eastAsia="zh-CN"/>
        </w:rPr>
        <w:t>;</w:t>
      </w:r>
      <w:r w:rsidR="00C27A4E" w:rsidRPr="00C40F99">
        <w:rPr>
          <w:rFonts w:eastAsiaTheme="majorEastAsia" w:cs="Times New Roman"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Cs/>
          <w:sz w:val="20"/>
          <w:szCs w:val="20"/>
        </w:rPr>
        <w:t>Biometry</w:t>
      </w:r>
      <w:r w:rsidRPr="00C40F99">
        <w:rPr>
          <w:rFonts w:eastAsiaTheme="majorEastAsia" w:cs="Times New Roman" w:hint="eastAsia"/>
          <w:bCs/>
          <w:sz w:val="20"/>
          <w:szCs w:val="20"/>
          <w:lang w:eastAsia="zh-CN"/>
        </w:rPr>
        <w:t>;</w:t>
      </w:r>
      <w:r w:rsidR="00C27A4E" w:rsidRPr="00C40F99">
        <w:rPr>
          <w:rFonts w:eastAsiaTheme="majorEastAsia" w:cs="Times New Roman"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Cs/>
          <w:sz w:val="20"/>
          <w:szCs w:val="20"/>
        </w:rPr>
        <w:t>Spectral</w:t>
      </w:r>
      <w:r w:rsidR="00C27A4E" w:rsidRPr="00C40F99">
        <w:rPr>
          <w:rFonts w:eastAsiaTheme="majorEastAsia" w:cs="Times New Roman"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Cs/>
          <w:sz w:val="20"/>
          <w:szCs w:val="20"/>
        </w:rPr>
        <w:t>Domain</w:t>
      </w:r>
      <w:r w:rsidRPr="00C40F99">
        <w:rPr>
          <w:rFonts w:eastAsiaTheme="majorEastAsia" w:cs="Times New Roman" w:hint="eastAsia"/>
          <w:bCs/>
          <w:sz w:val="20"/>
          <w:szCs w:val="20"/>
          <w:lang w:eastAsia="zh-CN"/>
        </w:rPr>
        <w:t>;</w:t>
      </w:r>
      <w:r w:rsidR="00C27A4E" w:rsidRPr="00C40F99">
        <w:rPr>
          <w:rFonts w:eastAsiaTheme="majorEastAsia" w:cs="Times New Roman"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Cs/>
          <w:sz w:val="20"/>
          <w:szCs w:val="20"/>
        </w:rPr>
        <w:t>Optical</w:t>
      </w:r>
      <w:r w:rsidR="00C27A4E" w:rsidRPr="00C40F99">
        <w:rPr>
          <w:rFonts w:eastAsiaTheme="majorEastAsia" w:cs="Times New Roman"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Cs/>
          <w:sz w:val="20"/>
          <w:szCs w:val="20"/>
        </w:rPr>
        <w:t>Coherence</w:t>
      </w:r>
      <w:r w:rsidRPr="00C40F99">
        <w:rPr>
          <w:rFonts w:eastAsiaTheme="majorEastAsia" w:cs="Times New Roman" w:hint="eastAsia"/>
          <w:bCs/>
          <w:sz w:val="20"/>
          <w:szCs w:val="20"/>
          <w:lang w:eastAsia="zh-CN"/>
        </w:rPr>
        <w:t>;</w:t>
      </w:r>
      <w:r w:rsidR="00C27A4E" w:rsidRPr="00C40F99">
        <w:rPr>
          <w:rFonts w:eastAsiaTheme="majorEastAsia" w:cs="Times New Roman"/>
          <w:bCs/>
          <w:sz w:val="20"/>
          <w:szCs w:val="20"/>
        </w:rPr>
        <w:t xml:space="preserve"> </w:t>
      </w:r>
      <w:r w:rsidRPr="00C40F99">
        <w:rPr>
          <w:rFonts w:eastAsiaTheme="majorEastAsia" w:cs="Times New Roman"/>
          <w:bCs/>
          <w:sz w:val="20"/>
          <w:szCs w:val="20"/>
        </w:rPr>
        <w:t>Tomography</w:t>
      </w:r>
    </w:p>
    <w:p w:rsidR="001D0A33" w:rsidRPr="00C40F99" w:rsidRDefault="00C27A4E" w:rsidP="002A1C69">
      <w:pPr>
        <w:snapToGrid w:val="0"/>
        <w:spacing w:after="0" w:line="240" w:lineRule="auto"/>
        <w:jc w:val="both"/>
        <w:rPr>
          <w:rFonts w:cs="Times New Roman"/>
          <w:b/>
          <w:sz w:val="20"/>
          <w:szCs w:val="20"/>
          <w:lang w:val="en-US"/>
        </w:rPr>
        <w:sectPr w:rsidR="001D0A33" w:rsidRPr="00C40F99" w:rsidSect="00CB409A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9"/>
          <w:cols w:space="720"/>
          <w:docGrid w:linePitch="360"/>
        </w:sectPr>
      </w:pPr>
      <w:r w:rsidRPr="00C40F99">
        <w:rPr>
          <w:rFonts w:cs="Times New Roman"/>
          <w:b/>
          <w:sz w:val="20"/>
          <w:szCs w:val="20"/>
          <w:lang w:val="en-US"/>
        </w:rPr>
        <w:cr/>
      </w:r>
    </w:p>
    <w:p w:rsidR="002065DF" w:rsidRPr="00C40F99" w:rsidRDefault="00CF5E81" w:rsidP="002A1C69">
      <w:pPr>
        <w:snapToGrid w:val="0"/>
        <w:spacing w:after="0" w:line="240" w:lineRule="auto"/>
        <w:jc w:val="both"/>
        <w:rPr>
          <w:rFonts w:cs="Times New Roman"/>
          <w:b/>
          <w:sz w:val="20"/>
          <w:szCs w:val="20"/>
          <w:lang w:val="en-US"/>
        </w:rPr>
      </w:pPr>
      <w:r w:rsidRPr="00C40F99">
        <w:rPr>
          <w:rFonts w:cs="Times New Roman"/>
          <w:b/>
          <w:sz w:val="20"/>
          <w:szCs w:val="20"/>
          <w:lang w:val="en-US"/>
        </w:rPr>
        <w:lastRenderedPageBreak/>
        <w:t>1.</w:t>
      </w:r>
      <w:r w:rsidR="00C27A4E" w:rsidRPr="00C40F99">
        <w:rPr>
          <w:rFonts w:cs="Times New Roman"/>
          <w:b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sz w:val="20"/>
          <w:szCs w:val="20"/>
          <w:lang w:val="en-US"/>
        </w:rPr>
        <w:t>Introduction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prevalence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non-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invasive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methods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ability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situ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visualization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tissue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became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particular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importance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because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key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information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provided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regarding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physiology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diseases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1D0A33" w:rsidRPr="00C40F99">
        <w:rPr>
          <w:rFonts w:cs="Times New Roman"/>
          <w:sz w:val="20"/>
          <w:szCs w:val="20"/>
        </w:rPr>
        <w:t>. T</w:t>
      </w:r>
      <w:r w:rsidRPr="00C40F99">
        <w:rPr>
          <w:rFonts w:cs="Times New Roman"/>
          <w:sz w:val="20"/>
          <w:szCs w:val="20"/>
        </w:rPr>
        <w:t>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structures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segment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analyzed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using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many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ultrasonic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methods.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among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methods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which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became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used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increasingly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due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ability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providing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-contact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scans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segment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makes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examination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comfortable,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safe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fast.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addition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making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high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transverse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axial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spatial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resolution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order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much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dozen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micrometers</w:t>
      </w:r>
      <w:r w:rsidR="00C27A4E" w:rsidRPr="00C40F99">
        <w:rPr>
          <w:rFonts w:cs="Times New Roman"/>
          <w:sz w:val="20"/>
          <w:szCs w:val="20"/>
        </w:rPr>
        <w:t>. [</w:t>
      </w:r>
      <w:r w:rsidRPr="00C40F99">
        <w:rPr>
          <w:rFonts w:cs="Times New Roman"/>
          <w:sz w:val="20"/>
          <w:szCs w:val="20"/>
        </w:rPr>
        <w:t>1-3</w:t>
      </w:r>
      <w:r w:rsidR="001D0A33" w:rsidRPr="00C40F99">
        <w:rPr>
          <w:rFonts w:cs="Times New Roman"/>
          <w:sz w:val="20"/>
          <w:szCs w:val="20"/>
        </w:rPr>
        <w:t xml:space="preserve">] </w:t>
      </w:r>
      <w:r w:rsidR="001D0A33" w:rsidRPr="00C40F99">
        <w:rPr>
          <w:rFonts w:cs="Times New Roman"/>
          <w:bCs/>
          <w:sz w:val="20"/>
          <w:szCs w:val="20"/>
        </w:rPr>
        <w:t>T</w:t>
      </w:r>
      <w:r w:rsidRPr="00C40F99">
        <w:rPr>
          <w:rFonts w:cs="Times New Roman"/>
          <w:bCs/>
          <w:sz w:val="20"/>
          <w:szCs w:val="20"/>
        </w:rPr>
        <w:t>his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includes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option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determine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central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thickness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also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epithelial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thickness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addition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anterior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radius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curvature</w:t>
      </w:r>
      <w:r w:rsidR="00C27A4E" w:rsidRPr="00C40F99">
        <w:rPr>
          <w:rFonts w:cs="Times New Roman"/>
          <w:bCs/>
          <w:sz w:val="20"/>
          <w:szCs w:val="20"/>
        </w:rPr>
        <w:t>. [</w:t>
      </w:r>
      <w:r w:rsidRPr="00C40F99">
        <w:rPr>
          <w:rFonts w:cs="Times New Roman"/>
          <w:bCs/>
          <w:sz w:val="20"/>
          <w:szCs w:val="20"/>
        </w:rPr>
        <w:t>4,5]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bCs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considered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most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important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structure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refraction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for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eye.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shape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relative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large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difference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between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lastRenderedPageBreak/>
        <w:t>refractive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index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that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air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explains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refractive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power.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[6]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parameters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measurements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are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very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important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both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diagnosis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management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many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ocular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pathological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conditions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that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cause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bad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visual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outcome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such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glaucoma,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keratoconus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diabetic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manifestations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that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lead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change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architecture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[7]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bCs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CCT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important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indicator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health.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Interest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measurement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greatly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increased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because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effect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IOP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measurement.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itself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affects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accuracy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measurement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IOP.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[8]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It’s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fact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that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lead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underestimation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IOP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whereas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thick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ones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result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overestimation.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because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relationship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between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IOP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CCT,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decreased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values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might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result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delayed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diagnosis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management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glaucoma.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[9]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addition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that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era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refractive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surgery,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values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became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="00E91602" w:rsidRPr="00C40F99">
        <w:rPr>
          <w:rFonts w:cs="Times New Roman"/>
          <w:bCs/>
          <w:sz w:val="20"/>
          <w:szCs w:val="20"/>
        </w:rPr>
        <w:t>marvellously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important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evaluate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patients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pre-operatively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because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affect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decision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whether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not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operation,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lastRenderedPageBreak/>
        <w:t>type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recommended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procedure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rate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complications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that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might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occur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postoperatively.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[10]</w:t>
      </w:r>
    </w:p>
    <w:p w:rsidR="00CF5E81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bCs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human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surface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covered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epithelium,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where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plays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important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role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protecting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maintaining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optimum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optical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quality.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cannot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ignored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that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epithelium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contributes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greatly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refractive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power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hence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ocular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refraction.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Some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diseases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like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keratoconus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alter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thickness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epithelium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reduce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irregularity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surface.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[11]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Contact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lens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wearers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can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also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show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epithelial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thickness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abnormalities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might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exhibit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epithelium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wrapping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more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likely.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will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also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lead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incorrect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evaluation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their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refraction.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[12]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analyzing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separately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important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for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early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detection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disease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earlier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stage.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[11]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bCs/>
          <w:sz w:val="20"/>
          <w:szCs w:val="20"/>
        </w:rPr>
      </w:pPr>
      <w:r w:rsidRPr="00C40F99">
        <w:rPr>
          <w:rFonts w:cs="Times New Roman"/>
          <w:bCs/>
          <w:sz w:val="20"/>
          <w:szCs w:val="20"/>
          <w:lang w:val="en-US"/>
        </w:rPr>
        <w:t>Anterior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curvature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(ACC)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related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to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frontal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surface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cornea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and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one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valuable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measurements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used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to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make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optical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properties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cornea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more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characteristic.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clinical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practice,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vertical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and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horizontal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anterior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curvatures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are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both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measured.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average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cornea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has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larger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radius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horizontal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meridian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comparison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to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vertical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meridian,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which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cause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higher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percentage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with-the-rule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astigmatism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young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adults.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[13]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Anterior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curvature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expressed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radii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(millimeters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typically)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importance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for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fitting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and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management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contact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lens,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analysis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ocular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aberration,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refractive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surgery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cornea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addition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to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diagnoses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and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treatment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pathological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cases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Cs/>
          <w:sz w:val="20"/>
          <w:szCs w:val="20"/>
          <w:lang w:val="en-US"/>
        </w:rPr>
        <w:t>like</w:t>
      </w:r>
      <w:r w:rsidR="00C27A4E" w:rsidRPr="00C40F99">
        <w:rPr>
          <w:rFonts w:cs="Times New Roman"/>
          <w:bCs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  <w:lang w:val="en-US"/>
        </w:rPr>
        <w:t>keratoconus</w:t>
      </w:r>
      <w:proofErr w:type="spellEnd"/>
      <w:r w:rsidR="00C27A4E" w:rsidRPr="00C40F99">
        <w:rPr>
          <w:rFonts w:cs="Times New Roman"/>
          <w:bCs/>
          <w:sz w:val="20"/>
          <w:szCs w:val="20"/>
          <w:lang w:val="en-US"/>
        </w:rPr>
        <w:t>. [</w:t>
      </w:r>
      <w:r w:rsidRPr="00C40F99">
        <w:rPr>
          <w:rFonts w:cs="Times New Roman"/>
          <w:bCs/>
          <w:sz w:val="20"/>
          <w:szCs w:val="20"/>
          <w:lang w:val="en-US"/>
        </w:rPr>
        <w:t>14-15]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bCs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aim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study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firstly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highlight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value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SD-OCT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measurements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standard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tool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anterior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segment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analysis.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second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goal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study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determine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range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distribution,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correlation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ocular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parameters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(CCT,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CE,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horizontal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vertical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corneal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radii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curvature)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number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patients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different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age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sex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with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abroad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range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of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refractive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error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IOP.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2065DF" w:rsidRPr="00C40F99" w:rsidRDefault="00CF5E81" w:rsidP="002A1C69">
      <w:pPr>
        <w:snapToGrid w:val="0"/>
        <w:spacing w:after="0" w:line="240" w:lineRule="auto"/>
        <w:jc w:val="both"/>
        <w:rPr>
          <w:rFonts w:cs="Times New Roman"/>
          <w:bCs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</w:rPr>
        <w:t>2.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Patients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and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Methods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bCs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study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designed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cross-sectional,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observational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study,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the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participants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were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chosen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simple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random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sampling.</w:t>
      </w:r>
    </w:p>
    <w:p w:rsidR="002065DF" w:rsidRPr="00C40F99" w:rsidRDefault="002065DF" w:rsidP="002A1C69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study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carried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out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accordance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with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ethical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standards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stated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declaration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Helsinki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approved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by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Ethical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Committee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Menoufia</w:t>
      </w:r>
      <w:proofErr w:type="spellEnd"/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Medical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School.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study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protocol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explained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patients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all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patients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provided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written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informed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consent.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study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conducted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special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eye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center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Cairo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from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February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2017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September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2017.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This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study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conducted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100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eyes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100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volunteers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52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males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48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females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ranging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from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(20-60</w:t>
      </w:r>
      <w:r w:rsidR="001D0A33" w:rsidRPr="00C40F99">
        <w:rPr>
          <w:rFonts w:eastAsia="Times New Roman" w:cs="Times New Roman"/>
          <w:sz w:val="20"/>
          <w:szCs w:val="20"/>
          <w:lang w:val="en-US"/>
        </w:rPr>
        <w:t>) y</w:t>
      </w:r>
      <w:r w:rsidRPr="00C40F99">
        <w:rPr>
          <w:rFonts w:eastAsia="Times New Roman" w:cs="Times New Roman"/>
          <w:sz w:val="20"/>
          <w:szCs w:val="20"/>
          <w:lang w:val="en-US"/>
        </w:rPr>
        <w:t>ear-old.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study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will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include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healthy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individuals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including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lastRenderedPageBreak/>
        <w:t>34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myopic,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34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emmetropic</w:t>
      </w:r>
      <w:proofErr w:type="spellEnd"/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32hypermetropic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individuals.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b/>
          <w:bCs/>
          <w:sz w:val="20"/>
          <w:szCs w:val="20"/>
        </w:rPr>
        <w:t>Inclusion</w:t>
      </w:r>
      <w:r w:rsidR="00C27A4E" w:rsidRPr="00C40F9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</w:rPr>
        <w:t>criteria</w:t>
      </w:r>
      <w:r w:rsidRPr="00C40F99">
        <w:rPr>
          <w:rFonts w:eastAsia="Times New Roman" w:cs="Times New Roman"/>
          <w:sz w:val="20"/>
          <w:szCs w:val="20"/>
        </w:rPr>
        <w:t>: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Same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age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group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(20:60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year-old)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healthy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eyes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healthy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volunteers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will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be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included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after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eastAsia="Times New Roman" w:cs="Times New Roman"/>
          <w:sz w:val="20"/>
          <w:szCs w:val="20"/>
          <w:lang w:val="en-US"/>
        </w:rPr>
        <w:t>assessment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their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best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corrected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visual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acuity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(BCVA)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slit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lamp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stereo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microscopy.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</w:rPr>
        <w:t>Exclusion</w:t>
      </w:r>
      <w:r w:rsidR="00C27A4E" w:rsidRPr="00C40F9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</w:rPr>
        <w:t>criteria</w:t>
      </w:r>
      <w:r w:rsidRPr="00C40F99">
        <w:rPr>
          <w:rFonts w:eastAsia="Times New Roman" w:cs="Times New Roman"/>
          <w:sz w:val="20"/>
          <w:szCs w:val="20"/>
          <w:lang w:val="en-US"/>
        </w:rPr>
        <w:t>: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Exclusion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criteria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have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been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as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follows: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Cornea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opacity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type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degree,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Pre-existing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ocular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pathology.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Having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other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ocular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disease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eg</w:t>
      </w:r>
      <w:proofErr w:type="spellEnd"/>
      <w:r w:rsidRPr="00C40F99">
        <w:rPr>
          <w:rFonts w:eastAsia="Times New Roman" w:cs="Times New Roman"/>
          <w:sz w:val="20"/>
          <w:szCs w:val="20"/>
          <w:lang w:val="en-US"/>
        </w:rPr>
        <w:t>: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glaucoma,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uveitis</w:t>
      </w:r>
      <w:proofErr w:type="spellEnd"/>
      <w:r w:rsidRPr="00C40F99">
        <w:rPr>
          <w:rFonts w:eastAsia="Times New Roman" w:cs="Times New Roman"/>
          <w:sz w:val="20"/>
          <w:szCs w:val="20"/>
          <w:lang w:val="en-US"/>
        </w:rPr>
        <w:t>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ocular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hypertension).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Eyes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with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previous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history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previous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intraocular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refractive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surgery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trauma.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Having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type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previous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retinal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treatment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eg</w:t>
      </w:r>
      <w:proofErr w:type="spellEnd"/>
      <w:r w:rsidRPr="00C40F99">
        <w:rPr>
          <w:rFonts w:eastAsia="Times New Roman" w:cs="Times New Roman"/>
          <w:sz w:val="20"/>
          <w:szCs w:val="20"/>
          <w:lang w:val="en-US"/>
        </w:rPr>
        <w:t>: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macular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laser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photo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coagulation,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vitrectomy</w:t>
      </w:r>
      <w:proofErr w:type="spellEnd"/>
      <w:r w:rsidRPr="00C40F99">
        <w:rPr>
          <w:rFonts w:eastAsia="Times New Roman" w:cs="Times New Roman"/>
          <w:sz w:val="20"/>
          <w:szCs w:val="20"/>
          <w:lang w:val="en-US"/>
        </w:rPr>
        <w:t>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and\or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intravitreal</w:t>
      </w:r>
      <w:proofErr w:type="spellEnd"/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steroid).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Participants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who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received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topical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systemic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medication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that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could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affect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iris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angle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configuration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time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study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cholinergics</w:t>
      </w:r>
      <w:proofErr w:type="spellEnd"/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anticholinergics</w:t>
      </w:r>
      <w:proofErr w:type="spellEnd"/>
      <w:r w:rsidRPr="00C40F99">
        <w:rPr>
          <w:rFonts w:eastAsia="Times New Roman" w:cs="Times New Roman"/>
          <w:sz w:val="20"/>
          <w:szCs w:val="20"/>
          <w:lang w:val="en-US"/>
        </w:rPr>
        <w:t>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adrenergic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agonists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antagonists,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serotonin,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norepinephrine</w:t>
      </w:r>
      <w:proofErr w:type="spellEnd"/>
      <w:r w:rsidRPr="00C40F99">
        <w:rPr>
          <w:rFonts w:eastAsia="Times New Roman" w:cs="Times New Roman"/>
          <w:sz w:val="20"/>
          <w:szCs w:val="20"/>
          <w:lang w:val="en-US"/>
        </w:rPr>
        <w:t>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dopamine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releasers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precursors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reuptake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inhibitors,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monoamine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oxydase</w:t>
      </w:r>
      <w:proofErr w:type="spellEnd"/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inhibitors,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opioid</w:t>
      </w:r>
      <w:proofErr w:type="spellEnd"/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agonists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antagonists,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histamine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receptor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antagonists)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excluded.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</w:rPr>
        <w:t>Subjects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wearing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contact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lenses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excluded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this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might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affect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thickness.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Examination: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medical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histories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patients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obtained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from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volunteer.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complete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ophthalmologic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examination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including;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best-corrected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visual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acuity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by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decimal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chart.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anterior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segment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each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eye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carefully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examined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slit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lamp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opacities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abnormalities,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depth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anterior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chamber,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iris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</w:rPr>
        <w:t>color</w:t>
      </w:r>
      <w:proofErr w:type="spellEnd"/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pattern,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regularity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</w:rPr>
        <w:t>uveitis</w:t>
      </w:r>
      <w:proofErr w:type="spellEnd"/>
      <w:r w:rsidRPr="00C40F99">
        <w:rPr>
          <w:rFonts w:eastAsia="Times New Roman" w:cs="Times New Roman"/>
          <w:sz w:val="20"/>
          <w:szCs w:val="20"/>
        </w:rPr>
        <w:t>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lens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position.</w:t>
      </w:r>
    </w:p>
    <w:p w:rsidR="00C27A4E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proofErr w:type="spellStart"/>
      <w:r w:rsidRPr="00C40F99">
        <w:rPr>
          <w:rFonts w:eastAsia="Times New Roman" w:cs="Times New Roman"/>
          <w:sz w:val="20"/>
          <w:szCs w:val="20"/>
        </w:rPr>
        <w:t>Fundus</w:t>
      </w:r>
      <w:proofErr w:type="spellEnd"/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examination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indirect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ophthalmoscope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90D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lens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examination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macula,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optic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disc,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retinal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vessels,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retinal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background.</w:t>
      </w:r>
    </w:p>
    <w:p w:rsidR="00C27A4E" w:rsidRPr="00C40F99" w:rsidRDefault="00C27A4E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>I</w:t>
      </w:r>
      <w:r w:rsidR="002065DF" w:rsidRPr="00C40F99">
        <w:rPr>
          <w:rFonts w:eastAsia="Times New Roman" w:cs="Times New Roman"/>
          <w:sz w:val="20"/>
          <w:szCs w:val="20"/>
        </w:rPr>
        <w:t>OP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was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measured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using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Goldman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applanation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2065DF" w:rsidRPr="00C40F99">
        <w:rPr>
          <w:rFonts w:eastAsia="Times New Roman" w:cs="Times New Roman"/>
          <w:sz w:val="20"/>
          <w:szCs w:val="20"/>
        </w:rPr>
        <w:t>tonometer</w:t>
      </w:r>
      <w:proofErr w:type="spellEnd"/>
      <w:r w:rsidR="002065DF" w:rsidRPr="00C40F99">
        <w:rPr>
          <w:rFonts w:eastAsia="Times New Roman" w:cs="Times New Roman"/>
          <w:sz w:val="20"/>
          <w:szCs w:val="20"/>
        </w:rPr>
        <w:t>.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Three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averaged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measurements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were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obtained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per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eye.</w:t>
      </w:r>
    </w:p>
    <w:p w:rsidR="002065DF" w:rsidRPr="00C40F99" w:rsidRDefault="00C27A4E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>M</w:t>
      </w:r>
      <w:r w:rsidR="002065DF" w:rsidRPr="00C40F99">
        <w:rPr>
          <w:rFonts w:eastAsia="Times New Roman" w:cs="Times New Roman"/>
          <w:sz w:val="20"/>
          <w:szCs w:val="20"/>
        </w:rPr>
        <w:t>easurements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of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refractive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status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were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detected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by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E91602" w:rsidRPr="00C40F99">
        <w:rPr>
          <w:rFonts w:eastAsia="Times New Roman" w:cs="Times New Roman"/>
          <w:sz w:val="20"/>
          <w:szCs w:val="20"/>
        </w:rPr>
        <w:t>auto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E91602" w:rsidRPr="00C40F99">
        <w:rPr>
          <w:rFonts w:eastAsia="Times New Roman" w:cs="Times New Roman"/>
          <w:sz w:val="20"/>
          <w:szCs w:val="20"/>
        </w:rPr>
        <w:t>refractor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(</w:t>
      </w:r>
      <w:proofErr w:type="spellStart"/>
      <w:r w:rsidR="002065DF" w:rsidRPr="00C40F99">
        <w:rPr>
          <w:rFonts w:eastAsia="Times New Roman" w:cs="Times New Roman"/>
          <w:sz w:val="20"/>
          <w:szCs w:val="20"/>
        </w:rPr>
        <w:t>Nidek</w:t>
      </w:r>
      <w:proofErr w:type="spellEnd"/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AR-310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Auto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E91602" w:rsidRPr="00C40F99">
        <w:rPr>
          <w:rFonts w:eastAsia="Times New Roman" w:cs="Times New Roman"/>
          <w:sz w:val="20"/>
          <w:szCs w:val="20"/>
        </w:rPr>
        <w:t>refract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E91602" w:rsidRPr="00C40F99">
        <w:rPr>
          <w:rFonts w:eastAsia="Times New Roman" w:cs="Times New Roman"/>
          <w:sz w:val="20"/>
          <w:szCs w:val="20"/>
        </w:rPr>
        <w:t>meter</w:t>
      </w:r>
      <w:r w:rsidR="002065DF" w:rsidRPr="00C40F99">
        <w:rPr>
          <w:rFonts w:eastAsia="Times New Roman" w:cs="Times New Roman"/>
          <w:sz w:val="20"/>
          <w:szCs w:val="20"/>
        </w:rPr>
        <w:t>)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and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then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confirmed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by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2065DF" w:rsidRPr="00C40F99">
        <w:rPr>
          <w:rFonts w:eastAsia="Times New Roman" w:cs="Times New Roman"/>
          <w:sz w:val="20"/>
          <w:szCs w:val="20"/>
        </w:rPr>
        <w:t>retinoscopy</w:t>
      </w:r>
      <w:proofErr w:type="spellEnd"/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and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spherical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equivalent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was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calculated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of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astigmatic</w:t>
      </w:r>
      <w:r w:rsidRPr="00C40F99">
        <w:rPr>
          <w:rFonts w:eastAsia="Times New Roman" w:cs="Times New Roman"/>
          <w:sz w:val="20"/>
          <w:szCs w:val="20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</w:rPr>
        <w:t>patients.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>-Using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anterior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segment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spectral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domain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optical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coherence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tomography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(SD-OCT)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(3D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OCT-2000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(Topcon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Corp.,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Tokyo,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Japan));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central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thickness,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epithelial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thickness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radii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both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horizontally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vertically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measured</w:t>
      </w:r>
      <w:r w:rsidR="001D0A33" w:rsidRPr="00C40F99">
        <w:rPr>
          <w:rFonts w:cs="Times New Roman" w:hint="eastAsia"/>
          <w:sz w:val="20"/>
          <w:szCs w:val="20"/>
          <w:lang w:eastAsia="zh-CN"/>
        </w:rPr>
        <w:t>.</w:t>
      </w:r>
      <w:r w:rsidR="001D0A33" w:rsidRPr="00C40F99">
        <w:rPr>
          <w:rFonts w:eastAsia="Times New Roman" w:cs="Times New Roman"/>
          <w:sz w:val="20"/>
          <w:szCs w:val="20"/>
        </w:rPr>
        <w:t xml:space="preserve"> T</w:t>
      </w:r>
      <w:r w:rsidRPr="00C40F99">
        <w:rPr>
          <w:rFonts w:eastAsia="Times New Roman" w:cs="Times New Roman"/>
          <w:sz w:val="20"/>
          <w:szCs w:val="20"/>
        </w:rPr>
        <w:t>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subject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asked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to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look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internal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fixation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target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and.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Three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scans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obtained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each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tested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eye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mean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these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scans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used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analysis.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lastRenderedPageBreak/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imaged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with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anterior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segment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mode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3D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OCT-2000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(Topcon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Corp.,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Tokyo,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Japan).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Automated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calculation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central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thickness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(CCT)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epithelial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thickness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CET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with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integrated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software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performed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all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OCT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images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checked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correct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identification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surface.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Quality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OCT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scans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graded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four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categories: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“high,”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“medium,”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“acceptable,”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“insufficient.”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Mean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radius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computed.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proofErr w:type="spellStart"/>
      <w:r w:rsidRPr="00C40F99">
        <w:rPr>
          <w:rFonts w:eastAsia="Times New Roman" w:cs="Times New Roman"/>
          <w:sz w:val="20"/>
          <w:szCs w:val="20"/>
        </w:rPr>
        <w:t>Fundus</w:t>
      </w:r>
      <w:proofErr w:type="spellEnd"/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photographs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macula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optic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nerve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head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obtained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from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all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participants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images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evaluated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two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independent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ophthalmologists.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2.2</w:t>
      </w:r>
      <w:r w:rsidR="00E91602" w:rsidRPr="00C40F99">
        <w:rPr>
          <w:rFonts w:eastAsia="Times New Roman" w:cs="Times New Roman"/>
          <w:b/>
          <w:bCs/>
          <w:sz w:val="20"/>
          <w:szCs w:val="20"/>
          <w:lang w:val="en-US"/>
        </w:rPr>
        <w:t>.</w:t>
      </w:r>
      <w:r w:rsidR="00C27A4E" w:rsidRPr="00C40F9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E91602" w:rsidRPr="00C40F99">
        <w:rPr>
          <w:rFonts w:eastAsia="Times New Roman" w:cs="Times New Roman"/>
          <w:b/>
          <w:bCs/>
          <w:sz w:val="20"/>
          <w:szCs w:val="20"/>
        </w:rPr>
        <w:t>Statistical</w:t>
      </w:r>
      <w:r w:rsidR="00C27A4E" w:rsidRPr="00C40F9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</w:rPr>
        <w:t>Analysis:</w:t>
      </w:r>
    </w:p>
    <w:p w:rsidR="00CF5E81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data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collected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tabulated</w:t>
      </w:r>
      <w:r w:rsidR="00C27A4E" w:rsidRPr="00C40F99">
        <w:rPr>
          <w:rFonts w:eastAsia="Times New Roman" w:cs="Times New Roman"/>
          <w:sz w:val="20"/>
          <w:szCs w:val="20"/>
        </w:rPr>
        <w:t xml:space="preserve"> &amp; </w:t>
      </w:r>
      <w:r w:rsidRPr="00C40F99">
        <w:rPr>
          <w:rFonts w:eastAsia="Times New Roman" w:cs="Times New Roman"/>
          <w:sz w:val="20"/>
          <w:szCs w:val="20"/>
        </w:rPr>
        <w:t>analyzed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SPSS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statistical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package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version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20.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(SPSS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Inc.,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Chicago,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IL</w:t>
      </w:r>
      <w:r w:rsidR="00E91602" w:rsidRPr="00C40F99">
        <w:rPr>
          <w:rFonts w:eastAsia="Times New Roman" w:cs="Times New Roman"/>
          <w:sz w:val="20"/>
          <w:szCs w:val="20"/>
          <w:lang w:val="en-US"/>
        </w:rPr>
        <w:t>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eastAsia="Times New Roman" w:cs="Times New Roman"/>
          <w:sz w:val="20"/>
          <w:szCs w:val="20"/>
          <w:lang w:val="en-US"/>
        </w:rPr>
        <w:t>USA</w:t>
      </w:r>
      <w:r w:rsidRPr="00C40F99">
        <w:rPr>
          <w:rFonts w:eastAsia="Times New Roman" w:cs="Times New Roman"/>
          <w:sz w:val="20"/>
          <w:szCs w:val="20"/>
          <w:lang w:val="en-US"/>
        </w:rPr>
        <w:t>)</w:t>
      </w:r>
      <w:r w:rsidRPr="00C40F99">
        <w:rPr>
          <w:rFonts w:eastAsia="Times New Roman" w:cs="Times New Roman"/>
          <w:sz w:val="20"/>
          <w:szCs w:val="20"/>
        </w:rPr>
        <w:t>.</w:t>
      </w:r>
    </w:p>
    <w:p w:rsidR="00CF5E81" w:rsidRPr="00C40F99" w:rsidRDefault="002065DF" w:rsidP="002A1C69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Two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types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statistical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analysis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done:</w:t>
      </w:r>
    </w:p>
    <w:p w:rsidR="00CF5E81" w:rsidRPr="00C40F99" w:rsidRDefault="002065DF" w:rsidP="002A1C69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a)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Descriptive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statistics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:rsidR="002065DF" w:rsidRPr="00C40F99" w:rsidRDefault="00CF5E81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Descriptive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statistics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expressed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in: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Number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(No),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percentage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(%)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mean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(</w:t>
      </w:r>
      <w:r w:rsidR="002065DF" w:rsidRPr="00C40F99">
        <w:rPr>
          <w:rFonts w:eastAsia="Times New Roman" w:cs="Times New Roman"/>
          <w:b/>
          <w:bCs/>
          <w:sz w:val="20"/>
          <w:szCs w:val="20"/>
          <w:lang w:val="en-US"/>
        </w:rPr>
        <w:t>x̅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standard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deviation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(SD).</w:t>
      </w:r>
    </w:p>
    <w:p w:rsidR="00CF5E81" w:rsidRPr="00C40F99" w:rsidRDefault="002065DF" w:rsidP="002A1C69">
      <w:pPr>
        <w:snapToGrid w:val="0"/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b)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Analytic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statistics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Pearson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correlation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used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show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correlation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between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two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continuous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normally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distributed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variables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while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Spearman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correlation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used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not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normally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distributed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ones.</w:t>
      </w:r>
    </w:p>
    <w:p w:rsidR="001D0A33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b/>
          <w:bCs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-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Repeated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measures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ANOVA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</w:t>
      </w:r>
      <w:r w:rsidRPr="00C40F99">
        <w:rPr>
          <w:rFonts w:eastAsia="Times New Roman" w:cs="Times New Roman"/>
          <w:sz w:val="20"/>
          <w:szCs w:val="20"/>
        </w:rPr>
        <w:t>analysis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variance</w:t>
      </w:r>
      <w:r w:rsidRPr="00C40F99">
        <w:rPr>
          <w:rFonts w:eastAsia="Times New Roman" w:cs="Times New Roman"/>
          <w:sz w:val="20"/>
          <w:szCs w:val="20"/>
          <w:lang w:val="en-US"/>
        </w:rPr>
        <w:t>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test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been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used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comparison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quantitative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variables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between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more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than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two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consecutive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measures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same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group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normally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distributed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data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Friedman</w:t>
      </w:r>
      <w:r w:rsidR="00C27A4E" w:rsidRPr="00C40F99">
        <w:rPr>
          <w:rFonts w:eastAsia="Times New Roman"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  <w:lang w:val="en-US"/>
        </w:rPr>
        <w:t>tes</w:t>
      </w:r>
      <w:r w:rsidR="001D0A33" w:rsidRPr="00C40F99">
        <w:rPr>
          <w:rFonts w:eastAsia="Times New Roman" w:cs="Times New Roman"/>
          <w:b/>
          <w:bCs/>
          <w:sz w:val="20"/>
          <w:szCs w:val="20"/>
          <w:lang w:val="en-US"/>
        </w:rPr>
        <w:t>t.</w:t>
      </w:r>
    </w:p>
    <w:p w:rsidR="001D0A33" w:rsidRPr="00C40F99" w:rsidRDefault="00CF5E81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Friedman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test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has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been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used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for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comparison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quantitative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variables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between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more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than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two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consecutive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measures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in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same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group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of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not-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normally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distributed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data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with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LSD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test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post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Hoc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tes</w:t>
      </w:r>
      <w:r w:rsidR="001D0A33" w:rsidRPr="00C40F99">
        <w:rPr>
          <w:rFonts w:eastAsia="Times New Roman" w:cs="Times New Roman"/>
          <w:sz w:val="20"/>
          <w:szCs w:val="20"/>
          <w:lang w:val="en-US"/>
        </w:rPr>
        <w:t>t.</w:t>
      </w:r>
    </w:p>
    <w:p w:rsidR="002065DF" w:rsidRPr="00C40F99" w:rsidRDefault="00C27A4E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 xml:space="preserve">-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P-</w:t>
      </w:r>
      <w:r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value</w:t>
      </w:r>
      <w:r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of</w:t>
      </w:r>
      <w:r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&lt;</w:t>
      </w:r>
      <w:r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0.05</w:t>
      </w:r>
      <w:r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was</w:t>
      </w:r>
      <w:r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considered</w:t>
      </w:r>
      <w:r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statistically</w:t>
      </w:r>
      <w:r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significant.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2065DF" w:rsidRPr="00C40F99" w:rsidRDefault="00CF5E81" w:rsidP="002A1C69">
      <w:pPr>
        <w:snapToGrid w:val="0"/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</w:rPr>
        <w:t>3.</w:t>
      </w:r>
      <w:r w:rsidR="00C27A4E" w:rsidRPr="00C40F9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</w:rPr>
        <w:t>Results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 w:eastAsia="zh-CN"/>
        </w:rPr>
      </w:pPr>
      <w:r w:rsidRPr="00C40F99">
        <w:rPr>
          <w:rFonts w:eastAsia="Times New Roman" w:cs="Times New Roman"/>
          <w:sz w:val="20"/>
          <w:szCs w:val="20"/>
        </w:rPr>
        <w:t>This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study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included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100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eyes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100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eastAsia="Times New Roman" w:cs="Times New Roman"/>
          <w:sz w:val="20"/>
          <w:szCs w:val="20"/>
          <w:lang w:val="en-US"/>
        </w:rPr>
        <w:t>individual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eastAsia="Times New Roman" w:cs="Times New Roman"/>
          <w:sz w:val="20"/>
          <w:szCs w:val="20"/>
          <w:lang w:val="en-US"/>
        </w:rPr>
        <w:t>with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mean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age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of</w:t>
      </w:r>
      <w:r w:rsidRPr="00C40F99">
        <w:rPr>
          <w:rFonts w:eastAsia="Times New Roman" w:cs="Times New Roman"/>
          <w:sz w:val="20"/>
          <w:szCs w:val="20"/>
        </w:rPr>
        <w:t>40.82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11.30</w:t>
      </w:r>
      <w:r w:rsidRPr="00C40F99">
        <w:rPr>
          <w:rFonts w:eastAsia="Times New Roman" w:cs="Times New Roman"/>
          <w:sz w:val="20"/>
          <w:szCs w:val="20"/>
          <w:lang w:val="en-US"/>
        </w:rPr>
        <w:t>years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(range,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20-60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years),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patients ̓̓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gender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52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(52.0</w:t>
      </w:r>
      <w:r w:rsidRPr="00C40F99">
        <w:rPr>
          <w:rFonts w:eastAsia="Times New Roman" w:cs="Times New Roman"/>
          <w:sz w:val="20"/>
          <w:szCs w:val="20"/>
          <w:lang w:val="en-US"/>
        </w:rPr>
        <w:t>%)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male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48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(48.0%)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female.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Among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studied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eyes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34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eyes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were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myopic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,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24emmetropic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32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hyper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  <w:lang w:val="en-US"/>
        </w:rPr>
        <w:t>metropic</w:t>
      </w:r>
      <w:proofErr w:type="spellEnd"/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shown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</w:rPr>
        <w:t>in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="0072506D" w:rsidRPr="00C40F99">
        <w:rPr>
          <w:rFonts w:eastAsia="Times New Roman" w:cs="Times New Roman"/>
          <w:sz w:val="20"/>
          <w:szCs w:val="20"/>
          <w:lang w:val="en-US"/>
        </w:rPr>
        <w:t>(</w:t>
      </w:r>
      <w:r w:rsidRPr="00C40F99">
        <w:rPr>
          <w:rFonts w:eastAsia="Times New Roman" w:cs="Times New Roman"/>
          <w:sz w:val="20"/>
          <w:szCs w:val="20"/>
          <w:lang w:val="en-US"/>
        </w:rPr>
        <w:t>Table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1).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:rsidR="001D0A33" w:rsidRPr="00C40F99" w:rsidRDefault="001D0A33" w:rsidP="001D0A33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 xml:space="preserve">Considering all eyes together, mean CCT was 541.62 ± 21.11µm (Table 1). (mean SD In males it was 541.94 ± 22.53 and in females 541.27 ± 19.68 (Table 4)). This study showed no statistically difference in myopic (542.79 ± 20.02), </w:t>
      </w:r>
      <w:proofErr w:type="spellStart"/>
      <w:r w:rsidRPr="00C40F99">
        <w:rPr>
          <w:rFonts w:eastAsia="Times New Roman" w:cs="Times New Roman"/>
          <w:sz w:val="20"/>
          <w:szCs w:val="20"/>
        </w:rPr>
        <w:t>emmetropic</w:t>
      </w:r>
      <w:proofErr w:type="spellEnd"/>
      <w:r w:rsidRPr="00C40F99">
        <w:rPr>
          <w:rFonts w:eastAsia="Times New Roman" w:cs="Times New Roman"/>
          <w:sz w:val="20"/>
          <w:szCs w:val="20"/>
        </w:rPr>
        <w:t xml:space="preserve"> (540.09 ± 22.29) or </w:t>
      </w:r>
      <w:proofErr w:type="spellStart"/>
      <w:r w:rsidRPr="00C40F99">
        <w:rPr>
          <w:rFonts w:eastAsia="Times New Roman" w:cs="Times New Roman"/>
          <w:sz w:val="20"/>
          <w:szCs w:val="20"/>
        </w:rPr>
        <w:t>hypermetropic</w:t>
      </w:r>
      <w:proofErr w:type="spellEnd"/>
      <w:r w:rsidRPr="00C40F99">
        <w:rPr>
          <w:rFonts w:eastAsia="Times New Roman" w:cs="Times New Roman"/>
          <w:sz w:val="20"/>
          <w:szCs w:val="20"/>
        </w:rPr>
        <w:t xml:space="preserve"> (542.0 ± 21.52) (f=0.145, p=0.865) (Table 2).</w:t>
      </w:r>
    </w:p>
    <w:p w:rsidR="009165A5" w:rsidRPr="00C40F99" w:rsidRDefault="009165A5" w:rsidP="002A1C69">
      <w:pPr>
        <w:snapToGrid w:val="0"/>
        <w:spacing w:after="0" w:line="240" w:lineRule="auto"/>
        <w:jc w:val="center"/>
        <w:rPr>
          <w:rFonts w:cs="Times New Roman"/>
          <w:b/>
          <w:bCs/>
          <w:sz w:val="20"/>
          <w:szCs w:val="20"/>
          <w:lang w:val="en-US"/>
        </w:rPr>
      </w:pPr>
    </w:p>
    <w:p w:rsidR="00CF5E81" w:rsidRPr="00C40F99" w:rsidRDefault="00CF5E81" w:rsidP="001D0A33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  <w:lang w:val="en-US"/>
        </w:rPr>
        <w:t>Table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(1):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Distribution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of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studied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cases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according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to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different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parameters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(n=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100)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216"/>
        <w:gridCol w:w="599"/>
        <w:gridCol w:w="680"/>
      </w:tblGrid>
      <w:tr w:rsidR="00CF5E81" w:rsidRPr="00C40F99" w:rsidTr="001D0A33">
        <w:trPr>
          <w:jc w:val="center"/>
        </w:trPr>
        <w:tc>
          <w:tcPr>
            <w:tcW w:w="0" w:type="auto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0" w:type="auto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Refraction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Emmetrope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34.0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Myope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34.0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-2:-4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11.0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-4:-6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11.0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&gt;-6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12.0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Hypermetrope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32.0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&lt;+2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11.0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2:4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11.0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&gt;+4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Sex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Male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52.0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Female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48.0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Age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20.0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60.0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40.82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11.30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40.0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27A4E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F5E81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IOP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13.20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18.90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15.65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1.56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15.60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Central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thickness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508.0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579.0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541.62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21.11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542.0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epithelial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thikness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43.0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59.0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54.80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2.68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55.0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Horizontal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7.04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8.43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7.61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0.25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7.64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Vertical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7.12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8.23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7.61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0.27</w:t>
            </w:r>
          </w:p>
        </w:tc>
      </w:tr>
      <w:tr w:rsidR="00CF5E81" w:rsidRPr="00C40F99" w:rsidTr="001D0A33">
        <w:trPr>
          <w:jc w:val="center"/>
        </w:trPr>
        <w:tc>
          <w:tcPr>
            <w:tcW w:w="0" w:type="auto"/>
            <w:tcBorders>
              <w:top w:val="nil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1D0A33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7.54</w:t>
            </w:r>
          </w:p>
        </w:tc>
      </w:tr>
    </w:tbl>
    <w:p w:rsidR="002065DF" w:rsidRPr="00C40F99" w:rsidRDefault="002065DF" w:rsidP="001D0A33">
      <w:pPr>
        <w:snapToGrid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mean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IOP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15.65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1.56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mm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Hg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(Table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1).</w:t>
      </w:r>
    </w:p>
    <w:p w:rsidR="0072506D" w:rsidRPr="00C40F99" w:rsidRDefault="0072506D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</w:p>
    <w:p w:rsidR="001D0A33" w:rsidRPr="00C40F99" w:rsidRDefault="001D0A33" w:rsidP="001D0A33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 xml:space="preserve">The study also showed positive correlation between CCT and IOP (r = 0.867, p&lt;0.001) (Table 3) and also positive correlation between CCT and CET (r= 0.516, p&lt;0.001) (Table 5). </w:t>
      </w:r>
    </w:p>
    <w:p w:rsidR="001D0A33" w:rsidRPr="00C40F99" w:rsidRDefault="001D0A33" w:rsidP="001D0A33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 xml:space="preserve">Regarding CET; average was 54.80 ± 2.68µm (Table 1). (mean SD was 54.75 ± 2.44 in males and 54.85 ± 2.94 in females (Table 4)). The study showed no correlation between CET and refractive error (f=0.165, p=0.848) (Table 2). IT showed that there is </w:t>
      </w:r>
      <w:r w:rsidRPr="00C40F99">
        <w:rPr>
          <w:rFonts w:eastAsia="Times New Roman" w:cs="Times New Roman"/>
          <w:sz w:val="20"/>
          <w:szCs w:val="20"/>
        </w:rPr>
        <w:lastRenderedPageBreak/>
        <w:t xml:space="preserve">also positive correlation between CET and IOP </w:t>
      </w:r>
      <w:r w:rsidRPr="00C40F99">
        <w:rPr>
          <w:rFonts w:eastAsia="Times New Roman" w:cs="Times New Roman"/>
          <w:sz w:val="20"/>
          <w:szCs w:val="20"/>
        </w:rPr>
        <w:lastRenderedPageBreak/>
        <w:t>(r=0,490, p&lt;0,001) (Table3).</w:t>
      </w:r>
    </w:p>
    <w:p w:rsidR="001D0A33" w:rsidRPr="00C40F99" w:rsidRDefault="001D0A33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 w:eastAsia="zh-CN"/>
        </w:rPr>
        <w:sectPr w:rsidR="001D0A33" w:rsidRPr="00C40F99" w:rsidSect="001D0A33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CF5E81" w:rsidRPr="00C40F99" w:rsidRDefault="00CF5E81" w:rsidP="001D0A33">
      <w:pPr>
        <w:snapToGrid w:val="0"/>
        <w:spacing w:after="0" w:line="240" w:lineRule="auto"/>
        <w:jc w:val="center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  <w:lang w:val="en-US"/>
        </w:rPr>
        <w:lastRenderedPageBreak/>
        <w:t>Table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(2):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Comparison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the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different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studied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groups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according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to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different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parameters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715"/>
        <w:gridCol w:w="557"/>
        <w:gridCol w:w="633"/>
        <w:gridCol w:w="591"/>
        <w:gridCol w:w="673"/>
        <w:gridCol w:w="557"/>
        <w:gridCol w:w="633"/>
        <w:gridCol w:w="643"/>
        <w:gridCol w:w="728"/>
        <w:gridCol w:w="1004"/>
        <w:gridCol w:w="742"/>
      </w:tblGrid>
      <w:tr w:rsidR="00CF5E81" w:rsidRPr="00C40F99" w:rsidTr="00C27A4E">
        <w:trPr>
          <w:jc w:val="center"/>
        </w:trPr>
        <w:tc>
          <w:tcPr>
            <w:tcW w:w="1433" w:type="pct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E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(n=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100)</w:t>
            </w:r>
          </w:p>
        </w:tc>
        <w:tc>
          <w:tcPr>
            <w:tcW w:w="2018" w:type="pct"/>
            <w:gridSpan w:val="6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Refraction</w:t>
            </w:r>
          </w:p>
        </w:tc>
        <w:tc>
          <w:tcPr>
            <w:tcW w:w="530" w:type="pct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Test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sig.</w:t>
            </w:r>
          </w:p>
        </w:tc>
        <w:tc>
          <w:tcPr>
            <w:tcW w:w="392" w:type="pct"/>
            <w:vMerge w:val="restart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p</w:t>
            </w: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vMerge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E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Emmetrope</w:t>
            </w:r>
            <w:proofErr w:type="spellEnd"/>
          </w:p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(n=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34)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E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Myope</w:t>
            </w:r>
            <w:proofErr w:type="spellEnd"/>
          </w:p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(n=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34)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4E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Hypermetrope</w:t>
            </w:r>
            <w:proofErr w:type="spellEnd"/>
          </w:p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(n=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32)</w:t>
            </w:r>
          </w:p>
        </w:tc>
        <w:tc>
          <w:tcPr>
            <w:tcW w:w="530" w:type="pct"/>
            <w:vMerge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27A4E" w:rsidRPr="00C40F99" w:rsidTr="00C27A4E">
        <w:trPr>
          <w:jc w:val="center"/>
        </w:trPr>
        <w:tc>
          <w:tcPr>
            <w:tcW w:w="1433" w:type="pct"/>
            <w:vMerge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530" w:type="pct"/>
            <w:vMerge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27A4E" w:rsidRPr="00C40F99" w:rsidTr="00C27A4E">
        <w:trPr>
          <w:jc w:val="center"/>
        </w:trPr>
        <w:tc>
          <w:tcPr>
            <w:tcW w:w="1433" w:type="pct"/>
            <w:tcBorders>
              <w:top w:val="single" w:sz="12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Sex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27A4E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Male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52.0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50.0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50.0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56.3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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=0.341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0.843</w:t>
            </w:r>
          </w:p>
        </w:tc>
      </w:tr>
      <w:tr w:rsidR="00C27A4E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Female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48.0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50.0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50.0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43.8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Age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20.0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60.0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20.0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59.0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22.0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58.0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21.0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60.0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F=0.565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0.570</w:t>
            </w: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40.82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11.30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41.71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10.31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41.59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11.27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39.06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12.44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40.50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40.50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39.50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27A4E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F5E81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IOP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13.20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18.90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13.30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18.90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13.50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18.90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13.20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18.80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F=1.120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0.330</w:t>
            </w: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15.65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1.56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15.48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1.61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15.97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1.53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15.48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1.54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15.60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15.30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16.0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15.35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Central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thickness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508.0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579.0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508.0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579.0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510.0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579.0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509.0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578.0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F=0.145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0.865</w:t>
            </w: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541.62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21.11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540.09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22.29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542.79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20.02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542.0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21.52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542.0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542.0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541.0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541.0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epithelial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thikness</w:t>
            </w:r>
            <w:proofErr w:type="spellEnd"/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43.0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59.0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51.0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59.0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43.0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59.0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51.0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59.0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F=0.165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0.848</w:t>
            </w: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54.80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2.68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54.62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2.31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54.79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3.26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55.0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2.41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55.0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54.0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55.0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55.0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Horizontal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7.04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8.43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7.18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8.02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7.24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8.11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7.04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8.43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4E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F=</w:t>
            </w:r>
          </w:p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18.032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&lt;0.001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7.61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0.25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7.53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7.80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7.64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7.51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7.49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7.86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Vertical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7.12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8.23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7.17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7.87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7.23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8.23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7.12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8.23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27A4E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F=</w:t>
            </w:r>
          </w:p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24.432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&lt;0.001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7.61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7.84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CF5E81" w:rsidRPr="00C40F99" w:rsidTr="00C27A4E">
        <w:trPr>
          <w:jc w:val="center"/>
        </w:trPr>
        <w:tc>
          <w:tcPr>
            <w:tcW w:w="1433" w:type="pct"/>
            <w:tcBorders>
              <w:top w:val="nil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7.54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7.45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7.49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7.88</w:t>
            </w:r>
          </w:p>
        </w:tc>
        <w:tc>
          <w:tcPr>
            <w:tcW w:w="530" w:type="pct"/>
            <w:vMerge/>
            <w:tcBorders>
              <w:top w:val="nil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</w:p>
        </w:tc>
      </w:tr>
    </w:tbl>
    <w:p w:rsidR="00CF5E81" w:rsidRPr="00C40F99" w:rsidRDefault="00CF5E81" w:rsidP="001D0A33">
      <w:pPr>
        <w:snapToGrid w:val="0"/>
        <w:spacing w:after="0" w:line="240" w:lineRule="auto"/>
        <w:jc w:val="both"/>
        <w:rPr>
          <w:rFonts w:cs="Times New Roman"/>
          <w:sz w:val="20"/>
          <w:szCs w:val="20"/>
          <w:vertAlign w:val="superscript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sym w:font="Symbol" w:char="F063"/>
      </w:r>
      <w:r w:rsidRPr="00C40F99">
        <w:rPr>
          <w:rFonts w:cs="Times New Roman"/>
          <w:sz w:val="20"/>
          <w:szCs w:val="20"/>
          <w:vertAlign w:val="superscript"/>
          <w:lang w:val="en-US"/>
        </w:rPr>
        <w:t>2</w:t>
      </w:r>
      <w:r w:rsidRPr="00C40F99">
        <w:rPr>
          <w:rFonts w:cs="Times New Roman"/>
          <w:sz w:val="20"/>
          <w:szCs w:val="20"/>
          <w:lang w:val="en-US"/>
        </w:rPr>
        <w:t>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p: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sym w:font="Symbol" w:char="F063"/>
      </w:r>
      <w:r w:rsidRPr="00C40F99">
        <w:rPr>
          <w:rFonts w:cs="Times New Roman"/>
          <w:sz w:val="20"/>
          <w:szCs w:val="20"/>
          <w:vertAlign w:val="superscript"/>
          <w:lang w:val="en-US"/>
        </w:rPr>
        <w:t>2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values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Chi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square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test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comparing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different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groups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</w:p>
    <w:p w:rsidR="00CF5E81" w:rsidRPr="00C40F99" w:rsidRDefault="00CF5E81" w:rsidP="001D0A33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F,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p: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values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ANOVA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test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comparing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different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groups</w:t>
      </w:r>
    </w:p>
    <w:p w:rsidR="00CF5E81" w:rsidRPr="00C40F99" w:rsidRDefault="00CF5E81" w:rsidP="001D0A33">
      <w:pPr>
        <w:snapToGrid w:val="0"/>
        <w:spacing w:after="0" w:line="240" w:lineRule="auto"/>
        <w:jc w:val="both"/>
        <w:rPr>
          <w:rFonts w:eastAsia="Calibri" w:cs="Times New Roman"/>
          <w:sz w:val="20"/>
          <w:szCs w:val="20"/>
          <w:lang w:val="en-US" w:bidi="ar-EG"/>
        </w:rPr>
      </w:pPr>
      <w:r w:rsidRPr="00C40F99">
        <w:rPr>
          <w:rFonts w:eastAsia="Calibri" w:cs="Times New Roman"/>
          <w:sz w:val="20"/>
          <w:szCs w:val="20"/>
          <w:lang w:val="en-US" w:bidi="ar-EG"/>
        </w:rPr>
        <w:t>*: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Statistically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significant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at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p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≤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0.05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</w:p>
    <w:p w:rsidR="00C27A4E" w:rsidRPr="00C40F99" w:rsidRDefault="00C27A4E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</w:p>
    <w:p w:rsidR="00CF5E81" w:rsidRPr="00C40F99" w:rsidRDefault="00CF5E81" w:rsidP="002A1C69">
      <w:pPr>
        <w:snapToGrid w:val="0"/>
        <w:spacing w:after="0" w:line="240" w:lineRule="auto"/>
        <w:jc w:val="center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  <w:lang w:val="en-US"/>
        </w:rPr>
        <w:t>Table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(3):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Correlation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different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parameters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total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sample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(n=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100)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142"/>
        <w:gridCol w:w="1203"/>
        <w:gridCol w:w="1203"/>
        <w:gridCol w:w="1344"/>
        <w:gridCol w:w="1584"/>
      </w:tblGrid>
      <w:tr w:rsidR="00CF5E81" w:rsidRPr="00C40F99" w:rsidTr="00C27A4E">
        <w:trPr>
          <w:jc w:val="center"/>
        </w:trPr>
        <w:tc>
          <w:tcPr>
            <w:tcW w:w="2185" w:type="pct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0" w:type="pct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Age</w:t>
            </w:r>
          </w:p>
        </w:tc>
        <w:tc>
          <w:tcPr>
            <w:tcW w:w="1545" w:type="pct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IOP</w:t>
            </w:r>
          </w:p>
        </w:tc>
      </w:tr>
      <w:tr w:rsidR="00CF5E81" w:rsidRPr="00C40F99" w:rsidTr="00C27A4E">
        <w:trPr>
          <w:jc w:val="center"/>
        </w:trPr>
        <w:tc>
          <w:tcPr>
            <w:tcW w:w="2185" w:type="pct"/>
            <w:vMerge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p</w:t>
            </w:r>
          </w:p>
        </w:tc>
      </w:tr>
      <w:tr w:rsidR="00CF5E81" w:rsidRPr="00C40F99" w:rsidTr="00C27A4E">
        <w:trPr>
          <w:jc w:val="center"/>
        </w:trPr>
        <w:tc>
          <w:tcPr>
            <w:tcW w:w="2185" w:type="pct"/>
            <w:tcBorders>
              <w:top w:val="single" w:sz="12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Central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thikness</w:t>
            </w:r>
            <w:proofErr w:type="spellEnd"/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0.104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0.303</w:t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0.867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&lt;0.001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CF5E81" w:rsidRPr="00C40F99" w:rsidTr="00C27A4E">
        <w:trPr>
          <w:jc w:val="center"/>
        </w:trPr>
        <w:tc>
          <w:tcPr>
            <w:tcW w:w="2185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epithelial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thikness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0.824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0.490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&lt;0.001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CF5E81" w:rsidRPr="00C40F99" w:rsidTr="00C27A4E">
        <w:trPr>
          <w:jc w:val="center"/>
        </w:trPr>
        <w:tc>
          <w:tcPr>
            <w:tcW w:w="2185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Horizontal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0.977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-0.094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0.351</w:t>
            </w:r>
          </w:p>
        </w:tc>
      </w:tr>
      <w:tr w:rsidR="00CF5E81" w:rsidRPr="00C40F99" w:rsidTr="00C27A4E">
        <w:trPr>
          <w:jc w:val="center"/>
        </w:trPr>
        <w:tc>
          <w:tcPr>
            <w:tcW w:w="2185" w:type="pct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Vertical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0.623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-0.060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CF5E81" w:rsidRPr="00C40F99" w:rsidRDefault="00CF5E81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0.556</w:t>
            </w:r>
          </w:p>
        </w:tc>
      </w:tr>
    </w:tbl>
    <w:p w:rsidR="00CF5E81" w:rsidRPr="00C40F99" w:rsidRDefault="00CF5E81" w:rsidP="001D0A33">
      <w:pPr>
        <w:snapToGrid w:val="0"/>
        <w:spacing w:after="0" w:line="240" w:lineRule="auto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r: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Pearson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coefficient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</w:p>
    <w:p w:rsidR="009165A5" w:rsidRPr="00C40F99" w:rsidRDefault="00CF5E81" w:rsidP="002A1C69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C40F99">
        <w:rPr>
          <w:rFonts w:eastAsia="Calibri" w:cs="Times New Roman"/>
          <w:sz w:val="20"/>
          <w:szCs w:val="20"/>
          <w:lang w:val="en-US" w:bidi="ar-EG"/>
        </w:rPr>
        <w:t>*: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Statistically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significant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at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p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≤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0.05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</w:p>
    <w:p w:rsidR="001D0A33" w:rsidRPr="00C40F99" w:rsidRDefault="001D0A33" w:rsidP="002A1C69">
      <w:pPr>
        <w:snapToGrid w:val="0"/>
        <w:spacing w:after="0" w:line="240" w:lineRule="auto"/>
        <w:ind w:firstLine="425"/>
        <w:jc w:val="both"/>
        <w:rPr>
          <w:rFonts w:cs="Times New Roman" w:hint="eastAsia"/>
          <w:sz w:val="20"/>
          <w:szCs w:val="20"/>
          <w:lang w:eastAsia="zh-CN"/>
        </w:rPr>
      </w:pPr>
    </w:p>
    <w:p w:rsidR="00C40F99" w:rsidRPr="00C40F99" w:rsidRDefault="00C40F99" w:rsidP="002A1C69">
      <w:pPr>
        <w:snapToGrid w:val="0"/>
        <w:spacing w:after="0" w:line="240" w:lineRule="auto"/>
        <w:ind w:firstLine="425"/>
        <w:jc w:val="both"/>
        <w:rPr>
          <w:rFonts w:cs="Times New Roman" w:hint="eastAsia"/>
          <w:sz w:val="20"/>
          <w:szCs w:val="20"/>
          <w:lang w:eastAsia="zh-CN"/>
        </w:rPr>
        <w:sectPr w:rsidR="00C40F99" w:rsidRPr="00C40F99" w:rsidSect="00C27A4E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lastRenderedPageBreak/>
        <w:t>About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radii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study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showed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that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average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horizontal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radius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7.61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0.25mm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while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mean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vertical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radius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7.61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0.27mm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(Table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1).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This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study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has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showed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correlation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between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radius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refractive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state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eye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(p&lt;0.001)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(Table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2)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found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that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</w:rPr>
        <w:t>myopes</w:t>
      </w:r>
      <w:proofErr w:type="spellEnd"/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7.53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0.19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mm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–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V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7.50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0.18mm)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tend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to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have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steeper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meaning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shorter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radius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whereas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C40F99">
        <w:rPr>
          <w:rFonts w:eastAsia="Times New Roman" w:cs="Times New Roman"/>
          <w:sz w:val="20"/>
          <w:szCs w:val="20"/>
        </w:rPr>
        <w:t>hypermetropes</w:t>
      </w:r>
      <w:proofErr w:type="spellEnd"/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7.80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0.23mm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-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V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7.84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±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0.28mm)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whose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tend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to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flatter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with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lastRenderedPageBreak/>
        <w:t>longer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radius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</w:t>
      </w:r>
      <w:r w:rsidR="00C27A4E" w:rsidRPr="00C40F99">
        <w:rPr>
          <w:rFonts w:eastAsia="Times New Roman" w:cs="Times New Roman"/>
          <w:sz w:val="20"/>
          <w:szCs w:val="20"/>
        </w:rPr>
        <w:t>e (</w:t>
      </w:r>
      <w:r w:rsidRPr="00C40F99">
        <w:rPr>
          <w:rFonts w:eastAsia="Times New Roman" w:cs="Times New Roman"/>
          <w:sz w:val="20"/>
          <w:szCs w:val="20"/>
        </w:rPr>
        <w:t>Table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2).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other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hand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was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no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correlation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between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radius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IOP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r=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-0.094,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p=0.351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–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V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r=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-0.060,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p=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0.556)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(Table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3).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>This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study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showed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what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no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association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between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radius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CCT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CE</w:t>
      </w:r>
      <w:r w:rsidR="00C27A4E" w:rsidRPr="00C40F99">
        <w:rPr>
          <w:rFonts w:eastAsia="Times New Roman" w:cs="Times New Roman"/>
          <w:sz w:val="20"/>
          <w:szCs w:val="20"/>
        </w:rPr>
        <w:t>T (</w:t>
      </w:r>
      <w:r w:rsidRPr="00C40F99">
        <w:rPr>
          <w:rFonts w:eastAsia="Times New Roman" w:cs="Times New Roman"/>
          <w:sz w:val="20"/>
          <w:szCs w:val="20"/>
        </w:rPr>
        <w:t>Table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5).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sz w:val="20"/>
          <w:szCs w:val="20"/>
        </w:rPr>
      </w:pPr>
      <w:r w:rsidRPr="00C40F99">
        <w:rPr>
          <w:rFonts w:eastAsia="Times New Roman" w:cs="Times New Roman"/>
          <w:sz w:val="20"/>
          <w:szCs w:val="20"/>
        </w:rPr>
        <w:t>Regarding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anthropometric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characteristics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the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study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sample,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age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and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gender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were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not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associated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with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CCT,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CET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or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corneal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radii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of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curvature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(table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3)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(Table</w:t>
      </w:r>
      <w:r w:rsidR="00C27A4E" w:rsidRPr="00C40F99">
        <w:rPr>
          <w:rFonts w:eastAsia="Times New Roman" w:cs="Times New Roman"/>
          <w:sz w:val="20"/>
          <w:szCs w:val="20"/>
        </w:rPr>
        <w:t xml:space="preserve"> </w:t>
      </w:r>
      <w:r w:rsidRPr="00C40F99">
        <w:rPr>
          <w:rFonts w:eastAsia="Times New Roman" w:cs="Times New Roman"/>
          <w:sz w:val="20"/>
          <w:szCs w:val="20"/>
        </w:rPr>
        <w:t>4).</w:t>
      </w:r>
    </w:p>
    <w:p w:rsidR="001D0A33" w:rsidRPr="00C40F99" w:rsidRDefault="001D0A33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/>
        </w:rPr>
        <w:sectPr w:rsidR="001D0A33" w:rsidRPr="00C40F99" w:rsidSect="001D0A33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C27A4E" w:rsidRPr="00C40F99" w:rsidRDefault="00C27A4E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/>
        </w:rPr>
      </w:pPr>
    </w:p>
    <w:p w:rsidR="009165A5" w:rsidRPr="00C40F99" w:rsidRDefault="009165A5" w:rsidP="002A1C69">
      <w:pPr>
        <w:snapToGrid w:val="0"/>
        <w:spacing w:after="0" w:line="240" w:lineRule="auto"/>
        <w:jc w:val="center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  <w:lang w:val="en-US"/>
        </w:rPr>
        <w:t>Table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(4):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Relation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sex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and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different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parameters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total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sample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(n=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100)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464"/>
        <w:gridCol w:w="1725"/>
        <w:gridCol w:w="1817"/>
        <w:gridCol w:w="735"/>
        <w:gridCol w:w="735"/>
      </w:tblGrid>
      <w:tr w:rsidR="009165A5" w:rsidRPr="00C40F99" w:rsidTr="00C27A4E">
        <w:trPr>
          <w:jc w:val="center"/>
        </w:trPr>
        <w:tc>
          <w:tcPr>
            <w:tcW w:w="2355" w:type="pct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9" w:type="pct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Sex</w:t>
            </w:r>
          </w:p>
        </w:tc>
        <w:tc>
          <w:tcPr>
            <w:tcW w:w="388" w:type="pct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</w:t>
            </w:r>
          </w:p>
        </w:tc>
        <w:tc>
          <w:tcPr>
            <w:tcW w:w="388" w:type="pct"/>
            <w:vMerge w:val="restart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p</w:t>
            </w: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vMerge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Male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(n=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52)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Female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(n=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48)</w:t>
            </w:r>
          </w:p>
        </w:tc>
        <w:tc>
          <w:tcPr>
            <w:tcW w:w="388" w:type="pct"/>
            <w:vMerge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single" w:sz="12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Central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thickness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508.0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579.0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508.0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579.0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0.158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0.875</w:t>
            </w: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541.94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22.53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541.27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19.68</w:t>
            </w:r>
          </w:p>
        </w:tc>
        <w:tc>
          <w:tcPr>
            <w:tcW w:w="3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541.0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542.0</w:t>
            </w:r>
          </w:p>
        </w:tc>
        <w:tc>
          <w:tcPr>
            <w:tcW w:w="3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epithelial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thikness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51.0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59.0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43.0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59.0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0.193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0.847</w:t>
            </w: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54.75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2.44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54.85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2.94</w:t>
            </w:r>
          </w:p>
        </w:tc>
        <w:tc>
          <w:tcPr>
            <w:tcW w:w="3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54.0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55.0</w:t>
            </w:r>
          </w:p>
        </w:tc>
        <w:tc>
          <w:tcPr>
            <w:tcW w:w="3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Horizontal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7.04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7.98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7.19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8.43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1.452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0.150</w:t>
            </w: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7.58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0.24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7.65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0.26</w:t>
            </w:r>
          </w:p>
        </w:tc>
        <w:tc>
          <w:tcPr>
            <w:tcW w:w="3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7.56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7.65</w:t>
            </w:r>
          </w:p>
        </w:tc>
        <w:tc>
          <w:tcPr>
            <w:tcW w:w="38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Vertical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Min.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7.12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8.22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7.25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–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8.23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0.431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0.667</w:t>
            </w: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SD.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7.60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7.62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±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sz w:val="20"/>
                <w:szCs w:val="20"/>
                <w:lang w:val="en-US"/>
              </w:rPr>
              <w:t>0.26</w:t>
            </w:r>
          </w:p>
        </w:tc>
        <w:tc>
          <w:tcPr>
            <w:tcW w:w="388" w:type="pct"/>
            <w:vMerge/>
            <w:tcBorders>
              <w:top w:val="nil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165A5" w:rsidRPr="00C40F99" w:rsidTr="00C27A4E">
        <w:trPr>
          <w:jc w:val="center"/>
        </w:trPr>
        <w:tc>
          <w:tcPr>
            <w:tcW w:w="2355" w:type="pct"/>
            <w:tcBorders>
              <w:top w:val="nil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Median</w:t>
            </w:r>
            <w:r w:rsidR="00C27A4E" w:rsidRPr="00C40F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7.54</w:t>
            </w:r>
          </w:p>
        </w:tc>
        <w:tc>
          <w:tcPr>
            <w:tcW w:w="388" w:type="pct"/>
            <w:vMerge/>
            <w:tcBorders>
              <w:top w:val="nil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="009165A5" w:rsidRPr="00C40F99" w:rsidRDefault="009165A5" w:rsidP="001D0A33">
      <w:pPr>
        <w:tabs>
          <w:tab w:val="left" w:pos="6480"/>
        </w:tabs>
        <w:snapToGrid w:val="0"/>
        <w:spacing w:after="0" w:line="240" w:lineRule="auto"/>
        <w:jc w:val="both"/>
        <w:rPr>
          <w:rFonts w:cs="Times New Roman"/>
          <w:sz w:val="20"/>
          <w:szCs w:val="20"/>
          <w:lang w:val="en-US" w:bidi="ar-EG"/>
        </w:rPr>
      </w:pPr>
      <w:r w:rsidRPr="00C40F99">
        <w:rPr>
          <w:rFonts w:cs="Times New Roman"/>
          <w:sz w:val="20"/>
          <w:szCs w:val="20"/>
          <w:lang w:val="en-US"/>
        </w:rPr>
        <w:t>t,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p: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values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Student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t-test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 w:bidi="ar-EG"/>
        </w:rPr>
        <w:t>forassociation</w:t>
      </w:r>
      <w:proofErr w:type="spellEnd"/>
      <w:r w:rsidR="00C27A4E" w:rsidRPr="00C40F99">
        <w:rPr>
          <w:rFonts w:cs="Times New Roman"/>
          <w:sz w:val="20"/>
          <w:szCs w:val="20"/>
          <w:lang w:val="en-US" w:bidi="ar-EG"/>
        </w:rPr>
        <w:t xml:space="preserve"> </w:t>
      </w:r>
      <w:r w:rsidRPr="00C40F99">
        <w:rPr>
          <w:rFonts w:cs="Times New Roman"/>
          <w:sz w:val="20"/>
          <w:szCs w:val="20"/>
          <w:lang w:val="en-US" w:bidi="ar-EG"/>
        </w:rPr>
        <w:t>between</w:t>
      </w:r>
      <w:r w:rsidR="00C27A4E" w:rsidRPr="00C40F99">
        <w:rPr>
          <w:rFonts w:cs="Times New Roman"/>
          <w:sz w:val="20"/>
          <w:szCs w:val="20"/>
          <w:lang w:val="en-US" w:bidi="ar-EG"/>
        </w:rPr>
        <w:t xml:space="preserve"> </w:t>
      </w:r>
      <w:r w:rsidRPr="00C40F99">
        <w:rPr>
          <w:rFonts w:cs="Times New Roman"/>
          <w:sz w:val="20"/>
          <w:szCs w:val="20"/>
          <w:lang w:val="en-US" w:bidi="ar-EG"/>
        </w:rPr>
        <w:t>sex</w:t>
      </w:r>
      <w:r w:rsidR="00C27A4E" w:rsidRPr="00C40F99">
        <w:rPr>
          <w:rFonts w:cs="Times New Roman"/>
          <w:sz w:val="20"/>
          <w:szCs w:val="20"/>
          <w:lang w:val="en-US" w:bidi="ar-EG"/>
        </w:rPr>
        <w:t xml:space="preserve"> </w:t>
      </w:r>
      <w:r w:rsidRPr="00C40F99">
        <w:rPr>
          <w:rFonts w:cs="Times New Roman"/>
          <w:sz w:val="20"/>
          <w:szCs w:val="20"/>
          <w:lang w:val="en-US" w:bidi="ar-EG"/>
        </w:rPr>
        <w:t>and</w:t>
      </w:r>
      <w:r w:rsidR="00C27A4E" w:rsidRPr="00C40F99">
        <w:rPr>
          <w:rFonts w:cs="Times New Roman"/>
          <w:sz w:val="20"/>
          <w:szCs w:val="20"/>
          <w:lang w:val="en-US" w:bidi="ar-EG"/>
        </w:rPr>
        <w:t xml:space="preserve"> </w:t>
      </w:r>
      <w:r w:rsidRPr="00C40F99">
        <w:rPr>
          <w:rFonts w:cs="Times New Roman"/>
          <w:sz w:val="20"/>
          <w:szCs w:val="20"/>
          <w:lang w:val="en-US" w:bidi="ar-EG"/>
        </w:rPr>
        <w:t>different</w:t>
      </w:r>
      <w:r w:rsidR="00C27A4E" w:rsidRPr="00C40F99">
        <w:rPr>
          <w:rFonts w:cs="Times New Roman"/>
          <w:sz w:val="20"/>
          <w:szCs w:val="20"/>
          <w:lang w:val="en-US" w:bidi="ar-EG"/>
        </w:rPr>
        <w:t xml:space="preserve"> </w:t>
      </w:r>
      <w:r w:rsidRPr="00C40F99">
        <w:rPr>
          <w:rFonts w:cs="Times New Roman"/>
          <w:sz w:val="20"/>
          <w:szCs w:val="20"/>
          <w:lang w:val="en-US" w:bidi="ar-EG"/>
        </w:rPr>
        <w:t>parameters</w:t>
      </w:r>
      <w:r w:rsidR="00C27A4E" w:rsidRPr="00C40F99">
        <w:rPr>
          <w:rFonts w:cs="Times New Roman"/>
          <w:sz w:val="20"/>
          <w:szCs w:val="20"/>
          <w:lang w:val="en-US" w:bidi="ar-EG"/>
        </w:rPr>
        <w:t xml:space="preserve"> </w:t>
      </w:r>
    </w:p>
    <w:p w:rsidR="009165A5" w:rsidRPr="00C40F99" w:rsidRDefault="009165A5" w:rsidP="002A1C69">
      <w:pPr>
        <w:snapToGrid w:val="0"/>
        <w:spacing w:after="0" w:line="240" w:lineRule="auto"/>
        <w:jc w:val="center"/>
        <w:rPr>
          <w:rFonts w:cs="Times New Roman"/>
          <w:b/>
          <w:bCs/>
          <w:sz w:val="20"/>
          <w:szCs w:val="20"/>
          <w:lang w:val="en-US"/>
        </w:rPr>
      </w:pPr>
    </w:p>
    <w:p w:rsidR="009165A5" w:rsidRPr="00C40F99" w:rsidRDefault="009165A5" w:rsidP="002A1C69">
      <w:pPr>
        <w:snapToGrid w:val="0"/>
        <w:spacing w:after="0" w:line="240" w:lineRule="auto"/>
        <w:jc w:val="center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  <w:lang w:val="en-US"/>
        </w:rPr>
        <w:t>Table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(5):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Correlation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different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parameters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total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sample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(n=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100)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694"/>
        <w:gridCol w:w="819"/>
        <w:gridCol w:w="963"/>
      </w:tblGrid>
      <w:tr w:rsidR="009165A5" w:rsidRPr="00C40F99" w:rsidTr="00C27A4E">
        <w:trPr>
          <w:jc w:val="center"/>
        </w:trPr>
        <w:tc>
          <w:tcPr>
            <w:tcW w:w="4060" w:type="pc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" w:type="pct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508" w:type="pct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p</w:t>
            </w:r>
          </w:p>
        </w:tc>
      </w:tr>
      <w:tr w:rsidR="009165A5" w:rsidRPr="00C40F99" w:rsidTr="00C27A4E">
        <w:trPr>
          <w:jc w:val="center"/>
        </w:trPr>
        <w:tc>
          <w:tcPr>
            <w:tcW w:w="4060" w:type="pct"/>
            <w:tcBorders>
              <w:top w:val="single" w:sz="12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Central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thickness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vs</w:t>
            </w:r>
            <w:proofErr w:type="spellEnd"/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Horizontal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0.981</w:t>
            </w:r>
          </w:p>
        </w:tc>
      </w:tr>
      <w:tr w:rsidR="009165A5" w:rsidRPr="00C40F99" w:rsidTr="00C27A4E">
        <w:trPr>
          <w:jc w:val="center"/>
        </w:trPr>
        <w:tc>
          <w:tcPr>
            <w:tcW w:w="4060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Central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thickness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vs</w:t>
            </w:r>
            <w:proofErr w:type="spellEnd"/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Vertical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0.804</w:t>
            </w:r>
          </w:p>
        </w:tc>
      </w:tr>
      <w:tr w:rsidR="009165A5" w:rsidRPr="00C40F99" w:rsidTr="00C27A4E">
        <w:trPr>
          <w:jc w:val="center"/>
        </w:trPr>
        <w:tc>
          <w:tcPr>
            <w:tcW w:w="4060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epithelial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thiknessvs</w:t>
            </w:r>
            <w:proofErr w:type="spellEnd"/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Horizontal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-0.010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0.920</w:t>
            </w:r>
          </w:p>
        </w:tc>
      </w:tr>
      <w:tr w:rsidR="009165A5" w:rsidRPr="00C40F99" w:rsidTr="00C27A4E">
        <w:trPr>
          <w:jc w:val="center"/>
        </w:trPr>
        <w:tc>
          <w:tcPr>
            <w:tcW w:w="4060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epithelial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thiknessvs</w:t>
            </w:r>
            <w:proofErr w:type="spellEnd"/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Vertical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radius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curvature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-0.170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0.092</w:t>
            </w:r>
          </w:p>
        </w:tc>
      </w:tr>
      <w:tr w:rsidR="009165A5" w:rsidRPr="00C40F99" w:rsidTr="00C27A4E">
        <w:trPr>
          <w:jc w:val="center"/>
        </w:trPr>
        <w:tc>
          <w:tcPr>
            <w:tcW w:w="4060" w:type="pct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Central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thickness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vs</w:t>
            </w:r>
            <w:proofErr w:type="spellEnd"/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Corneal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epithelial</w:t>
            </w:r>
            <w:r w:rsidR="00C27A4E"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0F9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thikness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0.516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9165A5" w:rsidRPr="00C40F99" w:rsidRDefault="009165A5" w:rsidP="002A1C69">
            <w:pPr>
              <w:snapToGrid w:val="0"/>
              <w:jc w:val="both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  <w:r w:rsidRPr="00C40F99">
              <w:rPr>
                <w:rFonts w:cs="Times New Roman"/>
                <w:sz w:val="20"/>
                <w:szCs w:val="20"/>
                <w:lang w:val="en-US"/>
              </w:rPr>
              <w:t>&lt;0.001</w:t>
            </w:r>
            <w:r w:rsidRPr="00C40F9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</w:tbl>
    <w:p w:rsidR="009165A5" w:rsidRPr="00C40F99" w:rsidRDefault="009165A5" w:rsidP="001D0A33">
      <w:pPr>
        <w:snapToGrid w:val="0"/>
        <w:spacing w:after="0" w:line="240" w:lineRule="auto"/>
        <w:jc w:val="both"/>
        <w:rPr>
          <w:rFonts w:eastAsia="Calibri" w:cs="Times New Roman"/>
          <w:sz w:val="20"/>
          <w:szCs w:val="20"/>
          <w:lang w:val="en-US" w:bidi="ar-EG"/>
        </w:rPr>
      </w:pPr>
      <w:r w:rsidRPr="00C40F99">
        <w:rPr>
          <w:rFonts w:cs="Times New Roman"/>
          <w:sz w:val="20"/>
          <w:szCs w:val="20"/>
          <w:lang w:val="en-US"/>
        </w:rPr>
        <w:t>r: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Pearson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coefficient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*: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Statistically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significant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at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p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≤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  <w:r w:rsidRPr="00C40F99">
        <w:rPr>
          <w:rFonts w:eastAsia="Calibri" w:cs="Times New Roman"/>
          <w:sz w:val="20"/>
          <w:szCs w:val="20"/>
          <w:lang w:val="en-US" w:bidi="ar-EG"/>
        </w:rPr>
        <w:t>0.05</w:t>
      </w:r>
      <w:r w:rsidR="00C27A4E" w:rsidRPr="00C40F99">
        <w:rPr>
          <w:rFonts w:eastAsia="Calibri" w:cs="Times New Roman"/>
          <w:sz w:val="20"/>
          <w:szCs w:val="20"/>
          <w:lang w:val="en-US" w:bidi="ar-EG"/>
        </w:rPr>
        <w:t xml:space="preserve"> </w:t>
      </w:r>
    </w:p>
    <w:p w:rsidR="00C27A4E" w:rsidRPr="00C40F99" w:rsidRDefault="00C27A4E" w:rsidP="002A1C69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1D0A33" w:rsidRPr="00C40F99" w:rsidRDefault="001D0A33" w:rsidP="002A1C69">
      <w:pPr>
        <w:snapToGrid w:val="0"/>
        <w:spacing w:after="0" w:line="240" w:lineRule="auto"/>
        <w:ind w:firstLine="425"/>
        <w:jc w:val="both"/>
        <w:rPr>
          <w:rFonts w:eastAsia="Times New Roman" w:cs="Times New Roman"/>
          <w:b/>
          <w:bCs/>
          <w:sz w:val="20"/>
          <w:szCs w:val="20"/>
        </w:rPr>
        <w:sectPr w:rsidR="001D0A33" w:rsidRPr="00C40F99" w:rsidSect="00C27A4E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2065DF" w:rsidRPr="00C40F99" w:rsidRDefault="00CF5E81" w:rsidP="001D0A33">
      <w:pPr>
        <w:snapToGrid w:val="0"/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b/>
          <w:bCs/>
          <w:sz w:val="20"/>
          <w:szCs w:val="20"/>
        </w:rPr>
        <w:lastRenderedPageBreak/>
        <w:t>4.</w:t>
      </w:r>
      <w:r w:rsidR="00C27A4E" w:rsidRPr="00C40F9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C40F99">
        <w:rPr>
          <w:rFonts w:eastAsia="Times New Roman" w:cs="Times New Roman"/>
          <w:b/>
          <w:bCs/>
          <w:sz w:val="20"/>
          <w:szCs w:val="20"/>
        </w:rPr>
        <w:t>Discussion</w:t>
      </w:r>
      <w:r w:rsidR="002065DF" w:rsidRPr="00C40F99">
        <w:rPr>
          <w:rFonts w:eastAsia="Times New Roman" w:cs="Times New Roman"/>
          <w:sz w:val="20"/>
          <w:szCs w:val="20"/>
          <w:lang w:val="en-US"/>
        </w:rPr>
        <w:t>: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anterior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segment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spectral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domain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OCT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was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designed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to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analyze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the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anterior</w:t>
      </w:r>
      <w:r w:rsidR="00C27A4E" w:rsidRPr="00C40F99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C40F99">
        <w:rPr>
          <w:rFonts w:eastAsia="Times New Roman" w:cs="Times New Roman"/>
          <w:sz w:val="20"/>
          <w:szCs w:val="20"/>
          <w:lang w:val="en-US"/>
        </w:rPr>
        <w:t>se</w:t>
      </w:r>
      <w:r w:rsidR="00E91602" w:rsidRPr="00C40F99">
        <w:rPr>
          <w:rFonts w:cs="Times New Roman"/>
          <w:sz w:val="20"/>
          <w:szCs w:val="20"/>
          <w:lang w:val="en-US"/>
        </w:rPr>
        <w:t>gment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eye.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highs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rate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makes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possible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capture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large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number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two-dimensional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tomographic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images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</w:t>
      </w:r>
      <w:r w:rsidR="00E91602" w:rsidRPr="00C40F99">
        <w:rPr>
          <w:rFonts w:cs="Times New Roman"/>
          <w:sz w:val="20"/>
          <w:szCs w:val="20"/>
          <w:lang w:val="en-US"/>
        </w:rPr>
        <w:t>thin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limited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time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E91602" w:rsidRPr="00C40F99">
        <w:rPr>
          <w:rFonts w:cs="Times New Roman"/>
          <w:sz w:val="20"/>
          <w:szCs w:val="20"/>
          <w:lang w:val="en-US"/>
        </w:rPr>
        <w:t>then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E91602" w:rsidRPr="00C40F99">
        <w:rPr>
          <w:rFonts w:cs="Times New Roman"/>
          <w:sz w:val="20"/>
          <w:szCs w:val="20"/>
          <w:lang w:val="en-US"/>
        </w:rPr>
        <w:t>to</w:t>
      </w:r>
      <w:r w:rsidRPr="00C40F99">
        <w:rPr>
          <w:rFonts w:cs="Times New Roman"/>
          <w:sz w:val="20"/>
          <w:szCs w:val="20"/>
          <w:lang w:val="en-US"/>
        </w:rPr>
        <w:t>generate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three­dimensional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representation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anterior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segment.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high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scan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rate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should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also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decrease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motion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artifacts.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used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SD-OCT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measurement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lastRenderedPageBreak/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radii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which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makes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technically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different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other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</w:t>
      </w:r>
      <w:bookmarkStart w:id="0" w:name="_GoBack"/>
      <w:bookmarkEnd w:id="0"/>
      <w:r w:rsidRPr="00C40F99">
        <w:rPr>
          <w:rFonts w:cs="Times New Roman"/>
          <w:sz w:val="20"/>
          <w:szCs w:val="20"/>
        </w:rPr>
        <w:t>udies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where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analyses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done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usage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ultrasound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pachymetry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or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Scheimpflug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imaging.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SD-OCT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measures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accurately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those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parameters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reported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publications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physical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limitations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method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itself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determined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wavelength,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system,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sensor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characteristics.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[16]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So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in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our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study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our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primary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outcome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assess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distribution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ocular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parameters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healthy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lastRenderedPageBreak/>
        <w:t>eyes.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Significant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scatter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observed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metrics;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despite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many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statistically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signiﬁcant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correlations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were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found.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evaluated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central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thickness,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epithelial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thickness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radii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curvature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healthy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eyes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its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relation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age,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sex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intraocular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pressure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state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eye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using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</w:rPr>
        <w:t>Topcon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OCT-2000.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  <w:lang w:val="en-US"/>
        </w:rPr>
        <w:t>As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regarding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central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thickness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  <w:lang w:val="en-US"/>
        </w:rPr>
        <w:t>we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demonstrated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central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thickness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measurements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were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independently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associated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intraocular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pressure</w:t>
      </w:r>
      <w:r w:rsidR="001D0A33" w:rsidRPr="00C40F99">
        <w:rPr>
          <w:rFonts w:cs="Times New Roman"/>
          <w:sz w:val="20"/>
          <w:szCs w:val="20"/>
          <w:lang w:val="en-US"/>
        </w:rPr>
        <w:t xml:space="preserve">. </w:t>
      </w:r>
      <w:r w:rsidR="001D0A33" w:rsidRPr="00C40F99">
        <w:rPr>
          <w:rFonts w:cs="Times New Roman"/>
          <w:sz w:val="20"/>
          <w:szCs w:val="20"/>
        </w:rPr>
        <w:t>P</w:t>
      </w:r>
      <w:r w:rsidRPr="00C40F99">
        <w:rPr>
          <w:rFonts w:cs="Times New Roman"/>
          <w:sz w:val="20"/>
          <w:szCs w:val="20"/>
        </w:rPr>
        <w:t>reviously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published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studies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yielded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congruent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findings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using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ultrasound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pachymetry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72506D" w:rsidRPr="00C40F99">
        <w:rPr>
          <w:rFonts w:cs="Times New Roman"/>
          <w:sz w:val="20"/>
          <w:szCs w:val="20"/>
        </w:rPr>
        <w:t>pressure.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72506D" w:rsidRPr="00C40F99">
        <w:rPr>
          <w:rFonts w:cs="Times New Roman"/>
          <w:sz w:val="20"/>
          <w:szCs w:val="20"/>
        </w:rPr>
        <w:t>[</w:t>
      </w:r>
      <w:r w:rsidRPr="00C40F99">
        <w:rPr>
          <w:rFonts w:cs="Times New Roman"/>
          <w:sz w:val="20"/>
          <w:szCs w:val="20"/>
        </w:rPr>
        <w:t>17-18]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We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also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found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correlation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spherical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equivalent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error.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 w:bidi="ar-EG"/>
        </w:rPr>
      </w:pP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agreement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results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studies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failed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reveal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significant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correlation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Zhang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</w:rPr>
        <w:t>[19]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4439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Chinese,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Chen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[20]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500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Taiwanese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Chinese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Su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[21]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3239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Singaporean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Malays,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respectively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seems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correlated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error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studies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mentioned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above.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contrast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other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studies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showed</w:t>
      </w:r>
      <w:r w:rsidR="001D0A33" w:rsidRPr="00C40F99">
        <w:rPr>
          <w:rFonts w:cs="Times New Roman"/>
          <w:sz w:val="20"/>
          <w:szCs w:val="20"/>
          <w:lang w:val="en-US"/>
        </w:rPr>
        <w:t>; F</w:t>
      </w:r>
      <w:r w:rsidRPr="00C40F99">
        <w:rPr>
          <w:rFonts w:cs="Times New Roman"/>
          <w:sz w:val="20"/>
          <w:szCs w:val="20"/>
          <w:lang w:val="en-US"/>
        </w:rPr>
        <w:t>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myopic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populations,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thinner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were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reported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216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young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adults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averaged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error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-4.17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diopters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Chang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[22],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whereas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correlation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degree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myopia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found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714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Singaporean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Chinese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mean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error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-5.3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diopters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Fam</w:t>
      </w:r>
      <w:proofErr w:type="spellEnd"/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[23]</w:t>
      </w:r>
      <w:r w:rsidRPr="00C40F99">
        <w:rPr>
          <w:rFonts w:cs="Times New Roman"/>
          <w:b/>
          <w:bCs/>
          <w:sz w:val="20"/>
          <w:szCs w:val="20"/>
          <w:lang w:val="en-US"/>
        </w:rPr>
        <w:t>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normal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populations,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significant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correlation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demonstrated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3021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Japanese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Suzuki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[</w:t>
      </w:r>
      <w:r w:rsidRPr="00C40F99">
        <w:rPr>
          <w:rFonts w:cs="Times New Roman"/>
          <w:sz w:val="20"/>
          <w:szCs w:val="20"/>
          <w:lang w:val="en-US"/>
        </w:rPr>
        <w:t>24]</w:t>
      </w:r>
      <w:r w:rsidRPr="00C40F99">
        <w:rPr>
          <w:rFonts w:cs="Times New Roman"/>
          <w:b/>
          <w:bCs/>
          <w:sz w:val="20"/>
          <w:szCs w:val="20"/>
          <w:lang w:val="en-US"/>
        </w:rPr>
        <w:t>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-In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found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correlation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curvature.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agreement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our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study,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Iyamu</w:t>
      </w:r>
      <w:proofErr w:type="spellEnd"/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and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Eze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[25]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investigated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relationship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curvature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95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Nigerian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adults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(56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males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39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females)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20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69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years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significant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association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found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curvature.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contrary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Sawada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[26]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reported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positive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Japanese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subjects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(N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=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3021)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40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years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older.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  <w:lang w:val="en-US"/>
        </w:rPr>
        <w:t>-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population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consisting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cohort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Caucasians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range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from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60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years,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</w:rPr>
        <w:t>Upon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comparing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findings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those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published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other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groups,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must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considered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range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corresponds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working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included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healthy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purpose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reporting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physiological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conditions,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whereas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many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other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studies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appeared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much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older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starting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reaching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senility.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Wolfs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[27]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</w:t>
      </w:r>
      <w:r w:rsidR="001D0A33" w:rsidRPr="00C40F99">
        <w:rPr>
          <w:rFonts w:cs="Times New Roman"/>
          <w:sz w:val="20"/>
          <w:szCs w:val="20"/>
        </w:rPr>
        <w:t xml:space="preserve">d </w:t>
      </w:r>
      <w:proofErr w:type="spellStart"/>
      <w:r w:rsidR="001D0A33" w:rsidRPr="00C40F99">
        <w:rPr>
          <w:rFonts w:cs="Times New Roman"/>
          <w:b/>
          <w:bCs/>
          <w:sz w:val="20"/>
          <w:szCs w:val="20"/>
        </w:rPr>
        <w:t>E</w:t>
      </w:r>
      <w:r w:rsidRPr="00C40F99">
        <w:rPr>
          <w:rFonts w:cs="Times New Roman"/>
          <w:b/>
          <w:bCs/>
          <w:sz w:val="20"/>
          <w:szCs w:val="20"/>
        </w:rPr>
        <w:t>ysteinsson</w:t>
      </w:r>
      <w:proofErr w:type="spellEnd"/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[28]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studies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different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lastRenderedPageBreak/>
        <w:t>ranges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find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contrast,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other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ethnicities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especially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persons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70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years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older,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Chua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[29]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reported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decrease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indicates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gradually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increase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decades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covered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cohort,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while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over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70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years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decrease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observed.</w:t>
      </w:r>
    </w:p>
    <w:p w:rsidR="001D0A33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-The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present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showed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gender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significant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effect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</w:t>
      </w:r>
      <w:r w:rsidR="001D0A33" w:rsidRPr="00C40F99">
        <w:rPr>
          <w:rFonts w:cs="Times New Roman"/>
          <w:sz w:val="20"/>
          <w:szCs w:val="20"/>
          <w:lang w:val="en-US"/>
        </w:rPr>
        <w:t>T.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agreement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our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Durkin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[30]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Aghanian</w:t>
      </w:r>
      <w:proofErr w:type="spellEnd"/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[31]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showed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difference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male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female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sex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according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controversy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other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studies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like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Shimmyo</w:t>
      </w:r>
      <w:proofErr w:type="spellEnd"/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[32]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reported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males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thicker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females.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Hahn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[33]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found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difference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genders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only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4.6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µm,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which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less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mean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interocular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difference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(7.7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µm)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their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normal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subjects.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Therefore,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concluded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difference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women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statistically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but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clinically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significant.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  <w:lang w:val="en-US"/>
        </w:rPr>
        <w:t>As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regarding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epithelial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thickness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  <w:lang w:val="en-US"/>
        </w:rPr>
        <w:t>-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found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epithelium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correlated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significantly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total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tended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maintain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ratio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around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10.1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6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0.6%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total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value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sex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refraction,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seems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independent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predictive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factor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epithelium.</w:t>
      </w:r>
    </w:p>
    <w:p w:rsidR="008322A2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agreement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results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</w:rPr>
        <w:t>Dmitrii</w:t>
      </w:r>
      <w:proofErr w:type="spellEnd"/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[34]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revealed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positive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CET.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other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Wu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[35]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reported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weak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total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found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coefficient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0.12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contrast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which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showed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coefficient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0.53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which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much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higher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8322A2" w:rsidRPr="00C40F99">
        <w:rPr>
          <w:rFonts w:cs="Times New Roman"/>
          <w:b/>
          <w:bCs/>
          <w:sz w:val="20"/>
          <w:szCs w:val="20"/>
        </w:rPr>
        <w:t>Wu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="008322A2"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="008322A2" w:rsidRPr="00C40F99">
        <w:rPr>
          <w:rFonts w:cs="Times New Roman"/>
          <w:b/>
          <w:bCs/>
          <w:sz w:val="20"/>
          <w:szCs w:val="20"/>
        </w:rPr>
        <w:t>al</w:t>
      </w:r>
      <w:r w:rsidR="001D0A33" w:rsidRPr="00C40F99">
        <w:rPr>
          <w:rFonts w:cs="Times New Roman" w:hint="eastAsia"/>
          <w:b/>
          <w:bCs/>
          <w:sz w:val="20"/>
          <w:szCs w:val="20"/>
          <w:lang w:eastAsia="zh-CN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8322A2" w:rsidRPr="00C40F99">
        <w:rPr>
          <w:rFonts w:cs="Times New Roman"/>
          <w:sz w:val="20"/>
          <w:szCs w:val="20"/>
        </w:rPr>
        <w:t>[35]</w:t>
      </w:r>
      <w:r w:rsidR="00C27A4E" w:rsidRPr="00C40F99">
        <w:rPr>
          <w:rFonts w:cs="Times New Roman"/>
          <w:sz w:val="20"/>
          <w:szCs w:val="20"/>
        </w:rPr>
        <w:t xml:space="preserve"> 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also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showed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sex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state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Pr="00C40F99">
        <w:rPr>
          <w:rFonts w:cs="Times New Roman"/>
          <w:b/>
          <w:bCs/>
          <w:sz w:val="20"/>
          <w:szCs w:val="20"/>
        </w:rPr>
        <w:t>.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Tao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[36]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find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gender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44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from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22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people.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</w:rPr>
        <w:t>Francoz</w:t>
      </w:r>
      <w:proofErr w:type="spellEnd"/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[37]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didn’t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find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variation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normal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adults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40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years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old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(n = 18)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older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adults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larger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40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years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old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(n = 10).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</w:rPr>
        <w:t>Reinstein</w:t>
      </w:r>
      <w:proofErr w:type="spellEnd"/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[38]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revealed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significant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relationship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56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subjects.</w:t>
      </w: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C40F99">
        <w:rPr>
          <w:rFonts w:cs="Times New Roman"/>
          <w:b/>
          <w:bCs/>
          <w:sz w:val="20"/>
          <w:szCs w:val="20"/>
        </w:rPr>
        <w:t>As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regarding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corneal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radius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of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curvature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showed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state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(p&lt;0.001)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found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myopes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tend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steeper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meaning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shorter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followed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emmetropesand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lastly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lastRenderedPageBreak/>
        <w:t>hypermetropes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whose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tend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flatter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longer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agreement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Goh</w:t>
      </w:r>
      <w:proofErr w:type="spellEnd"/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and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Lam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[39]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Lam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l </w:t>
      </w:r>
      <w:r w:rsidR="00C27A4E" w:rsidRPr="00C40F99">
        <w:rPr>
          <w:rFonts w:cs="Times New Roman"/>
          <w:sz w:val="20"/>
          <w:szCs w:val="20"/>
          <w:lang w:val="en-US"/>
        </w:rPr>
        <w:t>[</w:t>
      </w:r>
      <w:r w:rsidRPr="00C40F99">
        <w:rPr>
          <w:rFonts w:cs="Times New Roman"/>
          <w:sz w:val="20"/>
          <w:szCs w:val="20"/>
          <w:lang w:val="en-US"/>
        </w:rPr>
        <w:t>40]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reported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average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curvature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vary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significantly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status;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however,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myopes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tended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steeper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corneas,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followed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emmetropes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lastly,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sz w:val="20"/>
          <w:szCs w:val="20"/>
          <w:lang w:val="en-US"/>
        </w:rPr>
        <w:t>hyperopes</w:t>
      </w:r>
      <w:proofErr w:type="spellEnd"/>
      <w:r w:rsidRPr="00C40F99">
        <w:rPr>
          <w:rFonts w:cs="Times New Roman"/>
          <w:sz w:val="20"/>
          <w:szCs w:val="20"/>
          <w:lang w:val="en-US"/>
        </w:rPr>
        <w:t>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subsequent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Osuobeni</w:t>
      </w:r>
      <w:proofErr w:type="spellEnd"/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[41]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found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similar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results.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Hosny</w:t>
      </w:r>
      <w:proofErr w:type="spellEnd"/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[42]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explained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apparent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contradiction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indicating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myopic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eyes,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which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long,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steeper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shorter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because,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together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increase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axial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length,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steepening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also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occurs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during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development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myopia.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-This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didn’t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establish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relationship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IOP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agreement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our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</w:rPr>
        <w:t>Orssengo</w:t>
      </w:r>
      <w:proofErr w:type="spellEnd"/>
      <w:r w:rsidR="00C27A4E" w:rsidRPr="00C40F99">
        <w:rPr>
          <w:rFonts w:cs="Times New Roman"/>
          <w:b/>
          <w:bCs/>
          <w:sz w:val="20"/>
          <w:szCs w:val="20"/>
        </w:rPr>
        <w:t xml:space="preserve"> &amp; </w:t>
      </w:r>
      <w:proofErr w:type="spellStart"/>
      <w:r w:rsidRPr="00C40F99">
        <w:rPr>
          <w:rFonts w:cs="Times New Roman"/>
          <w:b/>
          <w:bCs/>
          <w:sz w:val="20"/>
          <w:szCs w:val="20"/>
        </w:rPr>
        <w:t>Pye</w:t>
      </w:r>
      <w:proofErr w:type="spellEnd"/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[43],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using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randomly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sampled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normal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925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right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none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had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keratorefractive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surgery,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found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IOP.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Another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carried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using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Goldman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8322A2" w:rsidRPr="00C40F99">
        <w:rPr>
          <w:rFonts w:cs="Times New Roman"/>
          <w:sz w:val="20"/>
          <w:szCs w:val="20"/>
        </w:rPr>
        <w:t>application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tonometry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87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patients,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found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drop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IOP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0.71mmHg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10µm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thinning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authors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suggested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change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had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least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some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effect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IOP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measurements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Rosa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et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al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[44].</w:t>
      </w:r>
      <w:r w:rsidR="00C27A4E" w:rsidRPr="00C40F99">
        <w:rPr>
          <w:rFonts w:cs="Times New Roman"/>
          <w:sz w:val="20"/>
          <w:szCs w:val="20"/>
        </w:rPr>
        <w:t xml:space="preserve"> 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-In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this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study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no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association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between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="008322A2"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sex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</w:rPr>
        <w:t>Tomlinson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b/>
          <w:bCs/>
          <w:sz w:val="20"/>
          <w:szCs w:val="20"/>
        </w:rPr>
        <w:t>A</w:t>
      </w:r>
      <w:r w:rsidR="00C27A4E" w:rsidRPr="00C40F99">
        <w:rPr>
          <w:rFonts w:cs="Times New Roman"/>
          <w:b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[45]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agreed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demonstrated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gender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CC.</w:t>
      </w:r>
      <w:r w:rsidR="00C27A4E" w:rsidRPr="00C40F99">
        <w:rPr>
          <w:rFonts w:cs="Times New Roman"/>
          <w:sz w:val="20"/>
          <w:szCs w:val="20"/>
        </w:rPr>
        <w:t xml:space="preserve"> 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sz w:val="20"/>
          <w:szCs w:val="20"/>
          <w:lang w:val="en-US"/>
        </w:rPr>
        <w:t>On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other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C40F99">
        <w:rPr>
          <w:rFonts w:cs="Times New Roman"/>
          <w:b/>
          <w:bCs/>
          <w:sz w:val="20"/>
          <w:szCs w:val="20"/>
          <w:lang w:val="en-US"/>
        </w:rPr>
        <w:t>Mohd</w:t>
      </w:r>
      <w:proofErr w:type="spellEnd"/>
      <w:r w:rsidRPr="00C40F99">
        <w:rPr>
          <w:rFonts w:cs="Times New Roman"/>
          <w:b/>
          <w:bCs/>
          <w:sz w:val="20"/>
          <w:szCs w:val="20"/>
          <w:lang w:val="en-US"/>
        </w:rPr>
        <w:t>-Ali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[46]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reported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curvature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becomes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shorter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with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increasing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age,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also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demonstrated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females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significantly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shorter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average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males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(p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&lt;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0.001).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Whereas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Lam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et</w:t>
      </w:r>
      <w:r w:rsidR="00C27A4E" w:rsidRPr="00C40F99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C40F99">
        <w:rPr>
          <w:rFonts w:cs="Times New Roman"/>
          <w:b/>
          <w:bCs/>
          <w:sz w:val="20"/>
          <w:szCs w:val="20"/>
          <w:lang w:val="en-US"/>
        </w:rPr>
        <w:t>al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[40]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subjects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40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years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and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older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reported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that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have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longer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radius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CC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than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women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same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age.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explained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these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differences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because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various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factors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such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refractive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errors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such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as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higher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degree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of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myopia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females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resulting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in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steeper</w:t>
      </w:r>
      <w:r w:rsidR="00C27A4E" w:rsidRPr="00C40F99">
        <w:rPr>
          <w:rFonts w:cs="Times New Roman"/>
          <w:sz w:val="20"/>
          <w:szCs w:val="20"/>
          <w:lang w:val="en-US"/>
        </w:rPr>
        <w:t xml:space="preserve"> </w:t>
      </w:r>
      <w:r w:rsidRPr="00C40F99">
        <w:rPr>
          <w:rFonts w:cs="Times New Roman"/>
          <w:sz w:val="20"/>
          <w:szCs w:val="20"/>
          <w:lang w:val="en-US"/>
        </w:rPr>
        <w:t>corneas.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  <w:lang w:val="en-US"/>
        </w:rPr>
      </w:pPr>
    </w:p>
    <w:p w:rsidR="002065DF" w:rsidRPr="00C40F99" w:rsidRDefault="002065DF" w:rsidP="002A1C69">
      <w:pPr>
        <w:snapToGrid w:val="0"/>
        <w:spacing w:after="0" w:line="240" w:lineRule="auto"/>
        <w:jc w:val="both"/>
        <w:rPr>
          <w:rFonts w:cs="Times New Roman"/>
          <w:sz w:val="20"/>
          <w:szCs w:val="20"/>
          <w:lang w:val="en-US"/>
        </w:rPr>
      </w:pPr>
      <w:r w:rsidRPr="00C40F99">
        <w:rPr>
          <w:rFonts w:cs="Times New Roman"/>
          <w:b/>
          <w:bCs/>
          <w:sz w:val="20"/>
          <w:szCs w:val="20"/>
        </w:rPr>
        <w:t>Conclusion</w:t>
      </w:r>
    </w:p>
    <w:p w:rsidR="002065DF" w:rsidRPr="00C40F99" w:rsidRDefault="002065DF" w:rsidP="002A1C69">
      <w:pPr>
        <w:snapToGrid w:val="0"/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highlights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value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segment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SD-OCT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assessment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segment.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evaluated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readings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determined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SD-OCT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healthy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explicitly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focused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healthy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approach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worthwhile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defining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norm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values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specific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technology.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Analysis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confirmed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pressure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error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factors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examined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parameters.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also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assisted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gender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our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biometry.</w:t>
      </w:r>
    </w:p>
    <w:p w:rsidR="008322A2" w:rsidRPr="00C40F99" w:rsidRDefault="008322A2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C27A4E" w:rsidRPr="00C40F99" w:rsidRDefault="008531A6" w:rsidP="002A1C69">
      <w:pPr>
        <w:snapToGrid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val="en-US" w:bidi="ar-EG"/>
        </w:rPr>
      </w:pPr>
      <w:r w:rsidRPr="00C40F99">
        <w:rPr>
          <w:rFonts w:cs="Times New Roman"/>
          <w:b/>
          <w:bCs/>
          <w:sz w:val="20"/>
          <w:szCs w:val="20"/>
        </w:rPr>
        <w:lastRenderedPageBreak/>
        <w:t>Reference</w:t>
      </w:r>
    </w:p>
    <w:p w:rsidR="00C27A4E" w:rsidRPr="00C40F99" w:rsidRDefault="00C27A4E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I</w:t>
      </w:r>
      <w:r w:rsidR="008531A6" w:rsidRPr="00C40F99">
        <w:rPr>
          <w:rFonts w:cs="Times New Roman"/>
          <w:bCs/>
          <w:sz w:val="20"/>
          <w:szCs w:val="20"/>
        </w:rPr>
        <w:t>zatt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JA,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Hee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MR,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Swanson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EA,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et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al.</w:t>
      </w:r>
      <w:r w:rsidRPr="00C40F99">
        <w:rPr>
          <w:rFonts w:cs="Times New Roman"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sz w:val="20"/>
          <w:szCs w:val="20"/>
        </w:rPr>
        <w:t>Micrometer­scale</w:t>
      </w:r>
      <w:proofErr w:type="spellEnd"/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resolution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imaging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of</w:t>
      </w:r>
      <w:r w:rsidRPr="00C40F99">
        <w:rPr>
          <w:rFonts w:cs="Times New Roman"/>
          <w:sz w:val="20"/>
          <w:szCs w:val="20"/>
        </w:rPr>
        <w:t xml:space="preserve"> </w:t>
      </w:r>
      <w:r w:rsidR="0072506D" w:rsidRPr="00C40F99">
        <w:rPr>
          <w:rFonts w:cs="Times New Roman"/>
          <w:sz w:val="20"/>
          <w:szCs w:val="20"/>
        </w:rPr>
        <w:t>the</w:t>
      </w:r>
      <w:r w:rsidRPr="00C40F99">
        <w:rPr>
          <w:rFonts w:cs="Times New Roman"/>
          <w:sz w:val="20"/>
          <w:szCs w:val="20"/>
        </w:rPr>
        <w:t xml:space="preserve"> </w:t>
      </w:r>
      <w:r w:rsidR="0072506D" w:rsidRPr="00C40F99">
        <w:rPr>
          <w:rFonts w:cs="Times New Roman"/>
          <w:sz w:val="20"/>
          <w:szCs w:val="20"/>
        </w:rPr>
        <w:t>anterior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eye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in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vivo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with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optical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coherence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tomography.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Arch</w:t>
      </w:r>
      <w:r w:rsidRPr="00C40F99">
        <w:rPr>
          <w:rFonts w:cs="Times New Roman"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sz w:val="20"/>
          <w:szCs w:val="20"/>
        </w:rPr>
        <w:t>Ophthalmol</w:t>
      </w:r>
      <w:proofErr w:type="spellEnd"/>
      <w:r w:rsidR="008531A6" w:rsidRPr="00C40F99">
        <w:rPr>
          <w:rFonts w:cs="Times New Roman"/>
          <w:sz w:val="20"/>
          <w:szCs w:val="20"/>
        </w:rPr>
        <w:t>.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1994;112:1584–1589.</w:t>
      </w:r>
    </w:p>
    <w:p w:rsidR="00C27A4E" w:rsidRPr="00C40F99" w:rsidRDefault="00C27A4E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K</w:t>
      </w:r>
      <w:r w:rsidR="008531A6" w:rsidRPr="00C40F99">
        <w:rPr>
          <w:rFonts w:cs="Times New Roman"/>
          <w:bCs/>
          <w:sz w:val="20"/>
          <w:szCs w:val="20"/>
        </w:rPr>
        <w:t>oop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N,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Brinkmann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R,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Lankenau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E,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Flache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S,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Engelhardt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R,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Birngruber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R.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Optical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coherence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tomography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of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the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cornea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and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the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anterior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eye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segment.</w:t>
      </w:r>
      <w:r w:rsidRPr="00C40F99">
        <w:rPr>
          <w:rFonts w:cs="Times New Roman"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sz w:val="20"/>
          <w:szCs w:val="20"/>
        </w:rPr>
        <w:t>Ophthalmologe</w:t>
      </w:r>
      <w:proofErr w:type="spellEnd"/>
      <w:r w:rsidR="008531A6" w:rsidRPr="00C40F99">
        <w:rPr>
          <w:rFonts w:cs="Times New Roman"/>
          <w:sz w:val="20"/>
          <w:szCs w:val="20"/>
        </w:rPr>
        <w:t>.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1997;94:481–486.</w:t>
      </w:r>
    </w:p>
    <w:p w:rsidR="008531A6" w:rsidRPr="00C40F99" w:rsidRDefault="00C27A4E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H</w:t>
      </w:r>
      <w:r w:rsidR="008531A6" w:rsidRPr="00C40F99">
        <w:rPr>
          <w:rFonts w:cs="Times New Roman"/>
          <w:bCs/>
          <w:sz w:val="20"/>
          <w:szCs w:val="20"/>
        </w:rPr>
        <w:t>oerauf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H,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Scholz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C,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Koch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P,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Engelhardt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R,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Laqua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H,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bCs/>
          <w:sz w:val="20"/>
          <w:szCs w:val="20"/>
        </w:rPr>
        <w:t>Birngruber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R.</w:t>
      </w:r>
      <w:r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sz w:val="20"/>
          <w:szCs w:val="20"/>
        </w:rPr>
        <w:t>Transscleral</w:t>
      </w:r>
      <w:proofErr w:type="spellEnd"/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optical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coherence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tomography: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a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new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imaging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method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for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the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anterior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segment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of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the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eye.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Arch</w:t>
      </w:r>
      <w:r w:rsidRPr="00C40F99">
        <w:rPr>
          <w:rFonts w:cs="Times New Roman"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sz w:val="20"/>
          <w:szCs w:val="20"/>
        </w:rPr>
        <w:t>Ophthalmol</w:t>
      </w:r>
      <w:proofErr w:type="spellEnd"/>
      <w:r w:rsidR="008531A6" w:rsidRPr="00C40F99">
        <w:rPr>
          <w:rFonts w:cs="Times New Roman"/>
          <w:sz w:val="20"/>
          <w:szCs w:val="20"/>
        </w:rPr>
        <w:t>.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2002;120:816–819.</w:t>
      </w:r>
    </w:p>
    <w:p w:rsidR="00C27A4E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Konstantopoulos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Hossain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Anderson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DF.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Recent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advances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segment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imaging: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new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era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diagnosis</w:t>
      </w:r>
      <w:r w:rsidR="001D0A33" w:rsidRPr="00C40F99">
        <w:rPr>
          <w:rFonts w:cs="Times New Roman"/>
          <w:sz w:val="20"/>
          <w:szCs w:val="20"/>
        </w:rPr>
        <w:t>? B</w:t>
      </w:r>
      <w:r w:rsidRPr="00C40F99">
        <w:rPr>
          <w:rFonts w:cs="Times New Roman"/>
          <w:sz w:val="20"/>
          <w:szCs w:val="20"/>
        </w:rPr>
        <w:t>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2007;91:551–557.</w:t>
      </w:r>
    </w:p>
    <w:p w:rsidR="008531A6" w:rsidRPr="00C40F99" w:rsidRDefault="00C27A4E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W</w:t>
      </w:r>
      <w:r w:rsidR="008531A6" w:rsidRPr="00C40F99">
        <w:rPr>
          <w:rFonts w:cs="Times New Roman"/>
          <w:bCs/>
          <w:sz w:val="20"/>
          <w:szCs w:val="20"/>
        </w:rPr>
        <w:t>olffsohn</w:t>
      </w:r>
      <w:proofErr w:type="spellEnd"/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JS,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Davies</w:t>
      </w:r>
      <w:r w:rsidRPr="00C40F99">
        <w:rPr>
          <w:rFonts w:cs="Times New Roman"/>
          <w:bCs/>
          <w:sz w:val="20"/>
          <w:szCs w:val="20"/>
        </w:rPr>
        <w:t xml:space="preserve"> </w:t>
      </w:r>
      <w:r w:rsidR="008531A6" w:rsidRPr="00C40F99">
        <w:rPr>
          <w:rFonts w:cs="Times New Roman"/>
          <w:bCs/>
          <w:sz w:val="20"/>
          <w:szCs w:val="20"/>
        </w:rPr>
        <w:t>LN</w:t>
      </w:r>
      <w:r w:rsidR="001D0A33" w:rsidRPr="00C40F99">
        <w:rPr>
          <w:rFonts w:cs="Times New Roman"/>
          <w:bCs/>
          <w:sz w:val="20"/>
          <w:szCs w:val="20"/>
        </w:rPr>
        <w:t xml:space="preserve">. </w:t>
      </w:r>
      <w:r w:rsidR="001D0A33" w:rsidRPr="00C40F99">
        <w:rPr>
          <w:rFonts w:cs="Times New Roman"/>
          <w:sz w:val="20"/>
          <w:szCs w:val="20"/>
        </w:rPr>
        <w:t>A</w:t>
      </w:r>
      <w:r w:rsidR="008531A6" w:rsidRPr="00C40F99">
        <w:rPr>
          <w:rFonts w:cs="Times New Roman"/>
          <w:sz w:val="20"/>
          <w:szCs w:val="20"/>
        </w:rPr>
        <w:t>dvances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in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anterior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segment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imaging</w:t>
      </w:r>
      <w:r w:rsidR="001D0A33" w:rsidRPr="00C40F99">
        <w:rPr>
          <w:rFonts w:cs="Times New Roman"/>
          <w:sz w:val="20"/>
          <w:szCs w:val="20"/>
        </w:rPr>
        <w:t xml:space="preserve">. </w:t>
      </w:r>
      <w:proofErr w:type="spellStart"/>
      <w:r w:rsidR="001D0A33" w:rsidRPr="00C40F99">
        <w:rPr>
          <w:rFonts w:cs="Times New Roman"/>
          <w:sz w:val="20"/>
          <w:szCs w:val="20"/>
        </w:rPr>
        <w:t>C</w:t>
      </w:r>
      <w:r w:rsidR="008531A6" w:rsidRPr="00C40F99">
        <w:rPr>
          <w:rFonts w:cs="Times New Roman"/>
          <w:sz w:val="20"/>
          <w:szCs w:val="20"/>
        </w:rPr>
        <w:t>urr</w:t>
      </w:r>
      <w:proofErr w:type="spellEnd"/>
      <w:r w:rsidRPr="00C40F99">
        <w:rPr>
          <w:rFonts w:cs="Times New Roman"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sz w:val="20"/>
          <w:szCs w:val="20"/>
        </w:rPr>
        <w:t>Opin</w:t>
      </w:r>
      <w:proofErr w:type="spellEnd"/>
      <w:r w:rsidRPr="00C40F99">
        <w:rPr>
          <w:rFonts w:cs="Times New Roman"/>
          <w:sz w:val="20"/>
          <w:szCs w:val="20"/>
        </w:rPr>
        <w:t xml:space="preserve"> </w:t>
      </w:r>
      <w:proofErr w:type="spellStart"/>
      <w:r w:rsidR="008531A6" w:rsidRPr="00C40F99">
        <w:rPr>
          <w:rFonts w:cs="Times New Roman"/>
          <w:sz w:val="20"/>
          <w:szCs w:val="20"/>
        </w:rPr>
        <w:t>Ophthalmol</w:t>
      </w:r>
      <w:proofErr w:type="spellEnd"/>
      <w:r w:rsidR="008531A6" w:rsidRPr="00C40F99">
        <w:rPr>
          <w:rFonts w:cs="Times New Roman"/>
          <w:sz w:val="20"/>
          <w:szCs w:val="20"/>
        </w:rPr>
        <w:t>.</w:t>
      </w:r>
      <w:r w:rsidRPr="00C40F99">
        <w:rPr>
          <w:rFonts w:cs="Times New Roman"/>
          <w:sz w:val="20"/>
          <w:szCs w:val="20"/>
        </w:rPr>
        <w:t xml:space="preserve"> </w:t>
      </w:r>
      <w:r w:rsidR="008531A6" w:rsidRPr="00C40F99">
        <w:rPr>
          <w:rFonts w:cs="Times New Roman"/>
          <w:sz w:val="20"/>
          <w:szCs w:val="20"/>
        </w:rPr>
        <w:t>2007;18:32–38.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Ruskell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GL,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Bergmanson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JPG.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Anatomy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physiology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structures.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Phillip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AJ,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Speedwell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eds.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Contact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Lenses.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Ed.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Oxford: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Butterwort</w:t>
      </w:r>
      <w:r w:rsidR="001D0A33" w:rsidRPr="00C40F99">
        <w:rPr>
          <w:rFonts w:cs="Times New Roman"/>
          <w:sz w:val="20"/>
          <w:szCs w:val="20"/>
        </w:rPr>
        <w:t>h H</w:t>
      </w:r>
      <w:r w:rsidRPr="00C40F99">
        <w:rPr>
          <w:rFonts w:cs="Times New Roman"/>
          <w:sz w:val="20"/>
          <w:szCs w:val="20"/>
        </w:rPr>
        <w:t>einemann,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2006.</w:t>
      </w:r>
    </w:p>
    <w:p w:rsidR="001D0A33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Wu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Zheng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YF,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Wong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Cheung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CYC,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Loon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Chauhan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Aung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Relationship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parameters: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Singapore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Malay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InvOphthalmol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Vis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Sci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52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1320-132</w:t>
      </w:r>
      <w:r w:rsidR="001D0A33" w:rsidRPr="00C40F99">
        <w:rPr>
          <w:rFonts w:cs="Times New Roman"/>
          <w:sz w:val="20"/>
          <w:szCs w:val="20"/>
        </w:rPr>
        <w:t>4.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Whitacre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Stein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Hassanein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K.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effect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applanation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tonometry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American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Journal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Ophthalmology.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1993;115(5):592–596.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Wu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Zheng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YF,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Wong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Cheung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CYC,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Loon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Chauhan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Aung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Relationship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parameters: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Singapore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Malay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1D0A33" w:rsidRPr="00C40F99">
        <w:rPr>
          <w:rFonts w:cs="Times New Roman"/>
          <w:sz w:val="20"/>
          <w:szCs w:val="20"/>
        </w:rPr>
        <w:t xml:space="preserve">v </w:t>
      </w:r>
      <w:proofErr w:type="spellStart"/>
      <w:r w:rsidR="001D0A33" w:rsidRPr="00C40F99">
        <w:rPr>
          <w:rFonts w:cs="Times New Roman"/>
          <w:sz w:val="20"/>
          <w:szCs w:val="20"/>
        </w:rPr>
        <w:t>O</w:t>
      </w:r>
      <w:r w:rsidRPr="00C40F99">
        <w:rPr>
          <w:rFonts w:cs="Times New Roman"/>
          <w:sz w:val="20"/>
          <w:szCs w:val="20"/>
        </w:rPr>
        <w:t>phthalmol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Vis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Sci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52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1320-1324.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Pallikaris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IG,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Kymionis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GD,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Astyrakakis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NI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ectasia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induced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laser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situ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keratomileusis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Cataract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Sur</w:t>
      </w:r>
      <w:r w:rsidR="00C27A4E" w:rsidRPr="00C40F99">
        <w:rPr>
          <w:rFonts w:cs="Times New Roman"/>
          <w:sz w:val="20"/>
          <w:szCs w:val="20"/>
        </w:rPr>
        <w:t>g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(</w:t>
      </w:r>
      <w:r w:rsidRPr="00C40F99">
        <w:rPr>
          <w:rFonts w:cs="Times New Roman"/>
          <w:sz w:val="20"/>
          <w:szCs w:val="20"/>
        </w:rPr>
        <w:t>2001)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27:1796–1802.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Reinstein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DZ,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Gobbe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Archer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Epithelial,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stromal</w:t>
      </w:r>
      <w:proofErr w:type="spellEnd"/>
      <w:r w:rsidRPr="00C40F99">
        <w:rPr>
          <w:rFonts w:cs="Times New Roman"/>
          <w:sz w:val="20"/>
          <w:szCs w:val="20"/>
        </w:rPr>
        <w:t>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total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keratoconus</w:t>
      </w:r>
      <w:proofErr w:type="spellEnd"/>
      <w:r w:rsidRPr="00C40F99">
        <w:rPr>
          <w:rFonts w:cs="Times New Roman"/>
          <w:sz w:val="20"/>
          <w:szCs w:val="20"/>
        </w:rPr>
        <w:t>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three-dimensional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display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Artemis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very-high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frequency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digital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ultrasound.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Surg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2010;26:259–71.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Wang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Fonn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Simpson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TL,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Sorbara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Kort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Jones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Topographical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epithelium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total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after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overnight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wear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reverse-geometry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rigid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contact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lenses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myopia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reduction.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Invest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Sci.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2003;44:4742–4746.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lastRenderedPageBreak/>
        <w:t>Ruskell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GL,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Bergmanson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JPG.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Anatomy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physiology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structures.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Phillip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AJ,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Speedwell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eds.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Contact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Lenses.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Ed.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Oxford: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Butterwort</w:t>
      </w:r>
      <w:r w:rsidR="001D0A33" w:rsidRPr="00C40F99">
        <w:rPr>
          <w:rFonts w:cs="Times New Roman"/>
          <w:sz w:val="20"/>
          <w:szCs w:val="20"/>
        </w:rPr>
        <w:t>h H</w:t>
      </w:r>
      <w:r w:rsidRPr="00C40F99">
        <w:rPr>
          <w:rFonts w:cs="Times New Roman"/>
          <w:sz w:val="20"/>
          <w:szCs w:val="20"/>
        </w:rPr>
        <w:t>einemann,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2006.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Veys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Meyler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Davies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Essential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contact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practice,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1st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Ed.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Edinburgh: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Butterworth-Heinemann,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Bene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Synek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Petrová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shape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eccentricity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population.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Col</w:t>
      </w:r>
      <w:r w:rsidR="001D0A33" w:rsidRPr="00C40F99">
        <w:rPr>
          <w:rFonts w:cs="Times New Roman"/>
          <w:sz w:val="20"/>
          <w:szCs w:val="20"/>
        </w:rPr>
        <w:t>l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</w:t>
      </w:r>
      <w:proofErr w:type="spellStart"/>
      <w:r w:rsidR="001D0A33" w:rsidRPr="00C40F99">
        <w:rPr>
          <w:rFonts w:cs="Times New Roman"/>
          <w:sz w:val="20"/>
          <w:szCs w:val="20"/>
        </w:rPr>
        <w:t>A</w:t>
      </w:r>
      <w:r w:rsidRPr="00C40F99">
        <w:rPr>
          <w:rFonts w:cs="Times New Roman"/>
          <w:sz w:val="20"/>
          <w:szCs w:val="20"/>
        </w:rPr>
        <w:t>ntropol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2013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37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117-120.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Vollmer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Sowka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Pizzimenti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Yu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X.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measurements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obtained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segment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spectral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domain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coherence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tomography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compared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ultrasound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pachymetry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healthy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subjects.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Optometry.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2012;83(5):167–172.</w:t>
      </w:r>
    </w:p>
    <w:p w:rsidR="001D0A33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Hoffmann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Lamparter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Mirshahi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Distribution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parameters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large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european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cohort: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gutenberg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health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PLoS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ONE.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2013;8(8</w:t>
      </w:r>
      <w:r w:rsidR="001D0A33" w:rsidRPr="00C40F99">
        <w:rPr>
          <w:rFonts w:cs="Times New Roman"/>
          <w:sz w:val="20"/>
          <w:szCs w:val="20"/>
        </w:rPr>
        <w:t>).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Francis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Hsieh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Lai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M.-Y.,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Effects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pressure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level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on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goldmannapplanation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tonometry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dynamic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contour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tonometry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Ophthalmology.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2007;114(1):20–26.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Zhang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Xu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Chen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Jonas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JB.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adult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Chinese.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general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parameters.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Beijing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Graefes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Arch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Cli</w:t>
      </w:r>
      <w:r w:rsidR="001D0A33" w:rsidRPr="00C40F99">
        <w:rPr>
          <w:rFonts w:cs="Times New Roman"/>
          <w:sz w:val="20"/>
          <w:szCs w:val="20"/>
        </w:rPr>
        <w:t>n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E</w:t>
      </w:r>
      <w:r w:rsidRPr="00C40F99">
        <w:rPr>
          <w:rFonts w:cs="Times New Roman"/>
          <w:sz w:val="20"/>
          <w:szCs w:val="20"/>
        </w:rPr>
        <w:t>xp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Ophthalmol.2008;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246(4):587–592.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Chen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Liu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YT,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Tsai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Relationship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error,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chamber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depth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axial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length.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2009;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72(3):133–137.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Su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DH,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Wong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Foster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systemic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factors: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Singapore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Malay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2009;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147(4):709–716.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Chang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SW,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Tsai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IL,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Hu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FR,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young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myopic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adults.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2001;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85(8):961–970.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Fam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HB,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How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Baskaran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Lim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KY,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relationship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myopia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Chinese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adults.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2006;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90(12):1451–1453.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Suzuki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Suzuki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Iwase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ophthalmologically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normal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Japanese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population.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Ophthalmology.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2005;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112(8):1327–1336.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Iyamu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Eze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NM.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relationship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adult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Nigerians.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Af</w:t>
      </w:r>
      <w:r w:rsidR="001D0A33" w:rsidRPr="00C40F99">
        <w:rPr>
          <w:rFonts w:cs="Times New Roman"/>
          <w:sz w:val="20"/>
          <w:szCs w:val="20"/>
        </w:rPr>
        <w:t>r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</w:t>
      </w:r>
      <w:proofErr w:type="spellStart"/>
      <w:r w:rsidR="001D0A33" w:rsidRPr="00C40F99">
        <w:rPr>
          <w:rFonts w:cs="Times New Roman"/>
          <w:sz w:val="20"/>
          <w:szCs w:val="20"/>
        </w:rPr>
        <w:t>O</w:t>
      </w:r>
      <w:r w:rsidRPr="00C40F99">
        <w:rPr>
          <w:rFonts w:cs="Times New Roman"/>
          <w:sz w:val="20"/>
          <w:szCs w:val="20"/>
        </w:rPr>
        <w:t>ptom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2011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70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44-50.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lastRenderedPageBreak/>
        <w:t>Sawada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Tomidokoro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Araie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Iwase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Yamato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errors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elderly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Japanese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population: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infection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after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LASIK.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2003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110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276-285.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Wolfs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Klaver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Vingerling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Grobbee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Hofman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De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Jong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Distribution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association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pressure: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Rotterdam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American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Journal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Ophthalmology.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1997;123(6):767–772.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Eysteinsson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Jonasson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F.,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Sasaki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radius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pressure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normal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subjects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using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non-contact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techniques: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Reykjavik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Act</w:t>
      </w:r>
      <w:r w:rsidR="001D0A33" w:rsidRPr="00C40F99">
        <w:rPr>
          <w:rFonts w:cs="Times New Roman"/>
          <w:sz w:val="20"/>
          <w:szCs w:val="20"/>
        </w:rPr>
        <w:t>a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</w:t>
      </w:r>
      <w:proofErr w:type="spellStart"/>
      <w:r w:rsidR="001D0A33" w:rsidRPr="00C40F99">
        <w:rPr>
          <w:rFonts w:cs="Times New Roman"/>
          <w:sz w:val="20"/>
          <w:szCs w:val="20"/>
        </w:rPr>
        <w:t>O</w:t>
      </w:r>
      <w:r w:rsidRPr="00C40F99">
        <w:rPr>
          <w:rFonts w:cs="Times New Roman"/>
          <w:sz w:val="20"/>
          <w:szCs w:val="20"/>
        </w:rPr>
        <w:t>phthalmologic</w:t>
      </w:r>
      <w:r w:rsidR="001D0A33" w:rsidRPr="00C40F99">
        <w:rPr>
          <w:rFonts w:cs="Times New Roman"/>
          <w:sz w:val="20"/>
          <w:szCs w:val="20"/>
        </w:rPr>
        <w:t>a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</w:t>
      </w:r>
      <w:proofErr w:type="spellStart"/>
      <w:r w:rsidR="001D0A33" w:rsidRPr="00C40F99">
        <w:rPr>
          <w:rFonts w:cs="Times New Roman"/>
          <w:sz w:val="20"/>
          <w:szCs w:val="20"/>
        </w:rPr>
        <w:t>S</w:t>
      </w:r>
      <w:r w:rsidRPr="00C40F99">
        <w:rPr>
          <w:rFonts w:cs="Times New Roman"/>
          <w:sz w:val="20"/>
          <w:szCs w:val="20"/>
        </w:rPr>
        <w:t>candinavica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2002;80(1):11–15.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Chua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Tham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Liao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Ethnic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differences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pressure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Singapore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epidemiology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diseases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Ophthalmology.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2014;121(10):2013–2022.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Durkin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SR,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Tan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EWH,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Casson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Selva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Newland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HS.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among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Aboriginal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people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attending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clinics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remote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South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Australia.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Cli</w:t>
      </w:r>
      <w:r w:rsidR="001D0A33" w:rsidRPr="00C40F99">
        <w:rPr>
          <w:rFonts w:cs="Times New Roman"/>
          <w:sz w:val="20"/>
          <w:szCs w:val="20"/>
        </w:rPr>
        <w:t>n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E</w:t>
      </w:r>
      <w:r w:rsidRPr="00C40F99">
        <w:rPr>
          <w:rFonts w:cs="Times New Roman"/>
          <w:sz w:val="20"/>
          <w:szCs w:val="20"/>
        </w:rPr>
        <w:t>x</w:t>
      </w:r>
      <w:r w:rsidR="001D0A33" w:rsidRPr="00C40F99">
        <w:rPr>
          <w:rFonts w:cs="Times New Roman"/>
          <w:sz w:val="20"/>
          <w:szCs w:val="20"/>
        </w:rPr>
        <w:t xml:space="preserve">p </w:t>
      </w:r>
      <w:proofErr w:type="spellStart"/>
      <w:r w:rsidR="001D0A33" w:rsidRPr="00C40F99">
        <w:rPr>
          <w:rFonts w:cs="Times New Roman"/>
          <w:sz w:val="20"/>
          <w:szCs w:val="20"/>
        </w:rPr>
        <w:t>O</w:t>
      </w:r>
      <w:r w:rsidRPr="00C40F99">
        <w:rPr>
          <w:rFonts w:cs="Times New Roman"/>
          <w:sz w:val="20"/>
          <w:szCs w:val="20"/>
        </w:rPr>
        <w:t>phthalmol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2007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35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728-732.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Aghaian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Choe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JE,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Lin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Stamper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Caucasians,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Chinese,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Hispanics,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Filipinos,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African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Americans,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Japanese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glaucoma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clinic.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Ophthalmology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2004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11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2211-2219.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Shimmyo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Ross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Moy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Mostafavi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R.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pressure,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Goldmannapplanation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tension,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Caucasians,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Asians,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Hispanics,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African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Americans.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Am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2003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136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603-613.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Hahn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Azen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Ying-Lai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Rohit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Los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Angeles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Latino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Group.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Latinos.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1D0A33" w:rsidRPr="00C40F99">
        <w:rPr>
          <w:rFonts w:cs="Times New Roman"/>
          <w:sz w:val="20"/>
          <w:szCs w:val="20"/>
        </w:rPr>
        <w:t xml:space="preserve">v </w:t>
      </w:r>
      <w:proofErr w:type="spellStart"/>
      <w:r w:rsidR="001D0A33" w:rsidRPr="00C40F99">
        <w:rPr>
          <w:rFonts w:cs="Times New Roman"/>
          <w:sz w:val="20"/>
          <w:szCs w:val="20"/>
        </w:rPr>
        <w:t>O</w:t>
      </w:r>
      <w:r w:rsidRPr="00C40F99">
        <w:rPr>
          <w:rFonts w:cs="Times New Roman"/>
          <w:sz w:val="20"/>
          <w:szCs w:val="20"/>
        </w:rPr>
        <w:t>phthalmol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Vis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Sci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2003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44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1508-1512.</w:t>
      </w:r>
    </w:p>
    <w:p w:rsidR="001D0A33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Dmitrii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S.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Maltsev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MD,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PhD,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Elena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V.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Kudryashova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MD,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DSc,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Alexei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N.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Kulikov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MD,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DSc,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and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Artem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Yu.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Mareichev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Relationship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Healthy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After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Laser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Situ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Keratomileusis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</w:t>
      </w:r>
      <w:r w:rsidR="001D0A33" w:rsidRPr="00C40F99">
        <w:rPr>
          <w:rFonts w:cs="Times New Roman"/>
          <w:sz w:val="20"/>
          <w:szCs w:val="20"/>
        </w:rPr>
        <w:t>8.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bCs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Wu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Wang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</w:t>
      </w:r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Detailed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distribution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correlated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characteristics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measured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SD-OCT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myopic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eyes.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2017</w:t>
      </w:r>
      <w:r w:rsidR="0072506D" w:rsidRPr="00C40F99">
        <w:rPr>
          <w:rFonts w:cs="Times New Roman"/>
          <w:sz w:val="20"/>
          <w:szCs w:val="20"/>
        </w:rPr>
        <w:t>;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72506D" w:rsidRPr="00C40F99">
        <w:rPr>
          <w:rFonts w:cs="Times New Roman"/>
          <w:sz w:val="20"/>
          <w:szCs w:val="20"/>
        </w:rPr>
        <w:t>2017:1018321</w:t>
      </w:r>
      <w:r w:rsidRPr="00C40F99">
        <w:rPr>
          <w:rFonts w:cs="Times New Roman"/>
          <w:sz w:val="20"/>
          <w:szCs w:val="20"/>
        </w:rPr>
        <w:t>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Tao,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Topographic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Bowman’s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layer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determined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ultra-high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resolution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spectral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domain-optical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coherence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lastRenderedPageBreak/>
        <w:t>tomography.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Invest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Sci.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52,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3901–3907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(2011).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Francoz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Karamoko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I.,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Baudouin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C.</w:t>
      </w:r>
      <w:r w:rsidR="00C27A4E" w:rsidRPr="00C40F99">
        <w:rPr>
          <w:rFonts w:cs="Times New Roman"/>
          <w:bCs/>
          <w:sz w:val="20"/>
          <w:szCs w:val="20"/>
        </w:rPr>
        <w:t xml:space="preserve"> &amp; </w:t>
      </w:r>
      <w:proofErr w:type="spellStart"/>
      <w:r w:rsidRPr="00C40F99">
        <w:rPr>
          <w:rFonts w:cs="Times New Roman"/>
          <w:bCs/>
          <w:sz w:val="20"/>
          <w:szCs w:val="20"/>
        </w:rPr>
        <w:t>Labbé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surface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evaluation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spectral-domain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coherence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tomography.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Invest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Sci.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52</w:t>
      </w:r>
      <w:r w:rsidRPr="00C40F99">
        <w:rPr>
          <w:rFonts w:cs="Times New Roman"/>
          <w:sz w:val="20"/>
          <w:szCs w:val="20"/>
        </w:rPr>
        <w:t>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9116–9123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(2011).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Reinstein</w:t>
      </w:r>
      <w:proofErr w:type="spellEnd"/>
      <w:r w:rsidRPr="00C40F99">
        <w:rPr>
          <w:rFonts w:cs="Times New Roman"/>
          <w:bCs/>
          <w:sz w:val="20"/>
          <w:szCs w:val="20"/>
        </w:rPr>
        <w:t>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D.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Z.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et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al.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Epithelial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normal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three-dimensional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display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with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Artemis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very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high-frequency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digital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ultrasound.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Surg.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24</w:t>
      </w:r>
      <w:r w:rsidRPr="00C40F99">
        <w:rPr>
          <w:rFonts w:cs="Times New Roman"/>
          <w:sz w:val="20"/>
          <w:szCs w:val="20"/>
        </w:rPr>
        <w:t>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571–581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(2008).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Goh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WSH,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Lam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CSY.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Changes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trends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components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Hong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Kong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Chinese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19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-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39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years.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</w:t>
      </w:r>
      <w:r w:rsidR="001D0A33" w:rsidRPr="00C40F99">
        <w:rPr>
          <w:rFonts w:cs="Times New Roman"/>
          <w:sz w:val="20"/>
          <w:szCs w:val="20"/>
        </w:rPr>
        <w:t>l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</w:t>
      </w:r>
      <w:proofErr w:type="spellStart"/>
      <w:r w:rsidR="001D0A33" w:rsidRPr="00C40F99">
        <w:rPr>
          <w:rFonts w:cs="Times New Roman"/>
          <w:sz w:val="20"/>
          <w:szCs w:val="20"/>
        </w:rPr>
        <w:t>P</w:t>
      </w:r>
      <w:r w:rsidRPr="00C40F99">
        <w:rPr>
          <w:rFonts w:cs="Times New Roman"/>
          <w:sz w:val="20"/>
          <w:szCs w:val="20"/>
        </w:rPr>
        <w:t>hysiol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1994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14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378-382.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Lam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CSY,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Goh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WSH,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Tang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YK,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Tsui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KK,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Wong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WC,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TC</w:t>
      </w:r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Changes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trends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components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Hong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Kong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Chinese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aged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over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40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years.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</w:t>
      </w:r>
      <w:r w:rsidR="001D0A33" w:rsidRPr="00C40F99">
        <w:rPr>
          <w:rFonts w:cs="Times New Roman"/>
          <w:sz w:val="20"/>
          <w:szCs w:val="20"/>
        </w:rPr>
        <w:t>l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</w:t>
      </w:r>
      <w:proofErr w:type="spellStart"/>
      <w:r w:rsidR="001D0A33" w:rsidRPr="00C40F99">
        <w:rPr>
          <w:rFonts w:cs="Times New Roman"/>
          <w:sz w:val="20"/>
          <w:szCs w:val="20"/>
        </w:rPr>
        <w:t>P</w:t>
      </w:r>
      <w:r w:rsidRPr="00C40F99">
        <w:rPr>
          <w:rFonts w:cs="Times New Roman"/>
          <w:sz w:val="20"/>
          <w:szCs w:val="20"/>
        </w:rPr>
        <w:t>hysiol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1994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14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383-388.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Osuobeni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EP.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components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values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their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intercorrelations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Saudi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Arabians.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</w:t>
      </w:r>
      <w:r w:rsidR="001D0A33" w:rsidRPr="00C40F99">
        <w:rPr>
          <w:rFonts w:cs="Times New Roman"/>
          <w:sz w:val="20"/>
          <w:szCs w:val="20"/>
        </w:rPr>
        <w:t>l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</w:t>
      </w:r>
      <w:proofErr w:type="spellStart"/>
      <w:r w:rsidR="001D0A33" w:rsidRPr="00C40F99">
        <w:rPr>
          <w:rFonts w:cs="Times New Roman"/>
          <w:sz w:val="20"/>
          <w:szCs w:val="20"/>
        </w:rPr>
        <w:t>P</w:t>
      </w:r>
      <w:r w:rsidRPr="00C40F99">
        <w:rPr>
          <w:rFonts w:cs="Times New Roman"/>
          <w:sz w:val="20"/>
          <w:szCs w:val="20"/>
        </w:rPr>
        <w:t>hysiol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Opt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1999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19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489-497.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lastRenderedPageBreak/>
        <w:t>Hosny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Alio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MJ,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Claramointe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Attia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WH,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Perez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Santonja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JJ.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Relationship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between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anterior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chamber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depth,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state,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diameter,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axial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length.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Refract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Surg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2000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16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336-340.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Orssengo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GJ</w:t>
      </w:r>
      <w:r w:rsidR="00C27A4E" w:rsidRPr="00C40F99">
        <w:rPr>
          <w:rFonts w:cs="Times New Roman"/>
          <w:bCs/>
          <w:sz w:val="20"/>
          <w:szCs w:val="20"/>
        </w:rPr>
        <w:t xml:space="preserve"> &amp; </w:t>
      </w:r>
      <w:proofErr w:type="spellStart"/>
      <w:r w:rsidRPr="00C40F99">
        <w:rPr>
          <w:rFonts w:cs="Times New Roman"/>
          <w:bCs/>
          <w:sz w:val="20"/>
          <w:szCs w:val="20"/>
        </w:rPr>
        <w:t>PyeDC</w:t>
      </w:r>
      <w:proofErr w:type="spellEnd"/>
      <w:r w:rsidR="00C27A4E" w:rsidRPr="00C40F99">
        <w:rPr>
          <w:rFonts w:cs="Times New Roman"/>
          <w:bCs/>
          <w:sz w:val="20"/>
          <w:szCs w:val="20"/>
        </w:rPr>
        <w:t>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Determination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true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intraocular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pressure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modulus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elasticity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human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vivo.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Bull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Math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Biol1999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61</w:t>
      </w:r>
      <w:r w:rsidRPr="00C40F99">
        <w:rPr>
          <w:rFonts w:cs="Times New Roman"/>
          <w:sz w:val="20"/>
          <w:szCs w:val="20"/>
        </w:rPr>
        <w:t>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551–572.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Rosa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N,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Cennamo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G,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Breve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</w:t>
      </w:r>
      <w:r w:rsidR="00C27A4E" w:rsidRPr="00C40F99">
        <w:rPr>
          <w:rFonts w:cs="Times New Roman"/>
          <w:bCs/>
          <w:sz w:val="20"/>
          <w:szCs w:val="20"/>
        </w:rPr>
        <w:t xml:space="preserve"> &amp; </w:t>
      </w:r>
      <w:r w:rsidRPr="00C40F99">
        <w:rPr>
          <w:rFonts w:cs="Times New Roman"/>
          <w:bCs/>
          <w:sz w:val="20"/>
          <w:szCs w:val="20"/>
        </w:rPr>
        <w:t>La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Ran</w:t>
      </w:r>
      <w:r w:rsidR="001D0A33" w:rsidRPr="00C40F99">
        <w:rPr>
          <w:rFonts w:cs="Times New Roman"/>
          <w:bCs/>
          <w:sz w:val="20"/>
          <w:szCs w:val="20"/>
        </w:rPr>
        <w:t>a</w:t>
      </w:r>
      <w:proofErr w:type="spellEnd"/>
      <w:r w:rsidR="001D0A33" w:rsidRPr="00C40F99">
        <w:rPr>
          <w:rFonts w:cs="Times New Roman"/>
          <w:bCs/>
          <w:sz w:val="20"/>
          <w:szCs w:val="20"/>
        </w:rPr>
        <w:t xml:space="preserve"> A</w:t>
      </w:r>
      <w:r w:rsidRPr="00C40F99">
        <w:rPr>
          <w:rFonts w:cs="Times New Roman"/>
          <w:sz w:val="20"/>
          <w:szCs w:val="20"/>
        </w:rPr>
        <w:t>: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Goldmannapplanation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tonometry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after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myopic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photorefractive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keratectomy.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Act</w:t>
      </w:r>
      <w:r w:rsidR="001D0A33" w:rsidRPr="00C40F99">
        <w:rPr>
          <w:rFonts w:cs="Times New Roman"/>
          <w:sz w:val="20"/>
          <w:szCs w:val="20"/>
        </w:rPr>
        <w:t>a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</w:t>
      </w:r>
      <w:proofErr w:type="spellStart"/>
      <w:r w:rsidR="001D0A33" w:rsidRPr="00C40F99">
        <w:rPr>
          <w:rFonts w:cs="Times New Roman"/>
          <w:sz w:val="20"/>
          <w:szCs w:val="20"/>
        </w:rPr>
        <w:t>O</w:t>
      </w:r>
      <w:r w:rsidRPr="00C40F99">
        <w:rPr>
          <w:rFonts w:cs="Times New Roman"/>
          <w:sz w:val="20"/>
          <w:szCs w:val="20"/>
        </w:rPr>
        <w:t>phthalmo</w:t>
      </w:r>
      <w:r w:rsidR="001D0A33" w:rsidRPr="00C40F99">
        <w:rPr>
          <w:rFonts w:cs="Times New Roman"/>
          <w:sz w:val="20"/>
          <w:szCs w:val="20"/>
        </w:rPr>
        <w:t>l</w:t>
      </w:r>
      <w:proofErr w:type="spellEnd"/>
      <w:r w:rsidR="001D0A33" w:rsidRPr="00C40F99">
        <w:rPr>
          <w:rFonts w:cs="Times New Roman"/>
          <w:sz w:val="20"/>
          <w:szCs w:val="20"/>
        </w:rPr>
        <w:t xml:space="preserve"> S</w:t>
      </w:r>
      <w:r w:rsidRPr="00C40F99">
        <w:rPr>
          <w:rFonts w:cs="Times New Roman"/>
          <w:sz w:val="20"/>
          <w:szCs w:val="20"/>
        </w:rPr>
        <w:t>cand1998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76</w:t>
      </w:r>
      <w:r w:rsidRPr="00C40F99">
        <w:rPr>
          <w:rFonts w:cs="Times New Roman"/>
          <w:sz w:val="20"/>
          <w:szCs w:val="20"/>
        </w:rPr>
        <w:t>: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550–554.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bCs/>
          <w:sz w:val="20"/>
          <w:szCs w:val="20"/>
        </w:rPr>
        <w:t>Tomlinson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A.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clinical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study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central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peripheral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thickness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and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curvature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the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human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cornea.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Acta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Ophthalmologica</w:t>
      </w:r>
      <w:proofErr w:type="spellEnd"/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1972</w:t>
      </w:r>
      <w:r w:rsidR="0072506D" w:rsidRPr="00C40F99">
        <w:rPr>
          <w:rFonts w:cs="Times New Roman"/>
          <w:sz w:val="20"/>
          <w:szCs w:val="20"/>
        </w:rPr>
        <w:t>;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="0072506D" w:rsidRPr="00C40F99">
        <w:rPr>
          <w:rFonts w:cs="Times New Roman"/>
          <w:sz w:val="20"/>
          <w:szCs w:val="20"/>
        </w:rPr>
        <w:t>50</w:t>
      </w:r>
      <w:r w:rsidRPr="00C40F99">
        <w:rPr>
          <w:rFonts w:cs="Times New Roman"/>
          <w:sz w:val="20"/>
          <w:szCs w:val="20"/>
        </w:rPr>
        <w:t>(1):73–82.</w:t>
      </w:r>
    </w:p>
    <w:p w:rsidR="008531A6" w:rsidRPr="00C40F99" w:rsidRDefault="008531A6" w:rsidP="001D0A33">
      <w:pPr>
        <w:numPr>
          <w:ilvl w:val="0"/>
          <w:numId w:val="3"/>
        </w:num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proofErr w:type="spellStart"/>
      <w:r w:rsidRPr="00C40F99">
        <w:rPr>
          <w:rFonts w:cs="Times New Roman"/>
          <w:bCs/>
          <w:sz w:val="20"/>
          <w:szCs w:val="20"/>
        </w:rPr>
        <w:t>Mohd</w:t>
      </w:r>
      <w:proofErr w:type="spellEnd"/>
      <w:r w:rsidRPr="00C40F99">
        <w:rPr>
          <w:rFonts w:cs="Times New Roman"/>
          <w:bCs/>
          <w:sz w:val="20"/>
          <w:szCs w:val="20"/>
        </w:rPr>
        <w:t>-Ali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B,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Afzamshah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MAS,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Mohammed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Z,</w:t>
      </w:r>
      <w:r w:rsidR="00C27A4E" w:rsidRPr="00C40F9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bCs/>
          <w:sz w:val="20"/>
          <w:szCs w:val="20"/>
        </w:rPr>
        <w:t>Mohidin</w:t>
      </w:r>
      <w:proofErr w:type="spellEnd"/>
      <w:r w:rsidR="00C27A4E" w:rsidRPr="00C40F99">
        <w:rPr>
          <w:rFonts w:cs="Times New Roman"/>
          <w:bCs/>
          <w:sz w:val="20"/>
          <w:szCs w:val="20"/>
        </w:rPr>
        <w:t xml:space="preserve"> </w:t>
      </w:r>
      <w:r w:rsidRPr="00C40F99">
        <w:rPr>
          <w:rFonts w:cs="Times New Roman"/>
          <w:bCs/>
          <w:sz w:val="20"/>
          <w:szCs w:val="20"/>
        </w:rPr>
        <w:t>M</w:t>
      </w:r>
      <w:r w:rsidRPr="00C40F99">
        <w:rPr>
          <w:rFonts w:cs="Times New Roman"/>
          <w:sz w:val="20"/>
          <w:szCs w:val="20"/>
        </w:rPr>
        <w:t>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Ocular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dimensions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of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young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Malays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in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Malaysia.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J</w:t>
      </w:r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Sains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proofErr w:type="spellStart"/>
      <w:r w:rsidRPr="00C40F99">
        <w:rPr>
          <w:rFonts w:cs="Times New Roman"/>
          <w:sz w:val="20"/>
          <w:szCs w:val="20"/>
        </w:rPr>
        <w:t>Kesihatan</w:t>
      </w:r>
      <w:proofErr w:type="spellEnd"/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Malaysia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2011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9</w:t>
      </w:r>
      <w:r w:rsidR="00C27A4E" w:rsidRPr="00C40F99">
        <w:rPr>
          <w:rFonts w:cs="Times New Roman"/>
          <w:sz w:val="20"/>
          <w:szCs w:val="20"/>
        </w:rPr>
        <w:t xml:space="preserve"> </w:t>
      </w:r>
      <w:r w:rsidRPr="00C40F99">
        <w:rPr>
          <w:rFonts w:cs="Times New Roman"/>
          <w:sz w:val="20"/>
          <w:szCs w:val="20"/>
        </w:rPr>
        <w:t>35-39.</w:t>
      </w:r>
    </w:p>
    <w:p w:rsidR="001D0A33" w:rsidRPr="00C40F99" w:rsidRDefault="001D0A33" w:rsidP="001D0A33">
      <w:p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  <w:lang w:val="en-US"/>
        </w:rPr>
        <w:sectPr w:rsidR="001D0A33" w:rsidRPr="00C40F99" w:rsidSect="001D0A33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8531A6" w:rsidRPr="00C40F99" w:rsidRDefault="008531A6" w:rsidP="001D0A33">
      <w:p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  <w:lang w:val="en-US"/>
        </w:rPr>
      </w:pPr>
    </w:p>
    <w:p w:rsidR="008531A6" w:rsidRPr="00C40F99" w:rsidRDefault="008531A6" w:rsidP="001D0A33">
      <w:p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</w:p>
    <w:p w:rsidR="00C27A4E" w:rsidRPr="00C40F99" w:rsidRDefault="00C27A4E" w:rsidP="001D0A33">
      <w:pPr>
        <w:snapToGrid w:val="0"/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</w:p>
    <w:p w:rsidR="002065DF" w:rsidRPr="00C40F99" w:rsidRDefault="00C27A4E" w:rsidP="001D0A33">
      <w:pPr>
        <w:snapToGri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40F99">
        <w:rPr>
          <w:rFonts w:cs="Times New Roman"/>
          <w:sz w:val="20"/>
          <w:szCs w:val="20"/>
        </w:rPr>
        <w:t>10/2</w:t>
      </w:r>
      <w:r w:rsidR="002A1C69" w:rsidRPr="00C40F99">
        <w:rPr>
          <w:rFonts w:cs="Times New Roman" w:hint="eastAsia"/>
          <w:sz w:val="20"/>
          <w:szCs w:val="20"/>
          <w:lang w:eastAsia="zh-CN"/>
        </w:rPr>
        <w:t>5</w:t>
      </w:r>
      <w:r w:rsidRPr="00C40F99">
        <w:rPr>
          <w:rFonts w:cs="Times New Roman"/>
          <w:sz w:val="20"/>
          <w:szCs w:val="20"/>
        </w:rPr>
        <w:t>/2018</w:t>
      </w:r>
    </w:p>
    <w:sectPr w:rsidR="002065DF" w:rsidRPr="00C40F99" w:rsidSect="00C27A4E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F3" w:rsidRDefault="00BB7AF3" w:rsidP="009165A5">
      <w:pPr>
        <w:spacing w:after="0" w:line="240" w:lineRule="auto"/>
      </w:pPr>
      <w:r>
        <w:separator/>
      </w:r>
    </w:p>
  </w:endnote>
  <w:endnote w:type="continuationSeparator" w:id="0">
    <w:p w:rsidR="00BB7AF3" w:rsidRDefault="00BB7AF3" w:rsidP="0091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69" w:rsidRPr="002A1C69" w:rsidRDefault="008E7690" w:rsidP="002A1C69">
    <w:pPr>
      <w:spacing w:after="0" w:line="240" w:lineRule="auto"/>
      <w:jc w:val="center"/>
      <w:rPr>
        <w:rFonts w:cs="Times New Roman"/>
        <w:sz w:val="20"/>
      </w:rPr>
    </w:pPr>
    <w:r w:rsidRPr="002A1C69">
      <w:rPr>
        <w:rFonts w:cs="Times New Roman"/>
        <w:sz w:val="20"/>
      </w:rPr>
      <w:fldChar w:fldCharType="begin"/>
    </w:r>
    <w:r w:rsidR="002A1C69" w:rsidRPr="002A1C69">
      <w:rPr>
        <w:rFonts w:cs="Times New Roman"/>
        <w:sz w:val="20"/>
      </w:rPr>
      <w:instrText xml:space="preserve"> page </w:instrText>
    </w:r>
    <w:r w:rsidRPr="002A1C69">
      <w:rPr>
        <w:rFonts w:cs="Times New Roman"/>
        <w:sz w:val="20"/>
      </w:rPr>
      <w:fldChar w:fldCharType="separate"/>
    </w:r>
    <w:r w:rsidR="00C40F99">
      <w:rPr>
        <w:rFonts w:cs="Times New Roman"/>
        <w:noProof/>
        <w:sz w:val="20"/>
      </w:rPr>
      <w:t>27</w:t>
    </w:r>
    <w:r w:rsidRPr="002A1C69">
      <w:rPr>
        <w:rFonts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F3" w:rsidRDefault="00BB7AF3" w:rsidP="009165A5">
      <w:pPr>
        <w:spacing w:after="0" w:line="240" w:lineRule="auto"/>
      </w:pPr>
      <w:r>
        <w:separator/>
      </w:r>
    </w:p>
  </w:footnote>
  <w:footnote w:type="continuationSeparator" w:id="0">
    <w:p w:rsidR="00BB7AF3" w:rsidRDefault="00BB7AF3" w:rsidP="0091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69" w:rsidRPr="002A1C69" w:rsidRDefault="002A1C69" w:rsidP="002A1C6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cs="Times New Roman"/>
        <w:iCs/>
        <w:sz w:val="20"/>
        <w:szCs w:val="20"/>
      </w:rPr>
    </w:pPr>
    <w:r w:rsidRPr="002A1C69">
      <w:rPr>
        <w:rFonts w:cs="Times New Roman" w:hint="eastAsia"/>
        <w:sz w:val="20"/>
        <w:szCs w:val="20"/>
      </w:rPr>
      <w:tab/>
    </w:r>
    <w:r w:rsidRPr="002A1C69">
      <w:rPr>
        <w:rFonts w:cs="Times New Roman"/>
        <w:sz w:val="20"/>
        <w:szCs w:val="20"/>
      </w:rPr>
      <w:t>New York Science Journal 201</w:t>
    </w:r>
    <w:r w:rsidRPr="002A1C69">
      <w:rPr>
        <w:rFonts w:cs="Times New Roman" w:hint="eastAsia"/>
        <w:sz w:val="20"/>
        <w:szCs w:val="20"/>
      </w:rPr>
      <w:t>8</w:t>
    </w:r>
    <w:r w:rsidRPr="002A1C69">
      <w:rPr>
        <w:rFonts w:cs="Times New Roman"/>
        <w:sz w:val="20"/>
        <w:szCs w:val="20"/>
      </w:rPr>
      <w:t>;</w:t>
    </w:r>
    <w:r w:rsidRPr="002A1C69">
      <w:rPr>
        <w:rFonts w:cs="Times New Roman" w:hint="eastAsia"/>
        <w:sz w:val="20"/>
        <w:szCs w:val="20"/>
      </w:rPr>
      <w:t>11</w:t>
    </w:r>
    <w:r w:rsidRPr="002A1C69">
      <w:rPr>
        <w:rFonts w:cs="Times New Roman"/>
        <w:sz w:val="20"/>
        <w:szCs w:val="20"/>
      </w:rPr>
      <w:t>(</w:t>
    </w:r>
    <w:r w:rsidRPr="002A1C69">
      <w:rPr>
        <w:rFonts w:cs="Times New Roman" w:hint="eastAsia"/>
        <w:sz w:val="20"/>
        <w:szCs w:val="20"/>
      </w:rPr>
      <w:t>10</w:t>
    </w:r>
    <w:r w:rsidRPr="002A1C69">
      <w:rPr>
        <w:rFonts w:cs="Times New Roman"/>
        <w:sz w:val="20"/>
        <w:szCs w:val="20"/>
      </w:rPr>
      <w:t>)</w:t>
    </w:r>
    <w:r w:rsidRPr="002A1C69">
      <w:rPr>
        <w:rFonts w:cs="Times New Roman"/>
        <w:iCs/>
        <w:sz w:val="20"/>
        <w:szCs w:val="20"/>
      </w:rPr>
      <w:t xml:space="preserve">     </w:t>
    </w:r>
    <w:r w:rsidRPr="002A1C69">
      <w:rPr>
        <w:rFonts w:cs="Times New Roman" w:hint="eastAsia"/>
        <w:iCs/>
        <w:sz w:val="20"/>
        <w:szCs w:val="20"/>
      </w:rPr>
      <w:tab/>
    </w:r>
    <w:r w:rsidRPr="002A1C69">
      <w:rPr>
        <w:rFonts w:cs="Times New Roman"/>
        <w:iCs/>
        <w:sz w:val="20"/>
        <w:szCs w:val="20"/>
      </w:rPr>
      <w:t xml:space="preserve"> </w:t>
    </w:r>
    <w:r w:rsidRPr="002A1C69">
      <w:rPr>
        <w:rFonts w:cs="Times New Roman" w:hint="eastAsia"/>
        <w:iCs/>
        <w:sz w:val="20"/>
        <w:szCs w:val="20"/>
      </w:rPr>
      <w:t xml:space="preserve"> </w:t>
    </w:r>
    <w:r w:rsidRPr="002A1C69">
      <w:rPr>
        <w:rFonts w:cs="Times New Roman"/>
        <w:iCs/>
        <w:sz w:val="20"/>
        <w:szCs w:val="20"/>
      </w:rPr>
      <w:t xml:space="preserve">   </w:t>
    </w:r>
    <w:hyperlink r:id="rId1" w:history="1">
      <w:r w:rsidRPr="002A1C69">
        <w:rPr>
          <w:rStyle w:val="Hyperlink"/>
          <w:rFonts w:cs="Times New Roman"/>
          <w:color w:val="0000FF"/>
          <w:sz w:val="20"/>
          <w:szCs w:val="20"/>
        </w:rPr>
        <w:t>http://www.sciencepub.net/newyork</w:t>
      </w:r>
    </w:hyperlink>
  </w:p>
  <w:p w:rsidR="002A1C69" w:rsidRPr="002A1C69" w:rsidRDefault="002A1C69" w:rsidP="002A1C6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566"/>
    <w:multiLevelType w:val="hybridMultilevel"/>
    <w:tmpl w:val="F5D6AB7C"/>
    <w:lvl w:ilvl="0" w:tplc="1F9E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C323E"/>
    <w:multiLevelType w:val="hybridMultilevel"/>
    <w:tmpl w:val="AD24C43E"/>
    <w:lvl w:ilvl="0" w:tplc="724A1916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740B"/>
    <w:multiLevelType w:val="hybridMultilevel"/>
    <w:tmpl w:val="37EEED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65DF"/>
    <w:rsid w:val="001A4604"/>
    <w:rsid w:val="001D0A33"/>
    <w:rsid w:val="002065DF"/>
    <w:rsid w:val="00216A10"/>
    <w:rsid w:val="002A1C69"/>
    <w:rsid w:val="002D6E05"/>
    <w:rsid w:val="002E5859"/>
    <w:rsid w:val="003A3484"/>
    <w:rsid w:val="003F515D"/>
    <w:rsid w:val="00484B1A"/>
    <w:rsid w:val="004E54EE"/>
    <w:rsid w:val="005135BA"/>
    <w:rsid w:val="00626E5D"/>
    <w:rsid w:val="006B724C"/>
    <w:rsid w:val="0071692E"/>
    <w:rsid w:val="00724429"/>
    <w:rsid w:val="0072506D"/>
    <w:rsid w:val="008322A2"/>
    <w:rsid w:val="008329E6"/>
    <w:rsid w:val="00842EC4"/>
    <w:rsid w:val="00844031"/>
    <w:rsid w:val="008531A6"/>
    <w:rsid w:val="008E7690"/>
    <w:rsid w:val="008F10D6"/>
    <w:rsid w:val="009165A5"/>
    <w:rsid w:val="00984009"/>
    <w:rsid w:val="00A1137D"/>
    <w:rsid w:val="00A353D5"/>
    <w:rsid w:val="00AF4E3B"/>
    <w:rsid w:val="00B03BF9"/>
    <w:rsid w:val="00B41740"/>
    <w:rsid w:val="00BB7AF3"/>
    <w:rsid w:val="00C14323"/>
    <w:rsid w:val="00C27A4E"/>
    <w:rsid w:val="00C40F99"/>
    <w:rsid w:val="00CB409A"/>
    <w:rsid w:val="00CC3EA3"/>
    <w:rsid w:val="00CF5E81"/>
    <w:rsid w:val="00DE33D5"/>
    <w:rsid w:val="00E107C7"/>
    <w:rsid w:val="00E91602"/>
    <w:rsid w:val="00F6240B"/>
    <w:rsid w:val="00F6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A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5A5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16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medabdelbaeth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11018.03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Yadak</dc:creator>
  <cp:lastModifiedBy>Administrator</cp:lastModifiedBy>
  <cp:revision>3</cp:revision>
  <dcterms:created xsi:type="dcterms:W3CDTF">2018-11-01T08:03:00Z</dcterms:created>
  <dcterms:modified xsi:type="dcterms:W3CDTF">2018-11-02T02:05:00Z</dcterms:modified>
</cp:coreProperties>
</file>