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ED" w:rsidRPr="00863FF4" w:rsidRDefault="00FB25ED" w:rsidP="00771716">
      <w:pPr>
        <w:suppressAutoHyphens w:val="0"/>
        <w:snapToGrid w:val="0"/>
        <w:jc w:val="center"/>
        <w:rPr>
          <w:rFonts w:eastAsiaTheme="minorEastAsia"/>
          <w:b/>
          <w:sz w:val="20"/>
          <w:szCs w:val="20"/>
          <w:lang w:eastAsia="zh-CN"/>
        </w:rPr>
      </w:pPr>
      <w:r w:rsidRPr="00863FF4">
        <w:rPr>
          <w:b/>
          <w:sz w:val="20"/>
          <w:szCs w:val="20"/>
        </w:rPr>
        <w:t xml:space="preserve">Pacesetter </w:t>
      </w:r>
      <w:proofErr w:type="spellStart"/>
      <w:r w:rsidRPr="00863FF4">
        <w:rPr>
          <w:b/>
          <w:sz w:val="20"/>
          <w:szCs w:val="20"/>
        </w:rPr>
        <w:t>Organomineral</w:t>
      </w:r>
      <w:proofErr w:type="spellEnd"/>
      <w:r w:rsidRPr="00863FF4">
        <w:rPr>
          <w:b/>
          <w:sz w:val="20"/>
          <w:szCs w:val="20"/>
        </w:rPr>
        <w:t xml:space="preserve">, NPK 15-15-15 Fertilizers and Their Residual Effects on Performance of Cassava </w:t>
      </w:r>
    </w:p>
    <w:p w:rsidR="00771716" w:rsidRPr="00863FF4" w:rsidRDefault="00771716" w:rsidP="00771716">
      <w:pPr>
        <w:suppressAutoHyphens w:val="0"/>
        <w:snapToGrid w:val="0"/>
        <w:jc w:val="center"/>
        <w:rPr>
          <w:rFonts w:eastAsiaTheme="minorEastAsia"/>
          <w:b/>
          <w:sz w:val="20"/>
          <w:szCs w:val="20"/>
          <w:lang w:eastAsia="zh-CN"/>
        </w:rPr>
      </w:pPr>
    </w:p>
    <w:p w:rsidR="00FB25ED" w:rsidRPr="00863FF4" w:rsidRDefault="00FB25ED" w:rsidP="00771716">
      <w:pPr>
        <w:suppressAutoHyphens w:val="0"/>
        <w:snapToGrid w:val="0"/>
        <w:jc w:val="center"/>
        <w:rPr>
          <w:rFonts w:eastAsiaTheme="minorEastAsia"/>
          <w:sz w:val="20"/>
          <w:szCs w:val="20"/>
          <w:lang w:eastAsia="zh-CN"/>
        </w:rPr>
      </w:pPr>
      <w:proofErr w:type="spellStart"/>
      <w:r w:rsidRPr="00863FF4">
        <w:rPr>
          <w:sz w:val="20"/>
          <w:szCs w:val="20"/>
        </w:rPr>
        <w:t>Tajudeen</w:t>
      </w:r>
      <w:proofErr w:type="spellEnd"/>
      <w:r w:rsidRPr="00863FF4">
        <w:rPr>
          <w:sz w:val="20"/>
          <w:szCs w:val="20"/>
        </w:rPr>
        <w:t xml:space="preserve"> </w:t>
      </w:r>
      <w:proofErr w:type="spellStart"/>
      <w:r w:rsidRPr="00863FF4">
        <w:rPr>
          <w:sz w:val="20"/>
          <w:szCs w:val="20"/>
        </w:rPr>
        <w:t>Bamidele</w:t>
      </w:r>
      <w:proofErr w:type="spellEnd"/>
      <w:r w:rsidRPr="00863FF4">
        <w:rPr>
          <w:sz w:val="20"/>
          <w:szCs w:val="20"/>
        </w:rPr>
        <w:t xml:space="preserve"> </w:t>
      </w:r>
      <w:proofErr w:type="spellStart"/>
      <w:r w:rsidRPr="00863FF4">
        <w:rPr>
          <w:sz w:val="20"/>
          <w:szCs w:val="20"/>
        </w:rPr>
        <w:t>Akinrinola</w:t>
      </w:r>
      <w:proofErr w:type="spellEnd"/>
      <w:r w:rsidRPr="00863FF4">
        <w:rPr>
          <w:sz w:val="20"/>
          <w:szCs w:val="20"/>
        </w:rPr>
        <w:t xml:space="preserve">, </w:t>
      </w:r>
      <w:proofErr w:type="spellStart"/>
      <w:r w:rsidRPr="00863FF4">
        <w:rPr>
          <w:sz w:val="20"/>
          <w:szCs w:val="20"/>
        </w:rPr>
        <w:t>Olajire</w:t>
      </w:r>
      <w:proofErr w:type="spellEnd"/>
      <w:r w:rsidRPr="00863FF4">
        <w:rPr>
          <w:sz w:val="20"/>
          <w:szCs w:val="20"/>
        </w:rPr>
        <w:t xml:space="preserve"> </w:t>
      </w:r>
      <w:proofErr w:type="spellStart"/>
      <w:r w:rsidRPr="00863FF4">
        <w:rPr>
          <w:sz w:val="20"/>
          <w:szCs w:val="20"/>
        </w:rPr>
        <w:t>Fagbola</w:t>
      </w:r>
      <w:proofErr w:type="spellEnd"/>
      <w:r w:rsidRPr="00863FF4">
        <w:rPr>
          <w:sz w:val="20"/>
          <w:szCs w:val="20"/>
        </w:rPr>
        <w:t xml:space="preserve"> </w:t>
      </w:r>
    </w:p>
    <w:p w:rsidR="00771716" w:rsidRPr="00863FF4" w:rsidRDefault="00771716" w:rsidP="00771716">
      <w:pPr>
        <w:suppressAutoHyphens w:val="0"/>
        <w:snapToGrid w:val="0"/>
        <w:jc w:val="center"/>
        <w:rPr>
          <w:rFonts w:eastAsiaTheme="minorEastAsia"/>
          <w:sz w:val="20"/>
          <w:szCs w:val="20"/>
          <w:lang w:eastAsia="zh-CN"/>
        </w:rPr>
      </w:pPr>
    </w:p>
    <w:p w:rsidR="00FB25ED" w:rsidRPr="00863FF4" w:rsidRDefault="00FB25ED" w:rsidP="00771716">
      <w:pPr>
        <w:suppressAutoHyphens w:val="0"/>
        <w:snapToGrid w:val="0"/>
        <w:jc w:val="center"/>
        <w:rPr>
          <w:sz w:val="20"/>
          <w:szCs w:val="20"/>
        </w:rPr>
      </w:pPr>
      <w:r w:rsidRPr="00863FF4">
        <w:rPr>
          <w:sz w:val="20"/>
          <w:szCs w:val="20"/>
        </w:rPr>
        <w:t>Department of Agronomy, University of Ibadan, Ibadan, Nigeria</w:t>
      </w:r>
    </w:p>
    <w:p w:rsidR="00FB25ED" w:rsidRPr="00863FF4" w:rsidRDefault="00FC3C4D" w:rsidP="00771716">
      <w:pPr>
        <w:suppressAutoHyphens w:val="0"/>
        <w:snapToGrid w:val="0"/>
        <w:jc w:val="center"/>
        <w:rPr>
          <w:rFonts w:eastAsiaTheme="minorEastAsia"/>
          <w:sz w:val="20"/>
          <w:szCs w:val="20"/>
          <w:lang w:eastAsia="zh-CN"/>
        </w:rPr>
      </w:pPr>
      <w:hyperlink r:id="rId7" w:history="1">
        <w:r w:rsidR="00FB25ED" w:rsidRPr="00863FF4">
          <w:rPr>
            <w:rStyle w:val="Hyperlink"/>
            <w:sz w:val="20"/>
            <w:szCs w:val="20"/>
          </w:rPr>
          <w:t>tb.akinrinola@gmail.com</w:t>
        </w:r>
      </w:hyperlink>
    </w:p>
    <w:p w:rsidR="00771716" w:rsidRPr="00863FF4" w:rsidRDefault="00771716" w:rsidP="00771716">
      <w:pPr>
        <w:suppressAutoHyphens w:val="0"/>
        <w:snapToGrid w:val="0"/>
        <w:jc w:val="center"/>
        <w:rPr>
          <w:rFonts w:eastAsiaTheme="minorEastAsia"/>
          <w:sz w:val="20"/>
          <w:szCs w:val="20"/>
          <w:lang w:eastAsia="zh-CN"/>
        </w:rPr>
      </w:pPr>
    </w:p>
    <w:p w:rsidR="00FB25ED" w:rsidRPr="00863FF4" w:rsidRDefault="00771716" w:rsidP="00771716">
      <w:pPr>
        <w:suppressAutoHyphens w:val="0"/>
        <w:snapToGrid w:val="0"/>
        <w:jc w:val="both"/>
        <w:rPr>
          <w:sz w:val="20"/>
          <w:szCs w:val="20"/>
        </w:rPr>
      </w:pPr>
      <w:r w:rsidRPr="00863FF4">
        <w:rPr>
          <w:b/>
          <w:sz w:val="20"/>
          <w:szCs w:val="20"/>
        </w:rPr>
        <w:t xml:space="preserve">Abstract: </w:t>
      </w:r>
      <w:r w:rsidR="00FB25ED" w:rsidRPr="00863FF4">
        <w:rPr>
          <w:sz w:val="20"/>
          <w:szCs w:val="20"/>
        </w:rPr>
        <w:t xml:space="preserve">The need to move cassava from poverty alleviator to industrial crop and ensure sustainability in cassava production, necessitated the need for fertilizer application to maximize yield. Applying </w:t>
      </w:r>
      <w:proofErr w:type="spellStart"/>
      <w:r w:rsidR="00FB25ED" w:rsidRPr="00863FF4">
        <w:rPr>
          <w:sz w:val="20"/>
          <w:szCs w:val="20"/>
        </w:rPr>
        <w:t>organomineral</w:t>
      </w:r>
      <w:proofErr w:type="spellEnd"/>
      <w:r w:rsidR="00FB25ED" w:rsidRPr="00863FF4">
        <w:rPr>
          <w:sz w:val="20"/>
          <w:szCs w:val="20"/>
        </w:rPr>
        <w:t xml:space="preserve"> fertilizer without adequate recommendations can result in low crop yields compared with potential yields</w:t>
      </w:r>
      <w:r w:rsidRPr="00863FF4">
        <w:rPr>
          <w:rFonts w:eastAsiaTheme="minorEastAsia" w:hint="eastAsia"/>
          <w:sz w:val="20"/>
          <w:szCs w:val="20"/>
          <w:lang w:eastAsia="zh-CN"/>
        </w:rPr>
        <w:t>.</w:t>
      </w:r>
      <w:r w:rsidR="00FB25ED" w:rsidRPr="00863FF4">
        <w:rPr>
          <w:bCs/>
          <w:sz w:val="20"/>
          <w:szCs w:val="20"/>
        </w:rPr>
        <w:t xml:space="preserve"> Using 30 kg </w:t>
      </w:r>
      <w:r w:rsidR="00FB25ED" w:rsidRPr="00863FF4">
        <w:rPr>
          <w:sz w:val="20"/>
          <w:szCs w:val="20"/>
        </w:rPr>
        <w:t xml:space="preserve">pots, experiments were conducted in a completely randomized design to compare the effects of Pacesetter </w:t>
      </w:r>
      <w:proofErr w:type="spellStart"/>
      <w:r w:rsidR="00FB25ED" w:rsidRPr="00863FF4">
        <w:rPr>
          <w:sz w:val="20"/>
          <w:szCs w:val="20"/>
        </w:rPr>
        <w:t>organomineral</w:t>
      </w:r>
      <w:proofErr w:type="spellEnd"/>
      <w:r w:rsidR="00FB25ED" w:rsidRPr="00863FF4">
        <w:rPr>
          <w:sz w:val="20"/>
          <w:szCs w:val="20"/>
        </w:rPr>
        <w:t xml:space="preserve"> fertilizer (0, 50, 100, and 150 kg N/ha) and NPK 15-15-15 (400 kg/ha) on the performance of cassava (TMS 30572). Their residual effects were also evaluated. Cassava was planted one hard stem cutting per pot. </w:t>
      </w:r>
      <w:r w:rsidR="00FB25ED" w:rsidRPr="00863FF4">
        <w:rPr>
          <w:rFonts w:eastAsia="Times New Roman"/>
          <w:sz w:val="20"/>
          <w:szCs w:val="20"/>
        </w:rPr>
        <w:t xml:space="preserve">The data obtained were subjected to analyses of variance with significance level at 5%. </w:t>
      </w:r>
      <w:r w:rsidR="00FB25ED" w:rsidRPr="00863FF4">
        <w:rPr>
          <w:sz w:val="20"/>
          <w:szCs w:val="20"/>
        </w:rPr>
        <w:t xml:space="preserve">Pacesetter </w:t>
      </w:r>
      <w:proofErr w:type="spellStart"/>
      <w:r w:rsidR="00FB25ED" w:rsidRPr="00863FF4">
        <w:rPr>
          <w:sz w:val="20"/>
          <w:szCs w:val="20"/>
        </w:rPr>
        <w:t>organomineral</w:t>
      </w:r>
      <w:proofErr w:type="spellEnd"/>
      <w:r w:rsidR="00FB25ED" w:rsidRPr="00863FF4">
        <w:rPr>
          <w:sz w:val="20"/>
          <w:szCs w:val="20"/>
        </w:rPr>
        <w:t xml:space="preserve"> fertilizer (POF) increased cassava plant height, stem diameter, number of leaf and estimated average leaf area with the highest values obtained at 100 kg N/ha. The POF</w:t>
      </w:r>
      <w:r w:rsidR="00FB25ED" w:rsidRPr="00863FF4">
        <w:rPr>
          <w:rFonts w:eastAsia="Times New Roman"/>
          <w:sz w:val="20"/>
          <w:szCs w:val="20"/>
        </w:rPr>
        <w:t xml:space="preserve"> application at 100 and 50 kg N/ha, significantly increased cassava storage root yields compared to 150 kg N/ha or the control. These levels were not significantly different from the effect of NPK on cassava storage root yield. The order of the effects of fertilizers on cassava storage root yield is 100 &gt; 50 &gt; NPK &gt; 0 &gt; 150. Further, 100 kg N/ha POF significantly improved cassava storage root sizes compared to other treatments. Significantly higher top:</w:t>
      </w:r>
      <w:r w:rsidR="002F4DDB" w:rsidRPr="00863FF4">
        <w:rPr>
          <w:rFonts w:eastAsiaTheme="minorEastAsia" w:hint="eastAsia"/>
          <w:sz w:val="20"/>
          <w:szCs w:val="20"/>
          <w:lang w:eastAsia="zh-CN"/>
        </w:rPr>
        <w:t xml:space="preserve"> </w:t>
      </w:r>
      <w:r w:rsidR="00FB25ED" w:rsidRPr="00863FF4">
        <w:rPr>
          <w:rFonts w:eastAsia="Times New Roman"/>
          <w:sz w:val="20"/>
          <w:szCs w:val="20"/>
        </w:rPr>
        <w:t xml:space="preserve">storage root ratio was observed at 150 kg N/ha treatment compared to 50 or 100 kg N/ha POF treatments. </w:t>
      </w:r>
      <w:r w:rsidR="00FB25ED" w:rsidRPr="00863FF4">
        <w:rPr>
          <w:sz w:val="20"/>
          <w:szCs w:val="20"/>
        </w:rPr>
        <w:t>There was no significant residual effect of fertilizers on subsequent cropping.</w:t>
      </w:r>
      <w:r w:rsidR="00FB25ED" w:rsidRPr="00863FF4">
        <w:rPr>
          <w:rFonts w:eastAsia="Times New Roman"/>
          <w:sz w:val="20"/>
          <w:szCs w:val="20"/>
        </w:rPr>
        <w:t xml:space="preserve"> However, </w:t>
      </w:r>
      <w:r w:rsidR="00FB25ED" w:rsidRPr="00863FF4">
        <w:rPr>
          <w:sz w:val="20"/>
          <w:szCs w:val="20"/>
        </w:rPr>
        <w:t>the residual effect of 150 and 100 kg N/ha POF were 24.64 % and 9.11 %, respectively higher than the value observed using NPK fertilizer. Hence, 100 kg N/ha is recommended for optimum cassava storage root yield in the area.</w:t>
      </w:r>
    </w:p>
    <w:p w:rsidR="00771716" w:rsidRPr="00863FF4" w:rsidRDefault="00FB25ED" w:rsidP="00771716">
      <w:pPr>
        <w:suppressAutoHyphens w:val="0"/>
        <w:snapToGrid w:val="0"/>
        <w:jc w:val="both"/>
        <w:rPr>
          <w:rFonts w:eastAsiaTheme="minorEastAsia"/>
          <w:sz w:val="20"/>
          <w:szCs w:val="20"/>
          <w:lang w:eastAsia="zh-CN"/>
        </w:rPr>
      </w:pPr>
      <w:r w:rsidRPr="00863FF4">
        <w:rPr>
          <w:sz w:val="20"/>
          <w:szCs w:val="20"/>
        </w:rPr>
        <w:t>[</w:t>
      </w:r>
      <w:proofErr w:type="spellStart"/>
      <w:r w:rsidRPr="00863FF4">
        <w:rPr>
          <w:sz w:val="20"/>
          <w:szCs w:val="20"/>
        </w:rPr>
        <w:t>Akinrinola</w:t>
      </w:r>
      <w:proofErr w:type="spellEnd"/>
      <w:r w:rsidRPr="00863FF4">
        <w:rPr>
          <w:sz w:val="20"/>
          <w:szCs w:val="20"/>
        </w:rPr>
        <w:t xml:space="preserve"> TB, </w:t>
      </w:r>
      <w:proofErr w:type="spellStart"/>
      <w:r w:rsidRPr="00863FF4">
        <w:rPr>
          <w:sz w:val="20"/>
          <w:szCs w:val="20"/>
        </w:rPr>
        <w:t>Fagbola</w:t>
      </w:r>
      <w:proofErr w:type="spellEnd"/>
      <w:r w:rsidRPr="00863FF4">
        <w:rPr>
          <w:sz w:val="20"/>
          <w:szCs w:val="20"/>
        </w:rPr>
        <w:t xml:space="preserve"> O. </w:t>
      </w:r>
      <w:r w:rsidRPr="00863FF4">
        <w:rPr>
          <w:b/>
          <w:sz w:val="20"/>
          <w:szCs w:val="20"/>
        </w:rPr>
        <w:t xml:space="preserve">Pacesetter </w:t>
      </w:r>
      <w:proofErr w:type="spellStart"/>
      <w:r w:rsidRPr="00863FF4">
        <w:rPr>
          <w:b/>
          <w:sz w:val="20"/>
          <w:szCs w:val="20"/>
        </w:rPr>
        <w:t>Organomineral</w:t>
      </w:r>
      <w:proofErr w:type="spellEnd"/>
      <w:r w:rsidRPr="00863FF4">
        <w:rPr>
          <w:b/>
          <w:sz w:val="20"/>
          <w:szCs w:val="20"/>
        </w:rPr>
        <w:t>, NPK 15-15-15 Fertilizers and Their Residual Effects on Performance of Cassava.</w:t>
      </w:r>
      <w:r w:rsidR="00771716" w:rsidRPr="00863FF4">
        <w:rPr>
          <w:bCs/>
          <w:i/>
          <w:sz w:val="20"/>
          <w:szCs w:val="20"/>
        </w:rPr>
        <w:t xml:space="preserve"> N Y </w:t>
      </w:r>
      <w:proofErr w:type="spellStart"/>
      <w:r w:rsidR="00771716" w:rsidRPr="00863FF4">
        <w:rPr>
          <w:bCs/>
          <w:i/>
          <w:sz w:val="20"/>
          <w:szCs w:val="20"/>
        </w:rPr>
        <w:t>Sci</w:t>
      </w:r>
      <w:proofErr w:type="spellEnd"/>
      <w:r w:rsidR="00771716" w:rsidRPr="00863FF4">
        <w:rPr>
          <w:bCs/>
          <w:i/>
          <w:sz w:val="20"/>
          <w:szCs w:val="20"/>
        </w:rPr>
        <w:t xml:space="preserve"> J</w:t>
      </w:r>
      <w:r w:rsidR="00771716" w:rsidRPr="00863FF4">
        <w:rPr>
          <w:bCs/>
          <w:sz w:val="20"/>
          <w:szCs w:val="20"/>
        </w:rPr>
        <w:t xml:space="preserve"> </w:t>
      </w:r>
      <w:r w:rsidR="00771716" w:rsidRPr="00863FF4">
        <w:rPr>
          <w:sz w:val="20"/>
          <w:szCs w:val="20"/>
        </w:rPr>
        <w:t>201</w:t>
      </w:r>
      <w:r w:rsidR="00771716" w:rsidRPr="00863FF4">
        <w:rPr>
          <w:rFonts w:hint="eastAsia"/>
          <w:sz w:val="20"/>
          <w:szCs w:val="20"/>
        </w:rPr>
        <w:t>9</w:t>
      </w:r>
      <w:r w:rsidR="00771716" w:rsidRPr="00863FF4">
        <w:rPr>
          <w:sz w:val="20"/>
          <w:szCs w:val="20"/>
        </w:rPr>
        <w:t>;</w:t>
      </w:r>
      <w:r w:rsidR="00771716" w:rsidRPr="00863FF4">
        <w:rPr>
          <w:rFonts w:hint="eastAsia"/>
          <w:sz w:val="20"/>
          <w:szCs w:val="20"/>
        </w:rPr>
        <w:t>12</w:t>
      </w:r>
      <w:r w:rsidR="00771716" w:rsidRPr="00863FF4">
        <w:rPr>
          <w:sz w:val="20"/>
          <w:szCs w:val="20"/>
        </w:rPr>
        <w:t>(</w:t>
      </w:r>
      <w:r w:rsidR="00771716" w:rsidRPr="00863FF4">
        <w:rPr>
          <w:rFonts w:hint="eastAsia"/>
          <w:sz w:val="20"/>
          <w:szCs w:val="20"/>
        </w:rPr>
        <w:t>1</w:t>
      </w:r>
      <w:r w:rsidR="00771716" w:rsidRPr="00863FF4">
        <w:rPr>
          <w:sz w:val="20"/>
          <w:szCs w:val="20"/>
        </w:rPr>
        <w:t>):</w:t>
      </w:r>
      <w:r w:rsidR="00AD69D4" w:rsidRPr="00863FF4">
        <w:rPr>
          <w:noProof/>
          <w:color w:val="000000"/>
          <w:sz w:val="20"/>
          <w:szCs w:val="20"/>
        </w:rPr>
        <w:t>40-46</w:t>
      </w:r>
      <w:r w:rsidR="00771716" w:rsidRPr="00863FF4">
        <w:rPr>
          <w:sz w:val="20"/>
          <w:szCs w:val="20"/>
        </w:rPr>
        <w:t xml:space="preserve">]. </w:t>
      </w:r>
      <w:r w:rsidR="00771716" w:rsidRPr="00863FF4">
        <w:rPr>
          <w:iCs/>
          <w:color w:val="000000"/>
          <w:sz w:val="20"/>
          <w:szCs w:val="20"/>
        </w:rPr>
        <w:t>ISSN 1554-0200 (print); ISSN 2375-723X (online)</w:t>
      </w:r>
      <w:r w:rsidR="00771716" w:rsidRPr="00863FF4">
        <w:rPr>
          <w:sz w:val="20"/>
          <w:szCs w:val="20"/>
        </w:rPr>
        <w:t xml:space="preserve">. </w:t>
      </w:r>
      <w:hyperlink r:id="rId8" w:history="1">
        <w:r w:rsidR="00771716" w:rsidRPr="00863FF4">
          <w:rPr>
            <w:rStyle w:val="Hyperlink"/>
            <w:sz w:val="20"/>
            <w:szCs w:val="20"/>
          </w:rPr>
          <w:t>http://www.sciencepub.net/newyork</w:t>
        </w:r>
      </w:hyperlink>
      <w:r w:rsidR="00771716" w:rsidRPr="00863FF4">
        <w:rPr>
          <w:sz w:val="20"/>
          <w:szCs w:val="20"/>
        </w:rPr>
        <w:t xml:space="preserve">. </w:t>
      </w:r>
      <w:r w:rsidR="00771716" w:rsidRPr="00863FF4">
        <w:rPr>
          <w:rFonts w:eastAsiaTheme="minorEastAsia" w:hint="eastAsia"/>
          <w:sz w:val="20"/>
          <w:szCs w:val="20"/>
          <w:lang w:eastAsia="zh-CN"/>
        </w:rPr>
        <w:t>5</w:t>
      </w:r>
      <w:r w:rsidR="00771716" w:rsidRPr="00863FF4">
        <w:rPr>
          <w:rFonts w:hint="eastAsia"/>
          <w:sz w:val="20"/>
          <w:szCs w:val="20"/>
        </w:rPr>
        <w:t xml:space="preserve">. </w:t>
      </w:r>
      <w:r w:rsidR="00771716" w:rsidRPr="00863FF4">
        <w:rPr>
          <w:color w:val="000000"/>
          <w:sz w:val="20"/>
          <w:szCs w:val="20"/>
          <w:shd w:val="clear" w:color="auto" w:fill="FFFFFF"/>
        </w:rPr>
        <w:t>doi:</w:t>
      </w:r>
      <w:hyperlink r:id="rId9" w:history="1">
        <w:r w:rsidR="00771716" w:rsidRPr="00863FF4">
          <w:rPr>
            <w:rStyle w:val="Hyperlink"/>
            <w:sz w:val="20"/>
            <w:szCs w:val="20"/>
            <w:shd w:val="clear" w:color="auto" w:fill="FFFFFF"/>
          </w:rPr>
          <w:t>10.7537/mars</w:t>
        </w:r>
        <w:r w:rsidR="00771716" w:rsidRPr="00863FF4">
          <w:rPr>
            <w:rStyle w:val="Hyperlink"/>
            <w:rFonts w:hint="eastAsia"/>
            <w:sz w:val="20"/>
            <w:szCs w:val="20"/>
            <w:shd w:val="clear" w:color="auto" w:fill="FFFFFF"/>
          </w:rPr>
          <w:t>nys120119.</w:t>
        </w:r>
        <w:r w:rsidR="00771716" w:rsidRPr="00863FF4">
          <w:rPr>
            <w:rStyle w:val="Hyperlink"/>
            <w:sz w:val="20"/>
            <w:szCs w:val="20"/>
            <w:shd w:val="clear" w:color="auto" w:fill="FFFFFF"/>
          </w:rPr>
          <w:t>0</w:t>
        </w:r>
        <w:r w:rsidR="00771716" w:rsidRPr="00863FF4">
          <w:rPr>
            <w:rStyle w:val="Hyperlink"/>
            <w:rFonts w:eastAsiaTheme="minorEastAsia" w:hint="eastAsia"/>
            <w:sz w:val="20"/>
            <w:szCs w:val="20"/>
            <w:shd w:val="clear" w:color="auto" w:fill="FFFFFF"/>
            <w:lang w:eastAsia="zh-CN"/>
          </w:rPr>
          <w:t>5</w:t>
        </w:r>
      </w:hyperlink>
      <w:r w:rsidR="00771716" w:rsidRPr="00863FF4">
        <w:rPr>
          <w:color w:val="000000"/>
          <w:sz w:val="20"/>
          <w:szCs w:val="20"/>
          <w:shd w:val="clear" w:color="auto" w:fill="FFFFFF"/>
        </w:rPr>
        <w:t>.</w:t>
      </w:r>
    </w:p>
    <w:p w:rsidR="00771716" w:rsidRPr="00863FF4" w:rsidRDefault="00771716" w:rsidP="00771716">
      <w:pPr>
        <w:suppressAutoHyphens w:val="0"/>
        <w:autoSpaceDE w:val="0"/>
        <w:autoSpaceDN w:val="0"/>
        <w:adjustRightInd w:val="0"/>
        <w:snapToGrid w:val="0"/>
        <w:jc w:val="both"/>
        <w:rPr>
          <w:rFonts w:eastAsiaTheme="minorEastAsia"/>
          <w:b/>
          <w:sz w:val="20"/>
          <w:szCs w:val="20"/>
          <w:lang w:eastAsia="zh-CN"/>
        </w:rPr>
      </w:pPr>
    </w:p>
    <w:p w:rsidR="00FB25ED" w:rsidRPr="00863FF4" w:rsidRDefault="00FB25ED" w:rsidP="00771716">
      <w:pPr>
        <w:suppressAutoHyphens w:val="0"/>
        <w:autoSpaceDE w:val="0"/>
        <w:autoSpaceDN w:val="0"/>
        <w:adjustRightInd w:val="0"/>
        <w:snapToGrid w:val="0"/>
        <w:jc w:val="both"/>
        <w:rPr>
          <w:b/>
          <w:sz w:val="20"/>
          <w:szCs w:val="20"/>
        </w:rPr>
      </w:pPr>
      <w:r w:rsidRPr="00863FF4">
        <w:rPr>
          <w:b/>
          <w:sz w:val="20"/>
          <w:szCs w:val="20"/>
        </w:rPr>
        <w:t xml:space="preserve">Keywords: </w:t>
      </w:r>
      <w:proofErr w:type="spellStart"/>
      <w:r w:rsidRPr="00863FF4">
        <w:rPr>
          <w:sz w:val="20"/>
          <w:szCs w:val="20"/>
        </w:rPr>
        <w:t>Organomineral</w:t>
      </w:r>
      <w:proofErr w:type="spellEnd"/>
      <w:r w:rsidRPr="00863FF4">
        <w:rPr>
          <w:b/>
          <w:sz w:val="20"/>
          <w:szCs w:val="20"/>
        </w:rPr>
        <w:t xml:space="preserve"> </w:t>
      </w:r>
      <w:r w:rsidRPr="00863FF4">
        <w:rPr>
          <w:sz w:val="20"/>
          <w:szCs w:val="20"/>
        </w:rPr>
        <w:t xml:space="preserve">fertilizer, TMS 30572, </w:t>
      </w:r>
      <w:r w:rsidRPr="00863FF4">
        <w:rPr>
          <w:rFonts w:eastAsia="Times New Roman"/>
          <w:sz w:val="20"/>
          <w:szCs w:val="20"/>
        </w:rPr>
        <w:t>Cassava storage root,</w:t>
      </w:r>
      <w:r w:rsidRPr="00863FF4">
        <w:rPr>
          <w:sz w:val="20"/>
          <w:szCs w:val="20"/>
        </w:rPr>
        <w:t xml:space="preserve"> Residual effects</w:t>
      </w:r>
    </w:p>
    <w:p w:rsidR="00771716" w:rsidRPr="00863FF4" w:rsidRDefault="00CC05CB" w:rsidP="00771716">
      <w:pPr>
        <w:suppressAutoHyphens w:val="0"/>
        <w:snapToGrid w:val="0"/>
        <w:jc w:val="both"/>
        <w:rPr>
          <w:b/>
          <w:sz w:val="20"/>
          <w:szCs w:val="20"/>
        </w:rPr>
        <w:sectPr w:rsidR="00771716" w:rsidRPr="00863FF4" w:rsidSect="00AD69D4">
          <w:headerReference w:type="default" r:id="rId10"/>
          <w:footerReference w:type="even" r:id="rId11"/>
          <w:footerReference w:type="default" r:id="rId12"/>
          <w:type w:val="continuous"/>
          <w:pgSz w:w="12242" w:h="15842" w:code="1"/>
          <w:pgMar w:top="1440" w:right="1440" w:bottom="1440" w:left="1440" w:header="720" w:footer="720" w:gutter="0"/>
          <w:pgNumType w:start="40"/>
          <w:cols w:space="720"/>
          <w:docGrid w:linePitch="360"/>
        </w:sectPr>
      </w:pPr>
      <w:r w:rsidRPr="00863FF4">
        <w:rPr>
          <w:b/>
          <w:sz w:val="20"/>
          <w:szCs w:val="20"/>
        </w:rPr>
        <w:cr/>
      </w:r>
    </w:p>
    <w:p w:rsidR="00CC05CB" w:rsidRPr="00863FF4" w:rsidRDefault="00FB25ED" w:rsidP="00771716">
      <w:pPr>
        <w:suppressAutoHyphens w:val="0"/>
        <w:snapToGrid w:val="0"/>
        <w:jc w:val="both"/>
        <w:rPr>
          <w:sz w:val="20"/>
          <w:szCs w:val="20"/>
        </w:rPr>
      </w:pPr>
      <w:r w:rsidRPr="00863FF4">
        <w:rPr>
          <w:b/>
          <w:sz w:val="20"/>
          <w:szCs w:val="20"/>
        </w:rPr>
        <w:lastRenderedPageBreak/>
        <w:t>1. Introduction</w:t>
      </w: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sz w:val="20"/>
          <w:szCs w:val="20"/>
        </w:rPr>
        <w:t>Cassava or tapioca (</w:t>
      </w:r>
      <w:proofErr w:type="spellStart"/>
      <w:r w:rsidRPr="00863FF4">
        <w:rPr>
          <w:iCs/>
          <w:sz w:val="20"/>
          <w:szCs w:val="20"/>
        </w:rPr>
        <w:t>Manihot</w:t>
      </w:r>
      <w:proofErr w:type="spellEnd"/>
      <w:r w:rsidRPr="00863FF4">
        <w:rPr>
          <w:iCs/>
          <w:sz w:val="20"/>
          <w:szCs w:val="20"/>
        </w:rPr>
        <w:t xml:space="preserve"> </w:t>
      </w:r>
      <w:proofErr w:type="spellStart"/>
      <w:r w:rsidRPr="00863FF4">
        <w:rPr>
          <w:iCs/>
          <w:sz w:val="20"/>
          <w:szCs w:val="20"/>
        </w:rPr>
        <w:t>esculenta</w:t>
      </w:r>
      <w:proofErr w:type="spellEnd"/>
      <w:r w:rsidRPr="00863FF4">
        <w:rPr>
          <w:iCs/>
          <w:sz w:val="20"/>
          <w:szCs w:val="20"/>
        </w:rPr>
        <w:t xml:space="preserve">, </w:t>
      </w:r>
      <w:proofErr w:type="spellStart"/>
      <w:r w:rsidRPr="00863FF4">
        <w:rPr>
          <w:sz w:val="20"/>
          <w:szCs w:val="20"/>
        </w:rPr>
        <w:t>Crantz</w:t>
      </w:r>
      <w:proofErr w:type="spellEnd"/>
      <w:r w:rsidRPr="00863FF4">
        <w:rPr>
          <w:iCs/>
          <w:sz w:val="20"/>
          <w:szCs w:val="20"/>
        </w:rPr>
        <w:t>)</w:t>
      </w:r>
      <w:r w:rsidRPr="00863FF4">
        <w:rPr>
          <w:sz w:val="20"/>
          <w:szCs w:val="20"/>
        </w:rPr>
        <w:t xml:space="preserve"> is an annual tuber crop grown widely in tropical and sub-tropical areas. It can easily thrive in sandy-loam soil with low organic matter, receiving low rainfall and moderate temperatures. It is therefore a cash crop cultivated by small-holder farmers within the existing farming systems in many countries (</w:t>
      </w:r>
      <w:proofErr w:type="spellStart"/>
      <w:r w:rsidRPr="00863FF4">
        <w:rPr>
          <w:sz w:val="20"/>
          <w:szCs w:val="20"/>
        </w:rPr>
        <w:t>Wanapat</w:t>
      </w:r>
      <w:proofErr w:type="spellEnd"/>
      <w:r w:rsidRPr="00863FF4">
        <w:rPr>
          <w:sz w:val="20"/>
          <w:szCs w:val="20"/>
        </w:rPr>
        <w:t xml:space="preserve"> et al., 2000). In Sub-Saharan Africa, cassava root and its derivatives are dominant food responsible for fifty percent of food intake and about 1000 calories per capital per day (</w:t>
      </w:r>
      <w:proofErr w:type="spellStart"/>
      <w:r w:rsidRPr="00863FF4">
        <w:rPr>
          <w:sz w:val="20"/>
          <w:szCs w:val="20"/>
        </w:rPr>
        <w:t>Mombo</w:t>
      </w:r>
      <w:proofErr w:type="spellEnd"/>
      <w:r w:rsidRPr="00863FF4">
        <w:rPr>
          <w:sz w:val="20"/>
          <w:szCs w:val="20"/>
        </w:rPr>
        <w:t xml:space="preserve"> et al., 2016). According to </w:t>
      </w:r>
      <w:proofErr w:type="spellStart"/>
      <w:r w:rsidRPr="00863FF4">
        <w:rPr>
          <w:sz w:val="20"/>
          <w:szCs w:val="20"/>
        </w:rPr>
        <w:t>Ojeniyi</w:t>
      </w:r>
      <w:proofErr w:type="spellEnd"/>
      <w:r w:rsidRPr="00863FF4">
        <w:rPr>
          <w:sz w:val="20"/>
          <w:szCs w:val="20"/>
        </w:rPr>
        <w:t xml:space="preserve"> </w:t>
      </w:r>
      <w:proofErr w:type="spellStart"/>
      <w:r w:rsidRPr="00863FF4">
        <w:rPr>
          <w:sz w:val="20"/>
          <w:szCs w:val="20"/>
        </w:rPr>
        <w:t>et.al</w:t>
      </w:r>
      <w:proofErr w:type="spellEnd"/>
      <w:r w:rsidRPr="00863FF4">
        <w:rPr>
          <w:sz w:val="20"/>
          <w:szCs w:val="20"/>
        </w:rPr>
        <w:t xml:space="preserve">. (2009), cassava is also an industrial crop. </w:t>
      </w:r>
    </w:p>
    <w:p w:rsidR="00FB25ED" w:rsidRPr="00863FF4" w:rsidRDefault="00FB25ED" w:rsidP="00771716">
      <w:pPr>
        <w:suppressAutoHyphens w:val="0"/>
        <w:snapToGrid w:val="0"/>
        <w:ind w:firstLine="425"/>
        <w:jc w:val="both"/>
        <w:rPr>
          <w:sz w:val="20"/>
          <w:szCs w:val="20"/>
        </w:rPr>
      </w:pPr>
      <w:r w:rsidRPr="00863FF4">
        <w:rPr>
          <w:sz w:val="20"/>
          <w:szCs w:val="20"/>
        </w:rPr>
        <w:t xml:space="preserve">In Nigeria, cassava is grown throughout the country with estimated production of </w:t>
      </w:r>
      <w:r w:rsidRPr="00863FF4">
        <w:rPr>
          <w:rFonts w:eastAsia="Times New Roman"/>
          <w:sz w:val="20"/>
          <w:szCs w:val="20"/>
        </w:rPr>
        <w:t xml:space="preserve">54.83 million </w:t>
      </w:r>
      <w:r w:rsidRPr="00863FF4">
        <w:rPr>
          <w:sz w:val="20"/>
          <w:szCs w:val="20"/>
        </w:rPr>
        <w:t xml:space="preserve">tons in 2014. The average yield was </w:t>
      </w:r>
      <w:r w:rsidRPr="00863FF4">
        <w:rPr>
          <w:rFonts w:eastAsia="Times New Roman"/>
          <w:sz w:val="20"/>
          <w:szCs w:val="20"/>
        </w:rPr>
        <w:t xml:space="preserve">7.72 t/ha. </w:t>
      </w:r>
      <w:r w:rsidRPr="00863FF4">
        <w:rPr>
          <w:sz w:val="20"/>
          <w:szCs w:val="20"/>
        </w:rPr>
        <w:t xml:space="preserve">Cassava is an easy growing plant and well adapted in poor soils. Due to its adaptability and relatively high productivity, it is a popular crop found on farmer’s field. To increase yield in cassava production, there are many factors involved such as cultivars, environmental factors and also good crop management. Despite the ability of cassava to usually grow in poor soil areas, continuously growing the plant can lead to further soil nutrients depletion thereby affecting cassava growth and yield. To </w:t>
      </w:r>
      <w:r w:rsidRPr="00863FF4">
        <w:rPr>
          <w:sz w:val="20"/>
          <w:szCs w:val="20"/>
        </w:rPr>
        <w:lastRenderedPageBreak/>
        <w:t>overcome this problem, good crop management is important. The application of fertilizer causes significant increases in yields of storage roots as well as starch content (</w:t>
      </w:r>
      <w:proofErr w:type="spellStart"/>
      <w:r w:rsidRPr="00863FF4">
        <w:rPr>
          <w:sz w:val="20"/>
          <w:szCs w:val="20"/>
        </w:rPr>
        <w:t>Howeler</w:t>
      </w:r>
      <w:proofErr w:type="spellEnd"/>
      <w:r w:rsidRPr="00863FF4">
        <w:rPr>
          <w:sz w:val="20"/>
          <w:szCs w:val="20"/>
        </w:rPr>
        <w:t>, 2001a). Hence, cassava production is limited by soil fertility status and this necessitates application of organic and inorganic fertilizers (</w:t>
      </w:r>
      <w:proofErr w:type="spellStart"/>
      <w:r w:rsidRPr="00863FF4">
        <w:rPr>
          <w:sz w:val="20"/>
          <w:szCs w:val="20"/>
        </w:rPr>
        <w:t>Ojeniyi</w:t>
      </w:r>
      <w:proofErr w:type="spellEnd"/>
      <w:r w:rsidRPr="00863FF4">
        <w:rPr>
          <w:sz w:val="20"/>
          <w:szCs w:val="20"/>
        </w:rPr>
        <w:t xml:space="preserve"> </w:t>
      </w:r>
      <w:proofErr w:type="spellStart"/>
      <w:r w:rsidRPr="00863FF4">
        <w:rPr>
          <w:sz w:val="20"/>
          <w:szCs w:val="20"/>
        </w:rPr>
        <w:t>et.al</w:t>
      </w:r>
      <w:proofErr w:type="spellEnd"/>
      <w:r w:rsidRPr="00863FF4">
        <w:rPr>
          <w:sz w:val="20"/>
          <w:szCs w:val="20"/>
        </w:rPr>
        <w:t>., 2009) especially in Southeast Nigeria where scarcity of land militates bush fallowing (</w:t>
      </w:r>
      <w:proofErr w:type="spellStart"/>
      <w:r w:rsidRPr="00863FF4">
        <w:rPr>
          <w:sz w:val="20"/>
          <w:szCs w:val="20"/>
        </w:rPr>
        <w:t>Fagbola</w:t>
      </w:r>
      <w:proofErr w:type="spellEnd"/>
      <w:r w:rsidRPr="00863FF4">
        <w:rPr>
          <w:sz w:val="20"/>
          <w:szCs w:val="20"/>
        </w:rPr>
        <w:t xml:space="preserve"> et al., 1998). </w:t>
      </w:r>
      <w:proofErr w:type="spellStart"/>
      <w:r w:rsidRPr="00863FF4">
        <w:rPr>
          <w:sz w:val="20"/>
          <w:szCs w:val="20"/>
        </w:rPr>
        <w:t>Howeler</w:t>
      </w:r>
      <w:proofErr w:type="spellEnd"/>
      <w:r w:rsidRPr="00863FF4">
        <w:rPr>
          <w:sz w:val="20"/>
          <w:szCs w:val="20"/>
        </w:rPr>
        <w:t xml:space="preserve"> (1991) reported that cassava removes 55 kg/ha N, 132 kg/ha P and 112 kg/ha K from the soil. It is therefore a heavy nutrient miner. </w:t>
      </w: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rFonts w:eastAsia="Times New Roman"/>
          <w:sz w:val="20"/>
          <w:szCs w:val="20"/>
        </w:rPr>
        <w:t xml:space="preserve">In traditional system, cassava is usually grown without the application of fertilizers. However, to produce high yield, the crop does require large supplies of nutrient, and this requirement can be met through the use of fertilizers. </w:t>
      </w:r>
      <w:r w:rsidRPr="00863FF4">
        <w:rPr>
          <w:sz w:val="20"/>
          <w:szCs w:val="20"/>
        </w:rPr>
        <w:t>However, due to scarcity and high cost, farmers rarely use chemical fertilizer; rather, they depend on cheap organic sources of nutrients (</w:t>
      </w:r>
      <w:proofErr w:type="spellStart"/>
      <w:r w:rsidRPr="00863FF4">
        <w:rPr>
          <w:sz w:val="20"/>
          <w:szCs w:val="20"/>
        </w:rPr>
        <w:t>Ojeniyi</w:t>
      </w:r>
      <w:proofErr w:type="spellEnd"/>
      <w:r w:rsidRPr="00863FF4">
        <w:rPr>
          <w:sz w:val="20"/>
          <w:szCs w:val="20"/>
        </w:rPr>
        <w:t xml:space="preserve"> et al., 2012). The benefits derivable from the use of organic materials have, however, not been fully utilized in the humid tropics. This is partly because of the large quantities needed to satisfy the nutritional needs of crops, and the high cost of handling and transportation (</w:t>
      </w:r>
      <w:proofErr w:type="spellStart"/>
      <w:r w:rsidRPr="00863FF4">
        <w:rPr>
          <w:sz w:val="20"/>
          <w:szCs w:val="20"/>
        </w:rPr>
        <w:t>Adeoye</w:t>
      </w:r>
      <w:proofErr w:type="spellEnd"/>
      <w:r w:rsidRPr="00863FF4">
        <w:rPr>
          <w:sz w:val="20"/>
          <w:szCs w:val="20"/>
        </w:rPr>
        <w:t xml:space="preserve"> et al., 2005). In the tropical cropping systems, </w:t>
      </w:r>
      <w:proofErr w:type="spellStart"/>
      <w:r w:rsidRPr="00863FF4">
        <w:rPr>
          <w:sz w:val="20"/>
          <w:szCs w:val="20"/>
        </w:rPr>
        <w:t>organomineral</w:t>
      </w:r>
      <w:proofErr w:type="spellEnd"/>
      <w:r w:rsidRPr="00863FF4">
        <w:rPr>
          <w:sz w:val="20"/>
          <w:szCs w:val="20"/>
        </w:rPr>
        <w:t xml:space="preserve"> fertilizer was specifically formulated and encouraged as an </w:t>
      </w:r>
      <w:r w:rsidRPr="00863FF4">
        <w:rPr>
          <w:sz w:val="20"/>
          <w:szCs w:val="20"/>
        </w:rPr>
        <w:lastRenderedPageBreak/>
        <w:t xml:space="preserve">alternative to conventional inorganic fertilizers and thus increase land use frequency to approach continuous crop production. These reasons have necessitated research on increasing effectiveness of </w:t>
      </w:r>
      <w:proofErr w:type="spellStart"/>
      <w:r w:rsidRPr="00863FF4">
        <w:rPr>
          <w:sz w:val="20"/>
          <w:szCs w:val="20"/>
        </w:rPr>
        <w:t>organomineral</w:t>
      </w:r>
      <w:proofErr w:type="spellEnd"/>
      <w:r w:rsidRPr="00863FF4">
        <w:rPr>
          <w:sz w:val="20"/>
          <w:szCs w:val="20"/>
        </w:rPr>
        <w:t xml:space="preserve"> fertilizers and develop optimum fertilizer level for maximum cassava yield. This study was therefore aimed at evaluating </w:t>
      </w:r>
      <w:r w:rsidRPr="00863FF4">
        <w:rPr>
          <w:iCs/>
          <w:sz w:val="20"/>
          <w:szCs w:val="20"/>
        </w:rPr>
        <w:t xml:space="preserve">cassava </w:t>
      </w:r>
      <w:r w:rsidRPr="00863FF4">
        <w:rPr>
          <w:sz w:val="20"/>
          <w:szCs w:val="20"/>
        </w:rPr>
        <w:t>response</w:t>
      </w:r>
      <w:r w:rsidRPr="00863FF4">
        <w:rPr>
          <w:iCs/>
          <w:sz w:val="20"/>
          <w:szCs w:val="20"/>
        </w:rPr>
        <w:t xml:space="preserve"> to different levels of Pacesetter </w:t>
      </w:r>
      <w:proofErr w:type="spellStart"/>
      <w:r w:rsidRPr="00863FF4">
        <w:rPr>
          <w:iCs/>
          <w:sz w:val="20"/>
          <w:szCs w:val="20"/>
        </w:rPr>
        <w:t>organomineral</w:t>
      </w:r>
      <w:proofErr w:type="spellEnd"/>
      <w:r w:rsidRPr="00863FF4">
        <w:rPr>
          <w:iCs/>
          <w:sz w:val="20"/>
          <w:szCs w:val="20"/>
        </w:rPr>
        <w:t xml:space="preserve"> fertilizer.</w:t>
      </w:r>
    </w:p>
    <w:p w:rsidR="00FB25ED" w:rsidRPr="00863FF4" w:rsidRDefault="00FB25ED" w:rsidP="00771716">
      <w:pPr>
        <w:suppressAutoHyphens w:val="0"/>
        <w:snapToGrid w:val="0"/>
        <w:jc w:val="both"/>
        <w:rPr>
          <w:b/>
          <w:sz w:val="20"/>
          <w:szCs w:val="20"/>
        </w:rPr>
      </w:pPr>
    </w:p>
    <w:p w:rsidR="00FB25ED" w:rsidRPr="00863FF4" w:rsidRDefault="00FB25ED" w:rsidP="00771716">
      <w:pPr>
        <w:suppressAutoHyphens w:val="0"/>
        <w:snapToGrid w:val="0"/>
        <w:jc w:val="both"/>
        <w:rPr>
          <w:sz w:val="20"/>
          <w:szCs w:val="20"/>
        </w:rPr>
      </w:pPr>
      <w:r w:rsidRPr="00863FF4">
        <w:rPr>
          <w:b/>
          <w:sz w:val="20"/>
          <w:szCs w:val="20"/>
        </w:rPr>
        <w:t>2. Materials and Methods</w:t>
      </w: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sz w:val="20"/>
          <w:szCs w:val="20"/>
        </w:rPr>
        <w:t xml:space="preserve">These experiments were conducted in the open field at </w:t>
      </w:r>
      <w:proofErr w:type="spellStart"/>
      <w:r w:rsidRPr="00863FF4">
        <w:rPr>
          <w:sz w:val="20"/>
          <w:szCs w:val="20"/>
        </w:rPr>
        <w:t>Ayepe</w:t>
      </w:r>
      <w:proofErr w:type="spellEnd"/>
      <w:r w:rsidRPr="00863FF4">
        <w:rPr>
          <w:sz w:val="20"/>
          <w:szCs w:val="20"/>
        </w:rPr>
        <w:t xml:space="preserve">, </w:t>
      </w:r>
      <w:proofErr w:type="spellStart"/>
      <w:r w:rsidRPr="00863FF4">
        <w:rPr>
          <w:sz w:val="20"/>
          <w:szCs w:val="20"/>
        </w:rPr>
        <w:t>Isokan</w:t>
      </w:r>
      <w:proofErr w:type="spellEnd"/>
      <w:r w:rsidRPr="00863FF4">
        <w:rPr>
          <w:sz w:val="20"/>
          <w:szCs w:val="20"/>
        </w:rPr>
        <w:t xml:space="preserve"> LGA, </w:t>
      </w:r>
      <w:proofErr w:type="spellStart"/>
      <w:r w:rsidRPr="00863FF4">
        <w:rPr>
          <w:sz w:val="20"/>
          <w:szCs w:val="20"/>
        </w:rPr>
        <w:t>Osun</w:t>
      </w:r>
      <w:proofErr w:type="spellEnd"/>
      <w:r w:rsidRPr="00863FF4">
        <w:rPr>
          <w:sz w:val="20"/>
          <w:szCs w:val="20"/>
        </w:rPr>
        <w:t xml:space="preserve"> State, south western Nigeria (latitude 7</w:t>
      </w:r>
      <w:r w:rsidRPr="00863FF4">
        <w:rPr>
          <w:sz w:val="20"/>
          <w:szCs w:val="20"/>
          <w:vertAlign w:val="superscript"/>
        </w:rPr>
        <w:t>°</w:t>
      </w:r>
      <w:r w:rsidRPr="00863FF4">
        <w:rPr>
          <w:sz w:val="20"/>
          <w:szCs w:val="20"/>
        </w:rPr>
        <w:t>17’27.17’’N and longitude 4</w:t>
      </w:r>
      <w:r w:rsidRPr="00863FF4">
        <w:rPr>
          <w:sz w:val="20"/>
          <w:szCs w:val="20"/>
          <w:vertAlign w:val="superscript"/>
        </w:rPr>
        <w:t>°</w:t>
      </w:r>
      <w:r w:rsidRPr="00863FF4">
        <w:rPr>
          <w:sz w:val="20"/>
          <w:szCs w:val="20"/>
        </w:rPr>
        <w:t>16’51.62’’E). Soil used for planting in the pot experiment was collected from the location and homogenized after passing through 2 mm screen sieve to control for nutrient differences between soils collected at different spots. Sub samples of the soils were taken for laboratory analysis. The samples were analyzed for the following parameters using standard procedures; pH was measured by glass electrode in a 1: 2 soil</w:t>
      </w:r>
      <w:r w:rsidR="00771716" w:rsidRPr="00863FF4">
        <w:rPr>
          <w:sz w:val="20"/>
          <w:szCs w:val="20"/>
        </w:rPr>
        <w:t>: w</w:t>
      </w:r>
      <w:r w:rsidRPr="00863FF4">
        <w:rPr>
          <w:sz w:val="20"/>
          <w:szCs w:val="20"/>
        </w:rPr>
        <w:t xml:space="preserve">ater ratio. Exchangeable acidity was determined by the titration method (Page </w:t>
      </w:r>
      <w:r w:rsidRPr="00863FF4">
        <w:rPr>
          <w:iCs/>
          <w:sz w:val="20"/>
          <w:szCs w:val="20"/>
        </w:rPr>
        <w:t xml:space="preserve">et al., </w:t>
      </w:r>
      <w:r w:rsidRPr="00863FF4">
        <w:rPr>
          <w:sz w:val="20"/>
          <w:szCs w:val="20"/>
        </w:rPr>
        <w:t>1982). Exchangeable bases were extracted with neutral ammonium acetate solution buffered at pH 7, while Na and K in the extracts were determined using flame photometer. Calcium and Mg were determined by Atomic Absorption Spectrophotometer (AAS) (Page</w:t>
      </w:r>
      <w:r w:rsidRPr="00863FF4">
        <w:rPr>
          <w:iCs/>
          <w:sz w:val="20"/>
          <w:szCs w:val="20"/>
        </w:rPr>
        <w:t xml:space="preserve"> et al., </w:t>
      </w:r>
      <w:r w:rsidRPr="00863FF4">
        <w:rPr>
          <w:sz w:val="20"/>
          <w:szCs w:val="20"/>
        </w:rPr>
        <w:t>1982). Organic matter was determined by wet acid digestion (</w:t>
      </w:r>
      <w:proofErr w:type="spellStart"/>
      <w:r w:rsidRPr="00863FF4">
        <w:rPr>
          <w:sz w:val="20"/>
          <w:szCs w:val="20"/>
        </w:rPr>
        <w:t>Walkey</w:t>
      </w:r>
      <w:proofErr w:type="spellEnd"/>
      <w:r w:rsidRPr="00863FF4">
        <w:rPr>
          <w:sz w:val="20"/>
          <w:szCs w:val="20"/>
        </w:rPr>
        <w:t xml:space="preserve"> and Black, 1934). Total nitrogen was determined by the </w:t>
      </w:r>
      <w:proofErr w:type="spellStart"/>
      <w:r w:rsidRPr="00863FF4">
        <w:rPr>
          <w:sz w:val="20"/>
          <w:szCs w:val="20"/>
        </w:rPr>
        <w:t>Kjeldahl</w:t>
      </w:r>
      <w:proofErr w:type="spellEnd"/>
      <w:r w:rsidRPr="00863FF4">
        <w:rPr>
          <w:sz w:val="20"/>
          <w:szCs w:val="20"/>
        </w:rPr>
        <w:t xml:space="preserve"> digestion method, phosphorus by Bray -1 procedure (Bray and </w:t>
      </w:r>
      <w:proofErr w:type="spellStart"/>
      <w:r w:rsidRPr="00863FF4">
        <w:rPr>
          <w:sz w:val="20"/>
          <w:szCs w:val="20"/>
        </w:rPr>
        <w:t>Kutz</w:t>
      </w:r>
      <w:proofErr w:type="spellEnd"/>
      <w:r w:rsidRPr="00863FF4">
        <w:rPr>
          <w:sz w:val="20"/>
          <w:szCs w:val="20"/>
        </w:rPr>
        <w:t>, 1945). Particle size analysis was by the hydrometer method (</w:t>
      </w:r>
      <w:proofErr w:type="spellStart"/>
      <w:r w:rsidRPr="00863FF4">
        <w:rPr>
          <w:sz w:val="20"/>
          <w:szCs w:val="20"/>
        </w:rPr>
        <w:t>Bouyoucos</w:t>
      </w:r>
      <w:proofErr w:type="spellEnd"/>
      <w:r w:rsidRPr="00863FF4">
        <w:rPr>
          <w:sz w:val="20"/>
          <w:szCs w:val="20"/>
        </w:rPr>
        <w:t xml:space="preserve">, 1951). </w:t>
      </w: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sz w:val="20"/>
          <w:szCs w:val="20"/>
        </w:rPr>
        <w:t xml:space="preserve">All the pots were filled with 30 kg of the sieved soil at the initiation of the experiment. The treatments were Pacesetter </w:t>
      </w:r>
      <w:proofErr w:type="spellStart"/>
      <w:r w:rsidRPr="00863FF4">
        <w:rPr>
          <w:sz w:val="20"/>
          <w:szCs w:val="20"/>
        </w:rPr>
        <w:t>organomineral</w:t>
      </w:r>
      <w:proofErr w:type="spellEnd"/>
      <w:r w:rsidRPr="00863FF4">
        <w:rPr>
          <w:sz w:val="20"/>
          <w:szCs w:val="20"/>
        </w:rPr>
        <w:t xml:space="preserve"> fertilizer (POF) at 0, 50, 100 and 150 kg N/ha and NPK 15-15-15 at 400 kg/ha. The pots were arranged in a completely randomized design with three replicates. Agronomic data collected monthly for a period of nine months included plant height, stem diameter, number of leaves and estimated average leaf area (LA).</w:t>
      </w:r>
    </w:p>
    <w:p w:rsidR="00FB25ED" w:rsidRPr="00863FF4" w:rsidRDefault="00FB25ED" w:rsidP="00771716">
      <w:pPr>
        <w:suppressAutoHyphens w:val="0"/>
        <w:snapToGrid w:val="0"/>
        <w:ind w:firstLine="425"/>
        <w:jc w:val="both"/>
        <w:rPr>
          <w:rFonts w:eastAsia="Times New Roman"/>
          <w:sz w:val="20"/>
          <w:szCs w:val="20"/>
        </w:rPr>
      </w:pPr>
      <w:r w:rsidRPr="00863FF4">
        <w:rPr>
          <w:sz w:val="20"/>
          <w:szCs w:val="20"/>
        </w:rPr>
        <w:t>LA = 1. 933 + 0.907(L x B) (</w:t>
      </w:r>
      <w:proofErr w:type="spellStart"/>
      <w:r w:rsidRPr="00863FF4">
        <w:rPr>
          <w:rFonts w:eastAsia="Times New Roman"/>
          <w:sz w:val="20"/>
          <w:szCs w:val="20"/>
        </w:rPr>
        <w:t>Karim</w:t>
      </w:r>
      <w:proofErr w:type="spellEnd"/>
      <w:r w:rsidRPr="00863FF4">
        <w:rPr>
          <w:rFonts w:eastAsia="Times New Roman"/>
          <w:sz w:val="20"/>
          <w:szCs w:val="20"/>
        </w:rPr>
        <w:t xml:space="preserve"> et al., 2010)</w:t>
      </w:r>
    </w:p>
    <w:p w:rsidR="00CC05CB" w:rsidRPr="00863FF4" w:rsidRDefault="00FB25ED" w:rsidP="00771716">
      <w:pPr>
        <w:suppressAutoHyphens w:val="0"/>
        <w:snapToGrid w:val="0"/>
        <w:ind w:firstLine="425"/>
        <w:jc w:val="both"/>
        <w:rPr>
          <w:rStyle w:val="Caption1"/>
          <w:sz w:val="20"/>
          <w:szCs w:val="20"/>
        </w:rPr>
      </w:pPr>
      <w:r w:rsidRPr="00863FF4">
        <w:rPr>
          <w:rStyle w:val="Caption1"/>
          <w:sz w:val="20"/>
          <w:szCs w:val="20"/>
        </w:rPr>
        <w:t>Where L = length of leaf from middle lobe</w:t>
      </w:r>
    </w:p>
    <w:p w:rsidR="00FB25ED" w:rsidRPr="00863FF4" w:rsidRDefault="00CC05CB" w:rsidP="00771716">
      <w:pPr>
        <w:suppressAutoHyphens w:val="0"/>
        <w:snapToGrid w:val="0"/>
        <w:ind w:firstLine="425"/>
        <w:jc w:val="both"/>
        <w:rPr>
          <w:rFonts w:eastAsia="Times New Roman"/>
          <w:sz w:val="20"/>
          <w:szCs w:val="20"/>
        </w:rPr>
      </w:pPr>
      <w:r w:rsidRPr="00863FF4">
        <w:rPr>
          <w:rStyle w:val="Caption1"/>
          <w:sz w:val="20"/>
          <w:szCs w:val="20"/>
        </w:rPr>
        <w:t>B</w:t>
      </w:r>
      <w:r w:rsidR="00FB25ED" w:rsidRPr="00863FF4">
        <w:rPr>
          <w:rStyle w:val="Caption1"/>
          <w:sz w:val="20"/>
          <w:szCs w:val="20"/>
        </w:rPr>
        <w:t xml:space="preserve"> = width of leaf</w:t>
      </w:r>
    </w:p>
    <w:p w:rsidR="00FB25ED" w:rsidRPr="00863FF4" w:rsidRDefault="00FB25ED" w:rsidP="00771716">
      <w:pPr>
        <w:suppressAutoHyphens w:val="0"/>
        <w:autoSpaceDE w:val="0"/>
        <w:autoSpaceDN w:val="0"/>
        <w:adjustRightInd w:val="0"/>
        <w:snapToGrid w:val="0"/>
        <w:ind w:firstLine="425"/>
        <w:jc w:val="both"/>
        <w:rPr>
          <w:color w:val="FF0000"/>
          <w:sz w:val="20"/>
          <w:szCs w:val="20"/>
        </w:rPr>
      </w:pPr>
      <w:r w:rsidRPr="00863FF4">
        <w:rPr>
          <w:sz w:val="20"/>
          <w:szCs w:val="20"/>
        </w:rPr>
        <w:t xml:space="preserve">After 10 months of growth, the following stem characteristics were measured at harvest: plant height, stem diameter, height at </w:t>
      </w:r>
      <w:proofErr w:type="spellStart"/>
      <w:r w:rsidRPr="00863FF4">
        <w:rPr>
          <w:sz w:val="20"/>
          <w:szCs w:val="20"/>
        </w:rPr>
        <w:t>jorquette</w:t>
      </w:r>
      <w:proofErr w:type="spellEnd"/>
      <w:r w:rsidRPr="00863FF4">
        <w:rPr>
          <w:sz w:val="20"/>
          <w:szCs w:val="20"/>
        </w:rPr>
        <w:t>, number of primary shoots, fresh shoot biomass and dry shoot weight.</w:t>
      </w:r>
      <w:r w:rsidR="00CC05CB" w:rsidRPr="00863FF4">
        <w:rPr>
          <w:sz w:val="20"/>
          <w:szCs w:val="20"/>
        </w:rPr>
        <w:t xml:space="preserve"> </w:t>
      </w:r>
      <w:r w:rsidRPr="00863FF4">
        <w:rPr>
          <w:sz w:val="20"/>
          <w:szCs w:val="20"/>
        </w:rPr>
        <w:t xml:space="preserve">Plant height was measured from the base of the plant to the highest shoot. Also evaluated were the following parameters: total number of tubers per plant, tuber yield per plant, average tuber size and </w:t>
      </w:r>
      <w:proofErr w:type="spellStart"/>
      <w:r w:rsidRPr="00863FF4">
        <w:rPr>
          <w:sz w:val="20"/>
          <w:szCs w:val="20"/>
        </w:rPr>
        <w:t>top:storage</w:t>
      </w:r>
      <w:proofErr w:type="spellEnd"/>
      <w:r w:rsidRPr="00863FF4">
        <w:rPr>
          <w:sz w:val="20"/>
          <w:szCs w:val="20"/>
        </w:rPr>
        <w:t xml:space="preserve"> root weight ratio. </w:t>
      </w: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sz w:val="20"/>
          <w:szCs w:val="20"/>
        </w:rPr>
        <w:lastRenderedPageBreak/>
        <w:t>Residual Experiment:</w:t>
      </w:r>
      <w:r w:rsidRPr="00863FF4">
        <w:rPr>
          <w:b/>
          <w:sz w:val="20"/>
          <w:szCs w:val="20"/>
        </w:rPr>
        <w:t xml:space="preserve"> </w:t>
      </w:r>
      <w:r w:rsidRPr="00863FF4">
        <w:rPr>
          <w:sz w:val="20"/>
          <w:szCs w:val="20"/>
        </w:rPr>
        <w:t xml:space="preserve">The residual influences of fertilizer applications after cropping with cassava were assessed on dry shoot weight of maize at 12 WAP. </w:t>
      </w:r>
    </w:p>
    <w:p w:rsidR="00FB25ED" w:rsidRPr="00863FF4" w:rsidRDefault="00FB25ED" w:rsidP="00771716">
      <w:pPr>
        <w:suppressAutoHyphens w:val="0"/>
        <w:autoSpaceDE w:val="0"/>
        <w:autoSpaceDN w:val="0"/>
        <w:adjustRightInd w:val="0"/>
        <w:snapToGrid w:val="0"/>
        <w:ind w:firstLine="425"/>
        <w:jc w:val="both"/>
        <w:rPr>
          <w:rFonts w:eastAsia="TimesNewRoman"/>
          <w:sz w:val="20"/>
          <w:szCs w:val="20"/>
        </w:rPr>
      </w:pPr>
      <w:r w:rsidRPr="00863FF4">
        <w:rPr>
          <w:sz w:val="20"/>
          <w:szCs w:val="20"/>
        </w:rPr>
        <w:t xml:space="preserve">All experimental data were </w:t>
      </w:r>
      <w:r w:rsidRPr="00863FF4">
        <w:rPr>
          <w:rFonts w:eastAsia="TimesNewRoman"/>
          <w:sz w:val="20"/>
          <w:szCs w:val="20"/>
        </w:rPr>
        <w:t>subjected to ANOVA and correlation coefficient analysis using SAS. Treatment means were separated using LSD at 5% level of probability.</w:t>
      </w:r>
    </w:p>
    <w:p w:rsidR="00FB25ED" w:rsidRPr="00863FF4" w:rsidRDefault="00FB25ED" w:rsidP="00771716">
      <w:pPr>
        <w:suppressAutoHyphens w:val="0"/>
        <w:autoSpaceDE w:val="0"/>
        <w:autoSpaceDN w:val="0"/>
        <w:adjustRightInd w:val="0"/>
        <w:snapToGrid w:val="0"/>
        <w:ind w:firstLine="425"/>
        <w:jc w:val="both"/>
        <w:rPr>
          <w:rFonts w:eastAsia="TimesNewRoman"/>
          <w:sz w:val="20"/>
          <w:szCs w:val="20"/>
        </w:rPr>
      </w:pPr>
    </w:p>
    <w:p w:rsidR="00FB25ED" w:rsidRPr="00863FF4" w:rsidRDefault="00FB25ED" w:rsidP="00771716">
      <w:pPr>
        <w:suppressAutoHyphens w:val="0"/>
        <w:autoSpaceDE w:val="0"/>
        <w:autoSpaceDN w:val="0"/>
        <w:adjustRightInd w:val="0"/>
        <w:snapToGrid w:val="0"/>
        <w:jc w:val="both"/>
        <w:rPr>
          <w:b/>
          <w:sz w:val="20"/>
          <w:szCs w:val="20"/>
        </w:rPr>
      </w:pPr>
      <w:r w:rsidRPr="00863FF4">
        <w:rPr>
          <w:b/>
          <w:sz w:val="20"/>
          <w:szCs w:val="20"/>
        </w:rPr>
        <w:t>3. Results</w:t>
      </w:r>
    </w:p>
    <w:p w:rsidR="00FB25ED" w:rsidRPr="00863FF4" w:rsidRDefault="00FB25ED" w:rsidP="00771716">
      <w:pPr>
        <w:suppressAutoHyphens w:val="0"/>
        <w:snapToGrid w:val="0"/>
        <w:ind w:firstLine="425"/>
        <w:jc w:val="both"/>
        <w:rPr>
          <w:rFonts w:eastAsia="Times New Roman"/>
          <w:sz w:val="20"/>
          <w:szCs w:val="20"/>
        </w:rPr>
      </w:pPr>
      <w:r w:rsidRPr="00863FF4">
        <w:rPr>
          <w:bCs/>
          <w:sz w:val="20"/>
          <w:szCs w:val="20"/>
        </w:rPr>
        <w:t xml:space="preserve">The result of the soil analyses is presented in Table 1. The soil was slightly acidic with a pH of 6.3 and </w:t>
      </w:r>
      <w:r w:rsidRPr="00863FF4">
        <w:rPr>
          <w:rFonts w:eastAsia="Times New Roman"/>
          <w:sz w:val="20"/>
          <w:szCs w:val="20"/>
        </w:rPr>
        <w:t xml:space="preserve">organic carbon of 11.5 g/kg. The soil C/N ratio was 14.74, while the P and K values were 5.83 mg/kg and 0.5 </w:t>
      </w:r>
      <w:r w:rsidRPr="00863FF4">
        <w:rPr>
          <w:rFonts w:eastAsia="Georgia"/>
          <w:sz w:val="20"/>
          <w:szCs w:val="20"/>
        </w:rPr>
        <w:t>(</w:t>
      </w:r>
      <w:proofErr w:type="spellStart"/>
      <w:r w:rsidRPr="00863FF4">
        <w:rPr>
          <w:rFonts w:eastAsia="Georgia"/>
          <w:sz w:val="20"/>
          <w:szCs w:val="20"/>
        </w:rPr>
        <w:t>cmol</w:t>
      </w:r>
      <w:proofErr w:type="spellEnd"/>
      <w:r w:rsidRPr="00863FF4">
        <w:rPr>
          <w:rFonts w:eastAsia="Georgia"/>
          <w:sz w:val="20"/>
          <w:szCs w:val="20"/>
        </w:rPr>
        <w:t>/kg)</w:t>
      </w:r>
      <w:r w:rsidRPr="00863FF4">
        <w:rPr>
          <w:rFonts w:eastAsia="Times New Roman"/>
          <w:sz w:val="20"/>
          <w:szCs w:val="20"/>
        </w:rPr>
        <w:t>, respectively. The soil textural class was loamy sand with high fraction of sand.</w:t>
      </w:r>
    </w:p>
    <w:p w:rsidR="00771716" w:rsidRPr="00863FF4" w:rsidRDefault="00771716" w:rsidP="00771716">
      <w:pPr>
        <w:suppressAutoHyphens w:val="0"/>
        <w:snapToGrid w:val="0"/>
        <w:jc w:val="center"/>
        <w:rPr>
          <w:rFonts w:eastAsiaTheme="minorEastAsia"/>
          <w:bCs/>
          <w:sz w:val="20"/>
          <w:szCs w:val="20"/>
          <w:lang w:eastAsia="zh-CN"/>
        </w:rPr>
      </w:pPr>
    </w:p>
    <w:p w:rsidR="00FB25ED" w:rsidRPr="00863FF4" w:rsidRDefault="00FB25ED" w:rsidP="00771716">
      <w:pPr>
        <w:suppressAutoHyphens w:val="0"/>
        <w:snapToGrid w:val="0"/>
        <w:jc w:val="both"/>
        <w:rPr>
          <w:sz w:val="20"/>
          <w:szCs w:val="20"/>
        </w:rPr>
      </w:pPr>
      <w:r w:rsidRPr="00863FF4">
        <w:rPr>
          <w:bCs/>
          <w:sz w:val="20"/>
          <w:szCs w:val="20"/>
        </w:rPr>
        <w:t xml:space="preserve">Table 1, The physical and chemical characteristics of soil used for the experiment </w:t>
      </w:r>
    </w:p>
    <w:tbl>
      <w:tblPr>
        <w:tblW w:w="5000" w:type="pct"/>
        <w:jc w:val="center"/>
        <w:tblCellMar>
          <w:left w:w="57" w:type="dxa"/>
          <w:right w:w="57" w:type="dxa"/>
        </w:tblCellMar>
        <w:tblLook w:val="04A0"/>
      </w:tblPr>
      <w:tblGrid>
        <w:gridCol w:w="3154"/>
        <w:gridCol w:w="1443"/>
      </w:tblGrid>
      <w:tr w:rsidR="00FB25ED" w:rsidRPr="00863FF4" w:rsidTr="00CC05CB">
        <w:trPr>
          <w:jc w:val="center"/>
        </w:trPr>
        <w:tc>
          <w:tcPr>
            <w:tcW w:w="343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Georgia"/>
                <w:sz w:val="20"/>
                <w:szCs w:val="20"/>
              </w:rPr>
              <w:t xml:space="preserve">Parameters </w:t>
            </w:r>
          </w:p>
        </w:tc>
        <w:tc>
          <w:tcPr>
            <w:tcW w:w="157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Values</w:t>
            </w:r>
          </w:p>
        </w:tc>
      </w:tr>
      <w:tr w:rsidR="00FB25ED" w:rsidRPr="00863FF4" w:rsidTr="00CC05CB">
        <w:trPr>
          <w:jc w:val="center"/>
        </w:trPr>
        <w:tc>
          <w:tcPr>
            <w:tcW w:w="3430"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pH (H2O)</w:t>
            </w:r>
            <w:r w:rsidRPr="00863FF4">
              <w:rPr>
                <w:rFonts w:eastAsia="Georgia"/>
                <w:sz w:val="20"/>
                <w:szCs w:val="20"/>
              </w:rPr>
              <w:t xml:space="preserve"> </w:t>
            </w:r>
          </w:p>
        </w:tc>
        <w:tc>
          <w:tcPr>
            <w:tcW w:w="1570"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6.3</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Organic carbon (g/kg)</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sz w:val="20"/>
                <w:szCs w:val="20"/>
              </w:rPr>
            </w:pPr>
            <w:r w:rsidRPr="00863FF4">
              <w:rPr>
                <w:sz w:val="20"/>
                <w:szCs w:val="20"/>
              </w:rPr>
              <w:t>11.5</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N (g/kg)</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sz w:val="20"/>
                <w:szCs w:val="20"/>
              </w:rPr>
            </w:pPr>
            <w:r w:rsidRPr="00863FF4">
              <w:rPr>
                <w:rFonts w:eastAsia="Times New Roman"/>
                <w:sz w:val="20"/>
                <w:szCs w:val="20"/>
              </w:rPr>
              <w:t>0.78</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P (mg/kg)</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5.83</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C/N ratio</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14.74</w:t>
            </w:r>
          </w:p>
        </w:tc>
      </w:tr>
      <w:tr w:rsidR="00FB25ED" w:rsidRPr="00863FF4" w:rsidTr="00CC05CB">
        <w:trPr>
          <w:gridAfter w:val="1"/>
          <w:wAfter w:w="1570" w:type="pct"/>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Georgia"/>
                <w:sz w:val="20"/>
                <w:szCs w:val="20"/>
              </w:rPr>
              <w:t>Exchangeable Bases (</w:t>
            </w:r>
            <w:proofErr w:type="spellStart"/>
            <w:r w:rsidRPr="00863FF4">
              <w:rPr>
                <w:rFonts w:eastAsia="Georgia"/>
                <w:sz w:val="20"/>
                <w:szCs w:val="20"/>
              </w:rPr>
              <w:t>cmol</w:t>
            </w:r>
            <w:proofErr w:type="spellEnd"/>
            <w:r w:rsidRPr="00863FF4">
              <w:rPr>
                <w:rFonts w:eastAsia="Georgia"/>
                <w:sz w:val="20"/>
                <w:szCs w:val="20"/>
              </w:rPr>
              <w:t>/kg)</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Ca</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5.2</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K</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0.5</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Mg</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2.4</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Na</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0.6</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Georgia"/>
                <w:sz w:val="20"/>
                <w:szCs w:val="20"/>
              </w:rPr>
              <w:t xml:space="preserve">% </w:t>
            </w:r>
            <w:r w:rsidRPr="00863FF4">
              <w:rPr>
                <w:sz w:val="20"/>
                <w:szCs w:val="20"/>
              </w:rPr>
              <w:t>Base Saturation</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sz w:val="20"/>
                <w:szCs w:val="20"/>
              </w:rPr>
            </w:pPr>
            <w:r w:rsidRPr="00863FF4">
              <w:rPr>
                <w:sz w:val="20"/>
                <w:szCs w:val="20"/>
              </w:rPr>
              <w:t>56.1</w:t>
            </w:r>
          </w:p>
        </w:tc>
      </w:tr>
      <w:tr w:rsidR="00FB25ED" w:rsidRPr="00863FF4" w:rsidTr="00CC05CB">
        <w:trPr>
          <w:gridAfter w:val="1"/>
          <w:wAfter w:w="1570" w:type="pct"/>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Georgia"/>
                <w:sz w:val="20"/>
                <w:szCs w:val="20"/>
              </w:rPr>
              <w:t>Soil physical fractions (g/kg)</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Sand</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844.0</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Silt</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80.</w:t>
            </w:r>
            <w:r w:rsidRPr="00863FF4">
              <w:rPr>
                <w:rFonts w:eastAsia="Georgia"/>
                <w:sz w:val="20"/>
                <w:szCs w:val="20"/>
              </w:rPr>
              <w:t>0</w:t>
            </w:r>
          </w:p>
        </w:tc>
      </w:tr>
      <w:tr w:rsidR="00FB25ED" w:rsidRPr="00863FF4" w:rsidTr="00CC05CB">
        <w:trPr>
          <w:jc w:val="center"/>
        </w:trPr>
        <w:tc>
          <w:tcPr>
            <w:tcW w:w="343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Clay</w:t>
            </w:r>
            <w:r w:rsidRPr="00863FF4">
              <w:rPr>
                <w:rFonts w:eastAsia="Georgia"/>
                <w:sz w:val="20"/>
                <w:szCs w:val="20"/>
              </w:rPr>
              <w:t xml:space="preserve"> </w:t>
            </w:r>
          </w:p>
        </w:tc>
        <w:tc>
          <w:tcPr>
            <w:tcW w:w="1570" w:type="pct"/>
            <w:tcBorders>
              <w:top w:val="nil"/>
              <w:left w:val="nil"/>
              <w:bottom w:val="nil"/>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76.</w:t>
            </w:r>
            <w:r w:rsidRPr="00863FF4">
              <w:rPr>
                <w:rFonts w:eastAsia="Georgia"/>
                <w:sz w:val="20"/>
                <w:szCs w:val="20"/>
              </w:rPr>
              <w:t>0</w:t>
            </w:r>
          </w:p>
        </w:tc>
      </w:tr>
      <w:tr w:rsidR="00FB25ED" w:rsidRPr="00863FF4" w:rsidTr="00CC05CB">
        <w:trPr>
          <w:jc w:val="center"/>
        </w:trPr>
        <w:tc>
          <w:tcPr>
            <w:tcW w:w="3430"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Soil texture</w:t>
            </w:r>
            <w:r w:rsidRPr="00863FF4">
              <w:rPr>
                <w:rFonts w:eastAsia="Georgia"/>
                <w:sz w:val="20"/>
                <w:szCs w:val="20"/>
              </w:rPr>
              <w:t xml:space="preserve"> </w:t>
            </w:r>
          </w:p>
        </w:tc>
        <w:tc>
          <w:tcPr>
            <w:tcW w:w="1570"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 xml:space="preserve">Loamy Sand </w:t>
            </w:r>
          </w:p>
        </w:tc>
      </w:tr>
    </w:tbl>
    <w:p w:rsidR="00FB25ED" w:rsidRPr="00863FF4" w:rsidRDefault="00FB25ED" w:rsidP="00771716">
      <w:pPr>
        <w:suppressAutoHyphens w:val="0"/>
        <w:snapToGrid w:val="0"/>
        <w:ind w:firstLine="425"/>
        <w:jc w:val="both"/>
        <w:rPr>
          <w:sz w:val="20"/>
          <w:szCs w:val="20"/>
        </w:rPr>
      </w:pPr>
    </w:p>
    <w:p w:rsidR="00FB25ED" w:rsidRPr="00863FF4" w:rsidRDefault="00FB25ED" w:rsidP="00771716">
      <w:pPr>
        <w:suppressAutoHyphens w:val="0"/>
        <w:snapToGrid w:val="0"/>
        <w:ind w:firstLine="425"/>
        <w:jc w:val="both"/>
        <w:rPr>
          <w:rFonts w:eastAsiaTheme="minorEastAsia"/>
          <w:sz w:val="20"/>
          <w:szCs w:val="20"/>
          <w:lang w:eastAsia="zh-CN"/>
        </w:rPr>
      </w:pPr>
      <w:r w:rsidRPr="00863FF4">
        <w:rPr>
          <w:sz w:val="20"/>
          <w:szCs w:val="20"/>
        </w:rPr>
        <w:t xml:space="preserve">The chemical properties of the </w:t>
      </w:r>
      <w:proofErr w:type="spellStart"/>
      <w:r w:rsidRPr="00863FF4">
        <w:rPr>
          <w:sz w:val="20"/>
          <w:szCs w:val="20"/>
        </w:rPr>
        <w:t>organomineral</w:t>
      </w:r>
      <w:proofErr w:type="spellEnd"/>
      <w:r w:rsidRPr="00863FF4">
        <w:rPr>
          <w:sz w:val="20"/>
          <w:szCs w:val="20"/>
        </w:rPr>
        <w:t xml:space="preserve"> fertilizer used for the study is presented in Table 2. The </w:t>
      </w:r>
      <w:proofErr w:type="spellStart"/>
      <w:r w:rsidRPr="00863FF4">
        <w:rPr>
          <w:sz w:val="20"/>
          <w:szCs w:val="20"/>
        </w:rPr>
        <w:t>organomineral</w:t>
      </w:r>
      <w:proofErr w:type="spellEnd"/>
      <w:r w:rsidRPr="00863FF4">
        <w:rPr>
          <w:sz w:val="20"/>
          <w:szCs w:val="20"/>
        </w:rPr>
        <w:t xml:space="preserve"> fertilizer used had a C/N ratio of 20.9, while the P, K, Ca and Mg values were 0.23%, 1.01%, 0.64% and 0.23%, respectively.</w:t>
      </w:r>
    </w:p>
    <w:p w:rsidR="00771716" w:rsidRPr="00863FF4" w:rsidRDefault="00771716" w:rsidP="00771716">
      <w:pPr>
        <w:suppressAutoHyphens w:val="0"/>
        <w:snapToGrid w:val="0"/>
        <w:jc w:val="center"/>
        <w:rPr>
          <w:rFonts w:eastAsiaTheme="minorEastAsia"/>
          <w:sz w:val="20"/>
          <w:szCs w:val="20"/>
          <w:lang w:eastAsia="zh-CN"/>
        </w:rPr>
      </w:pPr>
    </w:p>
    <w:p w:rsidR="00FB25ED" w:rsidRPr="00863FF4" w:rsidRDefault="00FB25ED" w:rsidP="00771716">
      <w:pPr>
        <w:suppressAutoHyphens w:val="0"/>
        <w:autoSpaceDE w:val="0"/>
        <w:autoSpaceDN w:val="0"/>
        <w:adjustRightInd w:val="0"/>
        <w:snapToGrid w:val="0"/>
        <w:jc w:val="both"/>
        <w:rPr>
          <w:sz w:val="20"/>
          <w:szCs w:val="20"/>
        </w:rPr>
      </w:pPr>
      <w:r w:rsidRPr="00863FF4">
        <w:rPr>
          <w:sz w:val="20"/>
          <w:szCs w:val="20"/>
        </w:rPr>
        <w:t xml:space="preserve">Table 2, Chemical properties of the </w:t>
      </w:r>
      <w:proofErr w:type="spellStart"/>
      <w:r w:rsidRPr="00863FF4">
        <w:rPr>
          <w:sz w:val="20"/>
          <w:szCs w:val="20"/>
        </w:rPr>
        <w:t>organomineral</w:t>
      </w:r>
      <w:proofErr w:type="spellEnd"/>
      <w:r w:rsidRPr="00863FF4">
        <w:rPr>
          <w:sz w:val="20"/>
          <w:szCs w:val="20"/>
        </w:rPr>
        <w:t xml:space="preserve"> fertilizer used for the study</w:t>
      </w:r>
    </w:p>
    <w:tbl>
      <w:tblPr>
        <w:tblW w:w="5000" w:type="pct"/>
        <w:jc w:val="center"/>
        <w:tblCellMar>
          <w:left w:w="57" w:type="dxa"/>
          <w:right w:w="57" w:type="dxa"/>
        </w:tblCellMar>
        <w:tblLook w:val="04A0"/>
      </w:tblPr>
      <w:tblGrid>
        <w:gridCol w:w="1824"/>
        <w:gridCol w:w="2671"/>
      </w:tblGrid>
      <w:tr w:rsidR="00FB25ED" w:rsidRPr="00863FF4" w:rsidTr="00CC05CB">
        <w:trPr>
          <w:jc w:val="center"/>
        </w:trPr>
        <w:tc>
          <w:tcPr>
            <w:tcW w:w="2029" w:type="pct"/>
            <w:tcBorders>
              <w:top w:val="single" w:sz="8" w:space="0" w:color="auto"/>
              <w:left w:val="nil"/>
              <w:bottom w:val="single" w:sz="8" w:space="0" w:color="auto"/>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Properties</w:t>
            </w:r>
          </w:p>
        </w:tc>
        <w:tc>
          <w:tcPr>
            <w:tcW w:w="2971" w:type="pct"/>
            <w:tcBorders>
              <w:top w:val="single" w:sz="8" w:space="0" w:color="auto"/>
              <w:left w:val="nil"/>
              <w:bottom w:val="single" w:sz="8" w:space="0" w:color="auto"/>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proofErr w:type="spellStart"/>
            <w:r w:rsidRPr="00863FF4">
              <w:rPr>
                <w:rFonts w:eastAsia="Times New Roman"/>
                <w:sz w:val="20"/>
                <w:szCs w:val="20"/>
              </w:rPr>
              <w:t>Organomineral</w:t>
            </w:r>
            <w:proofErr w:type="spellEnd"/>
            <w:r w:rsidRPr="00863FF4">
              <w:rPr>
                <w:rFonts w:eastAsia="Times New Roman"/>
                <w:sz w:val="20"/>
                <w:szCs w:val="20"/>
              </w:rPr>
              <w:t xml:space="preserve"> fertilizer</w:t>
            </w:r>
          </w:p>
        </w:tc>
      </w:tr>
      <w:tr w:rsidR="00FB25ED" w:rsidRPr="00863FF4" w:rsidTr="00CC05CB">
        <w:trPr>
          <w:jc w:val="center"/>
        </w:trPr>
        <w:tc>
          <w:tcPr>
            <w:tcW w:w="2029"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Nitrogen (%)</w:t>
            </w:r>
          </w:p>
        </w:tc>
        <w:tc>
          <w:tcPr>
            <w:tcW w:w="2971"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1.88</w:t>
            </w:r>
          </w:p>
        </w:tc>
      </w:tr>
      <w:tr w:rsidR="00FB25ED" w:rsidRPr="00863FF4" w:rsidTr="00CC05CB">
        <w:trPr>
          <w:jc w:val="center"/>
        </w:trPr>
        <w:tc>
          <w:tcPr>
            <w:tcW w:w="2029"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Organic C (%)</w:t>
            </w:r>
          </w:p>
        </w:tc>
        <w:tc>
          <w:tcPr>
            <w:tcW w:w="2971"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39.3</w:t>
            </w:r>
          </w:p>
        </w:tc>
      </w:tr>
      <w:tr w:rsidR="00FB25ED" w:rsidRPr="00863FF4" w:rsidTr="00CC05CB">
        <w:trPr>
          <w:jc w:val="center"/>
        </w:trPr>
        <w:tc>
          <w:tcPr>
            <w:tcW w:w="2029"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C: N ratio</w:t>
            </w:r>
          </w:p>
        </w:tc>
        <w:tc>
          <w:tcPr>
            <w:tcW w:w="2971"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20.9</w:t>
            </w:r>
          </w:p>
        </w:tc>
      </w:tr>
      <w:tr w:rsidR="00FB25ED" w:rsidRPr="00863FF4" w:rsidTr="00CC05CB">
        <w:trPr>
          <w:jc w:val="center"/>
        </w:trPr>
        <w:tc>
          <w:tcPr>
            <w:tcW w:w="2029"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Phosphorus (%)</w:t>
            </w:r>
          </w:p>
        </w:tc>
        <w:tc>
          <w:tcPr>
            <w:tcW w:w="2971"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0.23</w:t>
            </w:r>
          </w:p>
        </w:tc>
      </w:tr>
      <w:tr w:rsidR="00FB25ED" w:rsidRPr="00863FF4" w:rsidTr="00CC05CB">
        <w:trPr>
          <w:jc w:val="center"/>
        </w:trPr>
        <w:tc>
          <w:tcPr>
            <w:tcW w:w="2029"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Potassium (%)</w:t>
            </w:r>
          </w:p>
        </w:tc>
        <w:tc>
          <w:tcPr>
            <w:tcW w:w="2971"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1.01</w:t>
            </w:r>
          </w:p>
        </w:tc>
      </w:tr>
      <w:tr w:rsidR="00FB25ED" w:rsidRPr="00863FF4" w:rsidTr="00CC05CB">
        <w:trPr>
          <w:jc w:val="center"/>
        </w:trPr>
        <w:tc>
          <w:tcPr>
            <w:tcW w:w="2029"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Calcium (%)</w:t>
            </w:r>
          </w:p>
        </w:tc>
        <w:tc>
          <w:tcPr>
            <w:tcW w:w="2971" w:type="pct"/>
            <w:tcBorders>
              <w:top w:val="nil"/>
              <w:left w:val="nil"/>
              <w:bottom w:val="nil"/>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0.64</w:t>
            </w:r>
          </w:p>
        </w:tc>
      </w:tr>
      <w:tr w:rsidR="00FB25ED" w:rsidRPr="00863FF4" w:rsidTr="00CC05CB">
        <w:trPr>
          <w:jc w:val="center"/>
        </w:trPr>
        <w:tc>
          <w:tcPr>
            <w:tcW w:w="2029" w:type="pct"/>
            <w:tcBorders>
              <w:top w:val="nil"/>
              <w:left w:val="nil"/>
              <w:bottom w:val="single" w:sz="8" w:space="0" w:color="auto"/>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Magnesium (%)</w:t>
            </w:r>
          </w:p>
        </w:tc>
        <w:tc>
          <w:tcPr>
            <w:tcW w:w="2971" w:type="pct"/>
            <w:tcBorders>
              <w:top w:val="nil"/>
              <w:left w:val="nil"/>
              <w:bottom w:val="single" w:sz="8" w:space="0" w:color="auto"/>
              <w:right w:val="nil"/>
            </w:tcBorders>
            <w:shd w:val="clear" w:color="auto" w:fill="auto"/>
            <w:vAlign w:val="center"/>
            <w:hideMark/>
          </w:tcPr>
          <w:p w:rsidR="00FB25ED" w:rsidRPr="00863FF4" w:rsidRDefault="00FB25ED" w:rsidP="00771716">
            <w:pPr>
              <w:suppressAutoHyphens w:val="0"/>
              <w:snapToGrid w:val="0"/>
              <w:jc w:val="both"/>
              <w:rPr>
                <w:rFonts w:eastAsia="Times New Roman"/>
                <w:sz w:val="20"/>
                <w:szCs w:val="20"/>
              </w:rPr>
            </w:pPr>
            <w:r w:rsidRPr="00863FF4">
              <w:rPr>
                <w:rFonts w:eastAsia="Times New Roman"/>
                <w:sz w:val="20"/>
                <w:szCs w:val="20"/>
              </w:rPr>
              <w:t>0.23</w:t>
            </w:r>
          </w:p>
        </w:tc>
      </w:tr>
    </w:tbl>
    <w:p w:rsidR="00771716" w:rsidRPr="00863FF4" w:rsidRDefault="00771716" w:rsidP="00771716">
      <w:pPr>
        <w:suppressAutoHyphens w:val="0"/>
        <w:autoSpaceDE w:val="0"/>
        <w:autoSpaceDN w:val="0"/>
        <w:adjustRightInd w:val="0"/>
        <w:snapToGrid w:val="0"/>
        <w:ind w:firstLine="425"/>
        <w:jc w:val="both"/>
        <w:rPr>
          <w:rFonts w:eastAsiaTheme="minorEastAsia"/>
          <w:sz w:val="20"/>
          <w:szCs w:val="20"/>
          <w:lang w:eastAsia="zh-CN"/>
        </w:rPr>
      </w:pP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sz w:val="20"/>
          <w:szCs w:val="20"/>
        </w:rPr>
        <w:lastRenderedPageBreak/>
        <w:t xml:space="preserve">The highest plant height at harvest was observed at 100 kg N/ha POF (Table 3). However, this was not significantly different from the lowest value observed in the control. Applying </w:t>
      </w:r>
      <w:proofErr w:type="spellStart"/>
      <w:r w:rsidRPr="00863FF4">
        <w:rPr>
          <w:sz w:val="20"/>
          <w:szCs w:val="20"/>
        </w:rPr>
        <w:t>organomineral</w:t>
      </w:r>
      <w:proofErr w:type="spellEnd"/>
      <w:r w:rsidRPr="00863FF4">
        <w:rPr>
          <w:sz w:val="20"/>
          <w:szCs w:val="20"/>
        </w:rPr>
        <w:t xml:space="preserve"> fertilizer increased stem diameter with increasing level of </w:t>
      </w:r>
      <w:r w:rsidRPr="00863FF4">
        <w:rPr>
          <w:sz w:val="20"/>
          <w:szCs w:val="20"/>
        </w:rPr>
        <w:lastRenderedPageBreak/>
        <w:t xml:space="preserve">application, but significant difference was observed among treatments. The 150 kg N/ha POF gave the highest stem diameter at </w:t>
      </w:r>
      <w:r w:rsidR="00771716" w:rsidRPr="00863FF4">
        <w:rPr>
          <w:sz w:val="20"/>
          <w:szCs w:val="20"/>
        </w:rPr>
        <w:t>harvest, while the lowest was observed in the control.</w:t>
      </w:r>
    </w:p>
    <w:p w:rsidR="00771716" w:rsidRPr="00863FF4" w:rsidRDefault="00771716" w:rsidP="00771716">
      <w:pPr>
        <w:suppressAutoHyphens w:val="0"/>
        <w:snapToGrid w:val="0"/>
        <w:ind w:firstLine="425"/>
        <w:jc w:val="both"/>
        <w:rPr>
          <w:sz w:val="20"/>
          <w:szCs w:val="20"/>
        </w:rPr>
        <w:sectPr w:rsidR="00771716" w:rsidRPr="00863FF4" w:rsidSect="00771716">
          <w:type w:val="continuous"/>
          <w:pgSz w:w="12242" w:h="15842" w:code="1"/>
          <w:pgMar w:top="1440" w:right="1440" w:bottom="1440" w:left="1440" w:header="720" w:footer="720" w:gutter="0"/>
          <w:cols w:num="2" w:space="600"/>
          <w:docGrid w:linePitch="360"/>
        </w:sectPr>
      </w:pPr>
    </w:p>
    <w:p w:rsidR="00FB25ED" w:rsidRPr="00863FF4" w:rsidRDefault="00CC05CB" w:rsidP="00771716">
      <w:pPr>
        <w:suppressAutoHyphens w:val="0"/>
        <w:snapToGrid w:val="0"/>
        <w:jc w:val="center"/>
        <w:rPr>
          <w:color w:val="FF0000"/>
          <w:sz w:val="20"/>
          <w:szCs w:val="20"/>
        </w:rPr>
      </w:pPr>
      <w:r w:rsidRPr="00863FF4">
        <w:rPr>
          <w:sz w:val="20"/>
          <w:szCs w:val="20"/>
        </w:rPr>
        <w:lastRenderedPageBreak/>
        <w:cr/>
      </w:r>
      <w:r w:rsidR="00FB25ED" w:rsidRPr="00863FF4">
        <w:rPr>
          <w:sz w:val="20"/>
          <w:szCs w:val="20"/>
        </w:rPr>
        <w:t xml:space="preserve">Table 3, Influences of fertilizer applications on cassava growth at harvest </w:t>
      </w:r>
    </w:p>
    <w:tbl>
      <w:tblPr>
        <w:tblW w:w="0" w:type="auto"/>
        <w:jc w:val="center"/>
        <w:tblBorders>
          <w:top w:val="single" w:sz="4" w:space="0" w:color="auto"/>
          <w:bottom w:val="single" w:sz="4" w:space="0" w:color="auto"/>
        </w:tblBorders>
        <w:tblCellMar>
          <w:left w:w="57" w:type="dxa"/>
          <w:right w:w="57" w:type="dxa"/>
        </w:tblCellMar>
        <w:tblLook w:val="04A0"/>
      </w:tblPr>
      <w:tblGrid>
        <w:gridCol w:w="1380"/>
        <w:gridCol w:w="1029"/>
        <w:gridCol w:w="1209"/>
        <w:gridCol w:w="876"/>
        <w:gridCol w:w="1390"/>
        <w:gridCol w:w="869"/>
        <w:gridCol w:w="1527"/>
        <w:gridCol w:w="1196"/>
      </w:tblGrid>
      <w:tr w:rsidR="00CC05CB" w:rsidRPr="00863FF4" w:rsidTr="00771716">
        <w:trPr>
          <w:jc w:val="center"/>
        </w:trPr>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Fertilizer</w:t>
            </w:r>
          </w:p>
        </w:tc>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Plant</w:t>
            </w:r>
            <w:r w:rsidR="00CC05CB" w:rsidRPr="00863FF4">
              <w:rPr>
                <w:rFonts w:eastAsia="Times New Roman"/>
                <w:sz w:val="18"/>
                <w:szCs w:val="18"/>
              </w:rPr>
              <w:t xml:space="preserve"> </w:t>
            </w:r>
            <w:r w:rsidRPr="00863FF4">
              <w:rPr>
                <w:rFonts w:eastAsia="Times New Roman"/>
                <w:sz w:val="18"/>
                <w:szCs w:val="18"/>
              </w:rPr>
              <w:t>height (cm)</w:t>
            </w:r>
          </w:p>
        </w:tc>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 xml:space="preserve">Stem diameter (cm) </w:t>
            </w:r>
          </w:p>
        </w:tc>
        <w:tc>
          <w:tcPr>
            <w:tcW w:w="0" w:type="auto"/>
            <w:tcBorders>
              <w:top w:val="single" w:sz="4" w:space="0" w:color="auto"/>
              <w:bottom w:val="single" w:sz="4" w:space="0" w:color="auto"/>
            </w:tcBorders>
            <w:vAlign w:val="center"/>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No. of leaves</w:t>
            </w:r>
          </w:p>
        </w:tc>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 xml:space="preserve">Height at </w:t>
            </w:r>
            <w:proofErr w:type="spellStart"/>
            <w:r w:rsidRPr="00863FF4">
              <w:rPr>
                <w:rFonts w:eastAsia="Times New Roman"/>
                <w:sz w:val="18"/>
                <w:szCs w:val="18"/>
              </w:rPr>
              <w:t>jorquette</w:t>
            </w:r>
            <w:proofErr w:type="spellEnd"/>
            <w:r w:rsidRPr="00863FF4">
              <w:rPr>
                <w:rFonts w:eastAsia="Times New Roman"/>
                <w:sz w:val="18"/>
                <w:szCs w:val="18"/>
              </w:rPr>
              <w:t xml:space="preserve"> (cm)</w:t>
            </w:r>
          </w:p>
        </w:tc>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No. of shoots</w:t>
            </w:r>
          </w:p>
        </w:tc>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Fresh shoot biomass (g/pot)</w:t>
            </w:r>
          </w:p>
        </w:tc>
        <w:tc>
          <w:tcPr>
            <w:tcW w:w="0" w:type="auto"/>
            <w:tcBorders>
              <w:top w:val="single" w:sz="4" w:space="0" w:color="auto"/>
              <w:bottom w:val="single" w:sz="4" w:space="0" w:color="auto"/>
            </w:tcBorders>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Dry shoot weight (g)</w:t>
            </w:r>
          </w:p>
        </w:tc>
      </w:tr>
      <w:tr w:rsidR="00CC05CB" w:rsidRPr="00863FF4" w:rsidTr="00771716">
        <w:trPr>
          <w:jc w:val="center"/>
        </w:trPr>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0 kg N</w:t>
            </w:r>
          </w:p>
        </w:tc>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88.33</w:t>
            </w:r>
          </w:p>
        </w:tc>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1.12</w:t>
            </w:r>
          </w:p>
        </w:tc>
        <w:tc>
          <w:tcPr>
            <w:tcW w:w="0" w:type="auto"/>
            <w:tcBorders>
              <w:top w:val="single" w:sz="4" w:space="0" w:color="auto"/>
            </w:tcBorders>
            <w:vAlign w:val="center"/>
          </w:tcPr>
          <w:p w:rsidR="00FB25ED" w:rsidRPr="00863FF4" w:rsidRDefault="00FB25ED" w:rsidP="00863FF4">
            <w:pPr>
              <w:suppressAutoHyphens w:val="0"/>
              <w:snapToGrid w:val="0"/>
              <w:rPr>
                <w:sz w:val="18"/>
                <w:szCs w:val="18"/>
              </w:rPr>
            </w:pPr>
            <w:r w:rsidRPr="00863FF4">
              <w:rPr>
                <w:sz w:val="18"/>
                <w:szCs w:val="18"/>
              </w:rPr>
              <w:t>119.00</w:t>
            </w:r>
          </w:p>
        </w:tc>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49.67</w:t>
            </w:r>
          </w:p>
        </w:tc>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2.33</w:t>
            </w:r>
          </w:p>
        </w:tc>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108.97</w:t>
            </w:r>
          </w:p>
        </w:tc>
        <w:tc>
          <w:tcPr>
            <w:tcW w:w="0" w:type="auto"/>
            <w:tcBorders>
              <w:top w:val="single" w:sz="4" w:space="0" w:color="auto"/>
            </w:tcBorders>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63.20</w:t>
            </w:r>
          </w:p>
        </w:tc>
      </w:tr>
      <w:tr w:rsidR="00CC05CB" w:rsidRPr="00863FF4" w:rsidTr="00771716">
        <w:trPr>
          <w:jc w:val="center"/>
        </w:trPr>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50 kg N/ha</w:t>
            </w:r>
            <w:r w:rsidRPr="00863FF4">
              <w:rPr>
                <w:sz w:val="18"/>
                <w:szCs w:val="18"/>
              </w:rPr>
              <w:t xml:space="preserve"> POF</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93.00</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1.15</w:t>
            </w:r>
          </w:p>
        </w:tc>
        <w:tc>
          <w:tcPr>
            <w:tcW w:w="0" w:type="auto"/>
            <w:vAlign w:val="center"/>
          </w:tcPr>
          <w:p w:rsidR="00FB25ED" w:rsidRPr="00863FF4" w:rsidRDefault="00FB25ED" w:rsidP="00863FF4">
            <w:pPr>
              <w:suppressAutoHyphens w:val="0"/>
              <w:snapToGrid w:val="0"/>
              <w:rPr>
                <w:sz w:val="18"/>
                <w:szCs w:val="18"/>
              </w:rPr>
            </w:pPr>
            <w:r w:rsidRPr="00863FF4">
              <w:rPr>
                <w:sz w:val="18"/>
                <w:szCs w:val="18"/>
              </w:rPr>
              <w:t>156.01</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57.33</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4.33</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208.70</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80.27</w:t>
            </w:r>
          </w:p>
        </w:tc>
      </w:tr>
      <w:tr w:rsidR="00CC05CB" w:rsidRPr="00863FF4" w:rsidTr="00771716">
        <w:trPr>
          <w:jc w:val="center"/>
        </w:trPr>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100 kg N/ha</w:t>
            </w:r>
            <w:r w:rsidRPr="00863FF4">
              <w:rPr>
                <w:sz w:val="18"/>
                <w:szCs w:val="18"/>
              </w:rPr>
              <w:t xml:space="preserve"> POF</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97.00</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1.17</w:t>
            </w:r>
          </w:p>
        </w:tc>
        <w:tc>
          <w:tcPr>
            <w:tcW w:w="0" w:type="auto"/>
            <w:vAlign w:val="center"/>
          </w:tcPr>
          <w:p w:rsidR="00FB25ED" w:rsidRPr="00863FF4" w:rsidRDefault="00FB25ED" w:rsidP="00863FF4">
            <w:pPr>
              <w:suppressAutoHyphens w:val="0"/>
              <w:snapToGrid w:val="0"/>
              <w:rPr>
                <w:sz w:val="18"/>
                <w:szCs w:val="18"/>
              </w:rPr>
            </w:pPr>
            <w:r w:rsidRPr="00863FF4">
              <w:rPr>
                <w:sz w:val="18"/>
                <w:szCs w:val="18"/>
              </w:rPr>
              <w:t>168.34</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57.67</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3.67</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262.77</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107.40</w:t>
            </w:r>
          </w:p>
        </w:tc>
      </w:tr>
      <w:tr w:rsidR="00CC05CB" w:rsidRPr="00863FF4" w:rsidTr="00771716">
        <w:trPr>
          <w:jc w:val="center"/>
        </w:trPr>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150 kg N/ha</w:t>
            </w:r>
            <w:r w:rsidRPr="00863FF4">
              <w:rPr>
                <w:sz w:val="18"/>
                <w:szCs w:val="18"/>
              </w:rPr>
              <w:t xml:space="preserve"> POF</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94.67</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1.30</w:t>
            </w:r>
          </w:p>
        </w:tc>
        <w:tc>
          <w:tcPr>
            <w:tcW w:w="0" w:type="auto"/>
            <w:vAlign w:val="center"/>
          </w:tcPr>
          <w:p w:rsidR="00FB25ED" w:rsidRPr="00863FF4" w:rsidRDefault="00FB25ED" w:rsidP="00863FF4">
            <w:pPr>
              <w:suppressAutoHyphens w:val="0"/>
              <w:snapToGrid w:val="0"/>
              <w:rPr>
                <w:sz w:val="18"/>
                <w:szCs w:val="18"/>
              </w:rPr>
            </w:pPr>
            <w:r w:rsidRPr="00863FF4">
              <w:rPr>
                <w:sz w:val="18"/>
                <w:szCs w:val="18"/>
              </w:rPr>
              <w:t>119.33</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49.33</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3.00</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321.23</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191.70</w:t>
            </w:r>
          </w:p>
        </w:tc>
      </w:tr>
      <w:tr w:rsidR="00CC05CB" w:rsidRPr="00863FF4" w:rsidTr="00771716">
        <w:trPr>
          <w:jc w:val="center"/>
        </w:trPr>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NPK 15-15-15</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95.67</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1.23</w:t>
            </w:r>
          </w:p>
        </w:tc>
        <w:tc>
          <w:tcPr>
            <w:tcW w:w="0" w:type="auto"/>
            <w:vAlign w:val="center"/>
          </w:tcPr>
          <w:p w:rsidR="00FB25ED" w:rsidRPr="00863FF4" w:rsidRDefault="00FB25ED" w:rsidP="00863FF4">
            <w:pPr>
              <w:suppressAutoHyphens w:val="0"/>
              <w:snapToGrid w:val="0"/>
              <w:rPr>
                <w:sz w:val="18"/>
                <w:szCs w:val="18"/>
              </w:rPr>
            </w:pPr>
            <w:r w:rsidRPr="00863FF4">
              <w:rPr>
                <w:sz w:val="18"/>
                <w:szCs w:val="18"/>
              </w:rPr>
              <w:t>164.00</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45.67</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3.00</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294.93</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153.67</w:t>
            </w:r>
          </w:p>
        </w:tc>
      </w:tr>
      <w:tr w:rsidR="00CC05CB" w:rsidRPr="00863FF4" w:rsidTr="00771716">
        <w:trPr>
          <w:jc w:val="center"/>
        </w:trPr>
        <w:tc>
          <w:tcPr>
            <w:tcW w:w="0" w:type="auto"/>
            <w:shd w:val="clear" w:color="auto" w:fill="auto"/>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LSD</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ns</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ns</w:t>
            </w:r>
          </w:p>
        </w:tc>
        <w:tc>
          <w:tcPr>
            <w:tcW w:w="0" w:type="auto"/>
            <w:vAlign w:val="center"/>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ns</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ns</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ns</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93.34</w:t>
            </w:r>
          </w:p>
        </w:tc>
        <w:tc>
          <w:tcPr>
            <w:tcW w:w="0" w:type="auto"/>
            <w:shd w:val="clear" w:color="auto" w:fill="auto"/>
            <w:noWrap/>
            <w:vAlign w:val="center"/>
            <w:hideMark/>
          </w:tcPr>
          <w:p w:rsidR="00FB25ED" w:rsidRPr="00863FF4" w:rsidRDefault="00FB25ED" w:rsidP="00863FF4">
            <w:pPr>
              <w:suppressAutoHyphens w:val="0"/>
              <w:snapToGrid w:val="0"/>
              <w:rPr>
                <w:rFonts w:eastAsia="Times New Roman"/>
                <w:sz w:val="18"/>
                <w:szCs w:val="18"/>
              </w:rPr>
            </w:pPr>
            <w:r w:rsidRPr="00863FF4">
              <w:rPr>
                <w:rFonts w:eastAsia="Times New Roman"/>
                <w:sz w:val="18"/>
                <w:szCs w:val="18"/>
              </w:rPr>
              <w:t>87.34</w:t>
            </w:r>
          </w:p>
        </w:tc>
      </w:tr>
    </w:tbl>
    <w:p w:rsidR="00CC05CB" w:rsidRPr="00863FF4" w:rsidRDefault="00CC05CB" w:rsidP="00771716">
      <w:pPr>
        <w:suppressAutoHyphens w:val="0"/>
        <w:autoSpaceDE w:val="0"/>
        <w:autoSpaceDN w:val="0"/>
        <w:adjustRightInd w:val="0"/>
        <w:snapToGrid w:val="0"/>
        <w:ind w:firstLine="425"/>
        <w:jc w:val="both"/>
        <w:rPr>
          <w:sz w:val="20"/>
          <w:szCs w:val="20"/>
        </w:rPr>
      </w:pPr>
    </w:p>
    <w:p w:rsidR="00771716" w:rsidRPr="00863FF4" w:rsidRDefault="00771716" w:rsidP="00771716">
      <w:pPr>
        <w:suppressAutoHyphens w:val="0"/>
        <w:autoSpaceDE w:val="0"/>
        <w:autoSpaceDN w:val="0"/>
        <w:adjustRightInd w:val="0"/>
        <w:snapToGrid w:val="0"/>
        <w:ind w:firstLine="425"/>
        <w:jc w:val="both"/>
        <w:rPr>
          <w:sz w:val="20"/>
          <w:szCs w:val="20"/>
        </w:rPr>
        <w:sectPr w:rsidR="00771716" w:rsidRPr="00863FF4" w:rsidSect="00CC05CB">
          <w:type w:val="continuous"/>
          <w:pgSz w:w="12242" w:h="15842" w:code="1"/>
          <w:pgMar w:top="1440" w:right="1440" w:bottom="1440" w:left="1440" w:header="720" w:footer="720" w:gutter="0"/>
          <w:cols w:space="720"/>
          <w:docGrid w:linePitch="360"/>
        </w:sectPr>
      </w:pPr>
    </w:p>
    <w:p w:rsidR="00FB25ED" w:rsidRPr="00863FF4" w:rsidRDefault="00FB25ED" w:rsidP="00771716">
      <w:pPr>
        <w:suppressAutoHyphens w:val="0"/>
        <w:autoSpaceDE w:val="0"/>
        <w:autoSpaceDN w:val="0"/>
        <w:adjustRightInd w:val="0"/>
        <w:snapToGrid w:val="0"/>
        <w:ind w:firstLine="425"/>
        <w:jc w:val="both"/>
        <w:rPr>
          <w:sz w:val="20"/>
          <w:szCs w:val="20"/>
        </w:rPr>
      </w:pPr>
      <w:r w:rsidRPr="00863FF4">
        <w:rPr>
          <w:sz w:val="20"/>
          <w:szCs w:val="20"/>
        </w:rPr>
        <w:lastRenderedPageBreak/>
        <w:t xml:space="preserve">Height at </w:t>
      </w:r>
      <w:proofErr w:type="spellStart"/>
      <w:r w:rsidRPr="00863FF4">
        <w:rPr>
          <w:sz w:val="20"/>
          <w:szCs w:val="20"/>
        </w:rPr>
        <w:t>jorquette</w:t>
      </w:r>
      <w:proofErr w:type="spellEnd"/>
      <w:r w:rsidRPr="00863FF4">
        <w:rPr>
          <w:sz w:val="20"/>
          <w:szCs w:val="20"/>
        </w:rPr>
        <w:t xml:space="preserve"> was highest at 100 kg N/ha, but the value did not differed significantly from the lowest height at </w:t>
      </w:r>
      <w:proofErr w:type="spellStart"/>
      <w:r w:rsidRPr="00863FF4">
        <w:rPr>
          <w:sz w:val="20"/>
          <w:szCs w:val="20"/>
        </w:rPr>
        <w:t>jorquette</w:t>
      </w:r>
      <w:proofErr w:type="spellEnd"/>
      <w:r w:rsidRPr="00863FF4">
        <w:rPr>
          <w:sz w:val="20"/>
          <w:szCs w:val="20"/>
        </w:rPr>
        <w:t xml:space="preserve"> observed in the NPK treated plants. The increase in POF produced an average decrease in number of shoots per plant. Fertilizer application did not have significant effect on number of shoots. However, 50 kg N/ha treatment gave the highest number of shoots, while the control had the lowest value. Applying POF or NPK fertilizer had significant influences on fresh shoot biomass and dry shoot weight in cassava. However, the 150 kg N/ha POF treatment had the highest cassava fresh shoot biomass and dry shoot weights, while the lowest values were observed at 0 kg N.</w:t>
      </w:r>
    </w:p>
    <w:p w:rsidR="00FB25ED" w:rsidRPr="00863FF4" w:rsidRDefault="00FB25ED" w:rsidP="00771716">
      <w:pPr>
        <w:suppressAutoHyphens w:val="0"/>
        <w:autoSpaceDE w:val="0"/>
        <w:autoSpaceDN w:val="0"/>
        <w:adjustRightInd w:val="0"/>
        <w:snapToGrid w:val="0"/>
        <w:ind w:firstLine="425"/>
        <w:jc w:val="both"/>
        <w:rPr>
          <w:rFonts w:eastAsia="Times New Roman"/>
          <w:sz w:val="20"/>
          <w:szCs w:val="20"/>
        </w:rPr>
      </w:pPr>
      <w:r w:rsidRPr="00863FF4">
        <w:rPr>
          <w:sz w:val="20"/>
          <w:szCs w:val="20"/>
        </w:rPr>
        <w:t xml:space="preserve">The influence of POF on number of tuber decreased with increase in POF application. Application of 50 kg N/ha POF significantly increased </w:t>
      </w:r>
      <w:r w:rsidRPr="00863FF4">
        <w:rPr>
          <w:rFonts w:eastAsia="Times New Roman"/>
          <w:sz w:val="20"/>
          <w:szCs w:val="20"/>
        </w:rPr>
        <w:t xml:space="preserve">number of tubers per plant compared to 150 kg N/ha POF (Table 4). All other treatments did not differ significantly from the highest value. Pacesetter </w:t>
      </w:r>
      <w:proofErr w:type="spellStart"/>
      <w:r w:rsidRPr="00863FF4">
        <w:rPr>
          <w:rFonts w:eastAsia="Times New Roman"/>
          <w:sz w:val="20"/>
          <w:szCs w:val="20"/>
        </w:rPr>
        <w:t>organomineral</w:t>
      </w:r>
      <w:proofErr w:type="spellEnd"/>
      <w:r w:rsidRPr="00863FF4">
        <w:rPr>
          <w:rFonts w:eastAsia="Times New Roman"/>
          <w:sz w:val="20"/>
          <w:szCs w:val="20"/>
        </w:rPr>
        <w:t xml:space="preserve"> fertilizer application at 100 and 50 kg N/ha, significantly increased cassava storage root yields compared to 150 kg N/ha or the control.</w:t>
      </w:r>
      <w:r w:rsidR="00CC05CB" w:rsidRPr="00863FF4">
        <w:rPr>
          <w:rFonts w:eastAsia="Times New Roman"/>
          <w:sz w:val="20"/>
          <w:szCs w:val="20"/>
        </w:rPr>
        <w:t xml:space="preserve"> </w:t>
      </w:r>
      <w:r w:rsidRPr="00863FF4">
        <w:rPr>
          <w:rFonts w:eastAsia="Times New Roman"/>
          <w:sz w:val="20"/>
          <w:szCs w:val="20"/>
        </w:rPr>
        <w:t xml:space="preserve">These levels were not significantly different from the effect of NPK on cassava storage root. However, 100 kg N/ha POF gave 14.68 % higher storage root difference compared to observed storage root yield at 50 kg N/ha POF. The order of the effects of fertilizers on cassava storage root is 100 &gt; 50 &gt; NPK &gt; 0 &gt; 150. Further, </w:t>
      </w:r>
      <w:r w:rsidRPr="00863FF4">
        <w:rPr>
          <w:sz w:val="20"/>
          <w:szCs w:val="20"/>
        </w:rPr>
        <w:t xml:space="preserve">the </w:t>
      </w:r>
      <w:r w:rsidRPr="00863FF4">
        <w:rPr>
          <w:sz w:val="20"/>
          <w:szCs w:val="20"/>
        </w:rPr>
        <w:lastRenderedPageBreak/>
        <w:t xml:space="preserve">average size per tuber followed similar trends in response to treatments as </w:t>
      </w:r>
      <w:r w:rsidRPr="00863FF4">
        <w:rPr>
          <w:rFonts w:eastAsia="Times New Roman"/>
          <w:sz w:val="20"/>
          <w:szCs w:val="20"/>
        </w:rPr>
        <w:t>cassava storage root yield</w:t>
      </w:r>
      <w:r w:rsidRPr="00863FF4">
        <w:rPr>
          <w:sz w:val="20"/>
          <w:szCs w:val="20"/>
        </w:rPr>
        <w:t xml:space="preserve"> per pot. </w:t>
      </w:r>
      <w:r w:rsidRPr="00863FF4">
        <w:rPr>
          <w:rFonts w:eastAsia="Times New Roman"/>
          <w:sz w:val="20"/>
          <w:szCs w:val="20"/>
        </w:rPr>
        <w:t>Applying 100 kg N/ha significantly improved tuber sizes compared to other treatments. Similarly, NPK treatment significantly improved cassava tuber sizes compared to the control, but not from the 150 or 50 kg N/ha treatments. Significantly higher top</w:t>
      </w:r>
      <w:r w:rsidR="00771716" w:rsidRPr="00863FF4">
        <w:rPr>
          <w:rFonts w:eastAsia="Times New Roman"/>
          <w:sz w:val="20"/>
          <w:szCs w:val="20"/>
        </w:rPr>
        <w:t>: s</w:t>
      </w:r>
      <w:r w:rsidRPr="00863FF4">
        <w:rPr>
          <w:rFonts w:eastAsia="Times New Roman"/>
          <w:sz w:val="20"/>
          <w:szCs w:val="20"/>
        </w:rPr>
        <w:t>torage root ratio was observed at 150 kg N/ha treatment compared to the other treatments. Applying 50 kg N/ha POF gave the lowest top</w:t>
      </w:r>
      <w:r w:rsidR="00771716" w:rsidRPr="00863FF4">
        <w:rPr>
          <w:rFonts w:eastAsia="Times New Roman"/>
          <w:sz w:val="20"/>
          <w:szCs w:val="20"/>
        </w:rPr>
        <w:t>: s</w:t>
      </w:r>
      <w:r w:rsidRPr="00863FF4">
        <w:rPr>
          <w:rFonts w:eastAsia="Times New Roman"/>
          <w:sz w:val="20"/>
          <w:szCs w:val="20"/>
        </w:rPr>
        <w:t>torage root ratio.</w:t>
      </w:r>
    </w:p>
    <w:p w:rsidR="00771716" w:rsidRPr="00863FF4" w:rsidRDefault="00FB25ED" w:rsidP="00863FF4">
      <w:pPr>
        <w:suppressAutoHyphens w:val="0"/>
        <w:snapToGrid w:val="0"/>
        <w:ind w:firstLine="425"/>
        <w:jc w:val="both"/>
        <w:rPr>
          <w:rFonts w:eastAsiaTheme="minorEastAsia"/>
          <w:sz w:val="20"/>
          <w:szCs w:val="20"/>
          <w:lang w:eastAsia="zh-CN"/>
        </w:rPr>
      </w:pPr>
      <w:r w:rsidRPr="00863FF4">
        <w:rPr>
          <w:rFonts w:eastAsia="Times New Roman"/>
          <w:sz w:val="20"/>
          <w:szCs w:val="20"/>
        </w:rPr>
        <w:t xml:space="preserve">Residual effects of fertilizers </w:t>
      </w:r>
    </w:p>
    <w:p w:rsidR="00771716" w:rsidRPr="00863FF4" w:rsidRDefault="00771716" w:rsidP="00771716">
      <w:pPr>
        <w:suppressAutoHyphens w:val="0"/>
        <w:snapToGrid w:val="0"/>
        <w:jc w:val="center"/>
        <w:rPr>
          <w:sz w:val="20"/>
          <w:szCs w:val="20"/>
        </w:rPr>
      </w:pPr>
      <w:r w:rsidRPr="00863FF4">
        <w:rPr>
          <w:noProof/>
          <w:sz w:val="20"/>
          <w:szCs w:val="20"/>
          <w:lang w:eastAsia="zh-CN"/>
        </w:rPr>
        <w:drawing>
          <wp:inline distT="0" distB="0" distL="0" distR="0">
            <wp:extent cx="2637155" cy="2432988"/>
            <wp:effectExtent l="0" t="0" r="258445"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1716" w:rsidRPr="00863FF4" w:rsidRDefault="00771716" w:rsidP="00771716">
      <w:pPr>
        <w:suppressAutoHyphens w:val="0"/>
        <w:snapToGrid w:val="0"/>
        <w:jc w:val="center"/>
        <w:rPr>
          <w:rFonts w:eastAsiaTheme="minorEastAsia"/>
          <w:sz w:val="20"/>
          <w:szCs w:val="20"/>
          <w:lang w:eastAsia="zh-CN"/>
        </w:rPr>
        <w:sectPr w:rsidR="00771716" w:rsidRPr="00863FF4" w:rsidSect="00771716">
          <w:type w:val="continuous"/>
          <w:pgSz w:w="12242" w:h="15842" w:code="1"/>
          <w:pgMar w:top="1440" w:right="1440" w:bottom="1440" w:left="1440" w:header="720" w:footer="720" w:gutter="0"/>
          <w:cols w:num="2" w:space="600"/>
          <w:docGrid w:linePitch="360"/>
        </w:sectPr>
      </w:pPr>
    </w:p>
    <w:p w:rsidR="004D4963" w:rsidRPr="00863FF4" w:rsidRDefault="00CC05CB" w:rsidP="00771716">
      <w:pPr>
        <w:suppressAutoHyphens w:val="0"/>
        <w:snapToGrid w:val="0"/>
        <w:jc w:val="center"/>
        <w:rPr>
          <w:sz w:val="20"/>
          <w:szCs w:val="20"/>
        </w:rPr>
      </w:pPr>
      <w:r w:rsidRPr="00863FF4">
        <w:rPr>
          <w:sz w:val="20"/>
          <w:szCs w:val="20"/>
        </w:rPr>
        <w:lastRenderedPageBreak/>
        <w:cr/>
      </w:r>
      <w:r w:rsidR="00863FF4">
        <w:rPr>
          <w:sz w:val="20"/>
          <w:szCs w:val="20"/>
        </w:rPr>
        <w:t xml:space="preserve">Table </w:t>
      </w:r>
      <w:r w:rsidR="00863FF4">
        <w:rPr>
          <w:rFonts w:eastAsiaTheme="minorEastAsia" w:hint="eastAsia"/>
          <w:sz w:val="20"/>
          <w:szCs w:val="20"/>
          <w:lang w:eastAsia="zh-CN"/>
        </w:rPr>
        <w:t xml:space="preserve">4. </w:t>
      </w:r>
      <w:r w:rsidR="004D4963" w:rsidRPr="00863FF4">
        <w:rPr>
          <w:sz w:val="20"/>
          <w:szCs w:val="20"/>
        </w:rPr>
        <w:t>Influences of fertilizer application on cassava yield component and yield at harvest</w:t>
      </w:r>
    </w:p>
    <w:tbl>
      <w:tblPr>
        <w:tblW w:w="5000" w:type="pct"/>
        <w:jc w:val="center"/>
        <w:tblBorders>
          <w:top w:val="single" w:sz="4" w:space="0" w:color="auto"/>
          <w:bottom w:val="single" w:sz="4" w:space="0" w:color="auto"/>
        </w:tblBorders>
        <w:tblCellMar>
          <w:left w:w="57" w:type="dxa"/>
          <w:right w:w="57" w:type="dxa"/>
        </w:tblCellMar>
        <w:tblLook w:val="04A0"/>
      </w:tblPr>
      <w:tblGrid>
        <w:gridCol w:w="1520"/>
        <w:gridCol w:w="1529"/>
        <w:gridCol w:w="1861"/>
        <w:gridCol w:w="2225"/>
        <w:gridCol w:w="2341"/>
      </w:tblGrid>
      <w:tr w:rsidR="004D4963" w:rsidRPr="00863FF4" w:rsidTr="00771716">
        <w:trPr>
          <w:jc w:val="center"/>
        </w:trPr>
        <w:tc>
          <w:tcPr>
            <w:tcW w:w="766" w:type="pct"/>
            <w:tcBorders>
              <w:top w:val="single" w:sz="4" w:space="0" w:color="auto"/>
              <w:bottom w:val="single" w:sz="4" w:space="0" w:color="auto"/>
            </w:tcBorders>
            <w:shd w:val="clear" w:color="auto" w:fill="auto"/>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Fertilizer/rate</w:t>
            </w:r>
          </w:p>
        </w:tc>
        <w:tc>
          <w:tcPr>
            <w:tcW w:w="816" w:type="pct"/>
            <w:tcBorders>
              <w:top w:val="single" w:sz="4" w:space="0" w:color="auto"/>
              <w:bottom w:val="single" w:sz="4" w:space="0" w:color="auto"/>
            </w:tcBorders>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No. of tubers/plant</w:t>
            </w:r>
          </w:p>
        </w:tc>
        <w:tc>
          <w:tcPr>
            <w:tcW w:w="991" w:type="pct"/>
            <w:tcBorders>
              <w:top w:val="single" w:sz="4" w:space="0" w:color="auto"/>
              <w:bottom w:val="single" w:sz="4" w:space="0" w:color="auto"/>
            </w:tcBorders>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Storage root weight (g)</w:t>
            </w:r>
          </w:p>
        </w:tc>
        <w:tc>
          <w:tcPr>
            <w:tcW w:w="1183" w:type="pct"/>
            <w:tcBorders>
              <w:top w:val="single" w:sz="4" w:space="0" w:color="auto"/>
              <w:bottom w:val="single" w:sz="4" w:space="0" w:color="auto"/>
            </w:tcBorders>
            <w:vAlign w:val="center"/>
          </w:tcPr>
          <w:p w:rsidR="004D4963" w:rsidRPr="00863FF4" w:rsidRDefault="004D4963" w:rsidP="00771716">
            <w:pPr>
              <w:suppressAutoHyphens w:val="0"/>
              <w:snapToGrid w:val="0"/>
              <w:jc w:val="both"/>
              <w:rPr>
                <w:rFonts w:eastAsia="Times New Roman"/>
                <w:sz w:val="20"/>
                <w:szCs w:val="20"/>
              </w:rPr>
            </w:pPr>
            <w:r w:rsidRPr="00863FF4">
              <w:rPr>
                <w:sz w:val="20"/>
                <w:szCs w:val="20"/>
              </w:rPr>
              <w:t>Average tuber size (g/tuber)</w:t>
            </w:r>
          </w:p>
        </w:tc>
        <w:tc>
          <w:tcPr>
            <w:tcW w:w="1244" w:type="pct"/>
            <w:tcBorders>
              <w:top w:val="single" w:sz="4" w:space="0" w:color="auto"/>
              <w:bottom w:val="single" w:sz="4" w:space="0" w:color="auto"/>
            </w:tcBorders>
            <w:vAlign w:val="center"/>
          </w:tcPr>
          <w:p w:rsidR="004D4963" w:rsidRPr="00863FF4" w:rsidRDefault="004D4963" w:rsidP="00771716">
            <w:pPr>
              <w:suppressAutoHyphens w:val="0"/>
              <w:snapToGrid w:val="0"/>
              <w:jc w:val="both"/>
              <w:rPr>
                <w:sz w:val="20"/>
                <w:szCs w:val="20"/>
              </w:rPr>
            </w:pPr>
            <w:proofErr w:type="spellStart"/>
            <w:r w:rsidRPr="00863FF4">
              <w:rPr>
                <w:sz w:val="20"/>
                <w:szCs w:val="20"/>
              </w:rPr>
              <w:t>Top:Storage</w:t>
            </w:r>
            <w:proofErr w:type="spellEnd"/>
            <w:r w:rsidRPr="00863FF4">
              <w:rPr>
                <w:sz w:val="20"/>
                <w:szCs w:val="20"/>
              </w:rPr>
              <w:t xml:space="preserve"> root weight ratio</w:t>
            </w:r>
          </w:p>
        </w:tc>
      </w:tr>
      <w:tr w:rsidR="004D4963" w:rsidRPr="00863FF4" w:rsidTr="00771716">
        <w:trPr>
          <w:jc w:val="center"/>
        </w:trPr>
        <w:tc>
          <w:tcPr>
            <w:tcW w:w="766" w:type="pct"/>
            <w:tcBorders>
              <w:top w:val="single" w:sz="4" w:space="0" w:color="auto"/>
            </w:tcBorders>
            <w:shd w:val="clear" w:color="auto" w:fill="auto"/>
            <w:noWrap/>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0 kg N</w:t>
            </w:r>
          </w:p>
        </w:tc>
        <w:tc>
          <w:tcPr>
            <w:tcW w:w="816" w:type="pct"/>
            <w:tcBorders>
              <w:top w:val="single" w:sz="4" w:space="0" w:color="auto"/>
            </w:tcBorders>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3.00</w:t>
            </w:r>
          </w:p>
        </w:tc>
        <w:tc>
          <w:tcPr>
            <w:tcW w:w="991" w:type="pct"/>
            <w:tcBorders>
              <w:top w:val="single" w:sz="4" w:space="0" w:color="auto"/>
            </w:tcBorders>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189.77</w:t>
            </w:r>
          </w:p>
        </w:tc>
        <w:tc>
          <w:tcPr>
            <w:tcW w:w="1183" w:type="pct"/>
            <w:tcBorders>
              <w:top w:val="single" w:sz="4" w:space="0" w:color="auto"/>
            </w:tcBorders>
            <w:vAlign w:val="center"/>
          </w:tcPr>
          <w:p w:rsidR="004D4963" w:rsidRPr="00863FF4" w:rsidRDefault="004D4963" w:rsidP="00771716">
            <w:pPr>
              <w:suppressAutoHyphens w:val="0"/>
              <w:snapToGrid w:val="0"/>
              <w:jc w:val="both"/>
              <w:rPr>
                <w:sz w:val="20"/>
                <w:szCs w:val="20"/>
              </w:rPr>
            </w:pPr>
            <w:r w:rsidRPr="00863FF4">
              <w:rPr>
                <w:sz w:val="20"/>
                <w:szCs w:val="20"/>
              </w:rPr>
              <w:t>63.26</w:t>
            </w:r>
          </w:p>
        </w:tc>
        <w:tc>
          <w:tcPr>
            <w:tcW w:w="1244" w:type="pct"/>
            <w:tcBorders>
              <w:top w:val="single" w:sz="4" w:space="0" w:color="auto"/>
            </w:tcBorders>
            <w:vAlign w:val="center"/>
          </w:tcPr>
          <w:p w:rsidR="004D4963" w:rsidRPr="00863FF4" w:rsidRDefault="004D4963" w:rsidP="00771716">
            <w:pPr>
              <w:suppressAutoHyphens w:val="0"/>
              <w:snapToGrid w:val="0"/>
              <w:jc w:val="both"/>
              <w:rPr>
                <w:sz w:val="20"/>
                <w:szCs w:val="20"/>
              </w:rPr>
            </w:pPr>
            <w:r w:rsidRPr="00863FF4">
              <w:rPr>
                <w:sz w:val="20"/>
                <w:szCs w:val="20"/>
              </w:rPr>
              <w:t>0.57</w:t>
            </w:r>
          </w:p>
        </w:tc>
      </w:tr>
      <w:tr w:rsidR="004D4963" w:rsidRPr="00863FF4" w:rsidTr="00771716">
        <w:trPr>
          <w:jc w:val="center"/>
        </w:trPr>
        <w:tc>
          <w:tcPr>
            <w:tcW w:w="766" w:type="pct"/>
            <w:shd w:val="clear" w:color="auto" w:fill="auto"/>
            <w:noWrap/>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50 kg N/ha</w:t>
            </w:r>
            <w:r w:rsidRPr="00863FF4">
              <w:rPr>
                <w:sz w:val="20"/>
                <w:szCs w:val="20"/>
              </w:rPr>
              <w:t xml:space="preserve"> POF</w:t>
            </w:r>
          </w:p>
        </w:tc>
        <w:tc>
          <w:tcPr>
            <w:tcW w:w="816"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6.33</w:t>
            </w:r>
          </w:p>
        </w:tc>
        <w:tc>
          <w:tcPr>
            <w:tcW w:w="991"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677.50</w:t>
            </w:r>
          </w:p>
        </w:tc>
        <w:tc>
          <w:tcPr>
            <w:tcW w:w="1183" w:type="pct"/>
            <w:vAlign w:val="center"/>
          </w:tcPr>
          <w:p w:rsidR="004D4963" w:rsidRPr="00863FF4" w:rsidRDefault="004D4963" w:rsidP="00771716">
            <w:pPr>
              <w:suppressAutoHyphens w:val="0"/>
              <w:snapToGrid w:val="0"/>
              <w:jc w:val="both"/>
              <w:rPr>
                <w:sz w:val="20"/>
                <w:szCs w:val="20"/>
              </w:rPr>
            </w:pPr>
            <w:r w:rsidRPr="00863FF4">
              <w:rPr>
                <w:sz w:val="20"/>
                <w:szCs w:val="20"/>
              </w:rPr>
              <w:t>107.03</w:t>
            </w:r>
          </w:p>
        </w:tc>
        <w:tc>
          <w:tcPr>
            <w:tcW w:w="1244" w:type="pct"/>
            <w:vAlign w:val="center"/>
          </w:tcPr>
          <w:p w:rsidR="004D4963" w:rsidRPr="00863FF4" w:rsidRDefault="004D4963" w:rsidP="00771716">
            <w:pPr>
              <w:suppressAutoHyphens w:val="0"/>
              <w:snapToGrid w:val="0"/>
              <w:jc w:val="both"/>
              <w:rPr>
                <w:sz w:val="20"/>
                <w:szCs w:val="20"/>
              </w:rPr>
            </w:pPr>
            <w:r w:rsidRPr="00863FF4">
              <w:rPr>
                <w:sz w:val="20"/>
                <w:szCs w:val="20"/>
              </w:rPr>
              <w:t>0.31</w:t>
            </w:r>
          </w:p>
        </w:tc>
      </w:tr>
      <w:tr w:rsidR="004D4963" w:rsidRPr="00863FF4" w:rsidTr="00771716">
        <w:trPr>
          <w:jc w:val="center"/>
        </w:trPr>
        <w:tc>
          <w:tcPr>
            <w:tcW w:w="766" w:type="pct"/>
            <w:shd w:val="clear" w:color="auto" w:fill="auto"/>
            <w:noWrap/>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100 kg N/ha</w:t>
            </w:r>
            <w:r w:rsidRPr="00863FF4">
              <w:rPr>
                <w:sz w:val="20"/>
                <w:szCs w:val="20"/>
              </w:rPr>
              <w:t xml:space="preserve"> POF</w:t>
            </w:r>
          </w:p>
        </w:tc>
        <w:tc>
          <w:tcPr>
            <w:tcW w:w="816"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5.00</w:t>
            </w:r>
          </w:p>
        </w:tc>
        <w:tc>
          <w:tcPr>
            <w:tcW w:w="991"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776.93</w:t>
            </w:r>
          </w:p>
        </w:tc>
        <w:tc>
          <w:tcPr>
            <w:tcW w:w="1183" w:type="pct"/>
            <w:vAlign w:val="center"/>
          </w:tcPr>
          <w:p w:rsidR="004D4963" w:rsidRPr="00863FF4" w:rsidRDefault="004D4963" w:rsidP="00771716">
            <w:pPr>
              <w:suppressAutoHyphens w:val="0"/>
              <w:snapToGrid w:val="0"/>
              <w:jc w:val="both"/>
              <w:rPr>
                <w:sz w:val="20"/>
                <w:szCs w:val="20"/>
              </w:rPr>
            </w:pPr>
            <w:r w:rsidRPr="00863FF4">
              <w:rPr>
                <w:sz w:val="20"/>
                <w:szCs w:val="20"/>
              </w:rPr>
              <w:t>155.39</w:t>
            </w:r>
          </w:p>
        </w:tc>
        <w:tc>
          <w:tcPr>
            <w:tcW w:w="1244" w:type="pct"/>
            <w:vAlign w:val="center"/>
          </w:tcPr>
          <w:p w:rsidR="004D4963" w:rsidRPr="00863FF4" w:rsidRDefault="004D4963" w:rsidP="00771716">
            <w:pPr>
              <w:suppressAutoHyphens w:val="0"/>
              <w:snapToGrid w:val="0"/>
              <w:jc w:val="both"/>
              <w:rPr>
                <w:sz w:val="20"/>
                <w:szCs w:val="20"/>
              </w:rPr>
            </w:pPr>
            <w:r w:rsidRPr="00863FF4">
              <w:rPr>
                <w:sz w:val="20"/>
                <w:szCs w:val="20"/>
              </w:rPr>
              <w:t>0.34</w:t>
            </w:r>
          </w:p>
        </w:tc>
      </w:tr>
      <w:tr w:rsidR="004D4963" w:rsidRPr="00863FF4" w:rsidTr="00771716">
        <w:trPr>
          <w:jc w:val="center"/>
        </w:trPr>
        <w:tc>
          <w:tcPr>
            <w:tcW w:w="766" w:type="pct"/>
            <w:shd w:val="clear" w:color="auto" w:fill="auto"/>
            <w:noWrap/>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150 kg N/ha</w:t>
            </w:r>
            <w:r w:rsidRPr="00863FF4">
              <w:rPr>
                <w:sz w:val="20"/>
                <w:szCs w:val="20"/>
              </w:rPr>
              <w:t xml:space="preserve"> POF</w:t>
            </w:r>
          </w:p>
        </w:tc>
        <w:tc>
          <w:tcPr>
            <w:tcW w:w="816"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2.00</w:t>
            </w:r>
          </w:p>
        </w:tc>
        <w:tc>
          <w:tcPr>
            <w:tcW w:w="991"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155.37</w:t>
            </w:r>
          </w:p>
        </w:tc>
        <w:tc>
          <w:tcPr>
            <w:tcW w:w="1183" w:type="pct"/>
            <w:vAlign w:val="center"/>
          </w:tcPr>
          <w:p w:rsidR="004D4963" w:rsidRPr="00863FF4" w:rsidRDefault="004D4963" w:rsidP="00771716">
            <w:pPr>
              <w:suppressAutoHyphens w:val="0"/>
              <w:snapToGrid w:val="0"/>
              <w:jc w:val="both"/>
              <w:rPr>
                <w:sz w:val="20"/>
                <w:szCs w:val="20"/>
              </w:rPr>
            </w:pPr>
            <w:r w:rsidRPr="00863FF4">
              <w:rPr>
                <w:sz w:val="20"/>
                <w:szCs w:val="20"/>
              </w:rPr>
              <w:t>77.69</w:t>
            </w:r>
          </w:p>
        </w:tc>
        <w:tc>
          <w:tcPr>
            <w:tcW w:w="1244" w:type="pct"/>
            <w:vAlign w:val="center"/>
          </w:tcPr>
          <w:p w:rsidR="004D4963" w:rsidRPr="00863FF4" w:rsidRDefault="004D4963" w:rsidP="00771716">
            <w:pPr>
              <w:suppressAutoHyphens w:val="0"/>
              <w:snapToGrid w:val="0"/>
              <w:jc w:val="both"/>
              <w:rPr>
                <w:sz w:val="20"/>
                <w:szCs w:val="20"/>
              </w:rPr>
            </w:pPr>
            <w:r w:rsidRPr="00863FF4">
              <w:rPr>
                <w:sz w:val="20"/>
                <w:szCs w:val="20"/>
              </w:rPr>
              <w:t>2.07</w:t>
            </w:r>
          </w:p>
        </w:tc>
      </w:tr>
      <w:tr w:rsidR="004D4963" w:rsidRPr="00863FF4" w:rsidTr="00771716">
        <w:trPr>
          <w:jc w:val="center"/>
        </w:trPr>
        <w:tc>
          <w:tcPr>
            <w:tcW w:w="766" w:type="pct"/>
            <w:shd w:val="clear" w:color="auto" w:fill="auto"/>
            <w:noWrap/>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NPK 15-15-15</w:t>
            </w:r>
          </w:p>
        </w:tc>
        <w:tc>
          <w:tcPr>
            <w:tcW w:w="816"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5.33</w:t>
            </w:r>
          </w:p>
        </w:tc>
        <w:tc>
          <w:tcPr>
            <w:tcW w:w="991" w:type="pct"/>
            <w:vAlign w:val="center"/>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587.00</w:t>
            </w:r>
          </w:p>
        </w:tc>
        <w:tc>
          <w:tcPr>
            <w:tcW w:w="1183" w:type="pct"/>
            <w:vAlign w:val="center"/>
          </w:tcPr>
          <w:p w:rsidR="004D4963" w:rsidRPr="00863FF4" w:rsidRDefault="004D4963" w:rsidP="00771716">
            <w:pPr>
              <w:suppressAutoHyphens w:val="0"/>
              <w:snapToGrid w:val="0"/>
              <w:jc w:val="both"/>
              <w:rPr>
                <w:sz w:val="20"/>
                <w:szCs w:val="20"/>
              </w:rPr>
            </w:pPr>
            <w:r w:rsidRPr="00863FF4">
              <w:rPr>
                <w:sz w:val="20"/>
                <w:szCs w:val="20"/>
              </w:rPr>
              <w:t>110.13</w:t>
            </w:r>
          </w:p>
        </w:tc>
        <w:tc>
          <w:tcPr>
            <w:tcW w:w="1244" w:type="pct"/>
            <w:vAlign w:val="center"/>
          </w:tcPr>
          <w:p w:rsidR="004D4963" w:rsidRPr="00863FF4" w:rsidRDefault="004D4963" w:rsidP="00771716">
            <w:pPr>
              <w:suppressAutoHyphens w:val="0"/>
              <w:snapToGrid w:val="0"/>
              <w:jc w:val="both"/>
              <w:rPr>
                <w:sz w:val="20"/>
                <w:szCs w:val="20"/>
              </w:rPr>
            </w:pPr>
            <w:r w:rsidRPr="00863FF4">
              <w:rPr>
                <w:sz w:val="20"/>
                <w:szCs w:val="20"/>
              </w:rPr>
              <w:t>0.50</w:t>
            </w:r>
          </w:p>
        </w:tc>
      </w:tr>
      <w:tr w:rsidR="004D4963" w:rsidRPr="00863FF4" w:rsidTr="00771716">
        <w:trPr>
          <w:jc w:val="center"/>
        </w:trPr>
        <w:tc>
          <w:tcPr>
            <w:tcW w:w="766" w:type="pct"/>
            <w:shd w:val="clear" w:color="auto" w:fill="auto"/>
            <w:vAlign w:val="center"/>
            <w:hideMark/>
          </w:tcPr>
          <w:p w:rsidR="004D4963" w:rsidRPr="00863FF4" w:rsidRDefault="004D4963" w:rsidP="00771716">
            <w:pPr>
              <w:suppressAutoHyphens w:val="0"/>
              <w:snapToGrid w:val="0"/>
              <w:jc w:val="both"/>
              <w:rPr>
                <w:rFonts w:eastAsia="Times New Roman"/>
                <w:sz w:val="20"/>
                <w:szCs w:val="20"/>
              </w:rPr>
            </w:pPr>
            <w:r w:rsidRPr="00863FF4">
              <w:rPr>
                <w:rFonts w:eastAsia="Times New Roman"/>
                <w:sz w:val="20"/>
                <w:szCs w:val="20"/>
              </w:rPr>
              <w:t>LSD</w:t>
            </w:r>
          </w:p>
        </w:tc>
        <w:tc>
          <w:tcPr>
            <w:tcW w:w="816" w:type="pct"/>
            <w:vAlign w:val="center"/>
          </w:tcPr>
          <w:p w:rsidR="004D4963" w:rsidRPr="00863FF4" w:rsidRDefault="004D4963" w:rsidP="00771716">
            <w:pPr>
              <w:suppressAutoHyphens w:val="0"/>
              <w:snapToGrid w:val="0"/>
              <w:jc w:val="both"/>
              <w:rPr>
                <w:rFonts w:eastAsia="Times New Roman"/>
                <w:sz w:val="20"/>
                <w:szCs w:val="20"/>
              </w:rPr>
            </w:pPr>
            <w:r w:rsidRPr="00863FF4">
              <w:rPr>
                <w:sz w:val="20"/>
                <w:szCs w:val="20"/>
              </w:rPr>
              <w:t>3.92</w:t>
            </w:r>
          </w:p>
        </w:tc>
        <w:tc>
          <w:tcPr>
            <w:tcW w:w="991" w:type="pct"/>
            <w:vAlign w:val="center"/>
          </w:tcPr>
          <w:p w:rsidR="004D4963" w:rsidRPr="00863FF4" w:rsidRDefault="004D4963" w:rsidP="00771716">
            <w:pPr>
              <w:suppressAutoHyphens w:val="0"/>
              <w:snapToGrid w:val="0"/>
              <w:jc w:val="both"/>
              <w:rPr>
                <w:rFonts w:eastAsia="Times New Roman"/>
                <w:sz w:val="20"/>
                <w:szCs w:val="20"/>
              </w:rPr>
            </w:pPr>
            <w:r w:rsidRPr="00863FF4">
              <w:rPr>
                <w:sz w:val="20"/>
                <w:szCs w:val="20"/>
              </w:rPr>
              <w:t>440.39</w:t>
            </w:r>
          </w:p>
        </w:tc>
        <w:tc>
          <w:tcPr>
            <w:tcW w:w="1183" w:type="pct"/>
            <w:vAlign w:val="center"/>
          </w:tcPr>
          <w:p w:rsidR="004D4963" w:rsidRPr="00863FF4" w:rsidRDefault="004D4963" w:rsidP="00771716">
            <w:pPr>
              <w:suppressAutoHyphens w:val="0"/>
              <w:snapToGrid w:val="0"/>
              <w:jc w:val="both"/>
              <w:rPr>
                <w:sz w:val="20"/>
                <w:szCs w:val="20"/>
              </w:rPr>
            </w:pPr>
            <w:r w:rsidRPr="00863FF4">
              <w:rPr>
                <w:sz w:val="20"/>
                <w:szCs w:val="20"/>
              </w:rPr>
              <w:t>36.40</w:t>
            </w:r>
          </w:p>
        </w:tc>
        <w:tc>
          <w:tcPr>
            <w:tcW w:w="1244" w:type="pct"/>
            <w:vAlign w:val="center"/>
          </w:tcPr>
          <w:p w:rsidR="004D4963" w:rsidRPr="00863FF4" w:rsidRDefault="004D4963" w:rsidP="00771716">
            <w:pPr>
              <w:suppressAutoHyphens w:val="0"/>
              <w:snapToGrid w:val="0"/>
              <w:jc w:val="both"/>
              <w:rPr>
                <w:sz w:val="20"/>
                <w:szCs w:val="20"/>
              </w:rPr>
            </w:pPr>
            <w:r w:rsidRPr="00863FF4">
              <w:rPr>
                <w:sz w:val="20"/>
                <w:szCs w:val="20"/>
              </w:rPr>
              <w:t>ns</w:t>
            </w:r>
          </w:p>
        </w:tc>
      </w:tr>
    </w:tbl>
    <w:p w:rsidR="00771716" w:rsidRDefault="00771716" w:rsidP="00863FF4">
      <w:pPr>
        <w:suppressAutoHyphens w:val="0"/>
        <w:snapToGrid w:val="0"/>
        <w:jc w:val="both"/>
        <w:rPr>
          <w:rFonts w:eastAsiaTheme="minorEastAsia" w:hint="eastAsia"/>
          <w:sz w:val="20"/>
          <w:szCs w:val="20"/>
          <w:lang w:eastAsia="zh-CN"/>
        </w:rPr>
      </w:pPr>
    </w:p>
    <w:p w:rsidR="00863FF4" w:rsidRPr="00863FF4" w:rsidRDefault="00863FF4" w:rsidP="00771716">
      <w:pPr>
        <w:suppressAutoHyphens w:val="0"/>
        <w:snapToGrid w:val="0"/>
        <w:ind w:firstLine="425"/>
        <w:jc w:val="both"/>
        <w:rPr>
          <w:rFonts w:eastAsiaTheme="minorEastAsia" w:hint="eastAsia"/>
          <w:sz w:val="20"/>
          <w:szCs w:val="20"/>
          <w:lang w:eastAsia="zh-CN"/>
        </w:rPr>
        <w:sectPr w:rsidR="00863FF4" w:rsidRPr="00863FF4" w:rsidSect="00CC05CB">
          <w:type w:val="continuous"/>
          <w:pgSz w:w="12242" w:h="15842" w:code="1"/>
          <w:pgMar w:top="1440" w:right="1440" w:bottom="1440" w:left="1440" w:header="720" w:footer="720" w:gutter="0"/>
          <w:cols w:space="720"/>
          <w:docGrid w:linePitch="360"/>
        </w:sectPr>
      </w:pPr>
    </w:p>
    <w:p w:rsidR="00771716" w:rsidRPr="00863FF4" w:rsidRDefault="00771716" w:rsidP="00771716">
      <w:pPr>
        <w:suppressAutoHyphens w:val="0"/>
        <w:snapToGrid w:val="0"/>
        <w:ind w:firstLine="425"/>
        <w:jc w:val="both"/>
        <w:rPr>
          <w:sz w:val="20"/>
          <w:szCs w:val="20"/>
        </w:rPr>
      </w:pPr>
      <w:r w:rsidRPr="00863FF4">
        <w:rPr>
          <w:sz w:val="20"/>
          <w:szCs w:val="20"/>
        </w:rPr>
        <w:lastRenderedPageBreak/>
        <w:t>The residual effects of the application of fertilizers on maize shoot biomass indicated that there was no significant response to the residual of treatments (Figure 1). However, maize shoot biomass increased with increase in POF application. The highest maize shoot biomass was observed at 150 kg N/ha POF, while the least was observed in the control. The residual effect of 150 and 100 kg N/ha POF were 24.64 % and 9.11 %, respectively higher than the value observed using NPK fertilizer.</w:t>
      </w:r>
    </w:p>
    <w:p w:rsidR="00CC05CB" w:rsidRPr="00863FF4" w:rsidRDefault="004D4963" w:rsidP="00771716">
      <w:pPr>
        <w:suppressAutoHyphens w:val="0"/>
        <w:snapToGrid w:val="0"/>
        <w:ind w:firstLine="425"/>
        <w:jc w:val="both"/>
        <w:rPr>
          <w:sz w:val="20"/>
          <w:szCs w:val="20"/>
        </w:rPr>
      </w:pPr>
      <w:r w:rsidRPr="00863FF4">
        <w:rPr>
          <w:sz w:val="20"/>
          <w:szCs w:val="20"/>
        </w:rPr>
        <w:t xml:space="preserve">Cassava plant height was positively and significantly correlated to stem diameter, height at </w:t>
      </w:r>
      <w:proofErr w:type="spellStart"/>
      <w:r w:rsidRPr="00863FF4">
        <w:rPr>
          <w:rFonts w:eastAsia="Times New Roman"/>
          <w:sz w:val="20"/>
          <w:szCs w:val="20"/>
        </w:rPr>
        <w:t>jorquette</w:t>
      </w:r>
      <w:proofErr w:type="spellEnd"/>
      <w:r w:rsidRPr="00863FF4">
        <w:rPr>
          <w:sz w:val="20"/>
          <w:szCs w:val="20"/>
        </w:rPr>
        <w:t xml:space="preserve">, number of shoots and nitrogen contents in cassava leaf (Table 5). There was also significant correlation between stem diameter and height at </w:t>
      </w:r>
      <w:proofErr w:type="spellStart"/>
      <w:r w:rsidRPr="00863FF4">
        <w:rPr>
          <w:sz w:val="20"/>
          <w:szCs w:val="20"/>
        </w:rPr>
        <w:t>jorquette</w:t>
      </w:r>
      <w:proofErr w:type="spellEnd"/>
      <w:r w:rsidRPr="00863FF4">
        <w:rPr>
          <w:sz w:val="20"/>
          <w:szCs w:val="20"/>
        </w:rPr>
        <w:t xml:space="preserve"> at harvest and fresh shoot biomass. The correlation between stem diameter and dry shoot weight, and numbers of tubers per plant in cassava </w:t>
      </w:r>
      <w:r w:rsidRPr="00863FF4">
        <w:rPr>
          <w:sz w:val="20"/>
          <w:szCs w:val="20"/>
        </w:rPr>
        <w:lastRenderedPageBreak/>
        <w:t>leaf were high but not significant.</w:t>
      </w:r>
      <w:r w:rsidR="00CC05CB" w:rsidRPr="00863FF4">
        <w:rPr>
          <w:sz w:val="20"/>
          <w:szCs w:val="20"/>
        </w:rPr>
        <w:t xml:space="preserve"> </w:t>
      </w:r>
      <w:r w:rsidRPr="00863FF4">
        <w:rPr>
          <w:sz w:val="20"/>
          <w:szCs w:val="20"/>
        </w:rPr>
        <w:t>However, a negative correlation between stem diameter and number of shoots per plant was observed. Number of shoots per plant had high correlation with number of tubers and storage root yield in cassava, but these were not significantly correlated. Also, fresh shoot biomass had significantly high correlation with dry shoot weight, storage root yield and cassava tuber size. Dry shoot weight and fresh shoot biomass were similar in their correlation with other parameters observed. The number of tubers was significantly correlated to storage root yield, but negatively correlated to tuber size. The observed storage root yield had high significant (p &lt; 0.01) Pearson correlation coefficient with tuber size. Residual cropping was negatively correlated with plant height, plant diameter, fresh shoot biomass, dry shoot weight and number of tubers per plant observed.</w:t>
      </w:r>
    </w:p>
    <w:p w:rsidR="00771716" w:rsidRPr="00863FF4" w:rsidRDefault="00771716" w:rsidP="00771716">
      <w:pPr>
        <w:suppressAutoHyphens w:val="0"/>
        <w:snapToGrid w:val="0"/>
        <w:ind w:firstLine="425"/>
        <w:jc w:val="both"/>
        <w:rPr>
          <w:sz w:val="20"/>
          <w:szCs w:val="20"/>
        </w:rPr>
        <w:sectPr w:rsidR="00771716" w:rsidRPr="00863FF4" w:rsidSect="00771716">
          <w:type w:val="continuous"/>
          <w:pgSz w:w="12242" w:h="15842" w:code="1"/>
          <w:pgMar w:top="1440" w:right="1440" w:bottom="1440" w:left="1440" w:header="720" w:footer="720" w:gutter="0"/>
          <w:cols w:num="2" w:space="600"/>
          <w:docGrid w:linePitch="360"/>
        </w:sectPr>
      </w:pPr>
    </w:p>
    <w:p w:rsidR="004D4963" w:rsidRPr="00863FF4" w:rsidRDefault="00CC05CB" w:rsidP="00771716">
      <w:pPr>
        <w:suppressAutoHyphens w:val="0"/>
        <w:snapToGrid w:val="0"/>
        <w:ind w:firstLine="425"/>
        <w:jc w:val="both"/>
        <w:rPr>
          <w:b/>
          <w:bCs/>
          <w:sz w:val="20"/>
          <w:szCs w:val="20"/>
        </w:rPr>
      </w:pPr>
      <w:r w:rsidRPr="00863FF4">
        <w:rPr>
          <w:sz w:val="20"/>
          <w:szCs w:val="20"/>
        </w:rPr>
        <w:lastRenderedPageBreak/>
        <w:cr/>
      </w:r>
      <w:r w:rsidR="004D4963" w:rsidRPr="00863FF4">
        <w:rPr>
          <w:sz w:val="20"/>
          <w:szCs w:val="20"/>
        </w:rPr>
        <w:t>Table 5, Correlations of cassava growth parameters, yield related components and yield as influenced by fertilizer application at harvest</w:t>
      </w:r>
    </w:p>
    <w:tbl>
      <w:tblPr>
        <w:tblW w:w="0" w:type="auto"/>
        <w:tblBorders>
          <w:top w:val="single" w:sz="4" w:space="0" w:color="auto"/>
          <w:bottom w:val="single" w:sz="4" w:space="0" w:color="auto"/>
        </w:tblBorders>
        <w:tblCellMar>
          <w:left w:w="57" w:type="dxa"/>
          <w:right w:w="57" w:type="dxa"/>
        </w:tblCellMar>
        <w:tblLook w:val="0000"/>
      </w:tblPr>
      <w:tblGrid>
        <w:gridCol w:w="1448"/>
        <w:gridCol w:w="729"/>
        <w:gridCol w:w="929"/>
        <w:gridCol w:w="1021"/>
        <w:gridCol w:w="964"/>
        <w:gridCol w:w="1013"/>
        <w:gridCol w:w="869"/>
        <w:gridCol w:w="958"/>
        <w:gridCol w:w="930"/>
        <w:gridCol w:w="615"/>
      </w:tblGrid>
      <w:tr w:rsidR="00CC05CB" w:rsidRPr="00863FF4" w:rsidTr="00863FF4">
        <w:trPr>
          <w:cantSplit/>
        </w:trPr>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Plant height</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Stem diameter</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 xml:space="preserve">Height at </w:t>
            </w:r>
            <w:proofErr w:type="spellStart"/>
            <w:r w:rsidRPr="00863FF4">
              <w:rPr>
                <w:sz w:val="20"/>
                <w:szCs w:val="20"/>
              </w:rPr>
              <w:t>jorquette</w:t>
            </w:r>
            <w:proofErr w:type="spellEnd"/>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Number of shoots</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Fresh shoot biomass</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Dry shoot weight</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Number of tubers</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Storage root yield</w:t>
            </w:r>
          </w:p>
        </w:tc>
        <w:tc>
          <w:tcPr>
            <w:tcW w:w="0" w:type="auto"/>
            <w:tcBorders>
              <w:top w:val="single" w:sz="4" w:space="0" w:color="auto"/>
              <w:bottom w:val="single" w:sz="4" w:space="0" w:color="auto"/>
            </w:tcBorders>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tuber size</w:t>
            </w: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Stem diameter</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0.76</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 xml:space="preserve">Height at </w:t>
            </w:r>
            <w:proofErr w:type="spellStart"/>
            <w:r w:rsidRPr="00863FF4">
              <w:rPr>
                <w:sz w:val="20"/>
                <w:szCs w:val="20"/>
              </w:rPr>
              <w:t>Jorquette</w:t>
            </w:r>
            <w:proofErr w:type="spellEnd"/>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0.83</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0.55</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Number of shoots</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0.02</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-0.25</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0.15</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Fresh shoot biomass</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0.47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0.56</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0.32</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0.11</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Dry shoot weight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0.44</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0.51</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0.13</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0.96</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Number of tubers</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0.59</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0.43</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0.49</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0.47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0.37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0.38</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Storage root yield</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0.26</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0.28</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0.23</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0.31</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0.73</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0.77</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0.62</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Tuber size</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0.10</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0.19</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0.72</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0.73</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-0.09</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0.90</w:t>
            </w:r>
            <w:r w:rsidRPr="00863FF4">
              <w:rPr>
                <w:sz w:val="20"/>
                <w:szCs w:val="20"/>
                <w:vertAlign w:val="superscript"/>
              </w:rPr>
              <w:t>**</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p>
        </w:tc>
      </w:tr>
      <w:tr w:rsidR="00CC05CB" w:rsidRPr="00863FF4" w:rsidTr="00863FF4">
        <w:trPr>
          <w:cantSplit/>
        </w:trPr>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Residual cropping (maize dry biomass)</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-0.21</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-0.14</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0.07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0.11</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-0.11</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-0.14</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-0.22</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0.07</w:t>
            </w:r>
          </w:p>
        </w:tc>
        <w:tc>
          <w:tcPr>
            <w:tcW w:w="0" w:type="auto"/>
            <w:shd w:val="clear" w:color="auto" w:fill="FFFFFF"/>
            <w:vAlign w:val="center"/>
          </w:tcPr>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0.23</w:t>
            </w:r>
          </w:p>
        </w:tc>
      </w:tr>
    </w:tbl>
    <w:p w:rsidR="004D4963" w:rsidRPr="00863FF4" w:rsidRDefault="004D4963" w:rsidP="00771716">
      <w:pPr>
        <w:suppressAutoHyphens w:val="0"/>
        <w:autoSpaceDE w:val="0"/>
        <w:autoSpaceDN w:val="0"/>
        <w:adjustRightInd w:val="0"/>
        <w:snapToGrid w:val="0"/>
        <w:jc w:val="both"/>
        <w:rPr>
          <w:sz w:val="20"/>
          <w:szCs w:val="20"/>
        </w:rPr>
      </w:pPr>
      <w:r w:rsidRPr="00863FF4">
        <w:rPr>
          <w:sz w:val="20"/>
          <w:szCs w:val="20"/>
        </w:rPr>
        <w:t>*, ** = Correlation is significant at the 0.05 and 0.01 level, respectively; n = 15</w:t>
      </w:r>
    </w:p>
    <w:p w:rsidR="00771716" w:rsidRPr="00863FF4" w:rsidRDefault="00CC05CB" w:rsidP="00771716">
      <w:pPr>
        <w:suppressAutoHyphens w:val="0"/>
        <w:snapToGrid w:val="0"/>
        <w:jc w:val="both"/>
        <w:rPr>
          <w:sz w:val="20"/>
          <w:szCs w:val="20"/>
        </w:rPr>
        <w:sectPr w:rsidR="00771716" w:rsidRPr="00863FF4" w:rsidSect="00CC05CB">
          <w:type w:val="continuous"/>
          <w:pgSz w:w="12242" w:h="15842" w:code="1"/>
          <w:pgMar w:top="1440" w:right="1440" w:bottom="1440" w:left="1440" w:header="720" w:footer="720" w:gutter="0"/>
          <w:cols w:space="720"/>
          <w:docGrid w:linePitch="360"/>
        </w:sectPr>
      </w:pPr>
      <w:r w:rsidRPr="00863FF4">
        <w:rPr>
          <w:sz w:val="20"/>
          <w:szCs w:val="20"/>
        </w:rPr>
        <w:cr/>
      </w:r>
    </w:p>
    <w:p w:rsidR="00771716" w:rsidRPr="00863FF4" w:rsidRDefault="004D4963" w:rsidP="00771716">
      <w:pPr>
        <w:suppressAutoHyphens w:val="0"/>
        <w:snapToGrid w:val="0"/>
        <w:jc w:val="both"/>
        <w:rPr>
          <w:sz w:val="20"/>
          <w:szCs w:val="20"/>
        </w:rPr>
      </w:pPr>
      <w:r w:rsidRPr="00863FF4">
        <w:rPr>
          <w:b/>
          <w:sz w:val="20"/>
          <w:szCs w:val="20"/>
        </w:rPr>
        <w:lastRenderedPageBreak/>
        <w:t>4. Discussion</w:t>
      </w:r>
    </w:p>
    <w:p w:rsidR="00771716" w:rsidRPr="00863FF4" w:rsidRDefault="00771716" w:rsidP="00771716">
      <w:pPr>
        <w:suppressAutoHyphens w:val="0"/>
        <w:autoSpaceDE w:val="0"/>
        <w:autoSpaceDN w:val="0"/>
        <w:adjustRightInd w:val="0"/>
        <w:snapToGrid w:val="0"/>
        <w:ind w:firstLine="425"/>
        <w:jc w:val="both"/>
        <w:rPr>
          <w:sz w:val="20"/>
          <w:szCs w:val="20"/>
        </w:rPr>
      </w:pPr>
      <w:r w:rsidRPr="00863FF4">
        <w:rPr>
          <w:sz w:val="20"/>
          <w:szCs w:val="20"/>
        </w:rPr>
        <w:t>T</w:t>
      </w:r>
      <w:r w:rsidR="004D4963" w:rsidRPr="00863FF4">
        <w:rPr>
          <w:sz w:val="20"/>
          <w:szCs w:val="20"/>
        </w:rPr>
        <w:t>he soils textural class (loamy sand) contains clay and silt in adequate proportion to hold enough water for good cassava plant growth and to guard against short duration drought (</w:t>
      </w:r>
      <w:proofErr w:type="spellStart"/>
      <w:r w:rsidR="004D4963" w:rsidRPr="00863FF4">
        <w:rPr>
          <w:sz w:val="20"/>
          <w:szCs w:val="20"/>
        </w:rPr>
        <w:t>Howeler</w:t>
      </w:r>
      <w:proofErr w:type="spellEnd"/>
      <w:r w:rsidR="004D4963" w:rsidRPr="00863FF4">
        <w:rPr>
          <w:sz w:val="20"/>
          <w:szCs w:val="20"/>
        </w:rPr>
        <w:t xml:space="preserve"> and </w:t>
      </w:r>
      <w:proofErr w:type="spellStart"/>
      <w:r w:rsidR="004D4963" w:rsidRPr="00863FF4">
        <w:rPr>
          <w:sz w:val="20"/>
          <w:szCs w:val="20"/>
        </w:rPr>
        <w:t>Cadavid</w:t>
      </w:r>
      <w:proofErr w:type="spellEnd"/>
      <w:r w:rsidR="004D4963" w:rsidRPr="00863FF4">
        <w:rPr>
          <w:sz w:val="20"/>
          <w:szCs w:val="20"/>
        </w:rPr>
        <w:t>, 1983). The values for N, P and K showed the fertility status of the soils to be low when compared to cassava critical levels for optimum production (</w:t>
      </w:r>
      <w:proofErr w:type="spellStart"/>
      <w:r w:rsidR="004D4963" w:rsidRPr="00863FF4">
        <w:rPr>
          <w:sz w:val="20"/>
          <w:szCs w:val="20"/>
        </w:rPr>
        <w:t>Howeler</w:t>
      </w:r>
      <w:proofErr w:type="spellEnd"/>
      <w:r w:rsidR="004D4963" w:rsidRPr="00863FF4">
        <w:rPr>
          <w:sz w:val="20"/>
          <w:szCs w:val="20"/>
        </w:rPr>
        <w:t xml:space="preserve">, 1989; </w:t>
      </w:r>
      <w:proofErr w:type="spellStart"/>
      <w:r w:rsidR="004D4963" w:rsidRPr="00863FF4">
        <w:rPr>
          <w:sz w:val="20"/>
          <w:szCs w:val="20"/>
        </w:rPr>
        <w:t>Putthacharoen</w:t>
      </w:r>
      <w:proofErr w:type="spellEnd"/>
      <w:r w:rsidR="004D4963" w:rsidRPr="00863FF4">
        <w:rPr>
          <w:sz w:val="20"/>
          <w:szCs w:val="20"/>
        </w:rPr>
        <w:t xml:space="preserve"> et al., 1998). The N content in the POF was a little more than the average for organic fertilizers. This might have resulted from the fortification with mineral fertilizer. However, the N content was inadequate compared to standard </w:t>
      </w:r>
      <w:proofErr w:type="spellStart"/>
      <w:r w:rsidR="004D4963" w:rsidRPr="00863FF4">
        <w:rPr>
          <w:sz w:val="20"/>
          <w:szCs w:val="20"/>
        </w:rPr>
        <w:lastRenderedPageBreak/>
        <w:t>organomineral</w:t>
      </w:r>
      <w:proofErr w:type="spellEnd"/>
      <w:r w:rsidR="004D4963" w:rsidRPr="00863FF4">
        <w:rPr>
          <w:sz w:val="20"/>
          <w:szCs w:val="20"/>
        </w:rPr>
        <w:t xml:space="preserve"> fertilizer as reported by </w:t>
      </w:r>
      <w:proofErr w:type="spellStart"/>
      <w:r w:rsidR="004D4963" w:rsidRPr="00863FF4">
        <w:rPr>
          <w:sz w:val="20"/>
          <w:szCs w:val="20"/>
        </w:rPr>
        <w:t>Ayoola</w:t>
      </w:r>
      <w:proofErr w:type="spellEnd"/>
      <w:r w:rsidR="004D4963" w:rsidRPr="00863FF4">
        <w:rPr>
          <w:sz w:val="20"/>
          <w:szCs w:val="20"/>
        </w:rPr>
        <w:t xml:space="preserve"> and </w:t>
      </w:r>
      <w:proofErr w:type="spellStart"/>
      <w:r w:rsidR="004D4963" w:rsidRPr="00863FF4">
        <w:rPr>
          <w:sz w:val="20"/>
          <w:szCs w:val="20"/>
        </w:rPr>
        <w:t>Agboola</w:t>
      </w:r>
      <w:proofErr w:type="spellEnd"/>
      <w:r w:rsidR="004D4963" w:rsidRPr="00863FF4">
        <w:rPr>
          <w:sz w:val="20"/>
          <w:szCs w:val="20"/>
        </w:rPr>
        <w:t xml:space="preserve"> (2002) and </w:t>
      </w:r>
      <w:proofErr w:type="spellStart"/>
      <w:r w:rsidR="004D4963" w:rsidRPr="00863FF4">
        <w:rPr>
          <w:sz w:val="20"/>
          <w:szCs w:val="20"/>
        </w:rPr>
        <w:t>Nottidge</w:t>
      </w:r>
      <w:proofErr w:type="spellEnd"/>
      <w:r w:rsidR="004D4963" w:rsidRPr="00863FF4">
        <w:rPr>
          <w:sz w:val="20"/>
          <w:szCs w:val="20"/>
        </w:rPr>
        <w:t xml:space="preserve"> et al. (2005). The available P and the exchangeable K were low for cassava as reported by </w:t>
      </w:r>
      <w:proofErr w:type="spellStart"/>
      <w:r w:rsidR="004D4963" w:rsidRPr="00863FF4">
        <w:rPr>
          <w:sz w:val="20"/>
          <w:szCs w:val="20"/>
        </w:rPr>
        <w:t>Howeler</w:t>
      </w:r>
      <w:proofErr w:type="spellEnd"/>
      <w:r w:rsidR="004D4963" w:rsidRPr="00863FF4">
        <w:rPr>
          <w:sz w:val="20"/>
          <w:szCs w:val="20"/>
        </w:rPr>
        <w:t xml:space="preserve"> (2001b) and </w:t>
      </w:r>
      <w:proofErr w:type="spellStart"/>
      <w:r w:rsidR="004D4963" w:rsidRPr="00863FF4">
        <w:rPr>
          <w:sz w:val="20"/>
          <w:szCs w:val="20"/>
        </w:rPr>
        <w:t>Umeh</w:t>
      </w:r>
      <w:proofErr w:type="spellEnd"/>
      <w:r w:rsidR="004D4963" w:rsidRPr="00863FF4">
        <w:rPr>
          <w:sz w:val="20"/>
          <w:szCs w:val="20"/>
        </w:rPr>
        <w:t xml:space="preserve"> and </w:t>
      </w:r>
      <w:proofErr w:type="spellStart"/>
      <w:r w:rsidR="004D4963" w:rsidRPr="00863FF4">
        <w:rPr>
          <w:sz w:val="20"/>
          <w:szCs w:val="20"/>
        </w:rPr>
        <w:t>Mbah</w:t>
      </w:r>
      <w:proofErr w:type="spellEnd"/>
      <w:r w:rsidR="004D4963" w:rsidRPr="00863FF4">
        <w:rPr>
          <w:sz w:val="20"/>
          <w:szCs w:val="20"/>
        </w:rPr>
        <w:t xml:space="preserve"> (2010)</w:t>
      </w:r>
      <w:r w:rsidRPr="00863FF4">
        <w:rPr>
          <w:sz w:val="20"/>
          <w:szCs w:val="20"/>
        </w:rPr>
        <w:t>. T</w:t>
      </w:r>
      <w:r w:rsidR="004D4963" w:rsidRPr="00863FF4">
        <w:rPr>
          <w:sz w:val="20"/>
          <w:szCs w:val="20"/>
        </w:rPr>
        <w:t xml:space="preserve">he inadequacy of the nutrients in the native soil used, as recommended by </w:t>
      </w:r>
      <w:proofErr w:type="spellStart"/>
      <w:r w:rsidR="004D4963" w:rsidRPr="00863FF4">
        <w:rPr>
          <w:sz w:val="20"/>
          <w:szCs w:val="20"/>
        </w:rPr>
        <w:t>Howeler</w:t>
      </w:r>
      <w:proofErr w:type="spellEnd"/>
      <w:r w:rsidR="004D4963" w:rsidRPr="00863FF4">
        <w:rPr>
          <w:sz w:val="20"/>
          <w:szCs w:val="20"/>
        </w:rPr>
        <w:t xml:space="preserve"> (2001b) has shown that cassava will respond </w:t>
      </w:r>
      <w:proofErr w:type="spellStart"/>
      <w:r w:rsidR="004D4963" w:rsidRPr="00863FF4">
        <w:rPr>
          <w:sz w:val="20"/>
          <w:szCs w:val="20"/>
        </w:rPr>
        <w:t>favourably</w:t>
      </w:r>
      <w:proofErr w:type="spellEnd"/>
      <w:r w:rsidR="004D4963" w:rsidRPr="00863FF4">
        <w:rPr>
          <w:sz w:val="20"/>
          <w:szCs w:val="20"/>
        </w:rPr>
        <w:t xml:space="preserve"> to soil fertility improvement. This was proved by the good response of the cassava growth and yield parameters to all levels of POF and NPK fertilizer application compared to the control treatment. </w:t>
      </w:r>
    </w:p>
    <w:p w:rsidR="00771716" w:rsidRPr="00863FF4" w:rsidRDefault="004D4963" w:rsidP="00771716">
      <w:pPr>
        <w:suppressAutoHyphens w:val="0"/>
        <w:autoSpaceDE w:val="0"/>
        <w:autoSpaceDN w:val="0"/>
        <w:adjustRightInd w:val="0"/>
        <w:snapToGrid w:val="0"/>
        <w:ind w:firstLine="425"/>
        <w:jc w:val="both"/>
        <w:rPr>
          <w:sz w:val="20"/>
          <w:szCs w:val="20"/>
        </w:rPr>
      </w:pPr>
      <w:r w:rsidRPr="00863FF4">
        <w:rPr>
          <w:sz w:val="20"/>
          <w:szCs w:val="20"/>
        </w:rPr>
        <w:lastRenderedPageBreak/>
        <w:t>The plant height increases observed with increase in application levels implies that cassava plants responds to fertilizer application. This is similar to the report of other workers (</w:t>
      </w:r>
      <w:proofErr w:type="spellStart"/>
      <w:r w:rsidRPr="00863FF4">
        <w:rPr>
          <w:sz w:val="20"/>
          <w:szCs w:val="20"/>
        </w:rPr>
        <w:t>Obigbesan</w:t>
      </w:r>
      <w:proofErr w:type="spellEnd"/>
      <w:r w:rsidRPr="00863FF4">
        <w:rPr>
          <w:sz w:val="20"/>
          <w:szCs w:val="20"/>
        </w:rPr>
        <w:t xml:space="preserve"> and </w:t>
      </w:r>
      <w:proofErr w:type="spellStart"/>
      <w:r w:rsidRPr="00863FF4">
        <w:rPr>
          <w:sz w:val="20"/>
          <w:szCs w:val="20"/>
        </w:rPr>
        <w:t>Agboola</w:t>
      </w:r>
      <w:proofErr w:type="spellEnd"/>
      <w:r w:rsidRPr="00863FF4">
        <w:rPr>
          <w:sz w:val="20"/>
          <w:szCs w:val="20"/>
        </w:rPr>
        <w:t xml:space="preserve">, 1973; </w:t>
      </w:r>
      <w:proofErr w:type="spellStart"/>
      <w:r w:rsidRPr="00863FF4">
        <w:rPr>
          <w:sz w:val="20"/>
          <w:szCs w:val="20"/>
        </w:rPr>
        <w:t>Uwah</w:t>
      </w:r>
      <w:proofErr w:type="spellEnd"/>
      <w:r w:rsidRPr="00863FF4">
        <w:rPr>
          <w:sz w:val="20"/>
          <w:szCs w:val="20"/>
        </w:rPr>
        <w:t xml:space="preserve"> et al., 2013; </w:t>
      </w:r>
      <w:proofErr w:type="spellStart"/>
      <w:r w:rsidRPr="00863FF4">
        <w:rPr>
          <w:sz w:val="20"/>
          <w:szCs w:val="20"/>
        </w:rPr>
        <w:t>Edet</w:t>
      </w:r>
      <w:proofErr w:type="spellEnd"/>
      <w:r w:rsidRPr="00863FF4">
        <w:rPr>
          <w:sz w:val="20"/>
          <w:szCs w:val="20"/>
        </w:rPr>
        <w:t xml:space="preserve"> et al., 2015</w:t>
      </w:r>
      <w:r w:rsidRPr="00863FF4">
        <w:rPr>
          <w:bCs/>
          <w:iCs/>
          <w:sz w:val="20"/>
          <w:szCs w:val="20"/>
        </w:rPr>
        <w:t>).</w:t>
      </w:r>
      <w:r w:rsidRPr="00863FF4">
        <w:rPr>
          <w:sz w:val="20"/>
          <w:szCs w:val="20"/>
        </w:rPr>
        <w:t xml:space="preserve"> However, higher level of N application (above 100kg N/ha POF) did not encourage plant height. This indicated that, there is limit to which cassava plant height can be enhanced by the use of fertilizer. This support </w:t>
      </w:r>
      <w:proofErr w:type="spellStart"/>
      <w:r w:rsidRPr="00863FF4">
        <w:rPr>
          <w:rStyle w:val="Emphasis"/>
          <w:i w:val="0"/>
          <w:sz w:val="20"/>
          <w:szCs w:val="20"/>
        </w:rPr>
        <w:t>Krochmal</w:t>
      </w:r>
      <w:proofErr w:type="spellEnd"/>
      <w:r w:rsidRPr="00863FF4">
        <w:rPr>
          <w:rStyle w:val="st"/>
          <w:i/>
          <w:sz w:val="20"/>
          <w:szCs w:val="20"/>
        </w:rPr>
        <w:t xml:space="preserve"> </w:t>
      </w:r>
      <w:r w:rsidRPr="00863FF4">
        <w:rPr>
          <w:rStyle w:val="st"/>
          <w:sz w:val="20"/>
          <w:szCs w:val="20"/>
        </w:rPr>
        <w:t>and</w:t>
      </w:r>
      <w:r w:rsidRPr="00863FF4">
        <w:rPr>
          <w:rStyle w:val="st"/>
          <w:i/>
          <w:sz w:val="20"/>
          <w:szCs w:val="20"/>
        </w:rPr>
        <w:t xml:space="preserve"> </w:t>
      </w:r>
      <w:r w:rsidRPr="00863FF4">
        <w:rPr>
          <w:rStyle w:val="Emphasis"/>
          <w:i w:val="0"/>
          <w:sz w:val="20"/>
          <w:szCs w:val="20"/>
        </w:rPr>
        <w:t>Samuels</w:t>
      </w:r>
      <w:r w:rsidRPr="00863FF4">
        <w:rPr>
          <w:rStyle w:val="st"/>
          <w:sz w:val="20"/>
          <w:szCs w:val="20"/>
        </w:rPr>
        <w:t xml:space="preserve"> (1970</w:t>
      </w:r>
      <w:r w:rsidRPr="00863FF4">
        <w:rPr>
          <w:sz w:val="20"/>
          <w:szCs w:val="20"/>
        </w:rPr>
        <w:t xml:space="preserve">) and </w:t>
      </w:r>
      <w:proofErr w:type="spellStart"/>
      <w:r w:rsidRPr="00863FF4">
        <w:rPr>
          <w:sz w:val="20"/>
          <w:szCs w:val="20"/>
        </w:rPr>
        <w:t>Uwah</w:t>
      </w:r>
      <w:proofErr w:type="spellEnd"/>
      <w:r w:rsidRPr="00863FF4">
        <w:rPr>
          <w:sz w:val="20"/>
          <w:szCs w:val="20"/>
        </w:rPr>
        <w:t xml:space="preserve"> et al. (2013) reports, that there is limit to which higher N application </w:t>
      </w:r>
      <w:proofErr w:type="spellStart"/>
      <w:r w:rsidRPr="00863FF4">
        <w:rPr>
          <w:sz w:val="20"/>
          <w:szCs w:val="20"/>
        </w:rPr>
        <w:t>favoured</w:t>
      </w:r>
      <w:proofErr w:type="spellEnd"/>
      <w:r w:rsidRPr="00863FF4">
        <w:rPr>
          <w:sz w:val="20"/>
          <w:szCs w:val="20"/>
        </w:rPr>
        <w:t xml:space="preserve"> higher plant height. Furthermore, the effect of NPK fertilizer application on cassava plant height did not match the effect of 50 kg N/ha POF neither was it above other POF levels. The positive effects of POF demonstrated in these experiments are in agreement with previous studies (</w:t>
      </w:r>
      <w:proofErr w:type="spellStart"/>
      <w:r w:rsidRPr="00863FF4">
        <w:rPr>
          <w:sz w:val="20"/>
          <w:szCs w:val="20"/>
        </w:rPr>
        <w:t>Edet</w:t>
      </w:r>
      <w:proofErr w:type="spellEnd"/>
      <w:r w:rsidRPr="00863FF4">
        <w:rPr>
          <w:sz w:val="20"/>
          <w:szCs w:val="20"/>
        </w:rPr>
        <w:t xml:space="preserve"> et al., 2013a; </w:t>
      </w:r>
      <w:proofErr w:type="spellStart"/>
      <w:r w:rsidRPr="00863FF4">
        <w:rPr>
          <w:sz w:val="20"/>
          <w:szCs w:val="20"/>
        </w:rPr>
        <w:t>Odedina</w:t>
      </w:r>
      <w:proofErr w:type="spellEnd"/>
      <w:r w:rsidRPr="00863FF4">
        <w:rPr>
          <w:sz w:val="20"/>
          <w:szCs w:val="20"/>
        </w:rPr>
        <w:t xml:space="preserve"> et al., 2015). </w:t>
      </w:r>
    </w:p>
    <w:p w:rsidR="00771716" w:rsidRPr="00863FF4" w:rsidRDefault="004D4963" w:rsidP="00771716">
      <w:pPr>
        <w:suppressAutoHyphens w:val="0"/>
        <w:autoSpaceDE w:val="0"/>
        <w:autoSpaceDN w:val="0"/>
        <w:adjustRightInd w:val="0"/>
        <w:snapToGrid w:val="0"/>
        <w:ind w:firstLine="425"/>
        <w:jc w:val="both"/>
        <w:rPr>
          <w:sz w:val="20"/>
          <w:szCs w:val="20"/>
        </w:rPr>
      </w:pPr>
      <w:r w:rsidRPr="00863FF4">
        <w:rPr>
          <w:sz w:val="20"/>
          <w:szCs w:val="20"/>
        </w:rPr>
        <w:t xml:space="preserve">The effects of POF on stem diameter indicated increasing level of application improved stem diameter. However, the increased in stem diameter with increase in level of POF application indicated that there was no limit to POF influence on stem diameter. Also, no difference was observed between POF and NPK fertilizer applications. </w:t>
      </w:r>
      <w:proofErr w:type="spellStart"/>
      <w:r w:rsidRPr="00863FF4">
        <w:rPr>
          <w:sz w:val="20"/>
          <w:szCs w:val="20"/>
        </w:rPr>
        <w:t>Ayoola</w:t>
      </w:r>
      <w:proofErr w:type="spellEnd"/>
      <w:r w:rsidRPr="00863FF4">
        <w:rPr>
          <w:sz w:val="20"/>
          <w:szCs w:val="20"/>
        </w:rPr>
        <w:t xml:space="preserve"> and </w:t>
      </w:r>
      <w:proofErr w:type="spellStart"/>
      <w:r w:rsidRPr="00863FF4">
        <w:rPr>
          <w:sz w:val="20"/>
          <w:szCs w:val="20"/>
        </w:rPr>
        <w:t>Makinde</w:t>
      </w:r>
      <w:proofErr w:type="spellEnd"/>
      <w:r w:rsidRPr="00863FF4">
        <w:rPr>
          <w:sz w:val="20"/>
          <w:szCs w:val="20"/>
        </w:rPr>
        <w:t xml:space="preserve"> (2007) also reported that the effect of </w:t>
      </w:r>
      <w:proofErr w:type="spellStart"/>
      <w:r w:rsidRPr="00863FF4">
        <w:rPr>
          <w:sz w:val="20"/>
          <w:szCs w:val="20"/>
        </w:rPr>
        <w:t>organomineral</w:t>
      </w:r>
      <w:proofErr w:type="spellEnd"/>
      <w:r w:rsidRPr="00863FF4">
        <w:rPr>
          <w:sz w:val="20"/>
          <w:szCs w:val="20"/>
        </w:rPr>
        <w:t xml:space="preserve"> fertilizer on stem girth was similar to that obtained from inorganic fertilizer with no significant difference observed.</w:t>
      </w:r>
    </w:p>
    <w:p w:rsidR="00771716" w:rsidRPr="00863FF4" w:rsidRDefault="004D4963" w:rsidP="00771716">
      <w:pPr>
        <w:suppressAutoHyphens w:val="0"/>
        <w:autoSpaceDE w:val="0"/>
        <w:autoSpaceDN w:val="0"/>
        <w:adjustRightInd w:val="0"/>
        <w:snapToGrid w:val="0"/>
        <w:ind w:firstLine="425"/>
        <w:jc w:val="both"/>
        <w:rPr>
          <w:sz w:val="20"/>
          <w:szCs w:val="20"/>
        </w:rPr>
      </w:pPr>
      <w:r w:rsidRPr="00863FF4">
        <w:rPr>
          <w:sz w:val="20"/>
          <w:szCs w:val="20"/>
        </w:rPr>
        <w:t>Fertilizer applications at 50 and 100 kg N/ha POF enhanced the number of leaves obtained compared to that of 0, 150 kg N/ha POF and NPK. These responses observed on number of leaf indicated that 100 kg N/ha was most adequate for optimum cassava leaf production. It was most likely that this is one of the factors that contributed to the final yield observed. The positive effect of fertilizer demonstrated on number of leaf in this experiment is in agreement with previous studies (</w:t>
      </w:r>
      <w:proofErr w:type="spellStart"/>
      <w:r w:rsidRPr="00863FF4">
        <w:rPr>
          <w:sz w:val="20"/>
          <w:szCs w:val="20"/>
        </w:rPr>
        <w:t>Howeler</w:t>
      </w:r>
      <w:proofErr w:type="spellEnd"/>
      <w:r w:rsidRPr="00863FF4">
        <w:rPr>
          <w:sz w:val="20"/>
          <w:szCs w:val="20"/>
        </w:rPr>
        <w:t xml:space="preserve">, 2001a; </w:t>
      </w:r>
      <w:proofErr w:type="spellStart"/>
      <w:r w:rsidRPr="00863FF4">
        <w:rPr>
          <w:sz w:val="20"/>
          <w:szCs w:val="20"/>
        </w:rPr>
        <w:t>Edet</w:t>
      </w:r>
      <w:proofErr w:type="spellEnd"/>
      <w:r w:rsidRPr="00863FF4">
        <w:rPr>
          <w:sz w:val="20"/>
          <w:szCs w:val="20"/>
        </w:rPr>
        <w:t xml:space="preserve"> et al., 2013a).</w:t>
      </w:r>
    </w:p>
    <w:p w:rsidR="00771716" w:rsidRPr="00863FF4" w:rsidRDefault="004D4963" w:rsidP="00771716">
      <w:pPr>
        <w:suppressAutoHyphens w:val="0"/>
        <w:autoSpaceDE w:val="0"/>
        <w:autoSpaceDN w:val="0"/>
        <w:adjustRightInd w:val="0"/>
        <w:snapToGrid w:val="0"/>
        <w:ind w:firstLine="425"/>
        <w:jc w:val="both"/>
        <w:rPr>
          <w:sz w:val="20"/>
          <w:szCs w:val="20"/>
        </w:rPr>
      </w:pPr>
      <w:r w:rsidRPr="00863FF4">
        <w:rPr>
          <w:sz w:val="20"/>
          <w:szCs w:val="20"/>
        </w:rPr>
        <w:t>In cassava, the main</w:t>
      </w:r>
      <w:r w:rsidRPr="00863FF4">
        <w:rPr>
          <w:b/>
          <w:bCs/>
          <w:i/>
          <w:iCs/>
          <w:sz w:val="20"/>
          <w:szCs w:val="20"/>
        </w:rPr>
        <w:t xml:space="preserve"> </w:t>
      </w:r>
      <w:r w:rsidRPr="00863FF4">
        <w:rPr>
          <w:sz w:val="20"/>
          <w:szCs w:val="20"/>
        </w:rPr>
        <w:t>yield components that contribute to storage root yield improvement are determined by storage root number, storage root size and storage root diameter (</w:t>
      </w:r>
      <w:proofErr w:type="spellStart"/>
      <w:r w:rsidRPr="00863FF4">
        <w:rPr>
          <w:sz w:val="20"/>
          <w:szCs w:val="20"/>
        </w:rPr>
        <w:t>Ntawuruhunga</w:t>
      </w:r>
      <w:proofErr w:type="spellEnd"/>
      <w:r w:rsidRPr="00863FF4">
        <w:rPr>
          <w:sz w:val="20"/>
          <w:szCs w:val="20"/>
        </w:rPr>
        <w:t xml:space="preserve"> and Dixon, 2010). Also, </w:t>
      </w:r>
      <w:r w:rsidRPr="00863FF4">
        <w:rPr>
          <w:rFonts w:eastAsia="Times New Roman"/>
          <w:sz w:val="20"/>
          <w:szCs w:val="20"/>
        </w:rPr>
        <w:t>character association indicates that petiole length, number of leaves per plant, total leaf area, stem diameter, tuber diameter, plant dry matter content were positively and significantly associated with cassava storage root yield</w:t>
      </w:r>
      <w:r w:rsidRPr="00863FF4">
        <w:rPr>
          <w:bCs/>
          <w:sz w:val="20"/>
          <w:szCs w:val="20"/>
        </w:rPr>
        <w:t xml:space="preserve"> (</w:t>
      </w:r>
      <w:proofErr w:type="spellStart"/>
      <w:r w:rsidRPr="00863FF4">
        <w:rPr>
          <w:bCs/>
          <w:sz w:val="20"/>
          <w:szCs w:val="20"/>
        </w:rPr>
        <w:t>Ayoola</w:t>
      </w:r>
      <w:proofErr w:type="spellEnd"/>
      <w:r w:rsidRPr="00863FF4">
        <w:rPr>
          <w:bCs/>
          <w:sz w:val="20"/>
          <w:szCs w:val="20"/>
        </w:rPr>
        <w:t xml:space="preserve"> and </w:t>
      </w:r>
      <w:proofErr w:type="spellStart"/>
      <w:r w:rsidRPr="00863FF4">
        <w:rPr>
          <w:bCs/>
          <w:sz w:val="20"/>
          <w:szCs w:val="20"/>
        </w:rPr>
        <w:t>Adeniyan</w:t>
      </w:r>
      <w:proofErr w:type="spellEnd"/>
      <w:r w:rsidRPr="00863FF4">
        <w:rPr>
          <w:bCs/>
          <w:sz w:val="20"/>
          <w:szCs w:val="20"/>
        </w:rPr>
        <w:t xml:space="preserve">, </w:t>
      </w:r>
      <w:r w:rsidRPr="00863FF4">
        <w:rPr>
          <w:sz w:val="20"/>
          <w:szCs w:val="20"/>
        </w:rPr>
        <w:t xml:space="preserve">2006; </w:t>
      </w:r>
      <w:proofErr w:type="spellStart"/>
      <w:r w:rsidRPr="00863FF4">
        <w:rPr>
          <w:sz w:val="20"/>
          <w:szCs w:val="20"/>
        </w:rPr>
        <w:t>Rao</w:t>
      </w:r>
      <w:proofErr w:type="spellEnd"/>
      <w:r w:rsidRPr="00863FF4">
        <w:rPr>
          <w:sz w:val="20"/>
          <w:szCs w:val="20"/>
        </w:rPr>
        <w:t xml:space="preserve"> et al., 2015). Similarly, </w:t>
      </w:r>
      <w:proofErr w:type="spellStart"/>
      <w:r w:rsidRPr="00863FF4">
        <w:rPr>
          <w:sz w:val="20"/>
          <w:szCs w:val="20"/>
        </w:rPr>
        <w:t>Howeler</w:t>
      </w:r>
      <w:proofErr w:type="spellEnd"/>
      <w:r w:rsidRPr="00863FF4">
        <w:rPr>
          <w:sz w:val="20"/>
          <w:szCs w:val="20"/>
        </w:rPr>
        <w:t xml:space="preserve"> </w:t>
      </w:r>
      <w:r w:rsidRPr="00863FF4">
        <w:rPr>
          <w:iCs/>
          <w:sz w:val="20"/>
          <w:szCs w:val="20"/>
        </w:rPr>
        <w:t>et al</w:t>
      </w:r>
      <w:r w:rsidRPr="00863FF4">
        <w:rPr>
          <w:i/>
          <w:iCs/>
          <w:sz w:val="20"/>
          <w:szCs w:val="20"/>
        </w:rPr>
        <w:t>.</w:t>
      </w:r>
      <w:r w:rsidRPr="00863FF4">
        <w:rPr>
          <w:sz w:val="20"/>
          <w:szCs w:val="20"/>
        </w:rPr>
        <w:t xml:space="preserve"> (1982) reported that higher tuber girth resulted from lesser number of roots for storing the synthesized assimilates. These could be attributed to the competition for nutrients and other growth resources between shoots in plants with more shoots or storage roots. This was supported by El-</w:t>
      </w:r>
      <w:proofErr w:type="spellStart"/>
      <w:r w:rsidRPr="00863FF4">
        <w:rPr>
          <w:sz w:val="20"/>
          <w:szCs w:val="20"/>
        </w:rPr>
        <w:t>Sharkawy</w:t>
      </w:r>
      <w:proofErr w:type="spellEnd"/>
      <w:r w:rsidRPr="00863FF4">
        <w:rPr>
          <w:sz w:val="20"/>
          <w:szCs w:val="20"/>
        </w:rPr>
        <w:t xml:space="preserve"> </w:t>
      </w:r>
      <w:r w:rsidRPr="00863FF4">
        <w:rPr>
          <w:sz w:val="20"/>
          <w:szCs w:val="20"/>
        </w:rPr>
        <w:lastRenderedPageBreak/>
        <w:t xml:space="preserve">(2007) and </w:t>
      </w:r>
      <w:proofErr w:type="spellStart"/>
      <w:r w:rsidRPr="00863FF4">
        <w:rPr>
          <w:sz w:val="20"/>
          <w:szCs w:val="20"/>
        </w:rPr>
        <w:t>Ikeh</w:t>
      </w:r>
      <w:proofErr w:type="spellEnd"/>
      <w:r w:rsidRPr="00863FF4">
        <w:rPr>
          <w:sz w:val="20"/>
          <w:szCs w:val="20"/>
        </w:rPr>
        <w:t xml:space="preserve"> et al. (2012) reports that competition for assimilates results in reduction in growth rate and yield of multi-shoot plants. </w:t>
      </w:r>
      <w:proofErr w:type="spellStart"/>
      <w:r w:rsidRPr="00863FF4">
        <w:rPr>
          <w:sz w:val="20"/>
          <w:szCs w:val="20"/>
        </w:rPr>
        <w:t>Asare</w:t>
      </w:r>
      <w:proofErr w:type="spellEnd"/>
      <w:r w:rsidRPr="00863FF4">
        <w:rPr>
          <w:sz w:val="20"/>
          <w:szCs w:val="20"/>
        </w:rPr>
        <w:t xml:space="preserve"> et al. (2009) also observed that the storage root size was inversely related to the number of tuber. These were confirmed in the study as the Pearson correlation showed </w:t>
      </w:r>
      <w:r w:rsidRPr="00863FF4">
        <w:rPr>
          <w:rFonts w:eastAsia="Times New Roman"/>
          <w:sz w:val="20"/>
          <w:szCs w:val="20"/>
        </w:rPr>
        <w:t xml:space="preserve">positive and significant association in storage root yield with </w:t>
      </w:r>
      <w:r w:rsidRPr="00863FF4">
        <w:rPr>
          <w:sz w:val="20"/>
          <w:szCs w:val="20"/>
        </w:rPr>
        <w:t>fresh shoot biomass, dry shoot weight, number of tubers, tuber size and N concentrations in cassava leaf. Application of the POF at 100 kg N/ha seems to have provided adequate nutrient for the cassava, by</w:t>
      </w:r>
      <w:r w:rsidR="00CC05CB" w:rsidRPr="00863FF4">
        <w:rPr>
          <w:sz w:val="20"/>
          <w:szCs w:val="20"/>
        </w:rPr>
        <w:t xml:space="preserve"> </w:t>
      </w:r>
      <w:r w:rsidRPr="00863FF4">
        <w:rPr>
          <w:sz w:val="20"/>
          <w:szCs w:val="20"/>
        </w:rPr>
        <w:t>showing</w:t>
      </w:r>
      <w:r w:rsidR="00CC05CB" w:rsidRPr="00863FF4">
        <w:rPr>
          <w:sz w:val="20"/>
          <w:szCs w:val="20"/>
        </w:rPr>
        <w:t xml:space="preserve"> </w:t>
      </w:r>
      <w:r w:rsidRPr="00863FF4">
        <w:rPr>
          <w:sz w:val="20"/>
          <w:szCs w:val="20"/>
        </w:rPr>
        <w:t>slightly</w:t>
      </w:r>
      <w:r w:rsidR="00CC05CB" w:rsidRPr="00863FF4">
        <w:rPr>
          <w:sz w:val="20"/>
          <w:szCs w:val="20"/>
        </w:rPr>
        <w:t xml:space="preserve"> </w:t>
      </w:r>
      <w:r w:rsidRPr="00863FF4">
        <w:rPr>
          <w:sz w:val="20"/>
          <w:szCs w:val="20"/>
        </w:rPr>
        <w:t>higher</w:t>
      </w:r>
      <w:r w:rsidR="00CC05CB" w:rsidRPr="00863FF4">
        <w:rPr>
          <w:sz w:val="20"/>
          <w:szCs w:val="20"/>
        </w:rPr>
        <w:t xml:space="preserve"> </w:t>
      </w:r>
      <w:r w:rsidRPr="00863FF4">
        <w:rPr>
          <w:sz w:val="20"/>
          <w:szCs w:val="20"/>
        </w:rPr>
        <w:t>growth</w:t>
      </w:r>
      <w:r w:rsidR="00CC05CB" w:rsidRPr="00863FF4">
        <w:rPr>
          <w:sz w:val="20"/>
          <w:szCs w:val="20"/>
        </w:rPr>
        <w:t xml:space="preserve"> </w:t>
      </w:r>
      <w:r w:rsidRPr="00863FF4">
        <w:rPr>
          <w:sz w:val="20"/>
          <w:szCs w:val="20"/>
        </w:rPr>
        <w:t>values which resulted to higher storage root yield than that of 50 kg N/ha. The relationship between plants top and storage root weight is always of interest to cassava producers when relating response to fertilizers. A low top</w:t>
      </w:r>
      <w:r w:rsidR="00771716" w:rsidRPr="00863FF4">
        <w:rPr>
          <w:sz w:val="20"/>
          <w:szCs w:val="20"/>
        </w:rPr>
        <w:t>: s</w:t>
      </w:r>
      <w:r w:rsidRPr="00863FF4">
        <w:rPr>
          <w:sz w:val="20"/>
          <w:szCs w:val="20"/>
        </w:rPr>
        <w:t>torage root weight ratio is desired for production of tubers; a high ratio would indicate poor tuber production despite an abundant growth of leaves and stems (Izumi et al., 1999). The production of tubers was inversely related to the top</w:t>
      </w:r>
      <w:r w:rsidR="00771716" w:rsidRPr="00863FF4">
        <w:rPr>
          <w:sz w:val="20"/>
          <w:szCs w:val="20"/>
        </w:rPr>
        <w:t>: s</w:t>
      </w:r>
      <w:r w:rsidRPr="00863FF4">
        <w:rPr>
          <w:sz w:val="20"/>
          <w:szCs w:val="20"/>
        </w:rPr>
        <w:t>torage root weight ratio. The 150 kg N/ha POF gave the highest top</w:t>
      </w:r>
      <w:r w:rsidR="00771716" w:rsidRPr="00863FF4">
        <w:rPr>
          <w:sz w:val="20"/>
          <w:szCs w:val="20"/>
        </w:rPr>
        <w:t>: s</w:t>
      </w:r>
      <w:r w:rsidRPr="00863FF4">
        <w:rPr>
          <w:sz w:val="20"/>
          <w:szCs w:val="20"/>
        </w:rPr>
        <w:t xml:space="preserve">torage root weight ratio. This implied that the rate of application </w:t>
      </w:r>
      <w:proofErr w:type="spellStart"/>
      <w:r w:rsidRPr="00863FF4">
        <w:rPr>
          <w:sz w:val="20"/>
          <w:szCs w:val="20"/>
        </w:rPr>
        <w:t>favoured</w:t>
      </w:r>
      <w:proofErr w:type="spellEnd"/>
      <w:r w:rsidRPr="00863FF4">
        <w:rPr>
          <w:sz w:val="20"/>
          <w:szCs w:val="20"/>
        </w:rPr>
        <w:t xml:space="preserve"> above ground production at the expense of storage root as a result of excess N in the fertilizer. This findings support Izumi et al. (1999) and </w:t>
      </w:r>
      <w:proofErr w:type="spellStart"/>
      <w:r w:rsidRPr="00863FF4">
        <w:rPr>
          <w:sz w:val="20"/>
          <w:szCs w:val="20"/>
        </w:rPr>
        <w:t>Howeler</w:t>
      </w:r>
      <w:proofErr w:type="spellEnd"/>
      <w:r w:rsidRPr="00863FF4">
        <w:rPr>
          <w:sz w:val="20"/>
          <w:szCs w:val="20"/>
        </w:rPr>
        <w:t xml:space="preserve"> (1998) reports. The 100 and 50 kg N/ha POF gave lower top</w:t>
      </w:r>
      <w:r w:rsidR="00771716" w:rsidRPr="00863FF4">
        <w:rPr>
          <w:sz w:val="20"/>
          <w:szCs w:val="20"/>
        </w:rPr>
        <w:t>: s</w:t>
      </w:r>
      <w:r w:rsidRPr="00863FF4">
        <w:rPr>
          <w:sz w:val="20"/>
          <w:szCs w:val="20"/>
        </w:rPr>
        <w:t xml:space="preserve">torage root weight ratio. Thus, these levels of POF applications </w:t>
      </w:r>
      <w:proofErr w:type="spellStart"/>
      <w:r w:rsidRPr="00863FF4">
        <w:rPr>
          <w:sz w:val="20"/>
          <w:szCs w:val="20"/>
        </w:rPr>
        <w:t>favoured</w:t>
      </w:r>
      <w:proofErr w:type="spellEnd"/>
      <w:r w:rsidRPr="00863FF4">
        <w:rPr>
          <w:sz w:val="20"/>
          <w:szCs w:val="20"/>
        </w:rPr>
        <w:t xml:space="preserve"> the production of cassava storage root over the above ground biomass. Similarly, </w:t>
      </w:r>
      <w:proofErr w:type="spellStart"/>
      <w:r w:rsidRPr="00863FF4">
        <w:rPr>
          <w:sz w:val="20"/>
          <w:szCs w:val="20"/>
        </w:rPr>
        <w:t>Howeler</w:t>
      </w:r>
      <w:proofErr w:type="spellEnd"/>
      <w:r w:rsidRPr="00863FF4">
        <w:rPr>
          <w:sz w:val="20"/>
          <w:szCs w:val="20"/>
        </w:rPr>
        <w:t xml:space="preserve"> (1998) reported that cassava storage root production was highest at 100 kg N/ha.</w:t>
      </w:r>
    </w:p>
    <w:p w:rsidR="004D4963" w:rsidRPr="00863FF4" w:rsidRDefault="004D4963" w:rsidP="00771716">
      <w:pPr>
        <w:suppressAutoHyphens w:val="0"/>
        <w:autoSpaceDE w:val="0"/>
        <w:autoSpaceDN w:val="0"/>
        <w:adjustRightInd w:val="0"/>
        <w:snapToGrid w:val="0"/>
        <w:ind w:firstLine="425"/>
        <w:jc w:val="both"/>
        <w:rPr>
          <w:sz w:val="20"/>
          <w:szCs w:val="20"/>
        </w:rPr>
      </w:pPr>
      <w:r w:rsidRPr="00863FF4">
        <w:rPr>
          <w:sz w:val="20"/>
          <w:szCs w:val="20"/>
        </w:rPr>
        <w:t>Cassava roots are generally low in the amounts of nutrients removed from the soil compared to those removed by other crops (</w:t>
      </w:r>
      <w:proofErr w:type="spellStart"/>
      <w:r w:rsidRPr="00863FF4">
        <w:rPr>
          <w:sz w:val="20"/>
          <w:szCs w:val="20"/>
        </w:rPr>
        <w:t>Howeler</w:t>
      </w:r>
      <w:proofErr w:type="spellEnd"/>
      <w:r w:rsidRPr="00863FF4">
        <w:rPr>
          <w:sz w:val="20"/>
          <w:szCs w:val="20"/>
        </w:rPr>
        <w:t>, 2001a).</w:t>
      </w:r>
      <w:r w:rsidR="00CC05CB" w:rsidRPr="00863FF4">
        <w:rPr>
          <w:sz w:val="20"/>
          <w:szCs w:val="20"/>
        </w:rPr>
        <w:t xml:space="preserve"> </w:t>
      </w:r>
      <w:r w:rsidRPr="00863FF4">
        <w:rPr>
          <w:sz w:val="20"/>
          <w:szCs w:val="20"/>
        </w:rPr>
        <w:t>However, nutrient removal can be relatively high when yields are high or when stems and leaves are also removed (</w:t>
      </w:r>
      <w:proofErr w:type="spellStart"/>
      <w:r w:rsidRPr="00863FF4">
        <w:rPr>
          <w:sz w:val="20"/>
          <w:szCs w:val="20"/>
        </w:rPr>
        <w:t>Howeler</w:t>
      </w:r>
      <w:proofErr w:type="spellEnd"/>
      <w:r w:rsidRPr="00863FF4">
        <w:rPr>
          <w:sz w:val="20"/>
          <w:szCs w:val="20"/>
        </w:rPr>
        <w:t xml:space="preserve">, 2001a). Hence, continuous planting of cassava without subsequent addition of nutrients will further decrease soil fertility with time. The residual effect of fertilizer application is therefore of great importance in ensuring good yield from </w:t>
      </w:r>
      <w:r w:rsidRPr="00863FF4">
        <w:rPr>
          <w:rFonts w:eastAsiaTheme="minorHAnsi"/>
          <w:sz w:val="20"/>
          <w:szCs w:val="20"/>
        </w:rPr>
        <w:t xml:space="preserve">successive </w:t>
      </w:r>
      <w:proofErr w:type="spellStart"/>
      <w:r w:rsidRPr="00863FF4">
        <w:rPr>
          <w:rFonts w:eastAsiaTheme="minorHAnsi"/>
          <w:sz w:val="20"/>
          <w:szCs w:val="20"/>
        </w:rPr>
        <w:t>crop</w:t>
      </w:r>
      <w:r w:rsidRPr="00863FF4">
        <w:rPr>
          <w:sz w:val="20"/>
          <w:szCs w:val="20"/>
        </w:rPr>
        <w:t>pings</w:t>
      </w:r>
      <w:proofErr w:type="spellEnd"/>
      <w:r w:rsidRPr="00863FF4">
        <w:rPr>
          <w:sz w:val="20"/>
          <w:szCs w:val="20"/>
        </w:rPr>
        <w:t xml:space="preserve">. The residual effect of inorganic fertilizer application, although applied at the rate of 60 kg/ha N (400 kg/ha NPK 15-15-15) gave lower cassava storage root yield, suggesting importance of POF over the inorganic fertilizer. Similar result was observed by </w:t>
      </w:r>
      <w:proofErr w:type="spellStart"/>
      <w:r w:rsidRPr="00863FF4">
        <w:rPr>
          <w:sz w:val="20"/>
          <w:szCs w:val="20"/>
        </w:rPr>
        <w:t>Edet</w:t>
      </w:r>
      <w:proofErr w:type="spellEnd"/>
      <w:r w:rsidRPr="00863FF4">
        <w:rPr>
          <w:sz w:val="20"/>
          <w:szCs w:val="20"/>
        </w:rPr>
        <w:t xml:space="preserve"> </w:t>
      </w:r>
      <w:r w:rsidRPr="00863FF4">
        <w:rPr>
          <w:iCs/>
          <w:sz w:val="20"/>
          <w:szCs w:val="20"/>
        </w:rPr>
        <w:t>et al</w:t>
      </w:r>
      <w:r w:rsidRPr="00863FF4">
        <w:rPr>
          <w:sz w:val="20"/>
          <w:szCs w:val="20"/>
        </w:rPr>
        <w:t xml:space="preserve">. (2013b), that residual effect of </w:t>
      </w:r>
      <w:proofErr w:type="spellStart"/>
      <w:r w:rsidRPr="00863FF4">
        <w:rPr>
          <w:sz w:val="20"/>
          <w:szCs w:val="20"/>
        </w:rPr>
        <w:t>organomineral</w:t>
      </w:r>
      <w:proofErr w:type="spellEnd"/>
      <w:r w:rsidRPr="00863FF4">
        <w:rPr>
          <w:sz w:val="20"/>
          <w:szCs w:val="20"/>
        </w:rPr>
        <w:t xml:space="preserve"> fertilizer consistently increased growth of cassava compared to inorganic fertilizer. Pacesetter </w:t>
      </w:r>
      <w:proofErr w:type="spellStart"/>
      <w:r w:rsidRPr="00863FF4">
        <w:rPr>
          <w:sz w:val="20"/>
          <w:szCs w:val="20"/>
        </w:rPr>
        <w:t>organomineral</w:t>
      </w:r>
      <w:proofErr w:type="spellEnd"/>
      <w:r w:rsidRPr="00863FF4">
        <w:rPr>
          <w:sz w:val="20"/>
          <w:szCs w:val="20"/>
        </w:rPr>
        <w:t xml:space="preserve"> fertilizer has many benefits over inorganic fertilizer. Nutrients contained in organic manures are released more slowly and are stored for a longer time in the soil, thereby ensuring a long residual effect (</w:t>
      </w:r>
      <w:proofErr w:type="spellStart"/>
      <w:r w:rsidRPr="00863FF4">
        <w:rPr>
          <w:sz w:val="20"/>
          <w:szCs w:val="20"/>
        </w:rPr>
        <w:t>Adeoye</w:t>
      </w:r>
      <w:proofErr w:type="spellEnd"/>
      <w:r w:rsidRPr="00863FF4">
        <w:rPr>
          <w:sz w:val="20"/>
          <w:szCs w:val="20"/>
        </w:rPr>
        <w:t xml:space="preserve"> et al., 2008; </w:t>
      </w:r>
      <w:proofErr w:type="spellStart"/>
      <w:r w:rsidRPr="00863FF4">
        <w:rPr>
          <w:sz w:val="20"/>
          <w:szCs w:val="20"/>
        </w:rPr>
        <w:t>Edet</w:t>
      </w:r>
      <w:proofErr w:type="spellEnd"/>
      <w:r w:rsidRPr="00863FF4">
        <w:rPr>
          <w:sz w:val="20"/>
          <w:szCs w:val="20"/>
        </w:rPr>
        <w:t xml:space="preserve"> </w:t>
      </w:r>
      <w:r w:rsidRPr="00863FF4">
        <w:rPr>
          <w:iCs/>
          <w:sz w:val="20"/>
          <w:szCs w:val="20"/>
        </w:rPr>
        <w:t>et al</w:t>
      </w:r>
      <w:r w:rsidRPr="00863FF4">
        <w:rPr>
          <w:sz w:val="20"/>
          <w:szCs w:val="20"/>
        </w:rPr>
        <w:t xml:space="preserve">., </w:t>
      </w:r>
      <w:r w:rsidRPr="00863FF4">
        <w:rPr>
          <w:sz w:val="20"/>
          <w:szCs w:val="20"/>
        </w:rPr>
        <w:lastRenderedPageBreak/>
        <w:t>2013b). These explained the reason for the order of maize biomass observed in the residual cropping.</w:t>
      </w:r>
    </w:p>
    <w:p w:rsidR="004D4963" w:rsidRPr="00863FF4" w:rsidRDefault="004D4963" w:rsidP="00771716">
      <w:pPr>
        <w:suppressAutoHyphens w:val="0"/>
        <w:snapToGrid w:val="0"/>
        <w:ind w:firstLine="425"/>
        <w:jc w:val="both"/>
        <w:rPr>
          <w:sz w:val="20"/>
          <w:szCs w:val="20"/>
        </w:rPr>
      </w:pPr>
      <w:r w:rsidRPr="00863FF4">
        <w:rPr>
          <w:sz w:val="20"/>
          <w:szCs w:val="20"/>
        </w:rPr>
        <w:t xml:space="preserve">Conclusion: These results indicate that </w:t>
      </w:r>
      <w:proofErr w:type="spellStart"/>
      <w:r w:rsidRPr="00863FF4">
        <w:rPr>
          <w:sz w:val="20"/>
          <w:szCs w:val="20"/>
        </w:rPr>
        <w:t>organomineral</w:t>
      </w:r>
      <w:proofErr w:type="spellEnd"/>
      <w:r w:rsidRPr="00863FF4">
        <w:rPr>
          <w:sz w:val="20"/>
          <w:szCs w:val="20"/>
        </w:rPr>
        <w:t xml:space="preserve"> fertilizer has positive benefit on cassava growth and yield parameters. This benefit increases with increase in </w:t>
      </w:r>
      <w:proofErr w:type="spellStart"/>
      <w:r w:rsidRPr="00863FF4">
        <w:rPr>
          <w:sz w:val="20"/>
          <w:szCs w:val="20"/>
        </w:rPr>
        <w:t>organomineral</w:t>
      </w:r>
      <w:proofErr w:type="spellEnd"/>
      <w:r w:rsidRPr="00863FF4">
        <w:rPr>
          <w:sz w:val="20"/>
          <w:szCs w:val="20"/>
        </w:rPr>
        <w:t xml:space="preserve"> fertilizer levels except at level above 100 kg N/ha. Therefore, 100 kg N/ha is recommended for optimum cassava storage tuber yield.</w:t>
      </w:r>
    </w:p>
    <w:p w:rsidR="004D4963" w:rsidRPr="00863FF4" w:rsidRDefault="004D4963" w:rsidP="00771716">
      <w:pPr>
        <w:suppressAutoHyphens w:val="0"/>
        <w:snapToGrid w:val="0"/>
        <w:jc w:val="both"/>
        <w:rPr>
          <w:sz w:val="20"/>
          <w:szCs w:val="20"/>
        </w:rPr>
      </w:pPr>
    </w:p>
    <w:p w:rsidR="004D4963" w:rsidRPr="00863FF4" w:rsidRDefault="004D4963" w:rsidP="00771716">
      <w:pPr>
        <w:suppressAutoHyphens w:val="0"/>
        <w:snapToGrid w:val="0"/>
        <w:jc w:val="both"/>
        <w:rPr>
          <w:b/>
          <w:sz w:val="20"/>
          <w:szCs w:val="20"/>
        </w:rPr>
      </w:pPr>
      <w:r w:rsidRPr="00863FF4">
        <w:rPr>
          <w:b/>
          <w:sz w:val="20"/>
          <w:szCs w:val="20"/>
        </w:rPr>
        <w:t>Corresponding Author:</w:t>
      </w:r>
    </w:p>
    <w:p w:rsidR="004D4963" w:rsidRPr="00863FF4" w:rsidRDefault="004D4963" w:rsidP="00771716">
      <w:pPr>
        <w:suppressAutoHyphens w:val="0"/>
        <w:snapToGrid w:val="0"/>
        <w:jc w:val="both"/>
        <w:rPr>
          <w:sz w:val="20"/>
          <w:szCs w:val="20"/>
        </w:rPr>
      </w:pPr>
      <w:r w:rsidRPr="00863FF4">
        <w:rPr>
          <w:sz w:val="20"/>
          <w:szCs w:val="20"/>
        </w:rPr>
        <w:t xml:space="preserve">Dr. </w:t>
      </w:r>
      <w:proofErr w:type="spellStart"/>
      <w:r w:rsidRPr="00863FF4">
        <w:rPr>
          <w:sz w:val="20"/>
          <w:szCs w:val="20"/>
        </w:rPr>
        <w:t>Tajudeen</w:t>
      </w:r>
      <w:proofErr w:type="spellEnd"/>
      <w:r w:rsidRPr="00863FF4">
        <w:rPr>
          <w:sz w:val="20"/>
          <w:szCs w:val="20"/>
        </w:rPr>
        <w:t xml:space="preserve"> </w:t>
      </w:r>
      <w:proofErr w:type="spellStart"/>
      <w:r w:rsidRPr="00863FF4">
        <w:rPr>
          <w:sz w:val="20"/>
          <w:szCs w:val="20"/>
        </w:rPr>
        <w:t>Bamidele</w:t>
      </w:r>
      <w:proofErr w:type="spellEnd"/>
      <w:r w:rsidRPr="00863FF4">
        <w:rPr>
          <w:sz w:val="20"/>
          <w:szCs w:val="20"/>
        </w:rPr>
        <w:t xml:space="preserve"> </w:t>
      </w:r>
      <w:proofErr w:type="spellStart"/>
      <w:r w:rsidRPr="00863FF4">
        <w:rPr>
          <w:sz w:val="20"/>
          <w:szCs w:val="20"/>
        </w:rPr>
        <w:t>Akinrinola</w:t>
      </w:r>
      <w:proofErr w:type="spellEnd"/>
    </w:p>
    <w:p w:rsidR="004D4963" w:rsidRPr="00863FF4" w:rsidRDefault="004D4963" w:rsidP="00771716">
      <w:pPr>
        <w:suppressAutoHyphens w:val="0"/>
        <w:snapToGrid w:val="0"/>
        <w:jc w:val="both"/>
        <w:rPr>
          <w:sz w:val="20"/>
          <w:szCs w:val="20"/>
        </w:rPr>
      </w:pPr>
      <w:r w:rsidRPr="00863FF4">
        <w:rPr>
          <w:sz w:val="20"/>
          <w:szCs w:val="20"/>
        </w:rPr>
        <w:t xml:space="preserve">Department of Agronomy </w:t>
      </w:r>
    </w:p>
    <w:p w:rsidR="004D4963" w:rsidRPr="00863FF4" w:rsidRDefault="004D4963" w:rsidP="00771716">
      <w:pPr>
        <w:suppressAutoHyphens w:val="0"/>
        <w:snapToGrid w:val="0"/>
        <w:jc w:val="both"/>
        <w:rPr>
          <w:sz w:val="20"/>
          <w:szCs w:val="20"/>
        </w:rPr>
      </w:pPr>
      <w:r w:rsidRPr="00863FF4">
        <w:rPr>
          <w:sz w:val="20"/>
          <w:szCs w:val="20"/>
        </w:rPr>
        <w:t>Faculty of Agriculture,</w:t>
      </w:r>
    </w:p>
    <w:p w:rsidR="004D4963" w:rsidRPr="00863FF4" w:rsidRDefault="004D4963" w:rsidP="00771716">
      <w:pPr>
        <w:suppressAutoHyphens w:val="0"/>
        <w:snapToGrid w:val="0"/>
        <w:jc w:val="both"/>
        <w:rPr>
          <w:sz w:val="20"/>
          <w:szCs w:val="20"/>
        </w:rPr>
      </w:pPr>
      <w:r w:rsidRPr="00863FF4">
        <w:rPr>
          <w:sz w:val="20"/>
          <w:szCs w:val="20"/>
        </w:rPr>
        <w:t>University of Ibadan, Ibadan,</w:t>
      </w:r>
    </w:p>
    <w:p w:rsidR="004D4963" w:rsidRPr="00863FF4" w:rsidRDefault="004D4963" w:rsidP="00771716">
      <w:pPr>
        <w:suppressAutoHyphens w:val="0"/>
        <w:snapToGrid w:val="0"/>
        <w:jc w:val="both"/>
        <w:rPr>
          <w:sz w:val="20"/>
          <w:szCs w:val="20"/>
          <w:lang w:eastAsia="zh-CN"/>
        </w:rPr>
      </w:pPr>
      <w:r w:rsidRPr="00863FF4">
        <w:rPr>
          <w:sz w:val="20"/>
          <w:szCs w:val="20"/>
        </w:rPr>
        <w:t>Nigeria.</w:t>
      </w:r>
    </w:p>
    <w:p w:rsidR="004D4963" w:rsidRPr="00863FF4" w:rsidRDefault="004D4963" w:rsidP="00771716">
      <w:pPr>
        <w:suppressAutoHyphens w:val="0"/>
        <w:snapToGrid w:val="0"/>
        <w:jc w:val="both"/>
        <w:rPr>
          <w:sz w:val="20"/>
          <w:szCs w:val="20"/>
          <w:lang w:eastAsia="zh-CN"/>
        </w:rPr>
      </w:pPr>
      <w:r w:rsidRPr="00863FF4">
        <w:rPr>
          <w:sz w:val="20"/>
          <w:szCs w:val="20"/>
          <w:lang w:eastAsia="zh-CN"/>
        </w:rPr>
        <w:t>Telephone: +2348030757338</w:t>
      </w:r>
    </w:p>
    <w:p w:rsidR="004D4963" w:rsidRPr="00863FF4" w:rsidRDefault="004D4963" w:rsidP="00771716">
      <w:pPr>
        <w:suppressAutoHyphens w:val="0"/>
        <w:snapToGrid w:val="0"/>
        <w:jc w:val="both"/>
        <w:rPr>
          <w:sz w:val="20"/>
          <w:szCs w:val="20"/>
        </w:rPr>
      </w:pPr>
      <w:r w:rsidRPr="00863FF4">
        <w:rPr>
          <w:sz w:val="20"/>
          <w:szCs w:val="20"/>
        </w:rPr>
        <w:t xml:space="preserve">E-mail: </w:t>
      </w:r>
      <w:hyperlink r:id="rId14" w:history="1">
        <w:r w:rsidRPr="00863FF4">
          <w:rPr>
            <w:rStyle w:val="Hyperlink"/>
            <w:sz w:val="20"/>
            <w:szCs w:val="20"/>
          </w:rPr>
          <w:t>tb.akinrinola@gmail.com</w:t>
        </w:r>
      </w:hyperlink>
    </w:p>
    <w:p w:rsidR="004D4963" w:rsidRPr="00863FF4" w:rsidRDefault="004D4963" w:rsidP="00771716">
      <w:pPr>
        <w:suppressAutoHyphens w:val="0"/>
        <w:snapToGrid w:val="0"/>
        <w:ind w:firstLine="425"/>
        <w:jc w:val="both"/>
        <w:rPr>
          <w:sz w:val="20"/>
          <w:szCs w:val="20"/>
        </w:rPr>
      </w:pPr>
    </w:p>
    <w:p w:rsidR="004D4963" w:rsidRPr="00863FF4" w:rsidRDefault="004D4963" w:rsidP="00771716">
      <w:pPr>
        <w:suppressAutoHyphens w:val="0"/>
        <w:autoSpaceDE w:val="0"/>
        <w:autoSpaceDN w:val="0"/>
        <w:adjustRightInd w:val="0"/>
        <w:snapToGrid w:val="0"/>
        <w:jc w:val="both"/>
        <w:rPr>
          <w:b/>
          <w:sz w:val="20"/>
          <w:szCs w:val="20"/>
        </w:rPr>
      </w:pPr>
      <w:r w:rsidRPr="00863FF4">
        <w:rPr>
          <w:b/>
          <w:sz w:val="20"/>
          <w:szCs w:val="20"/>
        </w:rPr>
        <w:t xml:space="preserve">References </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Adeoye</w:t>
      </w:r>
      <w:proofErr w:type="spellEnd"/>
      <w:r w:rsidRPr="00863FF4">
        <w:rPr>
          <w:sz w:val="20"/>
          <w:szCs w:val="20"/>
        </w:rPr>
        <w:t xml:space="preserve"> GO, </w:t>
      </w:r>
      <w:proofErr w:type="spellStart"/>
      <w:r w:rsidRPr="00863FF4">
        <w:rPr>
          <w:sz w:val="20"/>
          <w:szCs w:val="20"/>
        </w:rPr>
        <w:t>AdeOluwa</w:t>
      </w:r>
      <w:proofErr w:type="spellEnd"/>
      <w:r w:rsidRPr="00863FF4">
        <w:rPr>
          <w:sz w:val="20"/>
          <w:szCs w:val="20"/>
        </w:rPr>
        <w:t xml:space="preserve"> OO, </w:t>
      </w:r>
      <w:proofErr w:type="spellStart"/>
      <w:r w:rsidRPr="00863FF4">
        <w:rPr>
          <w:sz w:val="20"/>
          <w:szCs w:val="20"/>
        </w:rPr>
        <w:t>Oyekunle</w:t>
      </w:r>
      <w:proofErr w:type="spellEnd"/>
      <w:r w:rsidRPr="00863FF4">
        <w:rPr>
          <w:sz w:val="20"/>
          <w:szCs w:val="20"/>
        </w:rPr>
        <w:t xml:space="preserve"> M, </w:t>
      </w:r>
      <w:proofErr w:type="spellStart"/>
      <w:r w:rsidRPr="00863FF4">
        <w:rPr>
          <w:sz w:val="20"/>
          <w:szCs w:val="20"/>
        </w:rPr>
        <w:t>Shridhar</w:t>
      </w:r>
      <w:proofErr w:type="spellEnd"/>
      <w:r w:rsidRPr="00863FF4">
        <w:rPr>
          <w:sz w:val="20"/>
          <w:szCs w:val="20"/>
        </w:rPr>
        <w:t xml:space="preserve"> MKC, </w:t>
      </w:r>
      <w:proofErr w:type="spellStart"/>
      <w:r w:rsidRPr="00863FF4">
        <w:rPr>
          <w:sz w:val="20"/>
          <w:szCs w:val="20"/>
        </w:rPr>
        <w:t>Makinde</w:t>
      </w:r>
      <w:proofErr w:type="spellEnd"/>
      <w:r w:rsidRPr="00863FF4">
        <w:rPr>
          <w:sz w:val="20"/>
          <w:szCs w:val="20"/>
        </w:rPr>
        <w:t xml:space="preserve"> EA, </w:t>
      </w:r>
      <w:proofErr w:type="spellStart"/>
      <w:r w:rsidRPr="00863FF4">
        <w:rPr>
          <w:sz w:val="20"/>
          <w:szCs w:val="20"/>
        </w:rPr>
        <w:t>Olowoake</w:t>
      </w:r>
      <w:proofErr w:type="spellEnd"/>
      <w:r w:rsidRPr="00863FF4">
        <w:rPr>
          <w:sz w:val="20"/>
          <w:szCs w:val="20"/>
        </w:rPr>
        <w:t xml:space="preserve"> AA. Comparative evaluation of </w:t>
      </w:r>
      <w:proofErr w:type="spellStart"/>
      <w:r w:rsidRPr="00863FF4">
        <w:rPr>
          <w:sz w:val="20"/>
          <w:szCs w:val="20"/>
        </w:rPr>
        <w:t>Organomineral</w:t>
      </w:r>
      <w:proofErr w:type="spellEnd"/>
      <w:r w:rsidRPr="00863FF4">
        <w:rPr>
          <w:sz w:val="20"/>
          <w:szCs w:val="20"/>
        </w:rPr>
        <w:t xml:space="preserve"> fertilizer (OMF) and mineral fertilizer (NPK) on yield and quality of maize. Nigerian Journal of Soil Science 2008;18:132-137.</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Adeoye</w:t>
      </w:r>
      <w:proofErr w:type="spellEnd"/>
      <w:r w:rsidRPr="00863FF4">
        <w:rPr>
          <w:sz w:val="20"/>
          <w:szCs w:val="20"/>
        </w:rPr>
        <w:t xml:space="preserve"> GO, Sridhar MKC, </w:t>
      </w:r>
      <w:proofErr w:type="spellStart"/>
      <w:r w:rsidRPr="00863FF4">
        <w:rPr>
          <w:sz w:val="20"/>
          <w:szCs w:val="20"/>
        </w:rPr>
        <w:t>Adeoluwa</w:t>
      </w:r>
      <w:proofErr w:type="spellEnd"/>
      <w:r w:rsidRPr="00863FF4">
        <w:rPr>
          <w:sz w:val="20"/>
          <w:szCs w:val="20"/>
        </w:rPr>
        <w:t xml:space="preserve"> OO, </w:t>
      </w:r>
      <w:proofErr w:type="spellStart"/>
      <w:r w:rsidRPr="00863FF4">
        <w:rPr>
          <w:sz w:val="20"/>
          <w:szCs w:val="20"/>
        </w:rPr>
        <w:t>Akinsoji</w:t>
      </w:r>
      <w:proofErr w:type="spellEnd"/>
      <w:r w:rsidRPr="00863FF4">
        <w:rPr>
          <w:sz w:val="20"/>
          <w:szCs w:val="20"/>
        </w:rPr>
        <w:t xml:space="preserve"> NA. Evaluation of naturally decomposed solid wastes from municipal dumpsites for their manorial value in southwest Nigeria. Journal of Sustainable Agriculture 2005;</w:t>
      </w:r>
      <w:r w:rsidRPr="00863FF4">
        <w:rPr>
          <w:bCs/>
          <w:sz w:val="20"/>
          <w:szCs w:val="20"/>
        </w:rPr>
        <w:t>26(4):</w:t>
      </w:r>
      <w:r w:rsidRPr="00863FF4">
        <w:rPr>
          <w:sz w:val="20"/>
          <w:szCs w:val="20"/>
        </w:rPr>
        <w:t>143-152.</w:t>
      </w:r>
    </w:p>
    <w:p w:rsidR="00CC05CB" w:rsidRPr="00863FF4" w:rsidRDefault="00CC05CB" w:rsidP="00771716">
      <w:pPr>
        <w:pStyle w:val="ListParagraph"/>
        <w:numPr>
          <w:ilvl w:val="0"/>
          <w:numId w:val="3"/>
        </w:numPr>
        <w:suppressAutoHyphens w:val="0"/>
        <w:snapToGrid w:val="0"/>
        <w:ind w:left="425" w:firstLineChars="0" w:hanging="425"/>
        <w:jc w:val="both"/>
        <w:rPr>
          <w:sz w:val="20"/>
          <w:szCs w:val="20"/>
        </w:rPr>
      </w:pPr>
      <w:proofErr w:type="spellStart"/>
      <w:r w:rsidRPr="00863FF4">
        <w:rPr>
          <w:sz w:val="20"/>
          <w:szCs w:val="20"/>
        </w:rPr>
        <w:t>Asare</w:t>
      </w:r>
      <w:proofErr w:type="spellEnd"/>
      <w:r w:rsidRPr="00863FF4">
        <w:rPr>
          <w:sz w:val="20"/>
          <w:szCs w:val="20"/>
        </w:rPr>
        <w:t xml:space="preserve"> DK, </w:t>
      </w:r>
      <w:proofErr w:type="spellStart"/>
      <w:r w:rsidRPr="00863FF4">
        <w:rPr>
          <w:sz w:val="20"/>
          <w:szCs w:val="20"/>
        </w:rPr>
        <w:t>Ayeh</w:t>
      </w:r>
      <w:proofErr w:type="spellEnd"/>
      <w:r w:rsidRPr="00863FF4">
        <w:rPr>
          <w:sz w:val="20"/>
          <w:szCs w:val="20"/>
        </w:rPr>
        <w:t xml:space="preserve"> EO, </w:t>
      </w:r>
      <w:proofErr w:type="spellStart"/>
      <w:r w:rsidRPr="00863FF4">
        <w:rPr>
          <w:sz w:val="20"/>
          <w:szCs w:val="20"/>
        </w:rPr>
        <w:t>Amenorpe</w:t>
      </w:r>
      <w:proofErr w:type="spellEnd"/>
      <w:r w:rsidRPr="00863FF4">
        <w:rPr>
          <w:sz w:val="20"/>
          <w:szCs w:val="20"/>
        </w:rPr>
        <w:t xml:space="preserve"> G. Response of </w:t>
      </w:r>
      <w:proofErr w:type="spellStart"/>
      <w:r w:rsidRPr="00863FF4">
        <w:rPr>
          <w:sz w:val="20"/>
          <w:szCs w:val="20"/>
        </w:rPr>
        <w:t>rainfed</w:t>
      </w:r>
      <w:proofErr w:type="spellEnd"/>
      <w:r w:rsidRPr="00863FF4">
        <w:rPr>
          <w:sz w:val="20"/>
          <w:szCs w:val="20"/>
        </w:rPr>
        <w:t xml:space="preserve"> cassava to methods of application of fertilizer-nitrogen in a coastal Savannah environment of Ghana. World Journal of Agricultural Sciences 2009;5:323-327.</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bCs/>
          <w:sz w:val="20"/>
          <w:szCs w:val="20"/>
        </w:rPr>
        <w:t>Ayoola</w:t>
      </w:r>
      <w:proofErr w:type="spellEnd"/>
      <w:r w:rsidRPr="00863FF4">
        <w:rPr>
          <w:bCs/>
          <w:sz w:val="20"/>
          <w:szCs w:val="20"/>
        </w:rPr>
        <w:t xml:space="preserve"> OT, </w:t>
      </w:r>
      <w:proofErr w:type="spellStart"/>
      <w:r w:rsidRPr="00863FF4">
        <w:rPr>
          <w:bCs/>
          <w:sz w:val="20"/>
          <w:szCs w:val="20"/>
        </w:rPr>
        <w:t>Adeniyan</w:t>
      </w:r>
      <w:proofErr w:type="spellEnd"/>
      <w:r w:rsidRPr="00863FF4">
        <w:rPr>
          <w:bCs/>
          <w:sz w:val="20"/>
          <w:szCs w:val="20"/>
        </w:rPr>
        <w:t xml:space="preserve"> ON. Influence of poultry manure and NPK fertilizer on yield and yield components of crops under different cropping systems in south west Nigeria. </w:t>
      </w:r>
      <w:r w:rsidRPr="00863FF4">
        <w:rPr>
          <w:sz w:val="20"/>
          <w:szCs w:val="20"/>
        </w:rPr>
        <w:t>African Journal of Biotechnology 2006;5:1386-1392.</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Ayoola</w:t>
      </w:r>
      <w:proofErr w:type="spellEnd"/>
      <w:r w:rsidRPr="00863FF4">
        <w:rPr>
          <w:sz w:val="20"/>
          <w:szCs w:val="20"/>
        </w:rPr>
        <w:t xml:space="preserve"> OT, </w:t>
      </w:r>
      <w:proofErr w:type="spellStart"/>
      <w:r w:rsidRPr="00863FF4">
        <w:rPr>
          <w:sz w:val="20"/>
          <w:szCs w:val="20"/>
        </w:rPr>
        <w:t>Agboola</w:t>
      </w:r>
      <w:proofErr w:type="spellEnd"/>
      <w:r w:rsidRPr="00863FF4">
        <w:rPr>
          <w:sz w:val="20"/>
          <w:szCs w:val="20"/>
        </w:rPr>
        <w:t xml:space="preserve"> AA. Influence of cassava planting patterns and organic/inorganic fertilizer sources on the growth and yield of maize in cassava/ maize/melon intercrop in southwest Nigeria. Moor Journal of Agricultural Research 2002;</w:t>
      </w:r>
      <w:r w:rsidRPr="00863FF4">
        <w:rPr>
          <w:bCs/>
          <w:sz w:val="20"/>
          <w:szCs w:val="20"/>
        </w:rPr>
        <w:t>3(2):</w:t>
      </w:r>
      <w:r w:rsidRPr="00863FF4">
        <w:rPr>
          <w:sz w:val="20"/>
          <w:szCs w:val="20"/>
        </w:rPr>
        <w:t>161-168.</w:t>
      </w:r>
    </w:p>
    <w:p w:rsidR="00CC05CB" w:rsidRPr="00863FF4" w:rsidRDefault="00CC05CB" w:rsidP="00771716">
      <w:pPr>
        <w:pStyle w:val="ListParagraph"/>
        <w:numPr>
          <w:ilvl w:val="0"/>
          <w:numId w:val="3"/>
        </w:numPr>
        <w:suppressAutoHyphens w:val="0"/>
        <w:snapToGrid w:val="0"/>
        <w:ind w:left="425" w:firstLineChars="0" w:hanging="425"/>
        <w:jc w:val="both"/>
        <w:rPr>
          <w:sz w:val="20"/>
          <w:szCs w:val="20"/>
        </w:rPr>
      </w:pPr>
      <w:proofErr w:type="spellStart"/>
      <w:r w:rsidRPr="00863FF4">
        <w:rPr>
          <w:rFonts w:eastAsia="Times New Roman"/>
          <w:sz w:val="20"/>
          <w:szCs w:val="20"/>
        </w:rPr>
        <w:t>Ayoola</w:t>
      </w:r>
      <w:proofErr w:type="spellEnd"/>
      <w:r w:rsidRPr="00863FF4">
        <w:rPr>
          <w:rFonts w:eastAsia="Times New Roman"/>
          <w:sz w:val="20"/>
          <w:szCs w:val="20"/>
        </w:rPr>
        <w:t xml:space="preserve"> OT, </w:t>
      </w:r>
      <w:proofErr w:type="spellStart"/>
      <w:r w:rsidRPr="00863FF4">
        <w:rPr>
          <w:rFonts w:eastAsia="Times New Roman"/>
          <w:sz w:val="20"/>
          <w:szCs w:val="20"/>
        </w:rPr>
        <w:t>Makinde</w:t>
      </w:r>
      <w:proofErr w:type="spellEnd"/>
      <w:r w:rsidRPr="00863FF4">
        <w:rPr>
          <w:rFonts w:eastAsia="Times New Roman"/>
          <w:sz w:val="20"/>
          <w:szCs w:val="20"/>
        </w:rPr>
        <w:t xml:space="preserve"> EA. Fertilizer treatment effects on performance of cassava under two planting patterns in a cassava-based cropping system in south west Nigeria. Research Journal of Agriculture and Biological Sciences 2007;3(1):13-20.</w:t>
      </w:r>
    </w:p>
    <w:p w:rsidR="00CC05CB" w:rsidRPr="00863FF4" w:rsidRDefault="00CC05CB" w:rsidP="00771716">
      <w:pPr>
        <w:pStyle w:val="ListParagraph"/>
        <w:numPr>
          <w:ilvl w:val="0"/>
          <w:numId w:val="3"/>
        </w:numPr>
        <w:suppressAutoHyphens w:val="0"/>
        <w:snapToGrid w:val="0"/>
        <w:ind w:left="425" w:firstLineChars="0" w:hanging="425"/>
        <w:jc w:val="both"/>
        <w:rPr>
          <w:sz w:val="20"/>
          <w:szCs w:val="20"/>
        </w:rPr>
      </w:pPr>
      <w:proofErr w:type="spellStart"/>
      <w:r w:rsidRPr="00863FF4">
        <w:rPr>
          <w:sz w:val="20"/>
          <w:szCs w:val="20"/>
        </w:rPr>
        <w:lastRenderedPageBreak/>
        <w:t>Bouyoucos</w:t>
      </w:r>
      <w:proofErr w:type="spellEnd"/>
      <w:r w:rsidRPr="00863FF4">
        <w:rPr>
          <w:sz w:val="20"/>
          <w:szCs w:val="20"/>
        </w:rPr>
        <w:t xml:space="preserve"> GH. A recalibration of the hydrometer for making mechanical analysis of soils. Journal of Agronomy 1951;43:434-438.</w:t>
      </w:r>
    </w:p>
    <w:p w:rsidR="00CC05CB" w:rsidRPr="00863FF4" w:rsidRDefault="00CC05CB" w:rsidP="00771716">
      <w:pPr>
        <w:pStyle w:val="ListParagraph"/>
        <w:numPr>
          <w:ilvl w:val="0"/>
          <w:numId w:val="3"/>
        </w:numPr>
        <w:shd w:val="clear" w:color="auto" w:fill="FFFFFF"/>
        <w:suppressAutoHyphens w:val="0"/>
        <w:snapToGrid w:val="0"/>
        <w:ind w:left="425" w:firstLineChars="0" w:hanging="425"/>
        <w:jc w:val="both"/>
        <w:outlineLvl w:val="3"/>
        <w:rPr>
          <w:sz w:val="20"/>
          <w:szCs w:val="20"/>
        </w:rPr>
      </w:pPr>
      <w:r w:rsidRPr="00863FF4">
        <w:rPr>
          <w:sz w:val="20"/>
          <w:szCs w:val="20"/>
        </w:rPr>
        <w:t>Bray RH, Kurtz LT. Determination of total, organic, and available forms of phosphorus in soils. Soil Science 1945;59: 39 - 45.</w:t>
      </w:r>
    </w:p>
    <w:p w:rsidR="00771716" w:rsidRPr="00863FF4" w:rsidRDefault="00CC05CB" w:rsidP="00771716">
      <w:pPr>
        <w:pStyle w:val="ListParagraph"/>
        <w:numPr>
          <w:ilvl w:val="0"/>
          <w:numId w:val="3"/>
        </w:numPr>
        <w:suppressAutoHyphens w:val="0"/>
        <w:snapToGrid w:val="0"/>
        <w:ind w:left="425" w:firstLineChars="0" w:hanging="425"/>
        <w:jc w:val="both"/>
        <w:rPr>
          <w:sz w:val="20"/>
          <w:szCs w:val="20"/>
        </w:rPr>
      </w:pPr>
      <w:proofErr w:type="spellStart"/>
      <w:r w:rsidRPr="00863FF4">
        <w:rPr>
          <w:bCs/>
          <w:sz w:val="20"/>
          <w:szCs w:val="20"/>
        </w:rPr>
        <w:t>Edet</w:t>
      </w:r>
      <w:proofErr w:type="spellEnd"/>
      <w:r w:rsidRPr="00863FF4">
        <w:rPr>
          <w:bCs/>
          <w:sz w:val="20"/>
          <w:szCs w:val="20"/>
        </w:rPr>
        <w:t xml:space="preserve"> MA, </w:t>
      </w:r>
      <w:proofErr w:type="spellStart"/>
      <w:r w:rsidRPr="00863FF4">
        <w:rPr>
          <w:bCs/>
          <w:sz w:val="20"/>
          <w:szCs w:val="20"/>
        </w:rPr>
        <w:t>Tijani-Eniola</w:t>
      </w:r>
      <w:proofErr w:type="spellEnd"/>
      <w:r w:rsidRPr="00863FF4">
        <w:rPr>
          <w:bCs/>
          <w:sz w:val="20"/>
          <w:szCs w:val="20"/>
        </w:rPr>
        <w:t xml:space="preserve"> H, </w:t>
      </w:r>
      <w:proofErr w:type="spellStart"/>
      <w:r w:rsidRPr="00863FF4">
        <w:rPr>
          <w:bCs/>
          <w:sz w:val="20"/>
          <w:szCs w:val="20"/>
        </w:rPr>
        <w:t>Okechukwu</w:t>
      </w:r>
      <w:proofErr w:type="spellEnd"/>
      <w:r w:rsidRPr="00863FF4">
        <w:rPr>
          <w:bCs/>
          <w:sz w:val="20"/>
          <w:szCs w:val="20"/>
        </w:rPr>
        <w:t xml:space="preserve"> RU.</w:t>
      </w:r>
      <w:r w:rsidRPr="00863FF4">
        <w:rPr>
          <w:sz w:val="20"/>
          <w:szCs w:val="20"/>
        </w:rPr>
        <w:t xml:space="preserve"> Comparative evaluation of </w:t>
      </w:r>
      <w:proofErr w:type="spellStart"/>
      <w:r w:rsidRPr="00863FF4">
        <w:rPr>
          <w:sz w:val="20"/>
          <w:szCs w:val="20"/>
        </w:rPr>
        <w:t>organomineral</w:t>
      </w:r>
      <w:proofErr w:type="spellEnd"/>
      <w:r w:rsidRPr="00863FF4">
        <w:rPr>
          <w:sz w:val="20"/>
          <w:szCs w:val="20"/>
        </w:rPr>
        <w:t xml:space="preserve"> fertilizer and NPK 15-15-15 on growth and yield of cassava varieties in Ibadan, south-western Nigeria. African Journal of Root and Tuber Crops 2013a;10(1):9-1</w:t>
      </w:r>
      <w:r w:rsidR="00771716" w:rsidRPr="00863FF4">
        <w:rPr>
          <w:sz w:val="20"/>
          <w:szCs w:val="20"/>
        </w:rPr>
        <w:t>4.</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bCs/>
          <w:sz w:val="20"/>
          <w:szCs w:val="20"/>
        </w:rPr>
      </w:pPr>
      <w:proofErr w:type="spellStart"/>
      <w:r w:rsidRPr="00863FF4">
        <w:rPr>
          <w:bCs/>
          <w:sz w:val="20"/>
          <w:szCs w:val="20"/>
        </w:rPr>
        <w:t>Edet</w:t>
      </w:r>
      <w:proofErr w:type="spellEnd"/>
      <w:r w:rsidRPr="00863FF4">
        <w:rPr>
          <w:bCs/>
          <w:sz w:val="20"/>
          <w:szCs w:val="20"/>
        </w:rPr>
        <w:t xml:space="preserve"> MA, </w:t>
      </w:r>
      <w:proofErr w:type="spellStart"/>
      <w:r w:rsidRPr="00863FF4">
        <w:rPr>
          <w:bCs/>
          <w:sz w:val="20"/>
          <w:szCs w:val="20"/>
        </w:rPr>
        <w:t>Tijani-Eniola</w:t>
      </w:r>
      <w:proofErr w:type="spellEnd"/>
      <w:r w:rsidRPr="00863FF4">
        <w:rPr>
          <w:bCs/>
          <w:sz w:val="20"/>
          <w:szCs w:val="20"/>
        </w:rPr>
        <w:t xml:space="preserve"> H, </w:t>
      </w:r>
      <w:proofErr w:type="spellStart"/>
      <w:r w:rsidRPr="00863FF4">
        <w:rPr>
          <w:bCs/>
          <w:sz w:val="20"/>
          <w:szCs w:val="20"/>
        </w:rPr>
        <w:t>Okechukwu</w:t>
      </w:r>
      <w:proofErr w:type="spellEnd"/>
      <w:r w:rsidRPr="00863FF4">
        <w:rPr>
          <w:bCs/>
          <w:sz w:val="20"/>
          <w:szCs w:val="20"/>
        </w:rPr>
        <w:t xml:space="preserve"> RU. Residual effects of fertilizer application on growth and yield of two cassava varieties in Ibadan, south-western Nigeria. </w:t>
      </w:r>
      <w:r w:rsidRPr="00863FF4">
        <w:rPr>
          <w:sz w:val="20"/>
          <w:szCs w:val="20"/>
        </w:rPr>
        <w:t>African Journal of Root and Tuber Crops 2013b;10(1):33-40.</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Edet</w:t>
      </w:r>
      <w:proofErr w:type="spellEnd"/>
      <w:r w:rsidRPr="00863FF4">
        <w:rPr>
          <w:sz w:val="20"/>
          <w:szCs w:val="20"/>
        </w:rPr>
        <w:t xml:space="preserve"> MA, </w:t>
      </w:r>
      <w:proofErr w:type="spellStart"/>
      <w:r w:rsidRPr="00863FF4">
        <w:rPr>
          <w:sz w:val="20"/>
          <w:szCs w:val="20"/>
        </w:rPr>
        <w:t>Tijani-Eniola</w:t>
      </w:r>
      <w:proofErr w:type="spellEnd"/>
      <w:r w:rsidRPr="00863FF4">
        <w:rPr>
          <w:sz w:val="20"/>
          <w:szCs w:val="20"/>
        </w:rPr>
        <w:t xml:space="preserve"> H, </w:t>
      </w:r>
      <w:proofErr w:type="spellStart"/>
      <w:r w:rsidRPr="00863FF4">
        <w:rPr>
          <w:sz w:val="20"/>
          <w:szCs w:val="20"/>
        </w:rPr>
        <w:t>Lagoke</w:t>
      </w:r>
      <w:proofErr w:type="spellEnd"/>
      <w:r w:rsidRPr="00863FF4">
        <w:rPr>
          <w:sz w:val="20"/>
          <w:szCs w:val="20"/>
        </w:rPr>
        <w:t xml:space="preserve"> STO, </w:t>
      </w:r>
      <w:proofErr w:type="spellStart"/>
      <w:r w:rsidRPr="00863FF4">
        <w:rPr>
          <w:sz w:val="20"/>
          <w:szCs w:val="20"/>
        </w:rPr>
        <w:t>Tarawali</w:t>
      </w:r>
      <w:proofErr w:type="spellEnd"/>
      <w:r w:rsidRPr="00863FF4">
        <w:rPr>
          <w:sz w:val="20"/>
          <w:szCs w:val="20"/>
        </w:rPr>
        <w:t xml:space="preserve"> G. </w:t>
      </w:r>
      <w:r w:rsidRPr="00863FF4">
        <w:rPr>
          <w:bCs/>
          <w:sz w:val="20"/>
          <w:szCs w:val="20"/>
        </w:rPr>
        <w:t xml:space="preserve">Relationship of cassava growth parameters with yield, yield related components and harvest time in Ibadan, Southwestern Nigeria. </w:t>
      </w:r>
      <w:r w:rsidRPr="00863FF4">
        <w:rPr>
          <w:sz w:val="20"/>
          <w:szCs w:val="20"/>
        </w:rPr>
        <w:t>Journal of Natural Sciences Research 2015;5(9):67-93.</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r w:rsidRPr="00863FF4">
        <w:rPr>
          <w:sz w:val="20"/>
          <w:szCs w:val="20"/>
        </w:rPr>
        <w:t>El-</w:t>
      </w:r>
      <w:proofErr w:type="spellStart"/>
      <w:r w:rsidRPr="00863FF4">
        <w:rPr>
          <w:sz w:val="20"/>
          <w:szCs w:val="20"/>
        </w:rPr>
        <w:t>Sharkawy</w:t>
      </w:r>
      <w:proofErr w:type="spellEnd"/>
      <w:r w:rsidRPr="00863FF4">
        <w:rPr>
          <w:sz w:val="20"/>
          <w:szCs w:val="20"/>
        </w:rPr>
        <w:t xml:space="preserve"> MA. Physiological characteristics of cassava tolerance to prolonged drought in the tropics: implications for breeding cultivars adapted to seasonally dry and semi-arid environments. Brazil Journal of Plant Physiology 2007;9:85-98.</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Fagbola</w:t>
      </w:r>
      <w:proofErr w:type="spellEnd"/>
      <w:r w:rsidRPr="00863FF4">
        <w:rPr>
          <w:sz w:val="20"/>
          <w:szCs w:val="20"/>
        </w:rPr>
        <w:t xml:space="preserve"> O, </w:t>
      </w:r>
      <w:proofErr w:type="spellStart"/>
      <w:r w:rsidRPr="00863FF4">
        <w:rPr>
          <w:sz w:val="20"/>
          <w:szCs w:val="20"/>
        </w:rPr>
        <w:t>Osonubi</w:t>
      </w:r>
      <w:proofErr w:type="spellEnd"/>
      <w:r w:rsidRPr="00863FF4">
        <w:rPr>
          <w:sz w:val="20"/>
          <w:szCs w:val="20"/>
        </w:rPr>
        <w:t xml:space="preserve"> O, </w:t>
      </w:r>
      <w:proofErr w:type="spellStart"/>
      <w:r w:rsidRPr="00863FF4">
        <w:rPr>
          <w:sz w:val="20"/>
          <w:szCs w:val="20"/>
        </w:rPr>
        <w:t>Mulouygoy</w:t>
      </w:r>
      <w:proofErr w:type="spellEnd"/>
      <w:r w:rsidRPr="00863FF4">
        <w:rPr>
          <w:sz w:val="20"/>
          <w:szCs w:val="20"/>
        </w:rPr>
        <w:t xml:space="preserve"> K. Growth of cassava cultivar TMS 30572 as affected by alley-cropping and </w:t>
      </w:r>
      <w:proofErr w:type="spellStart"/>
      <w:r w:rsidRPr="00863FF4">
        <w:rPr>
          <w:sz w:val="20"/>
          <w:szCs w:val="20"/>
        </w:rPr>
        <w:t>mycorrhizal</w:t>
      </w:r>
      <w:proofErr w:type="spellEnd"/>
      <w:r w:rsidRPr="00863FF4">
        <w:rPr>
          <w:sz w:val="20"/>
          <w:szCs w:val="20"/>
        </w:rPr>
        <w:t xml:space="preserve"> inoculation. Biology and Fertility of Soils 1998; 27:9-14.</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Howeler</w:t>
      </w:r>
      <w:proofErr w:type="spellEnd"/>
      <w:r w:rsidRPr="00863FF4">
        <w:rPr>
          <w:sz w:val="20"/>
          <w:szCs w:val="20"/>
        </w:rPr>
        <w:t xml:space="preserve"> RH. Cassava. In: </w:t>
      </w:r>
      <w:proofErr w:type="spellStart"/>
      <w:r w:rsidRPr="00863FF4">
        <w:rPr>
          <w:sz w:val="20"/>
          <w:szCs w:val="20"/>
        </w:rPr>
        <w:t>Plucknett</w:t>
      </w:r>
      <w:proofErr w:type="spellEnd"/>
      <w:r w:rsidRPr="00863FF4">
        <w:rPr>
          <w:sz w:val="20"/>
          <w:szCs w:val="20"/>
        </w:rPr>
        <w:t xml:space="preserve"> DL, Sprague HB, eds. Detecting mineral nutrient deficiencies in tropical and temperate crops. </w:t>
      </w:r>
      <w:r w:rsidRPr="00863FF4">
        <w:rPr>
          <w:bCs/>
          <w:sz w:val="20"/>
          <w:szCs w:val="20"/>
        </w:rPr>
        <w:t>Publisher,</w:t>
      </w:r>
      <w:r w:rsidRPr="00863FF4">
        <w:rPr>
          <w:sz w:val="20"/>
          <w:szCs w:val="20"/>
        </w:rPr>
        <w:t xml:space="preserve"> Boulder </w:t>
      </w:r>
      <w:proofErr w:type="spellStart"/>
      <w:r w:rsidRPr="00863FF4">
        <w:rPr>
          <w:sz w:val="20"/>
          <w:szCs w:val="20"/>
        </w:rPr>
        <w:t>Westview</w:t>
      </w:r>
      <w:proofErr w:type="spellEnd"/>
      <w:r w:rsidRPr="00863FF4">
        <w:rPr>
          <w:sz w:val="20"/>
          <w:szCs w:val="20"/>
        </w:rPr>
        <w:t xml:space="preserve"> Press, 1989;167-177</w:t>
      </w:r>
      <w:r w:rsidRPr="00863FF4">
        <w:rPr>
          <w:sz w:val="20"/>
          <w:szCs w:val="20"/>
          <w:lang w:val="es-ES"/>
        </w:rPr>
        <w:t>.</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Howeler</w:t>
      </w:r>
      <w:proofErr w:type="spellEnd"/>
      <w:r w:rsidRPr="00863FF4">
        <w:rPr>
          <w:sz w:val="20"/>
          <w:szCs w:val="20"/>
        </w:rPr>
        <w:t xml:space="preserve"> RH. Long-term effect of cassava cultivation on soil productivity. Field Crops Research 1991;26</w:t>
      </w:r>
      <w:r w:rsidR="00771716" w:rsidRPr="00863FF4">
        <w:rPr>
          <w:sz w:val="20"/>
          <w:szCs w:val="20"/>
        </w:rPr>
        <w:t>: l</w:t>
      </w:r>
      <w:r w:rsidRPr="00863FF4">
        <w:rPr>
          <w:sz w:val="20"/>
          <w:szCs w:val="20"/>
        </w:rPr>
        <w:t>-18.</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Howeler</w:t>
      </w:r>
      <w:proofErr w:type="spellEnd"/>
      <w:r w:rsidRPr="00863FF4">
        <w:rPr>
          <w:sz w:val="20"/>
          <w:szCs w:val="20"/>
        </w:rPr>
        <w:t xml:space="preserve"> RH. Cassava agronomy research in Asia – An overview 1993-1996. </w:t>
      </w:r>
      <w:r w:rsidRPr="00863FF4">
        <w:rPr>
          <w:iCs/>
          <w:sz w:val="20"/>
          <w:szCs w:val="20"/>
        </w:rPr>
        <w:t>In</w:t>
      </w:r>
      <w:r w:rsidRPr="00863FF4">
        <w:rPr>
          <w:sz w:val="20"/>
          <w:szCs w:val="20"/>
        </w:rPr>
        <w:t xml:space="preserve">: </w:t>
      </w:r>
      <w:proofErr w:type="spellStart"/>
      <w:r w:rsidRPr="00863FF4">
        <w:rPr>
          <w:sz w:val="20"/>
          <w:szCs w:val="20"/>
        </w:rPr>
        <w:t>Howeler</w:t>
      </w:r>
      <w:proofErr w:type="spellEnd"/>
      <w:r w:rsidRPr="00863FF4">
        <w:rPr>
          <w:sz w:val="20"/>
          <w:szCs w:val="20"/>
        </w:rPr>
        <w:t xml:space="preserve"> RH, ed. Cassava Breeding: Agronomy and farmer participatory research in Asia. </w:t>
      </w:r>
      <w:proofErr w:type="spellStart"/>
      <w:r w:rsidRPr="00863FF4">
        <w:rPr>
          <w:sz w:val="20"/>
          <w:szCs w:val="20"/>
        </w:rPr>
        <w:t>Danzhou</w:t>
      </w:r>
      <w:proofErr w:type="spellEnd"/>
      <w:r w:rsidRPr="00863FF4">
        <w:rPr>
          <w:sz w:val="20"/>
          <w:szCs w:val="20"/>
        </w:rPr>
        <w:t>, Hainan, China. 1998;355-375.</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Howeler</w:t>
      </w:r>
      <w:proofErr w:type="spellEnd"/>
      <w:r w:rsidRPr="00863FF4">
        <w:rPr>
          <w:sz w:val="20"/>
          <w:szCs w:val="20"/>
        </w:rPr>
        <w:t xml:space="preserve"> RH. Cassava mineral nutrition and fertilization. In: Hillocks RJ, Thresh MJ and </w:t>
      </w:r>
      <w:proofErr w:type="spellStart"/>
      <w:r w:rsidRPr="00863FF4">
        <w:rPr>
          <w:sz w:val="20"/>
          <w:szCs w:val="20"/>
        </w:rPr>
        <w:t>Bellotti</w:t>
      </w:r>
      <w:proofErr w:type="spellEnd"/>
      <w:r w:rsidRPr="00863FF4">
        <w:rPr>
          <w:sz w:val="20"/>
          <w:szCs w:val="20"/>
        </w:rPr>
        <w:t xml:space="preserve"> AC, eds. </w:t>
      </w:r>
      <w:r w:rsidRPr="00863FF4">
        <w:rPr>
          <w:iCs/>
          <w:sz w:val="20"/>
          <w:szCs w:val="20"/>
        </w:rPr>
        <w:t>Cassava: Biology, production and utilization.</w:t>
      </w:r>
      <w:r w:rsidRPr="00863FF4">
        <w:rPr>
          <w:sz w:val="20"/>
          <w:szCs w:val="20"/>
        </w:rPr>
        <w:t xml:space="preserve"> CABI Publishing, Wallingford, UK. 2001a;273-388.</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Howeler</w:t>
      </w:r>
      <w:proofErr w:type="spellEnd"/>
      <w:r w:rsidRPr="00863FF4">
        <w:rPr>
          <w:sz w:val="20"/>
          <w:szCs w:val="20"/>
        </w:rPr>
        <w:t xml:space="preserve"> RH. Cassava mineral nutrition and fertilization. In: Hillocks RJ, Thresh JM and </w:t>
      </w:r>
      <w:proofErr w:type="spellStart"/>
      <w:r w:rsidRPr="00863FF4">
        <w:rPr>
          <w:sz w:val="20"/>
          <w:szCs w:val="20"/>
        </w:rPr>
        <w:t>Bellotti</w:t>
      </w:r>
      <w:proofErr w:type="spellEnd"/>
      <w:r w:rsidRPr="00863FF4">
        <w:rPr>
          <w:sz w:val="20"/>
          <w:szCs w:val="20"/>
        </w:rPr>
        <w:t xml:space="preserve"> AC, eds. Cassava: Biology, production and utilization. CABI Publishing, Wallingford, UK. 2001b;115-147. </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lastRenderedPageBreak/>
        <w:t>Howeler</w:t>
      </w:r>
      <w:proofErr w:type="spellEnd"/>
      <w:r w:rsidRPr="00863FF4">
        <w:rPr>
          <w:sz w:val="20"/>
          <w:szCs w:val="20"/>
        </w:rPr>
        <w:t xml:space="preserve"> RH, </w:t>
      </w:r>
      <w:proofErr w:type="spellStart"/>
      <w:r w:rsidRPr="00863FF4">
        <w:rPr>
          <w:sz w:val="20"/>
          <w:szCs w:val="20"/>
        </w:rPr>
        <w:t>Cadavid</w:t>
      </w:r>
      <w:proofErr w:type="spellEnd"/>
      <w:r w:rsidRPr="00863FF4">
        <w:rPr>
          <w:sz w:val="20"/>
          <w:szCs w:val="20"/>
        </w:rPr>
        <w:t xml:space="preserve"> LF. Accumulation and distribution of dry matter and nutrients during a 12 month growth cycle of cassava. Field Crops Research 1983;7:123-139. </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Howeler</w:t>
      </w:r>
      <w:proofErr w:type="spellEnd"/>
      <w:r w:rsidRPr="00863FF4">
        <w:rPr>
          <w:sz w:val="20"/>
          <w:szCs w:val="20"/>
        </w:rPr>
        <w:t xml:space="preserve"> RH, </w:t>
      </w:r>
      <w:proofErr w:type="spellStart"/>
      <w:r w:rsidRPr="00863FF4">
        <w:rPr>
          <w:sz w:val="20"/>
          <w:szCs w:val="20"/>
        </w:rPr>
        <w:t>Cadavid</w:t>
      </w:r>
      <w:proofErr w:type="spellEnd"/>
      <w:r w:rsidRPr="00863FF4">
        <w:rPr>
          <w:sz w:val="20"/>
          <w:szCs w:val="20"/>
        </w:rPr>
        <w:t xml:space="preserve"> LF, Burckhardt E. Response of cassava to VA </w:t>
      </w:r>
      <w:proofErr w:type="spellStart"/>
      <w:r w:rsidRPr="00863FF4">
        <w:rPr>
          <w:sz w:val="20"/>
          <w:szCs w:val="20"/>
        </w:rPr>
        <w:t>mycorrhizal</w:t>
      </w:r>
      <w:proofErr w:type="spellEnd"/>
      <w:r w:rsidRPr="00863FF4">
        <w:rPr>
          <w:sz w:val="20"/>
          <w:szCs w:val="20"/>
        </w:rPr>
        <w:t xml:space="preserve"> inoculation and phosphorus application in greenhouse and field experiments. Plant and Soil 1982;69:327-339. </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bCs/>
          <w:sz w:val="20"/>
          <w:szCs w:val="20"/>
        </w:rPr>
      </w:pPr>
      <w:proofErr w:type="spellStart"/>
      <w:r w:rsidRPr="00863FF4">
        <w:rPr>
          <w:sz w:val="20"/>
          <w:szCs w:val="20"/>
        </w:rPr>
        <w:t>Ikeh</w:t>
      </w:r>
      <w:proofErr w:type="spellEnd"/>
      <w:r w:rsidRPr="00863FF4">
        <w:rPr>
          <w:sz w:val="20"/>
          <w:szCs w:val="20"/>
        </w:rPr>
        <w:t xml:space="preserve"> AO, </w:t>
      </w:r>
      <w:proofErr w:type="spellStart"/>
      <w:r w:rsidRPr="00863FF4">
        <w:rPr>
          <w:sz w:val="20"/>
          <w:szCs w:val="20"/>
        </w:rPr>
        <w:t>Ndaeyo</w:t>
      </w:r>
      <w:proofErr w:type="spellEnd"/>
      <w:r w:rsidRPr="00863FF4">
        <w:rPr>
          <w:sz w:val="20"/>
          <w:szCs w:val="20"/>
        </w:rPr>
        <w:t xml:space="preserve"> NU, </w:t>
      </w:r>
      <w:proofErr w:type="spellStart"/>
      <w:r w:rsidRPr="00863FF4">
        <w:rPr>
          <w:sz w:val="20"/>
          <w:szCs w:val="20"/>
        </w:rPr>
        <w:t>Udoh</w:t>
      </w:r>
      <w:proofErr w:type="spellEnd"/>
      <w:r w:rsidRPr="00863FF4">
        <w:rPr>
          <w:sz w:val="20"/>
          <w:szCs w:val="20"/>
        </w:rPr>
        <w:t xml:space="preserve"> EI, </w:t>
      </w:r>
      <w:proofErr w:type="spellStart"/>
      <w:r w:rsidRPr="00863FF4">
        <w:rPr>
          <w:sz w:val="20"/>
          <w:szCs w:val="20"/>
        </w:rPr>
        <w:t>Iboko</w:t>
      </w:r>
      <w:proofErr w:type="spellEnd"/>
      <w:r w:rsidRPr="00863FF4">
        <w:rPr>
          <w:sz w:val="20"/>
          <w:szCs w:val="20"/>
        </w:rPr>
        <w:t xml:space="preserve"> KO, </w:t>
      </w:r>
      <w:proofErr w:type="spellStart"/>
      <w:r w:rsidRPr="00863FF4">
        <w:rPr>
          <w:sz w:val="20"/>
          <w:szCs w:val="20"/>
        </w:rPr>
        <w:t>Udounang</w:t>
      </w:r>
      <w:proofErr w:type="spellEnd"/>
      <w:r w:rsidRPr="00863FF4">
        <w:rPr>
          <w:sz w:val="20"/>
          <w:szCs w:val="20"/>
        </w:rPr>
        <w:t xml:space="preserve"> PI. </w:t>
      </w:r>
      <w:r w:rsidRPr="00863FF4">
        <w:rPr>
          <w:bCs/>
          <w:sz w:val="20"/>
          <w:szCs w:val="20"/>
        </w:rPr>
        <w:t>Growth and yield of cassava (</w:t>
      </w:r>
      <w:proofErr w:type="spellStart"/>
      <w:r w:rsidRPr="00863FF4">
        <w:rPr>
          <w:bCs/>
          <w:iCs/>
          <w:sz w:val="20"/>
          <w:szCs w:val="20"/>
        </w:rPr>
        <w:t>manihot</w:t>
      </w:r>
      <w:proofErr w:type="spellEnd"/>
      <w:r w:rsidRPr="00863FF4">
        <w:rPr>
          <w:bCs/>
          <w:iCs/>
          <w:sz w:val="20"/>
          <w:szCs w:val="20"/>
        </w:rPr>
        <w:t xml:space="preserve"> </w:t>
      </w:r>
      <w:proofErr w:type="spellStart"/>
      <w:r w:rsidRPr="00863FF4">
        <w:rPr>
          <w:bCs/>
          <w:iCs/>
          <w:sz w:val="20"/>
          <w:szCs w:val="20"/>
        </w:rPr>
        <w:t>esculenta</w:t>
      </w:r>
      <w:proofErr w:type="spellEnd"/>
      <w:r w:rsidRPr="00863FF4">
        <w:rPr>
          <w:bCs/>
          <w:iCs/>
          <w:sz w:val="20"/>
          <w:szCs w:val="20"/>
        </w:rPr>
        <w:t xml:space="preserve"> </w:t>
      </w:r>
      <w:proofErr w:type="spellStart"/>
      <w:r w:rsidRPr="00863FF4">
        <w:rPr>
          <w:bCs/>
          <w:sz w:val="20"/>
          <w:szCs w:val="20"/>
        </w:rPr>
        <w:t>crantz</w:t>
      </w:r>
      <w:proofErr w:type="spellEnd"/>
      <w:r w:rsidRPr="00863FF4">
        <w:rPr>
          <w:bCs/>
          <w:sz w:val="20"/>
          <w:szCs w:val="20"/>
        </w:rPr>
        <w:t xml:space="preserve">) as influenced by the number of shoots retained per stand on an </w:t>
      </w:r>
      <w:proofErr w:type="spellStart"/>
      <w:r w:rsidRPr="00863FF4">
        <w:rPr>
          <w:bCs/>
          <w:sz w:val="20"/>
          <w:szCs w:val="20"/>
        </w:rPr>
        <w:t>Ultisol</w:t>
      </w:r>
      <w:proofErr w:type="spellEnd"/>
      <w:r w:rsidRPr="00863FF4">
        <w:rPr>
          <w:bCs/>
          <w:sz w:val="20"/>
          <w:szCs w:val="20"/>
        </w:rPr>
        <w:t xml:space="preserve">. </w:t>
      </w:r>
      <w:r w:rsidRPr="00863FF4">
        <w:rPr>
          <w:sz w:val="20"/>
          <w:szCs w:val="20"/>
        </w:rPr>
        <w:t>Nature and Science 2012;10(8):17-20.</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r w:rsidRPr="00863FF4">
        <w:rPr>
          <w:bCs/>
          <w:sz w:val="20"/>
          <w:szCs w:val="20"/>
        </w:rPr>
        <w:t xml:space="preserve">Izumi Y, </w:t>
      </w:r>
      <w:proofErr w:type="spellStart"/>
      <w:r w:rsidRPr="00863FF4">
        <w:rPr>
          <w:bCs/>
          <w:sz w:val="20"/>
          <w:szCs w:val="20"/>
        </w:rPr>
        <w:t>Yuliad</w:t>
      </w:r>
      <w:proofErr w:type="spellEnd"/>
      <w:r w:rsidRPr="00863FF4">
        <w:rPr>
          <w:bCs/>
          <w:sz w:val="20"/>
          <w:szCs w:val="20"/>
        </w:rPr>
        <w:t xml:space="preserve"> E, </w:t>
      </w:r>
      <w:proofErr w:type="spellStart"/>
      <w:r w:rsidRPr="00863FF4">
        <w:rPr>
          <w:bCs/>
          <w:sz w:val="20"/>
          <w:szCs w:val="20"/>
        </w:rPr>
        <w:t>Iijima</w:t>
      </w:r>
      <w:proofErr w:type="spellEnd"/>
      <w:r w:rsidRPr="00863FF4">
        <w:rPr>
          <w:bCs/>
          <w:sz w:val="20"/>
          <w:szCs w:val="20"/>
        </w:rPr>
        <w:t xml:space="preserve"> S, </w:t>
      </w:r>
      <w:proofErr w:type="spellStart"/>
      <w:r w:rsidRPr="00863FF4">
        <w:rPr>
          <w:bCs/>
          <w:sz w:val="20"/>
          <w:szCs w:val="20"/>
        </w:rPr>
        <w:t>Iijima</w:t>
      </w:r>
      <w:proofErr w:type="spellEnd"/>
      <w:r w:rsidRPr="00863FF4">
        <w:rPr>
          <w:bCs/>
          <w:sz w:val="20"/>
          <w:szCs w:val="20"/>
        </w:rPr>
        <w:t xml:space="preserve"> M. Root system development including </w:t>
      </w:r>
      <w:proofErr w:type="spellStart"/>
      <w:r w:rsidRPr="00863FF4">
        <w:rPr>
          <w:bCs/>
          <w:sz w:val="20"/>
          <w:szCs w:val="20"/>
        </w:rPr>
        <w:t>lroot</w:t>
      </w:r>
      <w:proofErr w:type="spellEnd"/>
      <w:r w:rsidRPr="00863FF4">
        <w:rPr>
          <w:bCs/>
          <w:sz w:val="20"/>
          <w:szCs w:val="20"/>
        </w:rPr>
        <w:t xml:space="preserve"> branching in cuttings of cassava with reference to shoot growth and tuber bulking.</w:t>
      </w:r>
      <w:r w:rsidRPr="00863FF4">
        <w:rPr>
          <w:sz w:val="20"/>
          <w:szCs w:val="20"/>
        </w:rPr>
        <w:t xml:space="preserve"> Plant Production Science 1999;2(4):267-272.</w:t>
      </w:r>
    </w:p>
    <w:p w:rsidR="00CC05CB" w:rsidRPr="00863FF4" w:rsidRDefault="00CC05CB" w:rsidP="00771716">
      <w:pPr>
        <w:pStyle w:val="ListParagraph"/>
        <w:numPr>
          <w:ilvl w:val="0"/>
          <w:numId w:val="3"/>
        </w:numPr>
        <w:suppressAutoHyphens w:val="0"/>
        <w:snapToGrid w:val="0"/>
        <w:ind w:left="425" w:firstLineChars="0" w:hanging="425"/>
        <w:jc w:val="both"/>
        <w:rPr>
          <w:rFonts w:eastAsia="Times New Roman"/>
          <w:sz w:val="20"/>
          <w:szCs w:val="20"/>
        </w:rPr>
      </w:pPr>
      <w:proofErr w:type="spellStart"/>
      <w:r w:rsidRPr="00863FF4">
        <w:rPr>
          <w:rFonts w:eastAsia="Times New Roman"/>
          <w:sz w:val="20"/>
          <w:szCs w:val="20"/>
        </w:rPr>
        <w:t>Karim</w:t>
      </w:r>
      <w:proofErr w:type="spellEnd"/>
      <w:r w:rsidRPr="00863FF4">
        <w:rPr>
          <w:rFonts w:eastAsia="Times New Roman"/>
          <w:sz w:val="20"/>
          <w:szCs w:val="20"/>
        </w:rPr>
        <w:t xml:space="preserve"> MR, Fakir MSA, </w:t>
      </w:r>
      <w:proofErr w:type="spellStart"/>
      <w:r w:rsidRPr="00863FF4">
        <w:rPr>
          <w:rFonts w:eastAsia="Times New Roman"/>
          <w:sz w:val="20"/>
          <w:szCs w:val="20"/>
        </w:rPr>
        <w:t>Mostafa</w:t>
      </w:r>
      <w:proofErr w:type="spellEnd"/>
      <w:r w:rsidRPr="00863FF4">
        <w:rPr>
          <w:rFonts w:eastAsia="Times New Roman"/>
          <w:sz w:val="20"/>
          <w:szCs w:val="20"/>
        </w:rPr>
        <w:t xml:space="preserve"> MG </w:t>
      </w:r>
      <w:proofErr w:type="spellStart"/>
      <w:r w:rsidRPr="00863FF4">
        <w:rPr>
          <w:rFonts w:eastAsia="Times New Roman"/>
          <w:sz w:val="20"/>
          <w:szCs w:val="20"/>
        </w:rPr>
        <w:t>Prodhan</w:t>
      </w:r>
      <w:proofErr w:type="spellEnd"/>
      <w:r w:rsidRPr="00863FF4">
        <w:rPr>
          <w:rFonts w:eastAsia="Times New Roman"/>
          <w:sz w:val="20"/>
          <w:szCs w:val="20"/>
        </w:rPr>
        <w:t xml:space="preserve"> AK. Leaf area estimation by linear regression models in cassava (</w:t>
      </w:r>
      <w:proofErr w:type="spellStart"/>
      <w:r w:rsidRPr="00863FF4">
        <w:rPr>
          <w:rFonts w:eastAsia="Times New Roman"/>
          <w:sz w:val="20"/>
          <w:szCs w:val="20"/>
        </w:rPr>
        <w:t>Morphotype</w:t>
      </w:r>
      <w:proofErr w:type="spellEnd"/>
      <w:r w:rsidRPr="00863FF4">
        <w:rPr>
          <w:rFonts w:eastAsia="Times New Roman"/>
          <w:sz w:val="20"/>
          <w:szCs w:val="20"/>
        </w:rPr>
        <w:t xml:space="preserve">: Philippine). Journal of </w:t>
      </w:r>
      <w:proofErr w:type="spellStart"/>
      <w:r w:rsidRPr="00863FF4">
        <w:rPr>
          <w:rFonts w:eastAsia="Times New Roman"/>
          <w:sz w:val="20"/>
          <w:szCs w:val="20"/>
        </w:rPr>
        <w:t>Agroforestry</w:t>
      </w:r>
      <w:proofErr w:type="spellEnd"/>
      <w:r w:rsidRPr="00863FF4">
        <w:rPr>
          <w:rFonts w:eastAsia="Times New Roman"/>
          <w:sz w:val="20"/>
          <w:szCs w:val="20"/>
        </w:rPr>
        <w:t xml:space="preserve"> and Environment 2010;4(1):17-22.</w:t>
      </w:r>
    </w:p>
    <w:p w:rsidR="00771716"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rStyle w:val="st"/>
          <w:sz w:val="20"/>
          <w:szCs w:val="20"/>
        </w:rPr>
      </w:pPr>
      <w:proofErr w:type="spellStart"/>
      <w:r w:rsidRPr="00863FF4">
        <w:rPr>
          <w:iCs/>
          <w:sz w:val="20"/>
          <w:szCs w:val="20"/>
        </w:rPr>
        <w:t>Krochmal</w:t>
      </w:r>
      <w:proofErr w:type="spellEnd"/>
      <w:r w:rsidRPr="00863FF4">
        <w:rPr>
          <w:iCs/>
          <w:sz w:val="20"/>
          <w:szCs w:val="20"/>
        </w:rPr>
        <w:t xml:space="preserve"> A, Samuel G. The influence of NPK levels on the growth and </w:t>
      </w:r>
      <w:r w:rsidRPr="00863FF4">
        <w:rPr>
          <w:rStyle w:val="st"/>
          <w:sz w:val="20"/>
          <w:szCs w:val="20"/>
        </w:rPr>
        <w:t xml:space="preserve">tuber development of </w:t>
      </w:r>
      <w:r w:rsidRPr="00863FF4">
        <w:rPr>
          <w:rStyle w:val="Emphasis"/>
          <w:sz w:val="20"/>
          <w:szCs w:val="20"/>
        </w:rPr>
        <w:t>cassava</w:t>
      </w:r>
      <w:r w:rsidRPr="00863FF4">
        <w:rPr>
          <w:rStyle w:val="st"/>
          <w:sz w:val="20"/>
          <w:szCs w:val="20"/>
        </w:rPr>
        <w:t xml:space="preserve"> in tanks. CEIBA </w:t>
      </w:r>
      <w:r w:rsidRPr="00863FF4">
        <w:rPr>
          <w:iCs/>
          <w:sz w:val="20"/>
          <w:szCs w:val="20"/>
        </w:rPr>
        <w:t>1970;</w:t>
      </w:r>
      <w:r w:rsidRPr="00863FF4">
        <w:rPr>
          <w:rStyle w:val="st"/>
          <w:sz w:val="20"/>
          <w:szCs w:val="20"/>
        </w:rPr>
        <w:t>16:35-4</w:t>
      </w:r>
      <w:r w:rsidR="00771716" w:rsidRPr="00863FF4">
        <w:rPr>
          <w:rStyle w:val="st"/>
          <w:sz w:val="20"/>
          <w:szCs w:val="20"/>
        </w:rPr>
        <w:t>3.</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iCs/>
          <w:sz w:val="20"/>
          <w:szCs w:val="20"/>
        </w:rPr>
      </w:pPr>
      <w:proofErr w:type="spellStart"/>
      <w:r w:rsidRPr="00863FF4">
        <w:rPr>
          <w:sz w:val="20"/>
          <w:szCs w:val="20"/>
        </w:rPr>
        <w:t>Mombo</w:t>
      </w:r>
      <w:proofErr w:type="spellEnd"/>
      <w:r w:rsidRPr="00863FF4">
        <w:rPr>
          <w:sz w:val="20"/>
          <w:szCs w:val="20"/>
        </w:rPr>
        <w:t xml:space="preserve"> S, </w:t>
      </w:r>
      <w:proofErr w:type="spellStart"/>
      <w:r w:rsidRPr="00863FF4">
        <w:rPr>
          <w:sz w:val="20"/>
          <w:szCs w:val="20"/>
        </w:rPr>
        <w:t>Dumat</w:t>
      </w:r>
      <w:proofErr w:type="spellEnd"/>
      <w:r w:rsidRPr="00863FF4">
        <w:rPr>
          <w:sz w:val="20"/>
          <w:szCs w:val="20"/>
        </w:rPr>
        <w:t xml:space="preserve"> C, </w:t>
      </w:r>
      <w:proofErr w:type="spellStart"/>
      <w:r w:rsidRPr="00863FF4">
        <w:rPr>
          <w:sz w:val="20"/>
          <w:szCs w:val="20"/>
        </w:rPr>
        <w:t>Shahid</w:t>
      </w:r>
      <w:proofErr w:type="spellEnd"/>
      <w:r w:rsidRPr="00863FF4">
        <w:rPr>
          <w:sz w:val="20"/>
          <w:szCs w:val="20"/>
        </w:rPr>
        <w:t xml:space="preserve"> M. </w:t>
      </w:r>
      <w:proofErr w:type="spellStart"/>
      <w:r w:rsidRPr="00863FF4">
        <w:rPr>
          <w:sz w:val="20"/>
          <w:szCs w:val="20"/>
        </w:rPr>
        <w:t>Schreck</w:t>
      </w:r>
      <w:proofErr w:type="spellEnd"/>
      <w:r w:rsidRPr="00863FF4">
        <w:rPr>
          <w:sz w:val="20"/>
          <w:szCs w:val="20"/>
        </w:rPr>
        <w:t xml:space="preserve"> E. A socio-scientific analysis of the environmental and health benefits as well as potential risks of cassava production and consumption. Environmental Science and Pollution Research, Springer </w:t>
      </w:r>
      <w:proofErr w:type="spellStart"/>
      <w:r w:rsidRPr="00863FF4">
        <w:rPr>
          <w:sz w:val="20"/>
          <w:szCs w:val="20"/>
        </w:rPr>
        <w:t>Verlag</w:t>
      </w:r>
      <w:proofErr w:type="spellEnd"/>
      <w:r w:rsidRPr="00863FF4">
        <w:rPr>
          <w:sz w:val="20"/>
          <w:szCs w:val="20"/>
        </w:rPr>
        <w:t>. 2016;1-15.</w:t>
      </w:r>
    </w:p>
    <w:p w:rsidR="00771716" w:rsidRPr="00863FF4" w:rsidRDefault="00CC05CB" w:rsidP="00771716">
      <w:pPr>
        <w:pStyle w:val="ListParagraph"/>
        <w:numPr>
          <w:ilvl w:val="0"/>
          <w:numId w:val="3"/>
        </w:numPr>
        <w:suppressAutoHyphens w:val="0"/>
        <w:snapToGrid w:val="0"/>
        <w:ind w:left="425" w:firstLineChars="0" w:hanging="425"/>
        <w:jc w:val="both"/>
        <w:rPr>
          <w:sz w:val="20"/>
          <w:szCs w:val="20"/>
        </w:rPr>
      </w:pPr>
      <w:proofErr w:type="spellStart"/>
      <w:r w:rsidRPr="00863FF4">
        <w:rPr>
          <w:sz w:val="20"/>
          <w:szCs w:val="20"/>
        </w:rPr>
        <w:t>Nottidge</w:t>
      </w:r>
      <w:proofErr w:type="spellEnd"/>
      <w:r w:rsidRPr="00863FF4">
        <w:rPr>
          <w:sz w:val="20"/>
          <w:szCs w:val="20"/>
        </w:rPr>
        <w:t xml:space="preserve"> GO, </w:t>
      </w:r>
      <w:proofErr w:type="spellStart"/>
      <w:r w:rsidRPr="00863FF4">
        <w:rPr>
          <w:sz w:val="20"/>
          <w:szCs w:val="20"/>
        </w:rPr>
        <w:t>Ojeiniyi</w:t>
      </w:r>
      <w:proofErr w:type="spellEnd"/>
      <w:r w:rsidRPr="00863FF4">
        <w:rPr>
          <w:sz w:val="20"/>
          <w:szCs w:val="20"/>
        </w:rPr>
        <w:t xml:space="preserve"> SO, </w:t>
      </w:r>
      <w:proofErr w:type="spellStart"/>
      <w:r w:rsidRPr="00863FF4">
        <w:rPr>
          <w:sz w:val="20"/>
          <w:szCs w:val="20"/>
        </w:rPr>
        <w:t>Asawalam</w:t>
      </w:r>
      <w:proofErr w:type="spellEnd"/>
      <w:r w:rsidRPr="00863FF4">
        <w:rPr>
          <w:sz w:val="20"/>
          <w:szCs w:val="20"/>
        </w:rPr>
        <w:t xml:space="preserve"> DO. </w:t>
      </w:r>
      <w:bookmarkStart w:id="0" w:name="528111_ja"/>
      <w:bookmarkEnd w:id="0"/>
      <w:r w:rsidRPr="00863FF4">
        <w:rPr>
          <w:sz w:val="20"/>
          <w:szCs w:val="20"/>
        </w:rPr>
        <w:t xml:space="preserve">Effect of plant residue and NPK fertilizer on soil properties in a humid </w:t>
      </w:r>
      <w:proofErr w:type="spellStart"/>
      <w:r w:rsidRPr="00863FF4">
        <w:rPr>
          <w:sz w:val="20"/>
          <w:szCs w:val="20"/>
        </w:rPr>
        <w:t>Ultisol</w:t>
      </w:r>
      <w:proofErr w:type="spellEnd"/>
      <w:r w:rsidRPr="00863FF4">
        <w:rPr>
          <w:sz w:val="20"/>
          <w:szCs w:val="20"/>
        </w:rPr>
        <w:t>. Nigerian Journal of Soil Science 2005;15:9-1</w:t>
      </w:r>
      <w:r w:rsidR="00771716" w:rsidRPr="00863FF4">
        <w:rPr>
          <w:sz w:val="20"/>
          <w:szCs w:val="20"/>
        </w:rPr>
        <w:t>9.</w:t>
      </w:r>
    </w:p>
    <w:p w:rsidR="00CC05CB" w:rsidRPr="00863FF4" w:rsidRDefault="00CC05CB" w:rsidP="00771716">
      <w:pPr>
        <w:pStyle w:val="ListParagraph"/>
        <w:numPr>
          <w:ilvl w:val="0"/>
          <w:numId w:val="3"/>
        </w:numPr>
        <w:suppressAutoHyphens w:val="0"/>
        <w:snapToGrid w:val="0"/>
        <w:ind w:left="425" w:firstLineChars="0" w:hanging="425"/>
        <w:jc w:val="both"/>
        <w:rPr>
          <w:sz w:val="20"/>
          <w:szCs w:val="20"/>
        </w:rPr>
      </w:pPr>
      <w:proofErr w:type="spellStart"/>
      <w:r w:rsidRPr="00863FF4">
        <w:rPr>
          <w:sz w:val="20"/>
          <w:szCs w:val="20"/>
        </w:rPr>
        <w:t>Ntawuruhunga</w:t>
      </w:r>
      <w:proofErr w:type="spellEnd"/>
      <w:r w:rsidRPr="00863FF4">
        <w:rPr>
          <w:sz w:val="20"/>
          <w:szCs w:val="20"/>
        </w:rPr>
        <w:t xml:space="preserve"> P, Dixon A. Quantitative variation and interrelationship between factors influencing cassava yield. </w:t>
      </w:r>
      <w:r w:rsidRPr="00863FF4">
        <w:rPr>
          <w:iCs/>
          <w:sz w:val="20"/>
          <w:szCs w:val="20"/>
        </w:rPr>
        <w:t>Journal of Applied Biosciences</w:t>
      </w:r>
      <w:r w:rsidRPr="00863FF4">
        <w:rPr>
          <w:sz w:val="20"/>
          <w:szCs w:val="20"/>
        </w:rPr>
        <w:t xml:space="preserve"> 2010;</w:t>
      </w:r>
      <w:r w:rsidRPr="00863FF4">
        <w:rPr>
          <w:bCs/>
          <w:sz w:val="20"/>
          <w:szCs w:val="20"/>
        </w:rPr>
        <w:t>26</w:t>
      </w:r>
      <w:r w:rsidRPr="00863FF4">
        <w:rPr>
          <w:sz w:val="20"/>
          <w:szCs w:val="20"/>
        </w:rPr>
        <w:t>:1594-1602.</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bCs/>
          <w:sz w:val="20"/>
          <w:szCs w:val="20"/>
        </w:rPr>
      </w:pPr>
      <w:proofErr w:type="spellStart"/>
      <w:r w:rsidRPr="00863FF4">
        <w:rPr>
          <w:sz w:val="20"/>
          <w:szCs w:val="20"/>
        </w:rPr>
        <w:t>Obigbesan</w:t>
      </w:r>
      <w:proofErr w:type="spellEnd"/>
      <w:r w:rsidRPr="00863FF4">
        <w:rPr>
          <w:sz w:val="20"/>
          <w:szCs w:val="20"/>
        </w:rPr>
        <w:t xml:space="preserve"> GO, </w:t>
      </w:r>
      <w:proofErr w:type="spellStart"/>
      <w:r w:rsidRPr="00863FF4">
        <w:rPr>
          <w:sz w:val="20"/>
          <w:szCs w:val="20"/>
        </w:rPr>
        <w:t>Agboola</w:t>
      </w:r>
      <w:proofErr w:type="spellEnd"/>
      <w:r w:rsidRPr="00863FF4">
        <w:rPr>
          <w:bCs/>
          <w:sz w:val="20"/>
          <w:szCs w:val="20"/>
        </w:rPr>
        <w:t xml:space="preserve"> </w:t>
      </w:r>
      <w:r w:rsidRPr="00863FF4">
        <w:rPr>
          <w:sz w:val="20"/>
          <w:szCs w:val="20"/>
        </w:rPr>
        <w:t xml:space="preserve">AA. </w:t>
      </w:r>
      <w:r w:rsidRPr="00863FF4">
        <w:rPr>
          <w:bCs/>
          <w:sz w:val="20"/>
          <w:szCs w:val="20"/>
        </w:rPr>
        <w:t>An evaluation of the yield and quality of some Nigerian cassava varieties as affected by age and nitrogen fertilizer application. In Leaky CLA, ed. Proceeding of the 3</w:t>
      </w:r>
      <w:r w:rsidRPr="00863FF4">
        <w:rPr>
          <w:bCs/>
          <w:sz w:val="20"/>
          <w:szCs w:val="20"/>
          <w:vertAlign w:val="superscript"/>
        </w:rPr>
        <w:t>rd</w:t>
      </w:r>
      <w:r w:rsidRPr="00863FF4">
        <w:rPr>
          <w:bCs/>
          <w:sz w:val="20"/>
          <w:szCs w:val="20"/>
        </w:rPr>
        <w:t xml:space="preserve"> International Symposium on Tropical Root Crops. IITA, Ibadan, Nigeria </w:t>
      </w:r>
      <w:r w:rsidRPr="00863FF4">
        <w:rPr>
          <w:sz w:val="20"/>
          <w:szCs w:val="20"/>
        </w:rPr>
        <w:t>1973;</w:t>
      </w:r>
      <w:r w:rsidRPr="00863FF4">
        <w:rPr>
          <w:bCs/>
          <w:sz w:val="20"/>
          <w:szCs w:val="20"/>
        </w:rPr>
        <w:t>53:321-326.</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Odedina</w:t>
      </w:r>
      <w:proofErr w:type="spellEnd"/>
      <w:r w:rsidRPr="00863FF4">
        <w:rPr>
          <w:sz w:val="20"/>
          <w:szCs w:val="20"/>
        </w:rPr>
        <w:t xml:space="preserve"> J, </w:t>
      </w:r>
      <w:proofErr w:type="spellStart"/>
      <w:r w:rsidRPr="00863FF4">
        <w:rPr>
          <w:sz w:val="20"/>
          <w:szCs w:val="20"/>
        </w:rPr>
        <w:t>Ojeniyi</w:t>
      </w:r>
      <w:proofErr w:type="spellEnd"/>
      <w:r w:rsidRPr="00863FF4">
        <w:rPr>
          <w:sz w:val="20"/>
          <w:szCs w:val="20"/>
        </w:rPr>
        <w:t xml:space="preserve"> S, </w:t>
      </w:r>
      <w:proofErr w:type="spellStart"/>
      <w:r w:rsidRPr="00863FF4">
        <w:rPr>
          <w:sz w:val="20"/>
          <w:szCs w:val="20"/>
        </w:rPr>
        <w:t>Odedina</w:t>
      </w:r>
      <w:proofErr w:type="spellEnd"/>
      <w:r w:rsidRPr="00863FF4">
        <w:rPr>
          <w:sz w:val="20"/>
          <w:szCs w:val="20"/>
        </w:rPr>
        <w:t xml:space="preserve"> S, </w:t>
      </w:r>
      <w:proofErr w:type="spellStart"/>
      <w:r w:rsidRPr="00863FF4">
        <w:rPr>
          <w:sz w:val="20"/>
          <w:szCs w:val="20"/>
        </w:rPr>
        <w:t>Fabunmi</w:t>
      </w:r>
      <w:proofErr w:type="spellEnd"/>
      <w:r w:rsidRPr="00863FF4">
        <w:rPr>
          <w:sz w:val="20"/>
          <w:szCs w:val="20"/>
        </w:rPr>
        <w:t xml:space="preserve"> T, </w:t>
      </w:r>
      <w:proofErr w:type="spellStart"/>
      <w:r w:rsidRPr="00863FF4">
        <w:rPr>
          <w:sz w:val="20"/>
          <w:szCs w:val="20"/>
        </w:rPr>
        <w:t>Olowe</w:t>
      </w:r>
      <w:proofErr w:type="spellEnd"/>
      <w:r w:rsidRPr="00863FF4">
        <w:rPr>
          <w:sz w:val="20"/>
          <w:szCs w:val="20"/>
        </w:rPr>
        <w:t xml:space="preserve"> V. Growth and yield responses of cassava </w:t>
      </w:r>
      <w:r w:rsidRPr="00863FF4">
        <w:rPr>
          <w:sz w:val="20"/>
          <w:szCs w:val="20"/>
        </w:rPr>
        <w:lastRenderedPageBreak/>
        <w:t xml:space="preserve">to poultry manure and time of harvest in rainforest Agro-Ecological Zone of Nigeria. </w:t>
      </w:r>
      <w:r w:rsidRPr="00863FF4">
        <w:rPr>
          <w:iCs/>
          <w:sz w:val="20"/>
          <w:szCs w:val="20"/>
        </w:rPr>
        <w:t>International Journal of Agricultural Sciences and Natural Resources</w:t>
      </w:r>
      <w:r w:rsidRPr="00863FF4">
        <w:rPr>
          <w:sz w:val="20"/>
          <w:szCs w:val="20"/>
        </w:rPr>
        <w:t xml:space="preserve"> 2015;2(3):67-72.</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Ojeniyi</w:t>
      </w:r>
      <w:proofErr w:type="spellEnd"/>
      <w:r w:rsidRPr="00863FF4">
        <w:rPr>
          <w:sz w:val="20"/>
          <w:szCs w:val="20"/>
        </w:rPr>
        <w:t xml:space="preserve"> SO, Ezekiel PO, </w:t>
      </w:r>
      <w:proofErr w:type="spellStart"/>
      <w:r w:rsidRPr="00863FF4">
        <w:rPr>
          <w:sz w:val="20"/>
          <w:szCs w:val="20"/>
        </w:rPr>
        <w:t>Asawalam</w:t>
      </w:r>
      <w:proofErr w:type="spellEnd"/>
      <w:r w:rsidRPr="00863FF4">
        <w:rPr>
          <w:sz w:val="20"/>
          <w:szCs w:val="20"/>
        </w:rPr>
        <w:t xml:space="preserve"> DO, </w:t>
      </w:r>
      <w:proofErr w:type="spellStart"/>
      <w:r w:rsidRPr="00863FF4">
        <w:rPr>
          <w:sz w:val="20"/>
          <w:szCs w:val="20"/>
        </w:rPr>
        <w:t>Awo</w:t>
      </w:r>
      <w:proofErr w:type="spellEnd"/>
      <w:r w:rsidRPr="00863FF4">
        <w:rPr>
          <w:sz w:val="20"/>
          <w:szCs w:val="20"/>
        </w:rPr>
        <w:t xml:space="preserve"> AO, </w:t>
      </w:r>
      <w:proofErr w:type="spellStart"/>
      <w:r w:rsidRPr="00863FF4">
        <w:rPr>
          <w:sz w:val="20"/>
          <w:szCs w:val="20"/>
        </w:rPr>
        <w:t>Odedina</w:t>
      </w:r>
      <w:proofErr w:type="spellEnd"/>
      <w:r w:rsidRPr="00863FF4">
        <w:rPr>
          <w:sz w:val="20"/>
          <w:szCs w:val="20"/>
        </w:rPr>
        <w:t xml:space="preserve"> SA, </w:t>
      </w:r>
      <w:proofErr w:type="spellStart"/>
      <w:r w:rsidRPr="00863FF4">
        <w:rPr>
          <w:sz w:val="20"/>
          <w:szCs w:val="20"/>
        </w:rPr>
        <w:t>Odedina</w:t>
      </w:r>
      <w:proofErr w:type="spellEnd"/>
      <w:r w:rsidRPr="00863FF4">
        <w:rPr>
          <w:sz w:val="20"/>
          <w:szCs w:val="20"/>
        </w:rPr>
        <w:t xml:space="preserve"> JN. Root growth and NPK Status of cassava as influenced by oil palm bunch ash. African Journal of Biotechnology 2009;8(18):4407-4412.</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Ojeniyi</w:t>
      </w:r>
      <w:proofErr w:type="spellEnd"/>
      <w:r w:rsidRPr="00863FF4">
        <w:rPr>
          <w:sz w:val="20"/>
          <w:szCs w:val="20"/>
        </w:rPr>
        <w:t xml:space="preserve"> SO, </w:t>
      </w:r>
      <w:proofErr w:type="spellStart"/>
      <w:r w:rsidRPr="00863FF4">
        <w:rPr>
          <w:sz w:val="20"/>
          <w:szCs w:val="20"/>
        </w:rPr>
        <w:t>Ikotun</w:t>
      </w:r>
      <w:proofErr w:type="spellEnd"/>
      <w:r w:rsidRPr="00863FF4">
        <w:rPr>
          <w:sz w:val="20"/>
          <w:szCs w:val="20"/>
        </w:rPr>
        <w:t xml:space="preserve"> O, </w:t>
      </w:r>
      <w:proofErr w:type="spellStart"/>
      <w:r w:rsidRPr="00863FF4">
        <w:rPr>
          <w:sz w:val="20"/>
          <w:szCs w:val="20"/>
        </w:rPr>
        <w:t>Adejoro</w:t>
      </w:r>
      <w:proofErr w:type="spellEnd"/>
      <w:r w:rsidRPr="00863FF4">
        <w:rPr>
          <w:sz w:val="20"/>
          <w:szCs w:val="20"/>
        </w:rPr>
        <w:t xml:space="preserve"> SA, </w:t>
      </w:r>
      <w:proofErr w:type="spellStart"/>
      <w:r w:rsidRPr="00863FF4">
        <w:rPr>
          <w:sz w:val="20"/>
          <w:szCs w:val="20"/>
        </w:rPr>
        <w:t>Amusan</w:t>
      </w:r>
      <w:proofErr w:type="spellEnd"/>
      <w:r w:rsidRPr="00863FF4">
        <w:rPr>
          <w:sz w:val="20"/>
          <w:szCs w:val="20"/>
        </w:rPr>
        <w:t xml:space="preserve"> O. </w:t>
      </w:r>
      <w:r w:rsidRPr="00863FF4">
        <w:rPr>
          <w:bCs/>
          <w:sz w:val="20"/>
          <w:szCs w:val="20"/>
        </w:rPr>
        <w:t>Soil plant nutrients composition, growth and yield of cassava as influenced by integrated application of NPK fertilizer and poultry manure.</w:t>
      </w:r>
      <w:r w:rsidRPr="00863FF4">
        <w:rPr>
          <w:sz w:val="20"/>
          <w:szCs w:val="20"/>
        </w:rPr>
        <w:t xml:space="preserve"> New York Science Journal 2012;5(9):62-68.</w:t>
      </w:r>
    </w:p>
    <w:p w:rsidR="00771716"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bCs/>
          <w:sz w:val="20"/>
          <w:szCs w:val="20"/>
        </w:rPr>
      </w:pPr>
      <w:r w:rsidRPr="00863FF4">
        <w:rPr>
          <w:bCs/>
          <w:sz w:val="20"/>
          <w:szCs w:val="20"/>
        </w:rPr>
        <w:t xml:space="preserve">Page AL, Miller RH, Keeney DR. </w:t>
      </w:r>
      <w:r w:rsidRPr="00863FF4">
        <w:rPr>
          <w:sz w:val="20"/>
          <w:szCs w:val="20"/>
        </w:rPr>
        <w:t xml:space="preserve">Methods of Soil Analysis. American Society of Agronomy, Madison, Wisconsin, USA. </w:t>
      </w:r>
      <w:r w:rsidRPr="00863FF4">
        <w:rPr>
          <w:bCs/>
          <w:sz w:val="20"/>
          <w:szCs w:val="20"/>
        </w:rPr>
        <w:t>1982</w:t>
      </w:r>
      <w:r w:rsidR="00771716" w:rsidRPr="00863FF4">
        <w:rPr>
          <w:bCs/>
          <w:sz w:val="20"/>
          <w:szCs w:val="20"/>
        </w:rPr>
        <w:t>;.</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Putthacharoen</w:t>
      </w:r>
      <w:proofErr w:type="spellEnd"/>
      <w:r w:rsidRPr="00863FF4">
        <w:rPr>
          <w:sz w:val="20"/>
          <w:szCs w:val="20"/>
        </w:rPr>
        <w:t xml:space="preserve"> S, </w:t>
      </w:r>
      <w:proofErr w:type="spellStart"/>
      <w:r w:rsidRPr="00863FF4">
        <w:rPr>
          <w:sz w:val="20"/>
          <w:szCs w:val="20"/>
        </w:rPr>
        <w:t>Howeler</w:t>
      </w:r>
      <w:proofErr w:type="spellEnd"/>
      <w:r w:rsidRPr="00863FF4">
        <w:rPr>
          <w:sz w:val="20"/>
          <w:szCs w:val="20"/>
        </w:rPr>
        <w:t xml:space="preserve"> RH, </w:t>
      </w:r>
      <w:proofErr w:type="spellStart"/>
      <w:r w:rsidRPr="00863FF4">
        <w:rPr>
          <w:sz w:val="20"/>
          <w:szCs w:val="20"/>
        </w:rPr>
        <w:t>Jantawat</w:t>
      </w:r>
      <w:proofErr w:type="spellEnd"/>
      <w:r w:rsidRPr="00863FF4">
        <w:rPr>
          <w:sz w:val="20"/>
          <w:szCs w:val="20"/>
        </w:rPr>
        <w:t xml:space="preserve"> S, </w:t>
      </w:r>
      <w:proofErr w:type="spellStart"/>
      <w:r w:rsidRPr="00863FF4">
        <w:rPr>
          <w:sz w:val="20"/>
          <w:szCs w:val="20"/>
        </w:rPr>
        <w:t>Vichukit</w:t>
      </w:r>
      <w:proofErr w:type="spellEnd"/>
      <w:r w:rsidRPr="00863FF4">
        <w:rPr>
          <w:sz w:val="20"/>
          <w:szCs w:val="20"/>
        </w:rPr>
        <w:t xml:space="preserve"> V. Nutrient uptake and soil erosion losses in cassava and six other crops in a </w:t>
      </w:r>
      <w:proofErr w:type="spellStart"/>
      <w:r w:rsidRPr="00863FF4">
        <w:rPr>
          <w:sz w:val="20"/>
          <w:szCs w:val="20"/>
        </w:rPr>
        <w:t>Psamment</w:t>
      </w:r>
      <w:proofErr w:type="spellEnd"/>
      <w:r w:rsidRPr="00863FF4">
        <w:rPr>
          <w:sz w:val="20"/>
          <w:szCs w:val="20"/>
        </w:rPr>
        <w:t xml:space="preserve"> in eastern Thailand. Field Crops Research 1998;57:113-126. </w:t>
      </w:r>
    </w:p>
    <w:p w:rsidR="00CC05CB" w:rsidRPr="00863FF4" w:rsidRDefault="00CC05CB" w:rsidP="00771716">
      <w:pPr>
        <w:pStyle w:val="Heading2"/>
        <w:keepNext w:val="0"/>
        <w:keepLines w:val="0"/>
        <w:numPr>
          <w:ilvl w:val="0"/>
          <w:numId w:val="3"/>
        </w:numPr>
        <w:suppressAutoHyphens w:val="0"/>
        <w:snapToGrid w:val="0"/>
        <w:spacing w:before="0"/>
        <w:ind w:left="425" w:hanging="425"/>
        <w:jc w:val="both"/>
        <w:rPr>
          <w:rFonts w:ascii="Times New Roman" w:hAnsi="Times New Roman" w:cs="Times New Roman"/>
          <w:b w:val="0"/>
          <w:color w:val="auto"/>
          <w:sz w:val="20"/>
          <w:szCs w:val="20"/>
        </w:rPr>
      </w:pPr>
      <w:proofErr w:type="spellStart"/>
      <w:r w:rsidRPr="00863FF4">
        <w:rPr>
          <w:rFonts w:ascii="Times New Roman" w:hAnsi="Times New Roman" w:cs="Times New Roman"/>
          <w:b w:val="0"/>
          <w:bCs w:val="0"/>
          <w:color w:val="auto"/>
          <w:sz w:val="20"/>
          <w:szCs w:val="20"/>
        </w:rPr>
        <w:t>Rao</w:t>
      </w:r>
      <w:proofErr w:type="spellEnd"/>
      <w:r w:rsidRPr="00863FF4">
        <w:rPr>
          <w:rFonts w:ascii="Times New Roman" w:hAnsi="Times New Roman" w:cs="Times New Roman"/>
          <w:b w:val="0"/>
          <w:bCs w:val="0"/>
          <w:color w:val="auto"/>
          <w:sz w:val="20"/>
          <w:szCs w:val="20"/>
        </w:rPr>
        <w:t xml:space="preserve"> BB, Ashok P, </w:t>
      </w:r>
      <w:proofErr w:type="spellStart"/>
      <w:r w:rsidRPr="00863FF4">
        <w:rPr>
          <w:rFonts w:ascii="Times New Roman" w:hAnsi="Times New Roman" w:cs="Times New Roman"/>
          <w:b w:val="0"/>
          <w:bCs w:val="0"/>
          <w:color w:val="auto"/>
          <w:sz w:val="20"/>
          <w:szCs w:val="20"/>
        </w:rPr>
        <w:t>Ramanandam</w:t>
      </w:r>
      <w:proofErr w:type="spellEnd"/>
      <w:r w:rsidRPr="00863FF4">
        <w:rPr>
          <w:rFonts w:ascii="Times New Roman" w:hAnsi="Times New Roman" w:cs="Times New Roman"/>
          <w:b w:val="0"/>
          <w:bCs w:val="0"/>
          <w:color w:val="auto"/>
          <w:sz w:val="20"/>
          <w:szCs w:val="20"/>
        </w:rPr>
        <w:t xml:space="preserve"> G, </w:t>
      </w:r>
      <w:proofErr w:type="spellStart"/>
      <w:r w:rsidRPr="00863FF4">
        <w:rPr>
          <w:rFonts w:ascii="Times New Roman" w:hAnsi="Times New Roman" w:cs="Times New Roman"/>
          <w:b w:val="0"/>
          <w:bCs w:val="0"/>
          <w:color w:val="auto"/>
          <w:sz w:val="20"/>
          <w:szCs w:val="20"/>
        </w:rPr>
        <w:t>Sasikala</w:t>
      </w:r>
      <w:proofErr w:type="spellEnd"/>
      <w:r w:rsidRPr="00863FF4">
        <w:rPr>
          <w:rFonts w:ascii="Times New Roman" w:hAnsi="Times New Roman" w:cs="Times New Roman"/>
          <w:b w:val="0"/>
          <w:bCs w:val="0"/>
          <w:color w:val="auto"/>
          <w:sz w:val="20"/>
          <w:szCs w:val="20"/>
        </w:rPr>
        <w:t xml:space="preserve"> K. Trait Association and path coefficient analyses in cassava. International Journal of Vegetable Science</w:t>
      </w:r>
      <w:r w:rsidRPr="00863FF4">
        <w:rPr>
          <w:rFonts w:ascii="Times New Roman" w:hAnsi="Times New Roman" w:cs="Times New Roman"/>
          <w:b w:val="0"/>
          <w:color w:val="auto"/>
          <w:sz w:val="20"/>
          <w:szCs w:val="20"/>
        </w:rPr>
        <w:t xml:space="preserve"> </w:t>
      </w:r>
      <w:r w:rsidRPr="00863FF4">
        <w:rPr>
          <w:rFonts w:ascii="Times New Roman" w:hAnsi="Times New Roman" w:cs="Times New Roman"/>
          <w:b w:val="0"/>
          <w:bCs w:val="0"/>
          <w:color w:val="auto"/>
          <w:sz w:val="20"/>
          <w:szCs w:val="20"/>
        </w:rPr>
        <w:t>2015;</w:t>
      </w:r>
      <w:r w:rsidRPr="00863FF4">
        <w:rPr>
          <w:rFonts w:ascii="Times New Roman" w:hAnsi="Times New Roman" w:cs="Times New Roman"/>
          <w:b w:val="0"/>
          <w:color w:val="auto"/>
          <w:sz w:val="20"/>
          <w:szCs w:val="20"/>
        </w:rPr>
        <w:t>21(4):402-415.</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Umeh</w:t>
      </w:r>
      <w:proofErr w:type="spellEnd"/>
      <w:r w:rsidRPr="00863FF4">
        <w:rPr>
          <w:sz w:val="20"/>
          <w:szCs w:val="20"/>
        </w:rPr>
        <w:t xml:space="preserve"> SI, </w:t>
      </w:r>
      <w:proofErr w:type="spellStart"/>
      <w:r w:rsidRPr="00863FF4">
        <w:rPr>
          <w:sz w:val="20"/>
          <w:szCs w:val="20"/>
        </w:rPr>
        <w:t>Mbah</w:t>
      </w:r>
      <w:proofErr w:type="spellEnd"/>
      <w:r w:rsidRPr="00863FF4">
        <w:rPr>
          <w:sz w:val="20"/>
          <w:szCs w:val="20"/>
        </w:rPr>
        <w:t xml:space="preserve"> BN. Intercrop performance of different varieties of soybean (</w:t>
      </w:r>
      <w:proofErr w:type="spellStart"/>
      <w:r w:rsidRPr="00863FF4">
        <w:rPr>
          <w:sz w:val="20"/>
          <w:szCs w:val="20"/>
        </w:rPr>
        <w:t>Glycine</w:t>
      </w:r>
      <w:proofErr w:type="spellEnd"/>
      <w:r w:rsidRPr="00863FF4">
        <w:rPr>
          <w:sz w:val="20"/>
          <w:szCs w:val="20"/>
        </w:rPr>
        <w:t xml:space="preserve"> Max. (L) </w:t>
      </w:r>
      <w:proofErr w:type="spellStart"/>
      <w:r w:rsidRPr="00863FF4">
        <w:rPr>
          <w:sz w:val="20"/>
          <w:szCs w:val="20"/>
        </w:rPr>
        <w:t>Merril</w:t>
      </w:r>
      <w:proofErr w:type="spellEnd"/>
      <w:r w:rsidRPr="00863FF4">
        <w:rPr>
          <w:sz w:val="20"/>
          <w:szCs w:val="20"/>
        </w:rPr>
        <w:t>) in a cassava (</w:t>
      </w:r>
      <w:proofErr w:type="spellStart"/>
      <w:r w:rsidRPr="00863FF4">
        <w:rPr>
          <w:sz w:val="20"/>
          <w:szCs w:val="20"/>
        </w:rPr>
        <w:t>Manihot</w:t>
      </w:r>
      <w:proofErr w:type="spellEnd"/>
      <w:r w:rsidRPr="00863FF4">
        <w:rPr>
          <w:sz w:val="20"/>
          <w:szCs w:val="20"/>
        </w:rPr>
        <w:t xml:space="preserve"> </w:t>
      </w:r>
      <w:proofErr w:type="spellStart"/>
      <w:r w:rsidRPr="00863FF4">
        <w:rPr>
          <w:sz w:val="20"/>
          <w:szCs w:val="20"/>
        </w:rPr>
        <w:t>escienceulenta</w:t>
      </w:r>
      <w:proofErr w:type="spellEnd"/>
      <w:r w:rsidRPr="00863FF4">
        <w:rPr>
          <w:sz w:val="20"/>
          <w:szCs w:val="20"/>
        </w:rPr>
        <w:t xml:space="preserve"> </w:t>
      </w:r>
      <w:proofErr w:type="spellStart"/>
      <w:r w:rsidRPr="00863FF4">
        <w:rPr>
          <w:sz w:val="20"/>
          <w:szCs w:val="20"/>
        </w:rPr>
        <w:t>Crantz</w:t>
      </w:r>
      <w:proofErr w:type="spellEnd"/>
      <w:r w:rsidRPr="00863FF4">
        <w:rPr>
          <w:sz w:val="20"/>
          <w:szCs w:val="20"/>
        </w:rPr>
        <w:t xml:space="preserve">) based cropping system within the derived savannah zone. African Journal of Biotechnology 2010;9(50):8636-8642. </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Uwah</w:t>
      </w:r>
      <w:proofErr w:type="spellEnd"/>
      <w:r w:rsidRPr="00863FF4">
        <w:rPr>
          <w:sz w:val="20"/>
          <w:szCs w:val="20"/>
        </w:rPr>
        <w:t xml:space="preserve"> DF, </w:t>
      </w:r>
      <w:proofErr w:type="spellStart"/>
      <w:r w:rsidRPr="00863FF4">
        <w:rPr>
          <w:sz w:val="20"/>
          <w:szCs w:val="20"/>
        </w:rPr>
        <w:t>Effa</w:t>
      </w:r>
      <w:proofErr w:type="spellEnd"/>
      <w:r w:rsidRPr="00863FF4">
        <w:rPr>
          <w:sz w:val="20"/>
          <w:szCs w:val="20"/>
        </w:rPr>
        <w:t xml:space="preserve"> EB, </w:t>
      </w:r>
      <w:proofErr w:type="spellStart"/>
      <w:r w:rsidRPr="00863FF4">
        <w:rPr>
          <w:sz w:val="20"/>
          <w:szCs w:val="20"/>
        </w:rPr>
        <w:t>Ekpenyong</w:t>
      </w:r>
      <w:proofErr w:type="spellEnd"/>
      <w:r w:rsidRPr="00863FF4">
        <w:rPr>
          <w:sz w:val="20"/>
          <w:szCs w:val="20"/>
        </w:rPr>
        <w:t xml:space="preserve"> LE, </w:t>
      </w:r>
      <w:proofErr w:type="spellStart"/>
      <w:r w:rsidRPr="00863FF4">
        <w:rPr>
          <w:sz w:val="20"/>
          <w:szCs w:val="20"/>
        </w:rPr>
        <w:t>Akpan</w:t>
      </w:r>
      <w:proofErr w:type="spellEnd"/>
      <w:r w:rsidRPr="00863FF4">
        <w:rPr>
          <w:bCs/>
          <w:sz w:val="20"/>
          <w:szCs w:val="20"/>
        </w:rPr>
        <w:t xml:space="preserve"> </w:t>
      </w:r>
      <w:r w:rsidRPr="00863FF4">
        <w:rPr>
          <w:sz w:val="20"/>
          <w:szCs w:val="20"/>
        </w:rPr>
        <w:t xml:space="preserve">IE. </w:t>
      </w:r>
      <w:r w:rsidRPr="00863FF4">
        <w:rPr>
          <w:bCs/>
          <w:sz w:val="20"/>
          <w:szCs w:val="20"/>
        </w:rPr>
        <w:t>The cassava (</w:t>
      </w:r>
      <w:proofErr w:type="spellStart"/>
      <w:r w:rsidRPr="00863FF4">
        <w:rPr>
          <w:bCs/>
          <w:iCs/>
          <w:sz w:val="20"/>
          <w:szCs w:val="20"/>
        </w:rPr>
        <w:t>Manihot</w:t>
      </w:r>
      <w:proofErr w:type="spellEnd"/>
      <w:r w:rsidRPr="00863FF4">
        <w:rPr>
          <w:bCs/>
          <w:iCs/>
          <w:sz w:val="20"/>
          <w:szCs w:val="20"/>
        </w:rPr>
        <w:t xml:space="preserve"> </w:t>
      </w:r>
      <w:proofErr w:type="spellStart"/>
      <w:r w:rsidRPr="00863FF4">
        <w:rPr>
          <w:bCs/>
          <w:iCs/>
          <w:sz w:val="20"/>
          <w:szCs w:val="20"/>
        </w:rPr>
        <w:t>esculenta</w:t>
      </w:r>
      <w:proofErr w:type="spellEnd"/>
      <w:r w:rsidRPr="00863FF4">
        <w:rPr>
          <w:bCs/>
          <w:iCs/>
          <w:sz w:val="20"/>
          <w:szCs w:val="20"/>
        </w:rPr>
        <w:t xml:space="preserve"> </w:t>
      </w:r>
      <w:proofErr w:type="spellStart"/>
      <w:r w:rsidRPr="00863FF4">
        <w:rPr>
          <w:bCs/>
          <w:iCs/>
          <w:sz w:val="20"/>
          <w:szCs w:val="20"/>
        </w:rPr>
        <w:t>Crantz</w:t>
      </w:r>
      <w:proofErr w:type="spellEnd"/>
      <w:r w:rsidRPr="00863FF4">
        <w:rPr>
          <w:bCs/>
          <w:iCs/>
          <w:sz w:val="20"/>
          <w:szCs w:val="20"/>
        </w:rPr>
        <w:t xml:space="preserve">) </w:t>
      </w:r>
      <w:r w:rsidRPr="00863FF4">
        <w:rPr>
          <w:bCs/>
          <w:sz w:val="20"/>
          <w:szCs w:val="20"/>
        </w:rPr>
        <w:t xml:space="preserve">performance as influenced by nitrogen and potassium fertilizers in </w:t>
      </w:r>
      <w:proofErr w:type="spellStart"/>
      <w:r w:rsidRPr="00863FF4">
        <w:rPr>
          <w:bCs/>
          <w:sz w:val="20"/>
          <w:szCs w:val="20"/>
        </w:rPr>
        <w:t>Uyo</w:t>
      </w:r>
      <w:proofErr w:type="spellEnd"/>
      <w:r w:rsidRPr="00863FF4">
        <w:rPr>
          <w:bCs/>
          <w:sz w:val="20"/>
          <w:szCs w:val="20"/>
        </w:rPr>
        <w:t>, Nigeria. Journal of Animal and Plant Sciences 2013;23(2):550-555.</w:t>
      </w:r>
      <w:r w:rsidRPr="00863FF4">
        <w:rPr>
          <w:sz w:val="20"/>
          <w:szCs w:val="20"/>
        </w:rPr>
        <w:t xml:space="preserve"> </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Walkley</w:t>
      </w:r>
      <w:proofErr w:type="spellEnd"/>
      <w:r w:rsidRPr="00863FF4">
        <w:rPr>
          <w:sz w:val="20"/>
          <w:szCs w:val="20"/>
        </w:rPr>
        <w:t xml:space="preserve"> A, Black IA. An examination of </w:t>
      </w:r>
      <w:proofErr w:type="spellStart"/>
      <w:r w:rsidRPr="00863FF4">
        <w:rPr>
          <w:sz w:val="20"/>
          <w:szCs w:val="20"/>
        </w:rPr>
        <w:t>Degtjareff</w:t>
      </w:r>
      <w:proofErr w:type="spellEnd"/>
      <w:r w:rsidRPr="00863FF4">
        <w:rPr>
          <w:sz w:val="20"/>
          <w:szCs w:val="20"/>
        </w:rPr>
        <w:t xml:space="preserve"> method for determining soil organic matter and a proposed modification of the chromic acid titration method. Soil Science 1934;37:29-37.</w:t>
      </w:r>
    </w:p>
    <w:p w:rsidR="00CC05CB" w:rsidRPr="00863FF4" w:rsidRDefault="00CC05CB" w:rsidP="00771716">
      <w:pPr>
        <w:pStyle w:val="ListParagraph"/>
        <w:numPr>
          <w:ilvl w:val="0"/>
          <w:numId w:val="3"/>
        </w:numPr>
        <w:suppressAutoHyphens w:val="0"/>
        <w:autoSpaceDE w:val="0"/>
        <w:autoSpaceDN w:val="0"/>
        <w:adjustRightInd w:val="0"/>
        <w:snapToGrid w:val="0"/>
        <w:ind w:left="425" w:firstLineChars="0" w:hanging="425"/>
        <w:jc w:val="both"/>
        <w:rPr>
          <w:sz w:val="20"/>
          <w:szCs w:val="20"/>
        </w:rPr>
      </w:pPr>
      <w:proofErr w:type="spellStart"/>
      <w:r w:rsidRPr="00863FF4">
        <w:rPr>
          <w:sz w:val="20"/>
          <w:szCs w:val="20"/>
        </w:rPr>
        <w:t>Wanapat</w:t>
      </w:r>
      <w:proofErr w:type="spellEnd"/>
      <w:r w:rsidRPr="00863FF4">
        <w:rPr>
          <w:sz w:val="20"/>
          <w:szCs w:val="20"/>
        </w:rPr>
        <w:t xml:space="preserve"> M, </w:t>
      </w:r>
      <w:proofErr w:type="spellStart"/>
      <w:r w:rsidRPr="00863FF4">
        <w:rPr>
          <w:sz w:val="20"/>
          <w:szCs w:val="20"/>
        </w:rPr>
        <w:t>Pimpa</w:t>
      </w:r>
      <w:proofErr w:type="spellEnd"/>
      <w:r w:rsidRPr="00863FF4">
        <w:rPr>
          <w:sz w:val="20"/>
          <w:szCs w:val="20"/>
        </w:rPr>
        <w:t xml:space="preserve"> O, </w:t>
      </w:r>
      <w:proofErr w:type="spellStart"/>
      <w:r w:rsidRPr="00863FF4">
        <w:rPr>
          <w:sz w:val="20"/>
          <w:szCs w:val="20"/>
        </w:rPr>
        <w:t>Siphuak</w:t>
      </w:r>
      <w:proofErr w:type="spellEnd"/>
      <w:r w:rsidRPr="00863FF4">
        <w:rPr>
          <w:sz w:val="20"/>
          <w:szCs w:val="20"/>
        </w:rPr>
        <w:t xml:space="preserve"> W, </w:t>
      </w:r>
      <w:proofErr w:type="spellStart"/>
      <w:r w:rsidRPr="00863FF4">
        <w:rPr>
          <w:sz w:val="20"/>
          <w:szCs w:val="20"/>
        </w:rPr>
        <w:t>Puramongkon</w:t>
      </w:r>
      <w:proofErr w:type="spellEnd"/>
      <w:r w:rsidRPr="00863FF4">
        <w:rPr>
          <w:sz w:val="20"/>
          <w:szCs w:val="20"/>
        </w:rPr>
        <w:t xml:space="preserve"> T, </w:t>
      </w:r>
      <w:proofErr w:type="spellStart"/>
      <w:r w:rsidRPr="00863FF4">
        <w:rPr>
          <w:sz w:val="20"/>
          <w:szCs w:val="20"/>
        </w:rPr>
        <w:t>Petlum</w:t>
      </w:r>
      <w:proofErr w:type="spellEnd"/>
      <w:r w:rsidRPr="00863FF4">
        <w:rPr>
          <w:sz w:val="20"/>
          <w:szCs w:val="20"/>
        </w:rPr>
        <w:t xml:space="preserve"> A, </w:t>
      </w:r>
      <w:proofErr w:type="spellStart"/>
      <w:r w:rsidRPr="00863FF4">
        <w:rPr>
          <w:sz w:val="20"/>
          <w:szCs w:val="20"/>
        </w:rPr>
        <w:t>Boontao</w:t>
      </w:r>
      <w:proofErr w:type="spellEnd"/>
      <w:r w:rsidRPr="00863FF4">
        <w:rPr>
          <w:sz w:val="20"/>
          <w:szCs w:val="20"/>
        </w:rPr>
        <w:t xml:space="preserve"> U, </w:t>
      </w:r>
      <w:proofErr w:type="spellStart"/>
      <w:r w:rsidRPr="00863FF4">
        <w:rPr>
          <w:sz w:val="20"/>
          <w:szCs w:val="20"/>
        </w:rPr>
        <w:t>Wachirapakorn</w:t>
      </w:r>
      <w:proofErr w:type="spellEnd"/>
      <w:r w:rsidRPr="00863FF4">
        <w:rPr>
          <w:sz w:val="20"/>
          <w:szCs w:val="20"/>
        </w:rPr>
        <w:t xml:space="preserve"> C, </w:t>
      </w:r>
      <w:proofErr w:type="spellStart"/>
      <w:r w:rsidRPr="00863FF4">
        <w:rPr>
          <w:sz w:val="20"/>
          <w:szCs w:val="20"/>
        </w:rPr>
        <w:t>Sommart</w:t>
      </w:r>
      <w:proofErr w:type="spellEnd"/>
      <w:r w:rsidRPr="00863FF4">
        <w:rPr>
          <w:sz w:val="20"/>
          <w:szCs w:val="20"/>
        </w:rPr>
        <w:t xml:space="preserve"> K. Cassava hay: an important on-farm feed for ruminants. In: </w:t>
      </w:r>
      <w:proofErr w:type="spellStart"/>
      <w:r w:rsidRPr="00863FF4">
        <w:rPr>
          <w:sz w:val="20"/>
          <w:szCs w:val="20"/>
        </w:rPr>
        <w:t>Brooker</w:t>
      </w:r>
      <w:proofErr w:type="spellEnd"/>
      <w:r w:rsidRPr="00863FF4">
        <w:rPr>
          <w:sz w:val="20"/>
          <w:szCs w:val="20"/>
        </w:rPr>
        <w:t xml:space="preserve"> JD, ed. International Workshop on Tannins in Livestock and Human </w:t>
      </w:r>
      <w:proofErr w:type="spellStart"/>
      <w:r w:rsidRPr="00863FF4">
        <w:rPr>
          <w:sz w:val="20"/>
          <w:szCs w:val="20"/>
        </w:rPr>
        <w:t>Nurition</w:t>
      </w:r>
      <w:proofErr w:type="spellEnd"/>
      <w:r w:rsidRPr="00863FF4">
        <w:rPr>
          <w:sz w:val="20"/>
          <w:szCs w:val="20"/>
        </w:rPr>
        <w:t>. ACIAR Proceeding No. 92. 2000;71-74.</w:t>
      </w:r>
    </w:p>
    <w:p w:rsidR="00771716" w:rsidRPr="00863FF4" w:rsidRDefault="00771716" w:rsidP="00771716">
      <w:pPr>
        <w:suppressAutoHyphens w:val="0"/>
        <w:snapToGrid w:val="0"/>
        <w:ind w:left="425" w:hanging="425"/>
        <w:jc w:val="both"/>
        <w:rPr>
          <w:sz w:val="20"/>
          <w:szCs w:val="20"/>
          <w:lang w:eastAsia="zh-CN"/>
        </w:rPr>
        <w:sectPr w:rsidR="00771716" w:rsidRPr="00863FF4" w:rsidSect="00771716">
          <w:type w:val="continuous"/>
          <w:pgSz w:w="12242" w:h="15842" w:code="1"/>
          <w:pgMar w:top="1440" w:right="1440" w:bottom="1440" w:left="1440" w:header="720" w:footer="720" w:gutter="0"/>
          <w:cols w:num="2" w:space="600"/>
          <w:docGrid w:linePitch="360"/>
        </w:sectPr>
      </w:pPr>
    </w:p>
    <w:p w:rsidR="004D4963" w:rsidRPr="00863FF4" w:rsidRDefault="004D4963" w:rsidP="00771716">
      <w:pPr>
        <w:suppressAutoHyphens w:val="0"/>
        <w:snapToGrid w:val="0"/>
        <w:ind w:left="425" w:hanging="425"/>
        <w:jc w:val="both"/>
        <w:rPr>
          <w:sz w:val="20"/>
          <w:szCs w:val="20"/>
          <w:lang w:eastAsia="zh-CN"/>
        </w:rPr>
      </w:pPr>
    </w:p>
    <w:p w:rsidR="004D4963" w:rsidRPr="00863FF4" w:rsidRDefault="00CC05CB" w:rsidP="00863FF4">
      <w:pPr>
        <w:suppressAutoHyphens w:val="0"/>
        <w:snapToGrid w:val="0"/>
        <w:jc w:val="both"/>
        <w:rPr>
          <w:sz w:val="20"/>
          <w:szCs w:val="20"/>
        </w:rPr>
      </w:pPr>
      <w:r w:rsidRPr="00863FF4">
        <w:rPr>
          <w:sz w:val="20"/>
          <w:szCs w:val="20"/>
        </w:rPr>
        <w:t>1/10/2019</w:t>
      </w:r>
    </w:p>
    <w:sectPr w:rsidR="004D4963" w:rsidRPr="00863FF4" w:rsidSect="00CC05C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E3" w:rsidRDefault="001830E3" w:rsidP="00A60870">
      <w:r>
        <w:separator/>
      </w:r>
    </w:p>
  </w:endnote>
  <w:endnote w:type="continuationSeparator" w:id="0">
    <w:p w:rsidR="001830E3" w:rsidRDefault="001830E3" w:rsidP="00A60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C3C4D" w:rsidP="00B3167C">
    <w:pPr>
      <w:pStyle w:val="Footer"/>
      <w:framePr w:wrap="around" w:vAnchor="text" w:hAnchor="margin" w:xAlign="center" w:y="1"/>
      <w:rPr>
        <w:rStyle w:val="PageNumber"/>
      </w:rPr>
    </w:pPr>
    <w:r>
      <w:rPr>
        <w:rStyle w:val="PageNumber"/>
      </w:rPr>
      <w:fldChar w:fldCharType="begin"/>
    </w:r>
    <w:r w:rsidR="0094161C">
      <w:rPr>
        <w:rStyle w:val="PageNumber"/>
      </w:rPr>
      <w:instrText xml:space="preserve">PAGE  </w:instrText>
    </w:r>
    <w:r>
      <w:rPr>
        <w:rStyle w:val="PageNumber"/>
      </w:rPr>
      <w:fldChar w:fldCharType="end"/>
    </w:r>
  </w:p>
  <w:p w:rsidR="00471E57" w:rsidRDefault="001830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C3C4A" w:rsidRDefault="00FC3C4D" w:rsidP="00AC3C4A">
    <w:pPr>
      <w:jc w:val="center"/>
      <w:rPr>
        <w:sz w:val="20"/>
      </w:rPr>
    </w:pPr>
    <w:r w:rsidRPr="00AC3C4A">
      <w:rPr>
        <w:sz w:val="20"/>
      </w:rPr>
      <w:fldChar w:fldCharType="begin"/>
    </w:r>
    <w:r w:rsidR="00AC3C4A" w:rsidRPr="00AC3C4A">
      <w:rPr>
        <w:sz w:val="20"/>
      </w:rPr>
      <w:instrText xml:space="preserve"> page </w:instrText>
    </w:r>
    <w:r w:rsidRPr="00AC3C4A">
      <w:rPr>
        <w:sz w:val="20"/>
      </w:rPr>
      <w:fldChar w:fldCharType="separate"/>
    </w:r>
    <w:r w:rsidR="00863FF4">
      <w:rPr>
        <w:noProof/>
        <w:sz w:val="20"/>
      </w:rPr>
      <w:t>46</w:t>
    </w:r>
    <w:r w:rsidRPr="00AC3C4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E3" w:rsidRDefault="001830E3" w:rsidP="00A60870">
      <w:r>
        <w:separator/>
      </w:r>
    </w:p>
  </w:footnote>
  <w:footnote w:type="continuationSeparator" w:id="0">
    <w:p w:rsidR="001830E3" w:rsidRDefault="001830E3" w:rsidP="00A60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4A" w:rsidRPr="00AC3C4A" w:rsidRDefault="00AC3C4A" w:rsidP="00AC3C4A">
    <w:pPr>
      <w:pBdr>
        <w:bottom w:val="thinThickMediumGap" w:sz="12" w:space="1" w:color="auto"/>
      </w:pBdr>
      <w:tabs>
        <w:tab w:val="left" w:pos="851"/>
        <w:tab w:val="right" w:pos="8364"/>
      </w:tabs>
      <w:adjustRightInd w:val="0"/>
      <w:snapToGrid w:val="0"/>
      <w:jc w:val="both"/>
      <w:rPr>
        <w:iCs/>
        <w:sz w:val="20"/>
        <w:szCs w:val="20"/>
      </w:rPr>
    </w:pPr>
    <w:r w:rsidRPr="00AC3C4A">
      <w:rPr>
        <w:rFonts w:hint="eastAsia"/>
        <w:sz w:val="20"/>
        <w:szCs w:val="20"/>
      </w:rPr>
      <w:tab/>
    </w:r>
    <w:r w:rsidRPr="00AC3C4A">
      <w:rPr>
        <w:sz w:val="20"/>
        <w:szCs w:val="20"/>
      </w:rPr>
      <w:t>New York Science Journal 201</w:t>
    </w:r>
    <w:r w:rsidRPr="00AC3C4A">
      <w:rPr>
        <w:rFonts w:hint="eastAsia"/>
        <w:sz w:val="20"/>
        <w:szCs w:val="20"/>
      </w:rPr>
      <w:t>9</w:t>
    </w:r>
    <w:r w:rsidRPr="00AC3C4A">
      <w:rPr>
        <w:sz w:val="20"/>
        <w:szCs w:val="20"/>
      </w:rPr>
      <w:t>;</w:t>
    </w:r>
    <w:r w:rsidRPr="00AC3C4A">
      <w:rPr>
        <w:rFonts w:hint="eastAsia"/>
        <w:sz w:val="20"/>
        <w:szCs w:val="20"/>
      </w:rPr>
      <w:t>12</w:t>
    </w:r>
    <w:r w:rsidRPr="00AC3C4A">
      <w:rPr>
        <w:sz w:val="20"/>
        <w:szCs w:val="20"/>
      </w:rPr>
      <w:t>(</w:t>
    </w:r>
    <w:r w:rsidRPr="00AC3C4A">
      <w:rPr>
        <w:rFonts w:hint="eastAsia"/>
        <w:sz w:val="20"/>
        <w:szCs w:val="20"/>
      </w:rPr>
      <w:t>1</w:t>
    </w:r>
    <w:r w:rsidRPr="00AC3C4A">
      <w:rPr>
        <w:sz w:val="20"/>
        <w:szCs w:val="20"/>
      </w:rPr>
      <w:t>)</w:t>
    </w:r>
    <w:r w:rsidRPr="00AC3C4A">
      <w:rPr>
        <w:iCs/>
        <w:sz w:val="20"/>
        <w:szCs w:val="20"/>
      </w:rPr>
      <w:t xml:space="preserve">     </w:t>
    </w:r>
    <w:r w:rsidRPr="00AC3C4A">
      <w:rPr>
        <w:rFonts w:hint="eastAsia"/>
        <w:iCs/>
        <w:sz w:val="20"/>
        <w:szCs w:val="20"/>
      </w:rPr>
      <w:tab/>
    </w:r>
    <w:r w:rsidRPr="00AC3C4A">
      <w:rPr>
        <w:iCs/>
        <w:sz w:val="20"/>
        <w:szCs w:val="20"/>
      </w:rPr>
      <w:t xml:space="preserve"> </w:t>
    </w:r>
    <w:r w:rsidRPr="00AC3C4A">
      <w:rPr>
        <w:rFonts w:hint="eastAsia"/>
        <w:iCs/>
        <w:sz w:val="20"/>
        <w:szCs w:val="20"/>
      </w:rPr>
      <w:t xml:space="preserve"> </w:t>
    </w:r>
    <w:r w:rsidRPr="00AC3C4A">
      <w:rPr>
        <w:iCs/>
        <w:sz w:val="20"/>
        <w:szCs w:val="20"/>
      </w:rPr>
      <w:t xml:space="preserve">   </w:t>
    </w:r>
    <w:hyperlink r:id="rId1" w:history="1">
      <w:r w:rsidRPr="00AC3C4A">
        <w:rPr>
          <w:rStyle w:val="Hyperlink"/>
          <w:sz w:val="20"/>
          <w:szCs w:val="20"/>
        </w:rPr>
        <w:t>http://www.sciencepub.net/newyork</w:t>
      </w:r>
    </w:hyperlink>
  </w:p>
  <w:p w:rsidR="00AC3C4A" w:rsidRPr="00AC3C4A" w:rsidRDefault="00AC3C4A" w:rsidP="00AC3C4A">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72DD"/>
    <w:multiLevelType w:val="hybridMultilevel"/>
    <w:tmpl w:val="A358EAB8"/>
    <w:lvl w:ilvl="0" w:tplc="30660EDA">
      <w:start w:val="1"/>
      <w:numFmt w:val="decimal"/>
      <w:lvlText w:val="%1"/>
      <w:lvlJc w:val="left"/>
      <w:pPr>
        <w:ind w:left="450" w:hanging="450"/>
      </w:pPr>
      <w:rPr>
        <w:rFonts w:ascii="Times New Roman" w:hAnsi="Times New Roman" w:cs="Times New Roman" w:hint="default"/>
        <w:color w:val="00000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2E318F"/>
    <w:multiLevelType w:val="hybridMultilevel"/>
    <w:tmpl w:val="05087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9F1CD1"/>
    <w:rsid w:val="00021919"/>
    <w:rsid w:val="000A51EA"/>
    <w:rsid w:val="000B5C22"/>
    <w:rsid w:val="000F34C8"/>
    <w:rsid w:val="00106DE5"/>
    <w:rsid w:val="0013265E"/>
    <w:rsid w:val="00132C67"/>
    <w:rsid w:val="001830E3"/>
    <w:rsid w:val="0018372B"/>
    <w:rsid w:val="001A3611"/>
    <w:rsid w:val="001C5FAA"/>
    <w:rsid w:val="00256304"/>
    <w:rsid w:val="00256DAC"/>
    <w:rsid w:val="00260CE8"/>
    <w:rsid w:val="00262723"/>
    <w:rsid w:val="002F4DDB"/>
    <w:rsid w:val="00350487"/>
    <w:rsid w:val="00362889"/>
    <w:rsid w:val="003839B3"/>
    <w:rsid w:val="003840C3"/>
    <w:rsid w:val="0041411C"/>
    <w:rsid w:val="004321D1"/>
    <w:rsid w:val="004B3A8C"/>
    <w:rsid w:val="004D4963"/>
    <w:rsid w:val="004E4BE8"/>
    <w:rsid w:val="0056252F"/>
    <w:rsid w:val="00576528"/>
    <w:rsid w:val="005B4683"/>
    <w:rsid w:val="00624BC3"/>
    <w:rsid w:val="00634628"/>
    <w:rsid w:val="006843B3"/>
    <w:rsid w:val="00696CED"/>
    <w:rsid w:val="006E45B5"/>
    <w:rsid w:val="00717DF3"/>
    <w:rsid w:val="007204C0"/>
    <w:rsid w:val="00743BAD"/>
    <w:rsid w:val="00771716"/>
    <w:rsid w:val="007A78ED"/>
    <w:rsid w:val="007B504E"/>
    <w:rsid w:val="007B6F89"/>
    <w:rsid w:val="007C7B58"/>
    <w:rsid w:val="00852442"/>
    <w:rsid w:val="00863FF4"/>
    <w:rsid w:val="008927E6"/>
    <w:rsid w:val="008A3C28"/>
    <w:rsid w:val="008C7C1E"/>
    <w:rsid w:val="00902D8C"/>
    <w:rsid w:val="0094161C"/>
    <w:rsid w:val="00953EDF"/>
    <w:rsid w:val="009D5A34"/>
    <w:rsid w:val="009F1CD1"/>
    <w:rsid w:val="00A568A9"/>
    <w:rsid w:val="00A60870"/>
    <w:rsid w:val="00A71D60"/>
    <w:rsid w:val="00A9291E"/>
    <w:rsid w:val="00AA2340"/>
    <w:rsid w:val="00AC3C4A"/>
    <w:rsid w:val="00AD69D4"/>
    <w:rsid w:val="00AF4079"/>
    <w:rsid w:val="00B00C31"/>
    <w:rsid w:val="00B26969"/>
    <w:rsid w:val="00C1276C"/>
    <w:rsid w:val="00C203B6"/>
    <w:rsid w:val="00C36250"/>
    <w:rsid w:val="00C61931"/>
    <w:rsid w:val="00CC05CB"/>
    <w:rsid w:val="00CC763D"/>
    <w:rsid w:val="00CE5118"/>
    <w:rsid w:val="00D42E01"/>
    <w:rsid w:val="00DB5461"/>
    <w:rsid w:val="00DB750A"/>
    <w:rsid w:val="00DD76CF"/>
    <w:rsid w:val="00E212C0"/>
    <w:rsid w:val="00E2167C"/>
    <w:rsid w:val="00EC7481"/>
    <w:rsid w:val="00ED75E3"/>
    <w:rsid w:val="00F77396"/>
    <w:rsid w:val="00F91790"/>
    <w:rsid w:val="00FB25ED"/>
    <w:rsid w:val="00FC3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ED"/>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FB25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49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B25ED"/>
  </w:style>
  <w:style w:type="character" w:styleId="Hyperlink">
    <w:name w:val="Hyperlink"/>
    <w:basedOn w:val="DefaultParagraphFont"/>
    <w:uiPriority w:val="99"/>
    <w:rsid w:val="00FB25ED"/>
    <w:rPr>
      <w:color w:val="0000FF"/>
      <w:u w:val="single"/>
    </w:rPr>
  </w:style>
  <w:style w:type="paragraph" w:styleId="Header">
    <w:name w:val="header"/>
    <w:basedOn w:val="Normal"/>
    <w:next w:val="Heading1"/>
    <w:link w:val="HeaderChar"/>
    <w:uiPriority w:val="99"/>
    <w:rsid w:val="00FB25ED"/>
    <w:pPr>
      <w:tabs>
        <w:tab w:val="center" w:pos="4320"/>
        <w:tab w:val="right" w:pos="8640"/>
      </w:tabs>
    </w:pPr>
  </w:style>
  <w:style w:type="character" w:customStyle="1" w:styleId="HeaderChar">
    <w:name w:val="Header Char"/>
    <w:basedOn w:val="DefaultParagraphFont"/>
    <w:link w:val="Header"/>
    <w:uiPriority w:val="99"/>
    <w:rsid w:val="00FB25ED"/>
    <w:rPr>
      <w:rFonts w:ascii="Times New Roman" w:eastAsia="SimSun" w:hAnsi="Times New Roman" w:cs="Times New Roman"/>
      <w:sz w:val="24"/>
      <w:szCs w:val="24"/>
      <w:lang w:eastAsia="ar-SA"/>
    </w:rPr>
  </w:style>
  <w:style w:type="paragraph" w:styleId="Footer">
    <w:name w:val="footer"/>
    <w:basedOn w:val="Normal"/>
    <w:link w:val="FooterChar"/>
    <w:rsid w:val="00FB25ED"/>
    <w:pPr>
      <w:tabs>
        <w:tab w:val="center" w:pos="4320"/>
        <w:tab w:val="right" w:pos="8640"/>
      </w:tabs>
    </w:pPr>
    <w:rPr>
      <w:sz w:val="32"/>
    </w:rPr>
  </w:style>
  <w:style w:type="character" w:customStyle="1" w:styleId="FooterChar">
    <w:name w:val="Footer Char"/>
    <w:basedOn w:val="DefaultParagraphFont"/>
    <w:link w:val="Footer"/>
    <w:uiPriority w:val="99"/>
    <w:rsid w:val="00FB25ED"/>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FB25ED"/>
    <w:rPr>
      <w:rFonts w:asciiTheme="majorHAnsi" w:eastAsiaTheme="majorEastAsia" w:hAnsiTheme="majorHAnsi" w:cstheme="majorBidi"/>
      <w:b/>
      <w:bCs/>
      <w:color w:val="365F91" w:themeColor="accent1" w:themeShade="BF"/>
      <w:sz w:val="28"/>
      <w:szCs w:val="28"/>
      <w:lang w:eastAsia="ar-SA"/>
    </w:rPr>
  </w:style>
  <w:style w:type="paragraph" w:styleId="BalloonText">
    <w:name w:val="Balloon Text"/>
    <w:basedOn w:val="Normal"/>
    <w:link w:val="BalloonTextChar"/>
    <w:uiPriority w:val="99"/>
    <w:semiHidden/>
    <w:unhideWhenUsed/>
    <w:rsid w:val="00FB25ED"/>
    <w:rPr>
      <w:rFonts w:ascii="Tahoma" w:hAnsi="Tahoma" w:cs="Tahoma"/>
      <w:sz w:val="16"/>
      <w:szCs w:val="16"/>
    </w:rPr>
  </w:style>
  <w:style w:type="character" w:customStyle="1" w:styleId="BalloonTextChar">
    <w:name w:val="Balloon Text Char"/>
    <w:basedOn w:val="DefaultParagraphFont"/>
    <w:link w:val="BalloonText"/>
    <w:uiPriority w:val="99"/>
    <w:semiHidden/>
    <w:rsid w:val="00FB25ED"/>
    <w:rPr>
      <w:rFonts w:ascii="Tahoma" w:eastAsia="SimSun" w:hAnsi="Tahoma" w:cs="Tahoma"/>
      <w:sz w:val="16"/>
      <w:szCs w:val="16"/>
      <w:lang w:eastAsia="ar-SA"/>
    </w:rPr>
  </w:style>
  <w:style w:type="character" w:customStyle="1" w:styleId="Caption1">
    <w:name w:val="Caption1"/>
    <w:basedOn w:val="DefaultParagraphFont"/>
    <w:rsid w:val="00FB25ED"/>
  </w:style>
  <w:style w:type="character" w:customStyle="1" w:styleId="Heading2Char">
    <w:name w:val="Heading 2 Char"/>
    <w:basedOn w:val="DefaultParagraphFont"/>
    <w:link w:val="Heading2"/>
    <w:uiPriority w:val="9"/>
    <w:semiHidden/>
    <w:rsid w:val="004D4963"/>
    <w:rPr>
      <w:rFonts w:asciiTheme="majorHAnsi" w:eastAsiaTheme="majorEastAsia" w:hAnsiTheme="majorHAnsi" w:cstheme="majorBidi"/>
      <w:b/>
      <w:bCs/>
      <w:color w:val="4F81BD" w:themeColor="accent1"/>
      <w:sz w:val="26"/>
      <w:szCs w:val="26"/>
      <w:lang w:eastAsia="ar-SA"/>
    </w:rPr>
  </w:style>
  <w:style w:type="character" w:styleId="Emphasis">
    <w:name w:val="Emphasis"/>
    <w:basedOn w:val="DefaultParagraphFont"/>
    <w:uiPriority w:val="20"/>
    <w:qFormat/>
    <w:rsid w:val="004D4963"/>
    <w:rPr>
      <w:i/>
      <w:iCs/>
    </w:rPr>
  </w:style>
  <w:style w:type="character" w:customStyle="1" w:styleId="st">
    <w:name w:val="st"/>
    <w:basedOn w:val="DefaultParagraphFont"/>
    <w:rsid w:val="004D4963"/>
  </w:style>
  <w:style w:type="table" w:styleId="TableGrid">
    <w:name w:val="Table Grid"/>
    <w:basedOn w:val="TableNormal"/>
    <w:uiPriority w:val="59"/>
    <w:rsid w:val="004D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05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tb.akinrinol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119.05" TargetMode="External"/><Relationship Id="rId14" Type="http://schemas.openxmlformats.org/officeDocument/2006/relationships/hyperlink" Target="mailto:tb.akinrinol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401009427531118"/>
          <c:y val="8.3908993878908045E-2"/>
          <c:w val="0.6937497686214491"/>
          <c:h val="0.42243403353596831"/>
        </c:manualLayout>
      </c:layout>
      <c:barChart>
        <c:barDir val="col"/>
        <c:grouping val="clustered"/>
        <c:ser>
          <c:idx val="0"/>
          <c:order val="0"/>
          <c:spPr>
            <a:pattFill prst="pct60">
              <a:fgClr>
                <a:schemeClr val="tx1"/>
              </a:fgClr>
              <a:bgClr>
                <a:schemeClr val="bg1"/>
              </a:bgClr>
            </a:pattFill>
          </c:spPr>
          <c:errBars>
            <c:errBarType val="both"/>
            <c:errValType val="stdErr"/>
          </c:errBars>
          <c:cat>
            <c:strRef>
              <c:f>Sheet1!$A$2:$A$6</c:f>
              <c:strCache>
                <c:ptCount val="5"/>
                <c:pt idx="0">
                  <c:v>0 kg N</c:v>
                </c:pt>
                <c:pt idx="1">
                  <c:v>50 kg N/ha POF</c:v>
                </c:pt>
                <c:pt idx="2">
                  <c:v>100 kg N/ha POF</c:v>
                </c:pt>
                <c:pt idx="3">
                  <c:v>150 kg N/ha POF</c:v>
                </c:pt>
                <c:pt idx="4">
                  <c:v>NPK 15-15-15</c:v>
                </c:pt>
              </c:strCache>
            </c:strRef>
          </c:cat>
          <c:val>
            <c:numRef>
              <c:f>Sheet1!$B$2:$B$6</c:f>
              <c:numCache>
                <c:formatCode>General</c:formatCode>
                <c:ptCount val="5"/>
                <c:pt idx="0">
                  <c:v>141</c:v>
                </c:pt>
                <c:pt idx="1">
                  <c:v>154.30000000000001</c:v>
                </c:pt>
                <c:pt idx="2">
                  <c:v>203.7</c:v>
                </c:pt>
                <c:pt idx="3">
                  <c:v>232.7</c:v>
                </c:pt>
                <c:pt idx="4">
                  <c:v>186.7</c:v>
                </c:pt>
              </c:numCache>
            </c:numRef>
          </c:val>
        </c:ser>
        <c:axId val="69495424"/>
        <c:axId val="70884736"/>
      </c:barChart>
      <c:catAx>
        <c:axId val="69495424"/>
        <c:scaling>
          <c:orientation val="minMax"/>
        </c:scaling>
        <c:axPos val="b"/>
        <c:title>
          <c:tx>
            <c:rich>
              <a:bodyPr/>
              <a:lstStyle/>
              <a:p>
                <a:pPr>
                  <a:defRPr lang="en-US"/>
                </a:pPr>
                <a:r>
                  <a:rPr lang="en-US" sz="800" b="0">
                    <a:latin typeface="Times New Roman" pitchFamily="18" charset="0"/>
                    <a:cs typeface="Times New Roman" pitchFamily="18" charset="0"/>
                  </a:rPr>
                  <a:t>Fertilizers</a:t>
                </a:r>
              </a:p>
            </c:rich>
          </c:tx>
        </c:title>
        <c:tickLblPos val="nextTo"/>
        <c:txPr>
          <a:bodyPr/>
          <a:lstStyle/>
          <a:p>
            <a:pPr>
              <a:defRPr lang="en-US" sz="800">
                <a:latin typeface="Times New Roman" pitchFamily="18" charset="0"/>
                <a:cs typeface="Times New Roman" pitchFamily="18" charset="0"/>
              </a:defRPr>
            </a:pPr>
            <a:endParaRPr lang="en-US"/>
          </a:p>
        </c:txPr>
        <c:crossAx val="70884736"/>
        <c:crosses val="autoZero"/>
        <c:auto val="1"/>
        <c:lblAlgn val="ctr"/>
        <c:lblOffset val="100"/>
      </c:catAx>
      <c:valAx>
        <c:axId val="70884736"/>
        <c:scaling>
          <c:orientation val="minMax"/>
        </c:scaling>
        <c:axPos val="l"/>
        <c:title>
          <c:tx>
            <c:rich>
              <a:bodyPr rot="-5400000" vert="horz"/>
              <a:lstStyle/>
              <a:p>
                <a:pPr>
                  <a:defRPr lang="en-US"/>
                </a:pPr>
                <a:r>
                  <a:rPr lang="en-US" sz="800" b="0">
                    <a:latin typeface="Times New Roman" pitchFamily="18" charset="0"/>
                    <a:cs typeface="Times New Roman" pitchFamily="18" charset="0"/>
                  </a:rPr>
                  <a:t>Dry shoot biomass</a:t>
                </a:r>
              </a:p>
              <a:p>
                <a:pPr>
                  <a:defRPr lang="en-US"/>
                </a:pPr>
                <a:r>
                  <a:rPr lang="en-US" sz="800" b="0">
                    <a:latin typeface="Times New Roman" pitchFamily="18" charset="0"/>
                    <a:cs typeface="Times New Roman" pitchFamily="18" charset="0"/>
                  </a:rPr>
                  <a:t> (g/pot)</a:t>
                </a:r>
              </a:p>
            </c:rich>
          </c:tx>
          <c:layout>
            <c:manualLayout>
              <c:xMode val="edge"/>
              <c:yMode val="edge"/>
              <c:x val="6.1738343849294122E-2"/>
              <c:y val="0.110207100891513"/>
            </c:manualLayout>
          </c:layout>
        </c:title>
        <c:numFmt formatCode="General" sourceLinked="1"/>
        <c:tickLblPos val="nextTo"/>
        <c:txPr>
          <a:bodyPr/>
          <a:lstStyle/>
          <a:p>
            <a:pPr>
              <a:defRPr lang="en-US" sz="800"/>
            </a:pPr>
            <a:endParaRPr lang="en-US"/>
          </a:p>
        </c:txPr>
        <c:crossAx val="69495424"/>
        <c:crosses val="autoZero"/>
        <c:crossBetween val="between"/>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0.50228</cdr:x>
      <cdr:y>0</cdr:y>
    </cdr:from>
    <cdr:to>
      <cdr:x>0.91378</cdr:x>
      <cdr:y>0.10881</cdr:y>
    </cdr:to>
    <cdr:sp macro="" textlink="">
      <cdr:nvSpPr>
        <cdr:cNvPr id="2" name="TextBox 1"/>
        <cdr:cNvSpPr txBox="1"/>
      </cdr:nvSpPr>
      <cdr:spPr>
        <a:xfrm xmlns:a="http://schemas.openxmlformats.org/drawingml/2006/main">
          <a:off x="1343192" y="0"/>
          <a:ext cx="1100428" cy="18115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latin typeface="Baltica" pitchFamily="2" charset="0"/>
              <a:cs typeface="Aldhabi" pitchFamily="2" charset="-78"/>
            </a:rPr>
            <a:t>I</a:t>
          </a:r>
          <a:r>
            <a:rPr lang="en-US" sz="1000">
              <a:latin typeface="Times New Roman" pitchFamily="18" charset="0"/>
              <a:cs typeface="Times New Roman" pitchFamily="18" charset="0"/>
            </a:rPr>
            <a:t> = Standard error</a:t>
          </a:r>
        </a:p>
      </cdr:txBody>
    </cdr:sp>
  </cdr:relSizeAnchor>
  <cdr:relSizeAnchor xmlns:cdr="http://schemas.openxmlformats.org/drawingml/2006/chartDrawing">
    <cdr:from>
      <cdr:x>0.01936</cdr:x>
      <cdr:y>0.62937</cdr:y>
    </cdr:from>
    <cdr:to>
      <cdr:x>1</cdr:x>
      <cdr:y>1</cdr:y>
    </cdr:to>
    <cdr:sp macro="" textlink="">
      <cdr:nvSpPr>
        <cdr:cNvPr id="3" name="TextBox 2"/>
        <cdr:cNvSpPr txBox="1"/>
      </cdr:nvSpPr>
      <cdr:spPr>
        <a:xfrm xmlns:a="http://schemas.openxmlformats.org/drawingml/2006/main">
          <a:off x="51759" y="1552755"/>
          <a:ext cx="262243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0.01935</cdr:x>
      <cdr:y>0.62937</cdr:y>
    </cdr:from>
    <cdr:to>
      <cdr:x>1</cdr:x>
      <cdr:y>1</cdr:y>
    </cdr:to>
    <cdr:sp macro="" textlink="">
      <cdr:nvSpPr>
        <cdr:cNvPr id="4" name="TextBox 3"/>
        <cdr:cNvSpPr txBox="1"/>
      </cdr:nvSpPr>
      <cdr:spPr>
        <a:xfrm xmlns:a="http://schemas.openxmlformats.org/drawingml/2006/main">
          <a:off x="51758" y="1552755"/>
          <a:ext cx="2622431"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0.81818</cdr:y>
    </cdr:from>
    <cdr:to>
      <cdr:x>0.99868</cdr:x>
      <cdr:y>1</cdr:y>
    </cdr:to>
    <cdr:sp macro="" textlink="">
      <cdr:nvSpPr>
        <cdr:cNvPr id="5" name="TextBox 4"/>
        <cdr:cNvSpPr txBox="1"/>
      </cdr:nvSpPr>
      <cdr:spPr>
        <a:xfrm xmlns:a="http://schemas.openxmlformats.org/drawingml/2006/main">
          <a:off x="0" y="2018581"/>
          <a:ext cx="2670666" cy="448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latin typeface="Times New Roman" pitchFamily="18" charset="0"/>
              <a:ea typeface="+mn-ea"/>
              <a:cs typeface="Times New Roman" pitchFamily="18" charset="0"/>
            </a:rPr>
            <a:t>Figure 1, Residual effects of fertilizer applications on maize </a:t>
          </a:r>
        </a:p>
        <a:p xmlns:a="http://schemas.openxmlformats.org/drawingml/2006/main">
          <a:r>
            <a:rPr lang="en-GB" sz="900">
              <a:latin typeface="Times New Roman" pitchFamily="18" charset="0"/>
              <a:ea typeface="+mn-ea"/>
              <a:cs typeface="Times New Roman" pitchFamily="18" charset="0"/>
            </a:rPr>
            <a:t>dry shoot </a:t>
          </a:r>
          <a:r>
            <a:rPr lang="en-GB" sz="900">
              <a:latin typeface="+mn-lt"/>
              <a:ea typeface="+mn-ea"/>
              <a:cs typeface="+mn-cs"/>
            </a:rPr>
            <a:t>weight </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Administrator</cp:lastModifiedBy>
  <cp:revision>3</cp:revision>
  <dcterms:created xsi:type="dcterms:W3CDTF">2019-01-12T14:39:00Z</dcterms:created>
  <dcterms:modified xsi:type="dcterms:W3CDTF">2019-01-13T01:22:00Z</dcterms:modified>
</cp:coreProperties>
</file>