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B2" w:rsidRPr="00AF7E26" w:rsidRDefault="00A56B48" w:rsidP="00AF7E26">
      <w:pPr>
        <w:snapToGrid w:val="0"/>
        <w:jc w:val="center"/>
        <w:rPr>
          <w:b/>
          <w:bCs/>
          <w:sz w:val="20"/>
          <w:szCs w:val="20"/>
        </w:rPr>
      </w:pPr>
      <w:r w:rsidRPr="00AF7E26">
        <w:rPr>
          <w:b/>
          <w:bCs/>
          <w:sz w:val="20"/>
          <w:szCs w:val="20"/>
        </w:rPr>
        <w:t>A Prospective Study of Brain Natriuretic Peptide as a Marker for Prediction of Severity in Patients with Sepsis</w:t>
      </w:r>
    </w:p>
    <w:p w:rsidR="006851B2" w:rsidRPr="00AF7E26" w:rsidRDefault="006851B2" w:rsidP="00AF7E26">
      <w:pPr>
        <w:snapToGrid w:val="0"/>
        <w:jc w:val="center"/>
        <w:rPr>
          <w:b/>
          <w:bCs/>
          <w:sz w:val="20"/>
          <w:szCs w:val="20"/>
        </w:rPr>
      </w:pPr>
    </w:p>
    <w:p w:rsidR="006851B2" w:rsidRPr="00AF7E26" w:rsidRDefault="00A56B48" w:rsidP="00060C55">
      <w:pPr>
        <w:snapToGrid w:val="0"/>
        <w:jc w:val="center"/>
        <w:rPr>
          <w:sz w:val="20"/>
          <w:szCs w:val="20"/>
          <w:lang w:eastAsia="zh-CN"/>
        </w:rPr>
      </w:pPr>
      <w:r w:rsidRPr="00AF7E26">
        <w:rPr>
          <w:sz w:val="20"/>
          <w:szCs w:val="20"/>
        </w:rPr>
        <w:t>Prof. Dr. Mohamed Anwar Elsha</w:t>
      </w:r>
      <w:r w:rsidR="00ED3A64" w:rsidRPr="00AF7E26">
        <w:rPr>
          <w:sz w:val="20"/>
          <w:szCs w:val="20"/>
        </w:rPr>
        <w:t>fie</w:t>
      </w:r>
      <w:r w:rsidR="00060C55" w:rsidRPr="00060C55">
        <w:rPr>
          <w:sz w:val="20"/>
          <w:szCs w:val="20"/>
          <w:vertAlign w:val="superscript"/>
        </w:rPr>
        <w:t>1</w:t>
      </w:r>
      <w:r w:rsidR="00ED3A64" w:rsidRPr="00AF7E26">
        <w:rPr>
          <w:sz w:val="20"/>
          <w:szCs w:val="20"/>
        </w:rPr>
        <w:t>, Dr Ihab Hamed Abdulsalam</w:t>
      </w:r>
      <w:r w:rsidR="00060C55" w:rsidRPr="00060C55">
        <w:rPr>
          <w:sz w:val="20"/>
          <w:szCs w:val="20"/>
          <w:vertAlign w:val="superscript"/>
        </w:rPr>
        <w:t>1</w:t>
      </w:r>
      <w:r w:rsidR="00ED3A64" w:rsidRPr="00AF7E26">
        <w:rPr>
          <w:sz w:val="20"/>
          <w:szCs w:val="20"/>
        </w:rPr>
        <w:t xml:space="preserve">, </w:t>
      </w:r>
      <w:r w:rsidRPr="00AF7E26">
        <w:rPr>
          <w:sz w:val="20"/>
          <w:szCs w:val="20"/>
        </w:rPr>
        <w:t>Dr Hanaa Mohamed Abdallah El Gendy</w:t>
      </w:r>
      <w:r w:rsidR="00060C55" w:rsidRPr="00060C55">
        <w:rPr>
          <w:sz w:val="20"/>
          <w:szCs w:val="20"/>
          <w:vertAlign w:val="superscript"/>
        </w:rPr>
        <w:t>1</w:t>
      </w:r>
      <w:r w:rsidRPr="00AF7E26">
        <w:rPr>
          <w:sz w:val="20"/>
          <w:szCs w:val="20"/>
        </w:rPr>
        <w:t>, Ahmed Ibrahim Yousef Elsherif</w:t>
      </w:r>
      <w:r w:rsidR="00060C55">
        <w:rPr>
          <w:sz w:val="20"/>
          <w:szCs w:val="20"/>
          <w:vertAlign w:val="superscript"/>
        </w:rPr>
        <w:t>2</w:t>
      </w:r>
    </w:p>
    <w:p w:rsidR="006851B2" w:rsidRPr="00AF7E26" w:rsidRDefault="006851B2" w:rsidP="00AF7E26">
      <w:pPr>
        <w:snapToGrid w:val="0"/>
        <w:jc w:val="center"/>
        <w:rPr>
          <w:sz w:val="20"/>
          <w:szCs w:val="20"/>
          <w:lang w:eastAsia="zh-CN"/>
        </w:rPr>
      </w:pPr>
    </w:p>
    <w:p w:rsidR="00A56B48" w:rsidRDefault="00060C55" w:rsidP="00AF7E26">
      <w:pPr>
        <w:snapToGrid w:val="0"/>
        <w:jc w:val="center"/>
        <w:rPr>
          <w:sz w:val="20"/>
          <w:szCs w:val="20"/>
        </w:rPr>
      </w:pPr>
      <w:r w:rsidRPr="00060C55">
        <w:rPr>
          <w:sz w:val="20"/>
          <w:szCs w:val="20"/>
          <w:vertAlign w:val="superscript"/>
        </w:rPr>
        <w:t>1</w:t>
      </w:r>
      <w:r w:rsidR="00A56B48" w:rsidRPr="00AF7E26">
        <w:rPr>
          <w:sz w:val="20"/>
          <w:szCs w:val="20"/>
        </w:rPr>
        <w:t>Anesthesia, Intensive Care and Pain Management Department, Faculty of Medicine, Ain Shams University</w:t>
      </w:r>
      <w:r w:rsidR="009614A5">
        <w:rPr>
          <w:sz w:val="20"/>
          <w:szCs w:val="20"/>
        </w:rPr>
        <w:t>, Egypt</w:t>
      </w:r>
    </w:p>
    <w:p w:rsidR="00060C55" w:rsidRPr="00AF7E26" w:rsidRDefault="00060C55" w:rsidP="00060C55">
      <w:pPr>
        <w:snapToGrid w:val="0"/>
        <w:jc w:val="center"/>
        <w:rPr>
          <w:sz w:val="20"/>
          <w:szCs w:val="20"/>
        </w:rPr>
      </w:pPr>
      <w:r w:rsidRPr="00060C55">
        <w:rPr>
          <w:sz w:val="20"/>
          <w:szCs w:val="20"/>
          <w:vertAlign w:val="superscript"/>
        </w:rPr>
        <w:t>2</w:t>
      </w:r>
      <w:r w:rsidRPr="00AF7E26">
        <w:rPr>
          <w:sz w:val="20"/>
          <w:szCs w:val="20"/>
        </w:rPr>
        <w:t xml:space="preserve">Anesthesia, Intensive Care and Pain Management Department, Faculty of Medicine, </w:t>
      </w:r>
      <w:r>
        <w:rPr>
          <w:sz w:val="20"/>
          <w:szCs w:val="20"/>
        </w:rPr>
        <w:t>October 6</w:t>
      </w:r>
      <w:r>
        <w:rPr>
          <w:sz w:val="20"/>
          <w:szCs w:val="20"/>
          <w:vertAlign w:val="superscript"/>
        </w:rPr>
        <w:t xml:space="preserve"> </w:t>
      </w:r>
      <w:r>
        <w:rPr>
          <w:sz w:val="20"/>
          <w:szCs w:val="20"/>
        </w:rPr>
        <w:t xml:space="preserve">University, </w:t>
      </w:r>
      <w:r w:rsidR="009614A5">
        <w:rPr>
          <w:sz w:val="20"/>
          <w:szCs w:val="20"/>
        </w:rPr>
        <w:t>Egypt</w:t>
      </w:r>
    </w:p>
    <w:p w:rsidR="006851B2" w:rsidRPr="00AF7E26" w:rsidRDefault="00A56B48" w:rsidP="00AF7E26">
      <w:pPr>
        <w:snapToGrid w:val="0"/>
        <w:jc w:val="center"/>
        <w:rPr>
          <w:sz w:val="20"/>
          <w:szCs w:val="20"/>
        </w:rPr>
      </w:pPr>
      <w:r w:rsidRPr="00AF7E26">
        <w:rPr>
          <w:sz w:val="20"/>
          <w:szCs w:val="20"/>
        </w:rPr>
        <w:t xml:space="preserve">E-mail: </w:t>
      </w:r>
      <w:hyperlink r:id="rId7" w:history="1">
        <w:r w:rsidR="00ED3A64" w:rsidRPr="00AF7E26">
          <w:rPr>
            <w:rStyle w:val="Hyperlink"/>
            <w:sz w:val="20"/>
            <w:szCs w:val="20"/>
          </w:rPr>
          <w:t>Ahmedelsherif@hotmail.co.uk</w:t>
        </w:r>
      </w:hyperlink>
      <w:r w:rsidR="00ED3A64" w:rsidRPr="00AF7E26">
        <w:rPr>
          <w:sz w:val="20"/>
          <w:szCs w:val="20"/>
        </w:rPr>
        <w:t xml:space="preserve"> </w:t>
      </w:r>
    </w:p>
    <w:p w:rsidR="006851B2" w:rsidRPr="00AF7E26" w:rsidRDefault="006851B2" w:rsidP="00AF7E26">
      <w:pPr>
        <w:snapToGrid w:val="0"/>
        <w:jc w:val="center"/>
        <w:rPr>
          <w:sz w:val="20"/>
          <w:szCs w:val="20"/>
        </w:rPr>
      </w:pPr>
    </w:p>
    <w:p w:rsidR="00A56B48" w:rsidRPr="00AF7E26" w:rsidRDefault="00ED3A64" w:rsidP="00AF7E26">
      <w:pPr>
        <w:snapToGrid w:val="0"/>
        <w:jc w:val="both"/>
        <w:rPr>
          <w:sz w:val="20"/>
          <w:szCs w:val="20"/>
        </w:rPr>
      </w:pPr>
      <w:r w:rsidRPr="00AF7E26">
        <w:rPr>
          <w:b/>
          <w:bCs/>
          <w:sz w:val="20"/>
          <w:szCs w:val="20"/>
        </w:rPr>
        <w:t xml:space="preserve">Abstract: </w:t>
      </w:r>
      <w:r w:rsidR="00A56B48" w:rsidRPr="00AF7E26">
        <w:rPr>
          <w:b/>
          <w:bCs/>
          <w:sz w:val="20"/>
          <w:szCs w:val="20"/>
        </w:rPr>
        <w:t>Background:</w:t>
      </w:r>
      <w:r w:rsidR="008E24EB" w:rsidRPr="00AF7E26">
        <w:rPr>
          <w:b/>
          <w:bCs/>
          <w:sz w:val="20"/>
          <w:szCs w:val="20"/>
        </w:rPr>
        <w:t xml:space="preserve"> </w:t>
      </w:r>
      <w:r w:rsidR="008E24EB" w:rsidRPr="00AF7E26">
        <w:rPr>
          <w:sz w:val="20"/>
          <w:szCs w:val="20"/>
        </w:rPr>
        <w:t>Sepsis is a major cause of morbidity and mortality in intensive care units (ICU) worldwide. The incidence of sepsis is increasing and it is as high as the incidence of myocardial infarctions. The mortality rate has been reported at 20 to 50 per cent, most of which are attributed to cardiovascular collapse. Several studies have been performed to identify biomarkers for use in the early identification of patients at risk.</w:t>
      </w:r>
      <w:r w:rsidR="00BD509D" w:rsidRPr="00AF7E26">
        <w:rPr>
          <w:rFonts w:hint="eastAsia"/>
          <w:sz w:val="20"/>
          <w:szCs w:val="20"/>
          <w:lang w:eastAsia="zh-CN"/>
        </w:rPr>
        <w:t xml:space="preserve"> </w:t>
      </w:r>
      <w:r w:rsidR="00A56B48" w:rsidRPr="00AF7E26">
        <w:rPr>
          <w:b/>
          <w:bCs/>
          <w:sz w:val="20"/>
          <w:szCs w:val="20"/>
        </w:rPr>
        <w:t xml:space="preserve">Objectives: </w:t>
      </w:r>
      <w:r w:rsidR="008E24EB" w:rsidRPr="00AF7E26">
        <w:rPr>
          <w:sz w:val="20"/>
          <w:szCs w:val="20"/>
        </w:rPr>
        <w:t>This study was done to estimate and evaluate the plasma levels of BNP in patients with sepsis and to study the association of BNP levels with severity of disease progression and prognosis of those patients.</w:t>
      </w:r>
      <w:r w:rsidR="00BD509D" w:rsidRPr="00AF7E26">
        <w:rPr>
          <w:rFonts w:hint="eastAsia"/>
          <w:sz w:val="20"/>
          <w:szCs w:val="20"/>
          <w:lang w:eastAsia="zh-CN"/>
        </w:rPr>
        <w:t xml:space="preserve"> </w:t>
      </w:r>
      <w:r w:rsidR="00A56B48" w:rsidRPr="00AF7E26">
        <w:rPr>
          <w:b/>
          <w:bCs/>
          <w:sz w:val="20"/>
          <w:szCs w:val="20"/>
        </w:rPr>
        <w:t>Patients and Methods:</w:t>
      </w:r>
      <w:r w:rsidR="008E24EB" w:rsidRPr="00AF7E26">
        <w:rPr>
          <w:b/>
          <w:bCs/>
          <w:sz w:val="20"/>
          <w:szCs w:val="20"/>
        </w:rPr>
        <w:t xml:space="preserve"> </w:t>
      </w:r>
      <w:r w:rsidR="008E24EB" w:rsidRPr="00AF7E26">
        <w:rPr>
          <w:sz w:val="20"/>
          <w:szCs w:val="20"/>
        </w:rPr>
        <w:t>This prospective cohort study was conducted on 30 patients admitted to intensive care unit at October 6 university hospital in the period from June 2018 to January 2019 with diagnosis of sepsis.</w:t>
      </w:r>
      <w:r w:rsidR="00BD509D" w:rsidRPr="00AF7E26">
        <w:rPr>
          <w:rFonts w:hint="eastAsia"/>
          <w:sz w:val="20"/>
          <w:szCs w:val="20"/>
          <w:lang w:eastAsia="zh-CN"/>
        </w:rPr>
        <w:t xml:space="preserve"> </w:t>
      </w:r>
      <w:r w:rsidR="00A56B48" w:rsidRPr="00AF7E26">
        <w:rPr>
          <w:b/>
          <w:bCs/>
          <w:sz w:val="20"/>
          <w:szCs w:val="20"/>
        </w:rPr>
        <w:t>Results:</w:t>
      </w:r>
      <w:r w:rsidR="008E24EB" w:rsidRPr="00AF7E26">
        <w:rPr>
          <w:b/>
          <w:bCs/>
          <w:sz w:val="20"/>
          <w:szCs w:val="20"/>
          <w:lang w:val="en-GB" w:bidi="ar-EG"/>
        </w:rPr>
        <w:t xml:space="preserve"> </w:t>
      </w:r>
      <w:r w:rsidR="008E24EB" w:rsidRPr="00AF7E26">
        <w:rPr>
          <w:sz w:val="20"/>
          <w:szCs w:val="20"/>
          <w:lang w:val="en-GB"/>
        </w:rPr>
        <w:t>There was significant decrease in serum sodium in those who did not survive. Serum lactate and CRP were significantly high in those who did not survive. As regard BNP, it was significantly higher in the non-survivor group, Also it correlated with prolonged length of stay in ICU, progressing to septic shock and need of mechanical ventilation.</w:t>
      </w:r>
      <w:r w:rsidR="00BD509D" w:rsidRPr="00AF7E26">
        <w:rPr>
          <w:rFonts w:hint="eastAsia"/>
          <w:sz w:val="20"/>
          <w:szCs w:val="20"/>
          <w:lang w:val="en-GB" w:eastAsia="zh-CN"/>
        </w:rPr>
        <w:t xml:space="preserve"> </w:t>
      </w:r>
      <w:r w:rsidR="00A56B48" w:rsidRPr="00AF7E26">
        <w:rPr>
          <w:b/>
          <w:bCs/>
          <w:sz w:val="20"/>
          <w:szCs w:val="20"/>
        </w:rPr>
        <w:t>Conclusion:</w:t>
      </w:r>
      <w:r w:rsidR="00001CA5" w:rsidRPr="00AF7E26">
        <w:rPr>
          <w:b/>
          <w:bCs/>
          <w:sz w:val="20"/>
          <w:szCs w:val="20"/>
        </w:rPr>
        <w:t xml:space="preserve"> </w:t>
      </w:r>
      <w:r w:rsidR="00001CA5" w:rsidRPr="00AF7E26">
        <w:rPr>
          <w:sz w:val="20"/>
          <w:szCs w:val="20"/>
        </w:rPr>
        <w:t>Laboratory and clinical medicine groups should actively collaborate and optimize their individual expertise to potentially prove standardized biomarkers assays that will optimize patient care.</w:t>
      </w:r>
    </w:p>
    <w:p w:rsidR="00AF7E26" w:rsidRPr="00AF7E26" w:rsidRDefault="00ED3A64" w:rsidP="00AF7E26">
      <w:pPr>
        <w:snapToGrid w:val="0"/>
        <w:jc w:val="both"/>
        <w:rPr>
          <w:sz w:val="20"/>
          <w:szCs w:val="20"/>
          <w:lang w:eastAsia="zh-CN"/>
        </w:rPr>
      </w:pPr>
      <w:r w:rsidRPr="00AF7E26">
        <w:rPr>
          <w:sz w:val="20"/>
          <w:szCs w:val="20"/>
        </w:rPr>
        <w:t>[Mohamed Anwar Elshafie, Ihab Hamed Abdulsalam, Hanaa Mohamed Abdallah El Gendy, Ahmed Ibrahim Yousef Elsherif</w:t>
      </w:r>
      <w:r w:rsidR="00AF7E26">
        <w:rPr>
          <w:rFonts w:hint="eastAsia"/>
          <w:sz w:val="20"/>
          <w:szCs w:val="20"/>
          <w:lang w:eastAsia="zh-CN"/>
        </w:rPr>
        <w:t>.</w:t>
      </w:r>
      <w:r w:rsidRPr="00AF7E26">
        <w:rPr>
          <w:b/>
          <w:bCs/>
          <w:sz w:val="20"/>
          <w:szCs w:val="20"/>
        </w:rPr>
        <w:t xml:space="preserve"> A Prospective Study of Brain Natriuretic Peptide as a Marker for Prediction of Severity in Patients with Sepsis</w:t>
      </w:r>
      <w:r w:rsidR="00AF7E26" w:rsidRPr="00AF7E26">
        <w:rPr>
          <w:rFonts w:eastAsia="Times New Roman"/>
          <w:b/>
          <w:bCs/>
          <w:sz w:val="20"/>
          <w:szCs w:val="20"/>
          <w:lang w:bidi="fa-IR"/>
        </w:rPr>
        <w:t>.</w:t>
      </w:r>
      <w:r w:rsidR="00AF7E26" w:rsidRPr="00AF7E26">
        <w:rPr>
          <w:bCs/>
          <w:i/>
          <w:sz w:val="20"/>
          <w:szCs w:val="20"/>
        </w:rPr>
        <w:t xml:space="preserve"> N Y Sci J</w:t>
      </w:r>
      <w:r w:rsidR="00AF7E26" w:rsidRPr="00AF7E26">
        <w:rPr>
          <w:bCs/>
          <w:sz w:val="20"/>
          <w:szCs w:val="20"/>
        </w:rPr>
        <w:t xml:space="preserve"> </w:t>
      </w:r>
      <w:r w:rsidR="00AF7E26" w:rsidRPr="00AF7E26">
        <w:rPr>
          <w:sz w:val="20"/>
          <w:szCs w:val="20"/>
        </w:rPr>
        <w:t>201</w:t>
      </w:r>
      <w:r w:rsidR="00AF7E26" w:rsidRPr="00AF7E26">
        <w:rPr>
          <w:rFonts w:hint="eastAsia"/>
          <w:sz w:val="20"/>
          <w:szCs w:val="20"/>
        </w:rPr>
        <w:t>9</w:t>
      </w:r>
      <w:r w:rsidR="00AF7E26" w:rsidRPr="00AF7E26">
        <w:rPr>
          <w:sz w:val="20"/>
          <w:szCs w:val="20"/>
        </w:rPr>
        <w:t>;</w:t>
      </w:r>
      <w:r w:rsidR="00AF7E26" w:rsidRPr="00AF7E26">
        <w:rPr>
          <w:rFonts w:hint="eastAsia"/>
          <w:sz w:val="20"/>
          <w:szCs w:val="20"/>
        </w:rPr>
        <w:t>12</w:t>
      </w:r>
      <w:r w:rsidR="00AF7E26" w:rsidRPr="00AF7E26">
        <w:rPr>
          <w:sz w:val="20"/>
          <w:szCs w:val="20"/>
        </w:rPr>
        <w:t>(</w:t>
      </w:r>
      <w:r w:rsidR="00AF7E26" w:rsidRPr="00AF7E26">
        <w:rPr>
          <w:rFonts w:hint="eastAsia"/>
          <w:sz w:val="20"/>
          <w:szCs w:val="20"/>
        </w:rPr>
        <w:t>3</w:t>
      </w:r>
      <w:r w:rsidR="00AF7E26" w:rsidRPr="00AF7E26">
        <w:rPr>
          <w:sz w:val="20"/>
          <w:szCs w:val="20"/>
        </w:rPr>
        <w:t>):</w:t>
      </w:r>
      <w:r w:rsidR="00F82D54">
        <w:rPr>
          <w:noProof/>
          <w:color w:val="000000"/>
          <w:sz w:val="20"/>
          <w:szCs w:val="20"/>
        </w:rPr>
        <w:t>2</w:t>
      </w:r>
      <w:r w:rsidR="00F82D54">
        <w:rPr>
          <w:rFonts w:hint="eastAsia"/>
          <w:noProof/>
          <w:color w:val="000000"/>
          <w:sz w:val="20"/>
          <w:szCs w:val="20"/>
          <w:lang w:eastAsia="zh-CN"/>
        </w:rPr>
        <w:t>1</w:t>
      </w:r>
      <w:r w:rsidR="007A02F7">
        <w:rPr>
          <w:noProof/>
          <w:color w:val="000000"/>
          <w:sz w:val="20"/>
          <w:szCs w:val="20"/>
        </w:rPr>
        <w:t>-2</w:t>
      </w:r>
      <w:r w:rsidR="00F82D54">
        <w:rPr>
          <w:rFonts w:hint="eastAsia"/>
          <w:noProof/>
          <w:color w:val="000000"/>
          <w:sz w:val="20"/>
          <w:szCs w:val="20"/>
          <w:lang w:eastAsia="zh-CN"/>
        </w:rPr>
        <w:t>6</w:t>
      </w:r>
      <w:r w:rsidR="00AF7E26" w:rsidRPr="00AF7E26">
        <w:rPr>
          <w:sz w:val="20"/>
          <w:szCs w:val="20"/>
        </w:rPr>
        <w:t xml:space="preserve">]. </w:t>
      </w:r>
      <w:r w:rsidR="00AF7E26" w:rsidRPr="00AF7E26">
        <w:rPr>
          <w:iCs/>
          <w:color w:val="000000"/>
          <w:sz w:val="20"/>
          <w:szCs w:val="20"/>
        </w:rPr>
        <w:t>ISSN 1554-0200 (print); ISSN 2375-723X (online)</w:t>
      </w:r>
      <w:r w:rsidR="00AF7E26" w:rsidRPr="00AF7E26">
        <w:rPr>
          <w:sz w:val="20"/>
          <w:szCs w:val="20"/>
        </w:rPr>
        <w:t xml:space="preserve">. </w:t>
      </w:r>
      <w:hyperlink r:id="rId8" w:history="1">
        <w:r w:rsidR="00AF7E26" w:rsidRPr="00AF7E26">
          <w:rPr>
            <w:rStyle w:val="Hyperlink"/>
            <w:sz w:val="20"/>
            <w:szCs w:val="20"/>
          </w:rPr>
          <w:t>http://www.sciencepub.net/newyork</w:t>
        </w:r>
      </w:hyperlink>
      <w:r w:rsidR="00AF7E26" w:rsidRPr="00AF7E26">
        <w:rPr>
          <w:sz w:val="20"/>
          <w:szCs w:val="20"/>
        </w:rPr>
        <w:t xml:space="preserve">. </w:t>
      </w:r>
      <w:r w:rsidR="00AF7E26">
        <w:rPr>
          <w:rFonts w:hint="eastAsia"/>
          <w:sz w:val="20"/>
          <w:szCs w:val="20"/>
          <w:lang w:eastAsia="zh-CN"/>
        </w:rPr>
        <w:t>4</w:t>
      </w:r>
      <w:r w:rsidR="00AF7E26" w:rsidRPr="00AF7E26">
        <w:rPr>
          <w:rFonts w:hint="eastAsia"/>
          <w:sz w:val="20"/>
          <w:szCs w:val="20"/>
        </w:rPr>
        <w:t xml:space="preserve">. </w:t>
      </w:r>
      <w:r w:rsidR="00AF7E26" w:rsidRPr="00AF7E26">
        <w:rPr>
          <w:color w:val="000000"/>
          <w:sz w:val="20"/>
          <w:szCs w:val="20"/>
          <w:shd w:val="clear" w:color="auto" w:fill="FFFFFF"/>
        </w:rPr>
        <w:t>doi:</w:t>
      </w:r>
      <w:hyperlink r:id="rId9" w:history="1">
        <w:r w:rsidR="00AF7E26" w:rsidRPr="00AF7E26">
          <w:rPr>
            <w:rStyle w:val="Hyperlink"/>
            <w:sz w:val="20"/>
            <w:szCs w:val="20"/>
            <w:shd w:val="clear" w:color="auto" w:fill="FFFFFF"/>
          </w:rPr>
          <w:t>10.7537/mars</w:t>
        </w:r>
        <w:r w:rsidR="00AF7E26" w:rsidRPr="00AF7E26">
          <w:rPr>
            <w:rStyle w:val="Hyperlink"/>
            <w:rFonts w:hint="eastAsia"/>
            <w:sz w:val="20"/>
            <w:szCs w:val="20"/>
            <w:shd w:val="clear" w:color="auto" w:fill="FFFFFF"/>
          </w:rPr>
          <w:t>nys120319.</w:t>
        </w:r>
        <w:r w:rsidR="00AF7E26" w:rsidRPr="00AF7E26">
          <w:rPr>
            <w:rStyle w:val="Hyperlink"/>
            <w:sz w:val="20"/>
            <w:szCs w:val="20"/>
            <w:shd w:val="clear" w:color="auto" w:fill="FFFFFF"/>
          </w:rPr>
          <w:t>0</w:t>
        </w:r>
        <w:r w:rsidR="00AF7E26">
          <w:rPr>
            <w:rStyle w:val="Hyperlink"/>
            <w:rFonts w:hint="eastAsia"/>
            <w:sz w:val="20"/>
            <w:szCs w:val="20"/>
            <w:shd w:val="clear" w:color="auto" w:fill="FFFFFF"/>
            <w:lang w:eastAsia="zh-CN"/>
          </w:rPr>
          <w:t>4</w:t>
        </w:r>
      </w:hyperlink>
      <w:r w:rsidR="00AF7E26" w:rsidRPr="00AF7E26">
        <w:rPr>
          <w:color w:val="000000"/>
          <w:sz w:val="20"/>
          <w:szCs w:val="20"/>
          <w:shd w:val="clear" w:color="auto" w:fill="FFFFFF"/>
        </w:rPr>
        <w:t>.</w:t>
      </w:r>
    </w:p>
    <w:p w:rsidR="00ED3A64" w:rsidRPr="006851B2" w:rsidRDefault="00ED3A64" w:rsidP="00AF7E26">
      <w:pPr>
        <w:snapToGrid w:val="0"/>
        <w:jc w:val="both"/>
        <w:rPr>
          <w:b/>
          <w:bCs/>
          <w:sz w:val="20"/>
          <w:szCs w:val="20"/>
        </w:rPr>
      </w:pPr>
    </w:p>
    <w:p w:rsidR="00A56B48" w:rsidRPr="006851B2" w:rsidRDefault="00A56B48" w:rsidP="00AF7E26">
      <w:pPr>
        <w:snapToGrid w:val="0"/>
        <w:jc w:val="both"/>
        <w:rPr>
          <w:sz w:val="20"/>
          <w:szCs w:val="20"/>
        </w:rPr>
      </w:pPr>
      <w:r w:rsidRPr="006851B2">
        <w:rPr>
          <w:b/>
          <w:bCs/>
          <w:sz w:val="20"/>
          <w:szCs w:val="20"/>
        </w:rPr>
        <w:t xml:space="preserve">Keywords: </w:t>
      </w:r>
      <w:r w:rsidR="00001CA5" w:rsidRPr="006851B2">
        <w:rPr>
          <w:sz w:val="20"/>
          <w:szCs w:val="20"/>
        </w:rPr>
        <w:t>Brain Natriuretic Peptide, Sepsis</w:t>
      </w:r>
    </w:p>
    <w:p w:rsidR="00AF7E26" w:rsidRDefault="006851B2" w:rsidP="00AF7E26">
      <w:pPr>
        <w:snapToGrid w:val="0"/>
        <w:jc w:val="both"/>
        <w:rPr>
          <w:b/>
          <w:bCs/>
          <w:sz w:val="20"/>
          <w:szCs w:val="20"/>
        </w:rPr>
        <w:sectPr w:rsidR="00AF7E26" w:rsidSect="00F82D54">
          <w:headerReference w:type="default" r:id="rId10"/>
          <w:footerReference w:type="even" r:id="rId11"/>
          <w:footerReference w:type="default" r:id="rId12"/>
          <w:type w:val="continuous"/>
          <w:pgSz w:w="12242" w:h="15842" w:code="1"/>
          <w:pgMar w:top="1440" w:right="1440" w:bottom="1440" w:left="1440" w:header="720" w:footer="720" w:gutter="0"/>
          <w:pgNumType w:start="21"/>
          <w:cols w:space="720"/>
          <w:docGrid w:linePitch="360"/>
        </w:sectPr>
      </w:pPr>
      <w:bookmarkStart w:id="0" w:name="_Toc2872367"/>
      <w:r>
        <w:rPr>
          <w:b/>
          <w:bCs/>
          <w:sz w:val="20"/>
          <w:szCs w:val="20"/>
        </w:rPr>
        <w:cr/>
      </w:r>
    </w:p>
    <w:p w:rsidR="00582019" w:rsidRPr="006851B2" w:rsidRDefault="00ED3A64" w:rsidP="00AF7E26">
      <w:pPr>
        <w:snapToGrid w:val="0"/>
        <w:jc w:val="both"/>
        <w:rPr>
          <w:b/>
          <w:bCs/>
          <w:sz w:val="20"/>
          <w:szCs w:val="20"/>
        </w:rPr>
      </w:pPr>
      <w:r w:rsidRPr="006851B2">
        <w:rPr>
          <w:b/>
          <w:bCs/>
          <w:sz w:val="20"/>
          <w:szCs w:val="20"/>
        </w:rPr>
        <w:lastRenderedPageBreak/>
        <w:t>1. Introduction</w:t>
      </w:r>
      <w:bookmarkEnd w:id="0"/>
    </w:p>
    <w:p w:rsidR="00582019" w:rsidRPr="006851B2" w:rsidRDefault="00582019" w:rsidP="00AF7E26">
      <w:pPr>
        <w:snapToGrid w:val="0"/>
        <w:ind w:firstLine="425"/>
        <w:jc w:val="both"/>
        <w:rPr>
          <w:sz w:val="20"/>
          <w:szCs w:val="20"/>
        </w:rPr>
      </w:pPr>
      <w:r w:rsidRPr="006851B2">
        <w:rPr>
          <w:sz w:val="20"/>
          <w:szCs w:val="20"/>
        </w:rPr>
        <w:t xml:space="preserve">Sepsis is a leading cause of death in critically ill patients despite improvements in antimicrobial therapy and supportive care </w:t>
      </w:r>
      <w:r w:rsidRPr="006851B2">
        <w:rPr>
          <w:b/>
          <w:bCs/>
          <w:i/>
          <w:iCs/>
          <w:sz w:val="20"/>
          <w:szCs w:val="20"/>
        </w:rPr>
        <w:t>(Angus et al., 2001</w:t>
      </w:r>
      <w:r w:rsidRPr="006851B2">
        <w:rPr>
          <w:i/>
          <w:iCs/>
          <w:sz w:val="20"/>
          <w:szCs w:val="20"/>
        </w:rPr>
        <w:t>).</w:t>
      </w:r>
      <w:r w:rsidRPr="006851B2">
        <w:rPr>
          <w:sz w:val="20"/>
          <w:szCs w:val="20"/>
        </w:rPr>
        <w:t xml:space="preserve"> The septic response is an extremely complex chain of events involving inflammatory and anti-inflammatory processes, hormonal and cellular reactions, and circulatory abnormalities </w:t>
      </w:r>
      <w:r w:rsidRPr="006851B2">
        <w:rPr>
          <w:b/>
          <w:bCs/>
          <w:i/>
          <w:iCs/>
          <w:sz w:val="20"/>
          <w:szCs w:val="20"/>
        </w:rPr>
        <w:t xml:space="preserve">(Gullo et al., 2006). </w:t>
      </w:r>
      <w:r w:rsidRPr="006851B2">
        <w:rPr>
          <w:sz w:val="20"/>
          <w:szCs w:val="20"/>
        </w:rPr>
        <w:t xml:space="preserve">Early identification of patients at high risk of dying after intensive care unit (ICU) admission may help to determine therapeutic interventions, such as changes in therapeutic protocols or further diagnostic procedures aiming at preventing shock and multiple organ failure with all their sequels that could have an impact on patients' outcome </w:t>
      </w:r>
      <w:r w:rsidRPr="006851B2">
        <w:rPr>
          <w:b/>
          <w:bCs/>
          <w:i/>
          <w:iCs/>
          <w:sz w:val="20"/>
          <w:szCs w:val="20"/>
        </w:rPr>
        <w:t xml:space="preserve">(Zambon et al., 2008). </w:t>
      </w:r>
      <w:r w:rsidRPr="006851B2">
        <w:rPr>
          <w:sz w:val="20"/>
          <w:szCs w:val="20"/>
        </w:rPr>
        <w:t>Therefore, there is a need for a fast simple and cost-effective method to enhance risk stratification in septic patients.</w:t>
      </w:r>
    </w:p>
    <w:p w:rsidR="00582019" w:rsidRPr="006851B2" w:rsidRDefault="00582019" w:rsidP="00AF7E26">
      <w:pPr>
        <w:snapToGrid w:val="0"/>
        <w:ind w:firstLine="425"/>
        <w:jc w:val="both"/>
        <w:rPr>
          <w:b/>
          <w:bCs/>
          <w:i/>
          <w:iCs/>
          <w:sz w:val="20"/>
          <w:szCs w:val="20"/>
        </w:rPr>
      </w:pPr>
      <w:r w:rsidRPr="006851B2">
        <w:rPr>
          <w:sz w:val="20"/>
          <w:szCs w:val="20"/>
        </w:rPr>
        <w:t xml:space="preserve">Brian natriuretic peptide (BNP) and its inactive cleavage product N-terminal fragment (NT-proBNP) (108 amino acids prohormone made when 32-amino acid polypeptide BNP is attached to a 76–amino acid N-terminal fragment). were secreted into the blood in response to atrial or ventricular wall stretch, or myocardial ischemia by cardiomyocytes. The half-life </w:t>
      </w:r>
      <w:r w:rsidRPr="006851B2">
        <w:rPr>
          <w:sz w:val="20"/>
          <w:szCs w:val="20"/>
        </w:rPr>
        <w:lastRenderedPageBreak/>
        <w:t xml:space="preserve">of BNP is approximately 20 minutes, and that of NT-proBNP is 1-2 hours </w:t>
      </w:r>
      <w:r w:rsidRPr="006851B2">
        <w:rPr>
          <w:b/>
          <w:bCs/>
          <w:i/>
          <w:iCs/>
          <w:sz w:val="20"/>
          <w:szCs w:val="20"/>
        </w:rPr>
        <w:t xml:space="preserve">(Vanderheyden et al., 2004). </w:t>
      </w:r>
    </w:p>
    <w:p w:rsidR="00582019" w:rsidRPr="006851B2" w:rsidRDefault="00582019" w:rsidP="00AF7E26">
      <w:pPr>
        <w:snapToGrid w:val="0"/>
        <w:ind w:firstLine="425"/>
        <w:jc w:val="both"/>
        <w:rPr>
          <w:sz w:val="20"/>
          <w:szCs w:val="20"/>
        </w:rPr>
      </w:pPr>
      <w:r w:rsidRPr="006851B2">
        <w:rPr>
          <w:sz w:val="20"/>
          <w:szCs w:val="20"/>
        </w:rPr>
        <w:t xml:space="preserve">Brain naturietic peptides have been found to be useful markers in the diagnosis, management and prognosis of patients with congestive heart failure. In addition, BNPs are powerful predictors of death and major adverse cardiovascular events in patients with stable coronary disease, acute coronary syndromes and pulmonary embolism, and pulmonary hypertension, and COPD with corpulmonale, and those who undergo noncardiac surgery </w:t>
      </w:r>
      <w:r w:rsidRPr="006851B2">
        <w:rPr>
          <w:b/>
          <w:bCs/>
          <w:i/>
          <w:iCs/>
          <w:sz w:val="20"/>
          <w:szCs w:val="20"/>
        </w:rPr>
        <w:t>(Karthikeyan et al., 2009).</w:t>
      </w:r>
    </w:p>
    <w:p w:rsidR="00582019" w:rsidRPr="006851B2" w:rsidRDefault="00ED3A64" w:rsidP="00AF7E26">
      <w:pPr>
        <w:snapToGrid w:val="0"/>
        <w:jc w:val="both"/>
        <w:rPr>
          <w:b/>
          <w:bCs/>
          <w:sz w:val="20"/>
          <w:szCs w:val="20"/>
        </w:rPr>
      </w:pPr>
      <w:bookmarkStart w:id="1" w:name="_Toc2872368"/>
      <w:r w:rsidRPr="006851B2">
        <w:rPr>
          <w:b/>
          <w:bCs/>
          <w:sz w:val="20"/>
          <w:szCs w:val="20"/>
        </w:rPr>
        <w:t>Aim of the Work</w:t>
      </w:r>
      <w:bookmarkEnd w:id="1"/>
    </w:p>
    <w:p w:rsidR="00582019" w:rsidRPr="006851B2" w:rsidRDefault="00582019" w:rsidP="00AF7E26">
      <w:pPr>
        <w:snapToGrid w:val="0"/>
        <w:ind w:firstLine="425"/>
        <w:jc w:val="both"/>
        <w:rPr>
          <w:sz w:val="20"/>
          <w:szCs w:val="20"/>
        </w:rPr>
      </w:pPr>
      <w:r w:rsidRPr="006851B2">
        <w:rPr>
          <w:sz w:val="20"/>
          <w:szCs w:val="20"/>
          <w:lang w:val="en-GB"/>
        </w:rPr>
        <w:t>The aim of this study is to investigate the plasma level of BNP in patients with sepsis and to study the association of BNP level with severity of disease progression and prognosis of those patients.</w:t>
      </w:r>
    </w:p>
    <w:p w:rsidR="00ED3A64" w:rsidRPr="006851B2" w:rsidRDefault="00ED3A64" w:rsidP="00AF7E26">
      <w:pPr>
        <w:snapToGrid w:val="0"/>
        <w:jc w:val="both"/>
        <w:rPr>
          <w:b/>
          <w:bCs/>
          <w:sz w:val="20"/>
          <w:szCs w:val="20"/>
        </w:rPr>
      </w:pPr>
      <w:bookmarkStart w:id="2" w:name="_Toc2872371"/>
    </w:p>
    <w:p w:rsidR="00582019" w:rsidRPr="006851B2" w:rsidRDefault="00ED3A64" w:rsidP="00AF7E26">
      <w:pPr>
        <w:snapToGrid w:val="0"/>
        <w:jc w:val="both"/>
        <w:rPr>
          <w:b/>
          <w:bCs/>
          <w:sz w:val="20"/>
          <w:szCs w:val="20"/>
        </w:rPr>
      </w:pPr>
      <w:r w:rsidRPr="006851B2">
        <w:rPr>
          <w:b/>
          <w:bCs/>
          <w:sz w:val="20"/>
          <w:szCs w:val="20"/>
        </w:rPr>
        <w:t>2. Patients and Methods</w:t>
      </w:r>
      <w:bookmarkEnd w:id="2"/>
    </w:p>
    <w:p w:rsidR="00582019" w:rsidRPr="006851B2" w:rsidRDefault="00582019" w:rsidP="00AF7E26">
      <w:pPr>
        <w:snapToGrid w:val="0"/>
        <w:ind w:firstLine="425"/>
        <w:jc w:val="both"/>
        <w:rPr>
          <w:sz w:val="20"/>
          <w:szCs w:val="20"/>
        </w:rPr>
      </w:pPr>
      <w:r w:rsidRPr="006851B2">
        <w:rPr>
          <w:sz w:val="20"/>
          <w:szCs w:val="20"/>
        </w:rPr>
        <w:t>This prospective cohort study included 30 patients diagnosed to have sepsis admitted to the Intensive care unit at October six University hospital and Ain Shams university hospital during period between June 2018 and January 2019.</w:t>
      </w:r>
    </w:p>
    <w:p w:rsidR="00582019" w:rsidRPr="006851B2" w:rsidRDefault="00582019" w:rsidP="00AF7E26">
      <w:pPr>
        <w:snapToGrid w:val="0"/>
        <w:ind w:firstLine="425"/>
        <w:jc w:val="both"/>
        <w:rPr>
          <w:sz w:val="20"/>
          <w:szCs w:val="20"/>
        </w:rPr>
      </w:pPr>
      <w:r w:rsidRPr="006851B2">
        <w:rPr>
          <w:sz w:val="20"/>
          <w:szCs w:val="20"/>
        </w:rPr>
        <w:t xml:space="preserve">After approval of the local ethical committee in October 6 university hospital and Ain Shams </w:t>
      </w:r>
      <w:r w:rsidRPr="006851B2">
        <w:rPr>
          <w:sz w:val="20"/>
          <w:szCs w:val="20"/>
        </w:rPr>
        <w:lastRenderedPageBreak/>
        <w:t>university hospital, A consent was obtained from the patient or first kin for participation.</w:t>
      </w:r>
    </w:p>
    <w:p w:rsidR="00582019" w:rsidRPr="006851B2" w:rsidRDefault="00582019" w:rsidP="00AF7E26">
      <w:pPr>
        <w:snapToGrid w:val="0"/>
        <w:jc w:val="both"/>
        <w:rPr>
          <w:b/>
          <w:bCs/>
          <w:sz w:val="20"/>
          <w:szCs w:val="20"/>
        </w:rPr>
      </w:pPr>
      <w:r w:rsidRPr="006851B2">
        <w:rPr>
          <w:b/>
          <w:bCs/>
          <w:sz w:val="20"/>
          <w:szCs w:val="20"/>
        </w:rPr>
        <w:t xml:space="preserve">Included patients fulfilled the following criteria on admission: - </w:t>
      </w:r>
    </w:p>
    <w:p w:rsidR="00582019" w:rsidRPr="006851B2" w:rsidRDefault="00582019" w:rsidP="00AF7E26">
      <w:pPr>
        <w:snapToGrid w:val="0"/>
        <w:ind w:firstLine="425"/>
        <w:jc w:val="both"/>
        <w:rPr>
          <w:sz w:val="20"/>
          <w:szCs w:val="20"/>
          <w:lang w:eastAsia="zh-CN"/>
        </w:rPr>
      </w:pPr>
      <w:r w:rsidRPr="006851B2">
        <w:rPr>
          <w:sz w:val="20"/>
          <w:szCs w:val="20"/>
        </w:rPr>
        <w:t>1- Age 18-80 years old</w:t>
      </w:r>
      <w:r w:rsidR="00AF7E26">
        <w:rPr>
          <w:rFonts w:hint="eastAsia"/>
          <w:sz w:val="20"/>
          <w:szCs w:val="20"/>
          <w:lang w:eastAsia="zh-CN"/>
        </w:rPr>
        <w:t xml:space="preserve"> </w:t>
      </w:r>
    </w:p>
    <w:p w:rsidR="00582019" w:rsidRPr="006851B2" w:rsidRDefault="00582019" w:rsidP="00AF7E26">
      <w:pPr>
        <w:snapToGrid w:val="0"/>
        <w:ind w:firstLine="425"/>
        <w:jc w:val="both"/>
        <w:rPr>
          <w:sz w:val="20"/>
          <w:szCs w:val="20"/>
        </w:rPr>
      </w:pPr>
      <w:r w:rsidRPr="006851B2">
        <w:rPr>
          <w:sz w:val="20"/>
          <w:szCs w:val="20"/>
        </w:rPr>
        <w:t>2- Sepsis: Two or more of the following variables of SIRS with suspected site of infection:</w:t>
      </w:r>
    </w:p>
    <w:p w:rsidR="00582019" w:rsidRPr="006851B2" w:rsidRDefault="00582019" w:rsidP="00AF7E26">
      <w:pPr>
        <w:numPr>
          <w:ilvl w:val="0"/>
          <w:numId w:val="1"/>
        </w:numPr>
        <w:snapToGrid w:val="0"/>
        <w:ind w:left="0" w:firstLine="425"/>
        <w:jc w:val="both"/>
        <w:rPr>
          <w:sz w:val="20"/>
          <w:szCs w:val="20"/>
        </w:rPr>
      </w:pPr>
      <w:r w:rsidRPr="006851B2">
        <w:rPr>
          <w:sz w:val="20"/>
          <w:szCs w:val="20"/>
        </w:rPr>
        <w:t>Fever of more than 38°C (100.4°F) or less than 36°C (96.8°F)</w:t>
      </w:r>
    </w:p>
    <w:p w:rsidR="00582019" w:rsidRPr="006851B2" w:rsidRDefault="00582019" w:rsidP="00AF7E26">
      <w:pPr>
        <w:numPr>
          <w:ilvl w:val="0"/>
          <w:numId w:val="1"/>
        </w:numPr>
        <w:snapToGrid w:val="0"/>
        <w:ind w:left="0" w:firstLine="425"/>
        <w:jc w:val="both"/>
        <w:rPr>
          <w:sz w:val="20"/>
          <w:szCs w:val="20"/>
        </w:rPr>
      </w:pPr>
      <w:r w:rsidRPr="006851B2">
        <w:rPr>
          <w:sz w:val="20"/>
          <w:szCs w:val="20"/>
        </w:rPr>
        <w:t>Heart rate of more than 90 beats per minute</w:t>
      </w:r>
    </w:p>
    <w:p w:rsidR="00582019" w:rsidRPr="006851B2" w:rsidRDefault="00582019" w:rsidP="00AF7E26">
      <w:pPr>
        <w:numPr>
          <w:ilvl w:val="0"/>
          <w:numId w:val="1"/>
        </w:numPr>
        <w:snapToGrid w:val="0"/>
        <w:ind w:left="0" w:firstLine="425"/>
        <w:jc w:val="both"/>
        <w:rPr>
          <w:sz w:val="20"/>
          <w:szCs w:val="20"/>
        </w:rPr>
      </w:pPr>
      <w:r w:rsidRPr="006851B2">
        <w:rPr>
          <w:sz w:val="20"/>
          <w:szCs w:val="20"/>
        </w:rPr>
        <w:t>Respiratory rate of more than 20 breaths per minute or Arterial carbon dioxide tension (PaCO </w:t>
      </w:r>
      <w:r w:rsidRPr="006851B2">
        <w:rPr>
          <w:sz w:val="20"/>
          <w:szCs w:val="20"/>
          <w:vertAlign w:val="subscript"/>
        </w:rPr>
        <w:t>2</w:t>
      </w:r>
      <w:r w:rsidRPr="006851B2">
        <w:rPr>
          <w:sz w:val="20"/>
          <w:szCs w:val="20"/>
        </w:rPr>
        <w:t>) of less than 32 mm Hg</w:t>
      </w:r>
    </w:p>
    <w:p w:rsidR="00582019" w:rsidRPr="006851B2" w:rsidRDefault="00582019" w:rsidP="00AF7E26">
      <w:pPr>
        <w:numPr>
          <w:ilvl w:val="0"/>
          <w:numId w:val="1"/>
        </w:numPr>
        <w:snapToGrid w:val="0"/>
        <w:ind w:left="0" w:firstLine="425"/>
        <w:jc w:val="both"/>
        <w:rPr>
          <w:b/>
          <w:bCs/>
          <w:sz w:val="20"/>
          <w:szCs w:val="20"/>
        </w:rPr>
      </w:pPr>
      <w:r w:rsidRPr="006851B2">
        <w:rPr>
          <w:sz w:val="20"/>
          <w:szCs w:val="20"/>
        </w:rPr>
        <w:t>Abnormal white blood cell count (&gt;12,000/µL or &lt;4,000/µL or &gt;10% immature [band] forms)</w:t>
      </w:r>
    </w:p>
    <w:p w:rsidR="00582019" w:rsidRPr="006851B2" w:rsidRDefault="00582019" w:rsidP="00AF7E26">
      <w:pPr>
        <w:snapToGrid w:val="0"/>
        <w:jc w:val="both"/>
        <w:rPr>
          <w:b/>
          <w:bCs/>
          <w:sz w:val="20"/>
          <w:szCs w:val="20"/>
        </w:rPr>
      </w:pPr>
      <w:r w:rsidRPr="006851B2">
        <w:rPr>
          <w:b/>
          <w:bCs/>
          <w:sz w:val="20"/>
          <w:szCs w:val="20"/>
        </w:rPr>
        <w:t xml:space="preserve">We excluded from our study any patient with any of the following criteria. </w:t>
      </w:r>
    </w:p>
    <w:p w:rsidR="00582019" w:rsidRPr="006851B2" w:rsidRDefault="00582019" w:rsidP="00AF7E26">
      <w:pPr>
        <w:numPr>
          <w:ilvl w:val="0"/>
          <w:numId w:val="2"/>
        </w:numPr>
        <w:snapToGrid w:val="0"/>
        <w:ind w:left="0" w:firstLine="425"/>
        <w:jc w:val="both"/>
        <w:rPr>
          <w:sz w:val="20"/>
          <w:szCs w:val="20"/>
        </w:rPr>
      </w:pPr>
      <w:r w:rsidRPr="006851B2">
        <w:rPr>
          <w:sz w:val="20"/>
          <w:szCs w:val="20"/>
        </w:rPr>
        <w:t>Congestive heart failure</w:t>
      </w:r>
    </w:p>
    <w:p w:rsidR="00582019" w:rsidRPr="006851B2" w:rsidRDefault="00582019" w:rsidP="00AF7E26">
      <w:pPr>
        <w:numPr>
          <w:ilvl w:val="0"/>
          <w:numId w:val="2"/>
        </w:numPr>
        <w:snapToGrid w:val="0"/>
        <w:ind w:left="0" w:firstLine="425"/>
        <w:jc w:val="both"/>
        <w:rPr>
          <w:sz w:val="20"/>
          <w:szCs w:val="20"/>
        </w:rPr>
      </w:pPr>
      <w:r w:rsidRPr="006851B2">
        <w:rPr>
          <w:sz w:val="20"/>
          <w:szCs w:val="20"/>
        </w:rPr>
        <w:t>Chronic renal disease or End stage renal diseas</w:t>
      </w:r>
      <w:r w:rsidR="006851B2" w:rsidRPr="006851B2">
        <w:rPr>
          <w:sz w:val="20"/>
          <w:szCs w:val="20"/>
        </w:rPr>
        <w:t>e (</w:t>
      </w:r>
      <w:r w:rsidRPr="006851B2">
        <w:rPr>
          <w:sz w:val="20"/>
          <w:szCs w:val="20"/>
        </w:rPr>
        <w:t>ESRD) on regular dialysis</w:t>
      </w:r>
    </w:p>
    <w:p w:rsidR="00582019" w:rsidRPr="006851B2" w:rsidRDefault="00582019" w:rsidP="00AF7E26">
      <w:pPr>
        <w:numPr>
          <w:ilvl w:val="0"/>
          <w:numId w:val="2"/>
        </w:numPr>
        <w:snapToGrid w:val="0"/>
        <w:ind w:left="0" w:firstLine="425"/>
        <w:jc w:val="both"/>
        <w:rPr>
          <w:sz w:val="20"/>
          <w:szCs w:val="20"/>
        </w:rPr>
      </w:pPr>
      <w:r w:rsidRPr="006851B2">
        <w:rPr>
          <w:sz w:val="20"/>
          <w:szCs w:val="20"/>
        </w:rPr>
        <w:t>Ischemic heart disease</w:t>
      </w:r>
    </w:p>
    <w:p w:rsidR="00582019" w:rsidRPr="006851B2" w:rsidRDefault="00582019" w:rsidP="00AF7E26">
      <w:pPr>
        <w:numPr>
          <w:ilvl w:val="0"/>
          <w:numId w:val="2"/>
        </w:numPr>
        <w:snapToGrid w:val="0"/>
        <w:ind w:left="0" w:firstLine="425"/>
        <w:jc w:val="both"/>
        <w:rPr>
          <w:sz w:val="20"/>
          <w:szCs w:val="20"/>
        </w:rPr>
      </w:pPr>
      <w:r w:rsidRPr="006851B2">
        <w:rPr>
          <w:sz w:val="20"/>
          <w:szCs w:val="20"/>
        </w:rPr>
        <w:t xml:space="preserve">Acute coronary syndrome </w:t>
      </w:r>
    </w:p>
    <w:p w:rsidR="00582019" w:rsidRPr="006851B2" w:rsidRDefault="00582019" w:rsidP="00AF7E26">
      <w:pPr>
        <w:numPr>
          <w:ilvl w:val="0"/>
          <w:numId w:val="2"/>
        </w:numPr>
        <w:snapToGrid w:val="0"/>
        <w:ind w:left="0" w:firstLine="425"/>
        <w:jc w:val="both"/>
        <w:rPr>
          <w:sz w:val="20"/>
          <w:szCs w:val="20"/>
        </w:rPr>
      </w:pPr>
      <w:r w:rsidRPr="006851B2">
        <w:rPr>
          <w:sz w:val="20"/>
          <w:szCs w:val="20"/>
        </w:rPr>
        <w:t>Terminal malignancy patients</w:t>
      </w:r>
    </w:p>
    <w:p w:rsidR="00582019" w:rsidRPr="006851B2" w:rsidRDefault="00582019" w:rsidP="00AF7E26">
      <w:pPr>
        <w:numPr>
          <w:ilvl w:val="0"/>
          <w:numId w:val="2"/>
        </w:numPr>
        <w:snapToGrid w:val="0"/>
        <w:ind w:left="0" w:firstLine="425"/>
        <w:jc w:val="both"/>
        <w:rPr>
          <w:sz w:val="20"/>
          <w:szCs w:val="20"/>
        </w:rPr>
      </w:pPr>
      <w:r w:rsidRPr="006851B2">
        <w:rPr>
          <w:sz w:val="20"/>
          <w:szCs w:val="20"/>
        </w:rPr>
        <w:t xml:space="preserve">Polytrauma patients </w:t>
      </w:r>
    </w:p>
    <w:p w:rsidR="00582019" w:rsidRPr="006851B2" w:rsidRDefault="00582019" w:rsidP="00AF7E26">
      <w:pPr>
        <w:snapToGrid w:val="0"/>
        <w:ind w:firstLine="425"/>
        <w:jc w:val="both"/>
        <w:rPr>
          <w:sz w:val="20"/>
          <w:szCs w:val="20"/>
        </w:rPr>
      </w:pPr>
      <w:r w:rsidRPr="006851B2">
        <w:rPr>
          <w:sz w:val="20"/>
          <w:szCs w:val="20"/>
        </w:rPr>
        <w:t>As the above conditions may be associated with an elevation of BNP.</w:t>
      </w:r>
    </w:p>
    <w:p w:rsidR="00582019" w:rsidRPr="006851B2" w:rsidRDefault="00582019" w:rsidP="00AF7E26">
      <w:pPr>
        <w:snapToGrid w:val="0"/>
        <w:jc w:val="both"/>
        <w:rPr>
          <w:b/>
          <w:bCs/>
          <w:sz w:val="20"/>
          <w:szCs w:val="20"/>
        </w:rPr>
      </w:pPr>
      <w:r w:rsidRPr="006851B2">
        <w:rPr>
          <w:b/>
          <w:bCs/>
          <w:sz w:val="20"/>
          <w:szCs w:val="20"/>
        </w:rPr>
        <w:t>Methodology</w:t>
      </w:r>
    </w:p>
    <w:p w:rsidR="00582019" w:rsidRPr="006851B2" w:rsidRDefault="00582019" w:rsidP="00AF7E26">
      <w:pPr>
        <w:snapToGrid w:val="0"/>
        <w:ind w:firstLine="425"/>
        <w:jc w:val="both"/>
        <w:rPr>
          <w:sz w:val="20"/>
          <w:szCs w:val="20"/>
        </w:rPr>
      </w:pPr>
      <w:r w:rsidRPr="006851B2">
        <w:rPr>
          <w:sz w:val="20"/>
          <w:szCs w:val="20"/>
        </w:rPr>
        <w:t>After the study explanation to all patients or first kin.</w:t>
      </w:r>
    </w:p>
    <w:p w:rsidR="00582019" w:rsidRPr="006851B2" w:rsidRDefault="00582019" w:rsidP="00AF7E26">
      <w:pPr>
        <w:snapToGrid w:val="0"/>
        <w:jc w:val="both"/>
        <w:rPr>
          <w:b/>
          <w:bCs/>
          <w:sz w:val="20"/>
          <w:szCs w:val="20"/>
        </w:rPr>
      </w:pPr>
      <w:r w:rsidRPr="006851B2">
        <w:rPr>
          <w:b/>
          <w:bCs/>
          <w:sz w:val="20"/>
          <w:szCs w:val="20"/>
        </w:rPr>
        <w:lastRenderedPageBreak/>
        <w:t>Patients were subjected to the following:</w:t>
      </w:r>
    </w:p>
    <w:p w:rsidR="00582019" w:rsidRPr="006851B2" w:rsidRDefault="00582019" w:rsidP="00AF7E26">
      <w:pPr>
        <w:snapToGrid w:val="0"/>
        <w:ind w:firstLine="425"/>
        <w:jc w:val="both"/>
        <w:rPr>
          <w:sz w:val="20"/>
          <w:szCs w:val="20"/>
        </w:rPr>
      </w:pPr>
      <w:r w:rsidRPr="006851B2">
        <w:rPr>
          <w:sz w:val="20"/>
          <w:szCs w:val="20"/>
        </w:rPr>
        <w:t xml:space="preserve">1- Complete medical history taking </w:t>
      </w:r>
    </w:p>
    <w:p w:rsidR="00582019" w:rsidRPr="006851B2" w:rsidRDefault="00582019" w:rsidP="00AF7E26">
      <w:pPr>
        <w:snapToGrid w:val="0"/>
        <w:ind w:firstLine="425"/>
        <w:jc w:val="both"/>
        <w:rPr>
          <w:sz w:val="20"/>
          <w:szCs w:val="20"/>
        </w:rPr>
      </w:pPr>
      <w:r w:rsidRPr="006851B2">
        <w:rPr>
          <w:sz w:val="20"/>
          <w:szCs w:val="20"/>
        </w:rPr>
        <w:t xml:space="preserve">2- Hemodynamic monitoring </w:t>
      </w:r>
    </w:p>
    <w:p w:rsidR="00582019" w:rsidRPr="006851B2" w:rsidRDefault="00582019" w:rsidP="00AF7E26">
      <w:pPr>
        <w:snapToGrid w:val="0"/>
        <w:ind w:firstLine="425"/>
        <w:jc w:val="both"/>
        <w:rPr>
          <w:sz w:val="20"/>
          <w:szCs w:val="20"/>
        </w:rPr>
      </w:pPr>
      <w:r w:rsidRPr="006851B2">
        <w:rPr>
          <w:sz w:val="20"/>
          <w:szCs w:val="20"/>
        </w:rPr>
        <w:t>3- Duration of ICU stay</w:t>
      </w:r>
    </w:p>
    <w:p w:rsidR="00582019" w:rsidRPr="006851B2" w:rsidRDefault="00582019" w:rsidP="00AF7E26">
      <w:pPr>
        <w:snapToGrid w:val="0"/>
        <w:ind w:firstLine="425"/>
        <w:jc w:val="both"/>
        <w:rPr>
          <w:sz w:val="20"/>
          <w:szCs w:val="20"/>
        </w:rPr>
      </w:pPr>
      <w:r w:rsidRPr="006851B2">
        <w:rPr>
          <w:sz w:val="20"/>
          <w:szCs w:val="20"/>
        </w:rPr>
        <w:t xml:space="preserve">4- Need of mechanical ventilation </w:t>
      </w:r>
    </w:p>
    <w:p w:rsidR="00582019" w:rsidRPr="006851B2" w:rsidRDefault="00582019" w:rsidP="00AF7E26">
      <w:pPr>
        <w:snapToGrid w:val="0"/>
        <w:ind w:firstLine="425"/>
        <w:jc w:val="both"/>
        <w:rPr>
          <w:sz w:val="20"/>
          <w:szCs w:val="20"/>
        </w:rPr>
      </w:pPr>
      <w:r w:rsidRPr="006851B2">
        <w:rPr>
          <w:sz w:val="20"/>
          <w:szCs w:val="20"/>
        </w:rPr>
        <w:t>5- Sepsis: Two or more of SIRS variables with suspected site of infection:</w:t>
      </w:r>
    </w:p>
    <w:p w:rsidR="00AF5FA6" w:rsidRPr="006851B2" w:rsidRDefault="00582019" w:rsidP="00AF7E26">
      <w:pPr>
        <w:snapToGrid w:val="0"/>
        <w:ind w:firstLine="425"/>
        <w:jc w:val="both"/>
        <w:rPr>
          <w:sz w:val="20"/>
          <w:szCs w:val="20"/>
        </w:rPr>
      </w:pPr>
      <w:r w:rsidRPr="006851B2">
        <w:rPr>
          <w:sz w:val="20"/>
          <w:szCs w:val="20"/>
        </w:rPr>
        <w:t xml:space="preserve">6- Laboratory Investigations: </w:t>
      </w:r>
      <w:r w:rsidR="00AF5FA6" w:rsidRPr="006851B2">
        <w:rPr>
          <w:sz w:val="20"/>
          <w:szCs w:val="20"/>
        </w:rPr>
        <w:t>CBC, ESR, CRP, S</w:t>
      </w:r>
      <w:r w:rsidR="00AF7E26" w:rsidRPr="006851B2">
        <w:rPr>
          <w:sz w:val="20"/>
          <w:szCs w:val="20"/>
        </w:rPr>
        <w:t>.</w:t>
      </w:r>
      <w:r w:rsidR="00AF7E26">
        <w:rPr>
          <w:sz w:val="20"/>
          <w:szCs w:val="20"/>
        </w:rPr>
        <w:t xml:space="preserve"> </w:t>
      </w:r>
      <w:r w:rsidR="00AF7E26" w:rsidRPr="006851B2">
        <w:rPr>
          <w:sz w:val="20"/>
          <w:szCs w:val="20"/>
        </w:rPr>
        <w:t>l</w:t>
      </w:r>
      <w:r w:rsidR="00AF5FA6" w:rsidRPr="006851B2">
        <w:rPr>
          <w:sz w:val="20"/>
          <w:szCs w:val="20"/>
        </w:rPr>
        <w:t>actate, KFT, LFT, INR and BNP level was done by the use of the Triage BNP Test</w:t>
      </w:r>
    </w:p>
    <w:p w:rsidR="00582019" w:rsidRPr="006851B2" w:rsidRDefault="00582019" w:rsidP="00AF7E26">
      <w:pPr>
        <w:snapToGrid w:val="0"/>
        <w:jc w:val="both"/>
        <w:rPr>
          <w:b/>
          <w:bCs/>
          <w:sz w:val="20"/>
          <w:szCs w:val="20"/>
        </w:rPr>
      </w:pPr>
      <w:r w:rsidRPr="006851B2">
        <w:rPr>
          <w:b/>
          <w:bCs/>
          <w:sz w:val="20"/>
          <w:szCs w:val="20"/>
        </w:rPr>
        <w:t>Test device contains:</w:t>
      </w:r>
    </w:p>
    <w:p w:rsidR="00582019" w:rsidRPr="006851B2" w:rsidRDefault="00582019" w:rsidP="00AF7E26">
      <w:pPr>
        <w:numPr>
          <w:ilvl w:val="0"/>
          <w:numId w:val="3"/>
        </w:numPr>
        <w:snapToGrid w:val="0"/>
        <w:ind w:left="0" w:firstLine="425"/>
        <w:jc w:val="both"/>
        <w:rPr>
          <w:sz w:val="20"/>
          <w:szCs w:val="20"/>
        </w:rPr>
      </w:pPr>
      <w:r w:rsidRPr="006851B2">
        <w:rPr>
          <w:sz w:val="20"/>
          <w:szCs w:val="20"/>
        </w:rPr>
        <w:t>Murine monoclonal and polyclonal antibodies against BNP</w:t>
      </w:r>
    </w:p>
    <w:p w:rsidR="00582019" w:rsidRPr="006851B2" w:rsidRDefault="00582019" w:rsidP="00AF7E26">
      <w:pPr>
        <w:numPr>
          <w:ilvl w:val="0"/>
          <w:numId w:val="3"/>
        </w:numPr>
        <w:snapToGrid w:val="0"/>
        <w:ind w:left="0" w:firstLine="425"/>
        <w:jc w:val="both"/>
        <w:rPr>
          <w:sz w:val="20"/>
          <w:szCs w:val="20"/>
        </w:rPr>
      </w:pPr>
      <w:r w:rsidRPr="006851B2">
        <w:rPr>
          <w:sz w:val="20"/>
          <w:szCs w:val="20"/>
        </w:rPr>
        <w:t xml:space="preserve">Fluorescent Dye </w:t>
      </w:r>
    </w:p>
    <w:p w:rsidR="00582019" w:rsidRPr="006851B2" w:rsidRDefault="00582019" w:rsidP="00AF7E26">
      <w:pPr>
        <w:numPr>
          <w:ilvl w:val="0"/>
          <w:numId w:val="3"/>
        </w:numPr>
        <w:snapToGrid w:val="0"/>
        <w:ind w:left="0" w:firstLine="425"/>
        <w:jc w:val="both"/>
        <w:rPr>
          <w:sz w:val="20"/>
          <w:szCs w:val="20"/>
        </w:rPr>
      </w:pPr>
      <w:r w:rsidRPr="006851B2">
        <w:rPr>
          <w:sz w:val="20"/>
          <w:szCs w:val="20"/>
        </w:rPr>
        <w:t>Stabilizers</w:t>
      </w:r>
    </w:p>
    <w:p w:rsidR="00582019" w:rsidRPr="006851B2" w:rsidRDefault="00582019" w:rsidP="00AF7E26">
      <w:pPr>
        <w:snapToGrid w:val="0"/>
        <w:jc w:val="both"/>
        <w:rPr>
          <w:b/>
          <w:bCs/>
          <w:sz w:val="20"/>
          <w:szCs w:val="20"/>
        </w:rPr>
      </w:pPr>
      <w:r w:rsidRPr="006851B2">
        <w:rPr>
          <w:b/>
          <w:bCs/>
          <w:sz w:val="20"/>
          <w:szCs w:val="20"/>
        </w:rPr>
        <w:t>Statistical Analysis</w:t>
      </w:r>
    </w:p>
    <w:p w:rsidR="00582019" w:rsidRPr="006851B2" w:rsidRDefault="00582019" w:rsidP="00AF7E26">
      <w:pPr>
        <w:snapToGrid w:val="0"/>
        <w:ind w:firstLine="425"/>
        <w:jc w:val="both"/>
        <w:rPr>
          <w:sz w:val="20"/>
          <w:szCs w:val="20"/>
        </w:rPr>
      </w:pPr>
      <w:r w:rsidRPr="006851B2">
        <w:rPr>
          <w:sz w:val="20"/>
          <w:szCs w:val="20"/>
        </w:rPr>
        <w:t>Data were collected, revised, coded and entered to the Statistical Package for Social Science (IBM SPSS) version 23. The quantitative data were presented as mean, standard deviations and ranges when parametric and median with inter-quartile range (IQR) when non parametric. Also qualitative variables were presented as number and percentages.</w:t>
      </w:r>
      <w:r w:rsidR="00AF5FA6" w:rsidRPr="006851B2">
        <w:rPr>
          <w:sz w:val="20"/>
          <w:szCs w:val="20"/>
        </w:rPr>
        <w:t xml:space="preserve"> </w:t>
      </w:r>
      <w:r w:rsidR="00B420B4" w:rsidRPr="006851B2">
        <w:rPr>
          <w:sz w:val="20"/>
          <w:szCs w:val="20"/>
        </w:rPr>
        <w:t>So, the p-value was considered significant as the following:</w:t>
      </w:r>
      <w:r w:rsidR="00AF5FA6" w:rsidRPr="006851B2">
        <w:rPr>
          <w:sz w:val="20"/>
          <w:szCs w:val="20"/>
        </w:rPr>
        <w:t xml:space="preserve"> </w:t>
      </w:r>
      <w:r w:rsidR="00B420B4" w:rsidRPr="006851B2">
        <w:rPr>
          <w:sz w:val="20"/>
          <w:szCs w:val="20"/>
        </w:rPr>
        <w:t>P-value &gt; 0.05: Non significant (NS)</w:t>
      </w:r>
      <w:r w:rsidR="00AF5FA6" w:rsidRPr="006851B2">
        <w:rPr>
          <w:sz w:val="20"/>
          <w:szCs w:val="20"/>
        </w:rPr>
        <w:t xml:space="preserve">, </w:t>
      </w:r>
      <w:r w:rsidR="00B420B4" w:rsidRPr="006851B2">
        <w:rPr>
          <w:sz w:val="20"/>
          <w:szCs w:val="20"/>
        </w:rPr>
        <w:t>P-value &lt; 0.05: Significant (S)</w:t>
      </w:r>
      <w:r w:rsidR="00AF5FA6" w:rsidRPr="006851B2">
        <w:rPr>
          <w:sz w:val="20"/>
          <w:szCs w:val="20"/>
        </w:rPr>
        <w:t xml:space="preserve">, </w:t>
      </w:r>
      <w:r w:rsidR="00B420B4" w:rsidRPr="006851B2">
        <w:rPr>
          <w:sz w:val="20"/>
          <w:szCs w:val="20"/>
        </w:rPr>
        <w:t>P-value &lt; 0.01: Highly significant (HS)</w:t>
      </w:r>
      <w:r w:rsidR="00AF5FA6" w:rsidRPr="006851B2">
        <w:rPr>
          <w:sz w:val="20"/>
          <w:szCs w:val="20"/>
        </w:rPr>
        <w:t>.</w:t>
      </w:r>
    </w:p>
    <w:p w:rsidR="00ED3A64" w:rsidRPr="006851B2" w:rsidRDefault="00ED3A64" w:rsidP="00AF7E26">
      <w:pPr>
        <w:snapToGrid w:val="0"/>
        <w:jc w:val="both"/>
        <w:rPr>
          <w:b/>
          <w:bCs/>
          <w:sz w:val="20"/>
          <w:szCs w:val="20"/>
        </w:rPr>
      </w:pPr>
    </w:p>
    <w:p w:rsidR="00582019" w:rsidRPr="006851B2" w:rsidRDefault="00ED3A64" w:rsidP="00AF7E26">
      <w:pPr>
        <w:snapToGrid w:val="0"/>
        <w:jc w:val="both"/>
        <w:rPr>
          <w:b/>
          <w:bCs/>
          <w:sz w:val="20"/>
          <w:szCs w:val="20"/>
        </w:rPr>
      </w:pPr>
      <w:r w:rsidRPr="006851B2">
        <w:rPr>
          <w:b/>
          <w:bCs/>
          <w:sz w:val="20"/>
          <w:szCs w:val="20"/>
        </w:rPr>
        <w:t xml:space="preserve">3. Results </w:t>
      </w:r>
    </w:p>
    <w:p w:rsidR="00AF7E26" w:rsidRDefault="00AF7E26" w:rsidP="00AF7E26">
      <w:pPr>
        <w:snapToGrid w:val="0"/>
        <w:jc w:val="center"/>
        <w:rPr>
          <w:b/>
          <w:bCs/>
          <w:sz w:val="20"/>
          <w:szCs w:val="18"/>
        </w:rPr>
        <w:sectPr w:rsidR="00AF7E26" w:rsidSect="00AF7E26">
          <w:type w:val="continuous"/>
          <w:pgSz w:w="12242" w:h="15842" w:code="1"/>
          <w:pgMar w:top="1440" w:right="1440" w:bottom="1440" w:left="1440" w:header="720" w:footer="720" w:gutter="0"/>
          <w:cols w:num="2" w:space="600"/>
          <w:docGrid w:linePitch="360"/>
        </w:sectPr>
      </w:pPr>
      <w:bookmarkStart w:id="3" w:name="_Toc2872106"/>
      <w:bookmarkStart w:id="4" w:name="_Toc2872195"/>
    </w:p>
    <w:p w:rsidR="00B420B4" w:rsidRPr="00AF7E26" w:rsidRDefault="00B420B4" w:rsidP="00AF7E26">
      <w:pPr>
        <w:snapToGrid w:val="0"/>
        <w:jc w:val="center"/>
        <w:rPr>
          <w:sz w:val="16"/>
          <w:szCs w:val="16"/>
        </w:rPr>
      </w:pPr>
      <w:r w:rsidRPr="006851B2">
        <w:rPr>
          <w:b/>
          <w:bCs/>
          <w:sz w:val="20"/>
          <w:szCs w:val="20"/>
        </w:rPr>
        <w:lastRenderedPageBreak/>
        <w:t xml:space="preserve">Table </w:t>
      </w:r>
      <w:r w:rsidR="008521B7" w:rsidRPr="008521B7">
        <w:rPr>
          <w:b/>
          <w:bCs/>
          <w:sz w:val="20"/>
          <w:szCs w:val="20"/>
        </w:rPr>
        <w:fldChar w:fldCharType="begin"/>
      </w:r>
      <w:r w:rsidRPr="006851B2">
        <w:rPr>
          <w:b/>
          <w:bCs/>
          <w:sz w:val="20"/>
          <w:szCs w:val="20"/>
        </w:rPr>
        <w:instrText xml:space="preserve"> SEQ Table \* ARABIC </w:instrText>
      </w:r>
      <w:r w:rsidR="008521B7" w:rsidRPr="008521B7">
        <w:rPr>
          <w:b/>
          <w:bCs/>
          <w:sz w:val="20"/>
          <w:szCs w:val="20"/>
        </w:rPr>
        <w:fldChar w:fldCharType="separate"/>
      </w:r>
      <w:r w:rsidR="00AF5FA6" w:rsidRPr="006851B2">
        <w:rPr>
          <w:b/>
          <w:bCs/>
          <w:noProof/>
          <w:sz w:val="20"/>
          <w:szCs w:val="20"/>
        </w:rPr>
        <w:t>1</w:t>
      </w:r>
      <w:r w:rsidR="008521B7" w:rsidRPr="006851B2">
        <w:rPr>
          <w:sz w:val="20"/>
          <w:szCs w:val="20"/>
        </w:rPr>
        <w:fldChar w:fldCharType="end"/>
      </w:r>
      <w:r w:rsidRPr="006851B2">
        <w:rPr>
          <w:b/>
          <w:bCs/>
          <w:sz w:val="20"/>
          <w:szCs w:val="20"/>
        </w:rPr>
        <w:t xml:space="preserve">: </w:t>
      </w:r>
      <w:r w:rsidRPr="006851B2">
        <w:rPr>
          <w:sz w:val="20"/>
          <w:szCs w:val="20"/>
        </w:rPr>
        <w:t>Shows relation between mortality and demographic data, risk factors and clinical data of the studied cases:</w:t>
      </w:r>
      <w:bookmarkEnd w:id="3"/>
      <w:bookmarkEnd w:id="4"/>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530"/>
        <w:gridCol w:w="1994"/>
        <w:gridCol w:w="1310"/>
        <w:gridCol w:w="1310"/>
        <w:gridCol w:w="1310"/>
        <w:gridCol w:w="750"/>
        <w:gridCol w:w="811"/>
        <w:gridCol w:w="461"/>
      </w:tblGrid>
      <w:tr w:rsidR="00B420B4" w:rsidRPr="00AF7E26" w:rsidTr="006851B2">
        <w:trPr>
          <w:jc w:val="center"/>
        </w:trPr>
        <w:tc>
          <w:tcPr>
            <w:tcW w:w="1860" w:type="pct"/>
            <w:gridSpan w:val="2"/>
            <w:vMerge w:val="restart"/>
            <w:shd w:val="clear" w:color="auto" w:fill="auto"/>
            <w:noWrap/>
            <w:vAlign w:val="center"/>
          </w:tcPr>
          <w:p w:rsidR="00B420B4" w:rsidRPr="00AF7E26" w:rsidRDefault="00B420B4" w:rsidP="00AF7E26">
            <w:pPr>
              <w:snapToGrid w:val="0"/>
              <w:jc w:val="both"/>
              <w:rPr>
                <w:b/>
                <w:bCs/>
                <w:sz w:val="16"/>
                <w:szCs w:val="16"/>
              </w:rPr>
            </w:pP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Total cases</w:t>
            </w: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Alive</w:t>
            </w: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Died</w:t>
            </w:r>
          </w:p>
        </w:tc>
        <w:tc>
          <w:tcPr>
            <w:tcW w:w="396" w:type="pct"/>
            <w:vMerge w:val="restart"/>
            <w:shd w:val="clear" w:color="auto" w:fill="auto"/>
            <w:noWrap/>
            <w:vAlign w:val="center"/>
          </w:tcPr>
          <w:p w:rsidR="006851B2" w:rsidRPr="00AF7E26" w:rsidRDefault="00B420B4" w:rsidP="00AF7E26">
            <w:pPr>
              <w:snapToGrid w:val="0"/>
              <w:jc w:val="both"/>
              <w:rPr>
                <w:b/>
                <w:bCs/>
                <w:sz w:val="16"/>
                <w:szCs w:val="16"/>
              </w:rPr>
            </w:pPr>
            <w:r w:rsidRPr="00AF7E26">
              <w:rPr>
                <w:b/>
                <w:bCs/>
                <w:sz w:val="16"/>
                <w:szCs w:val="16"/>
              </w:rPr>
              <w:t xml:space="preserve">Test </w:t>
            </w:r>
          </w:p>
          <w:p w:rsidR="00B420B4" w:rsidRPr="00AF7E26" w:rsidRDefault="00B420B4" w:rsidP="00AF7E26">
            <w:pPr>
              <w:snapToGrid w:val="0"/>
              <w:jc w:val="both"/>
              <w:rPr>
                <w:b/>
                <w:bCs/>
                <w:sz w:val="16"/>
                <w:szCs w:val="16"/>
              </w:rPr>
            </w:pPr>
            <w:r w:rsidRPr="00AF7E26">
              <w:rPr>
                <w:b/>
                <w:bCs/>
                <w:sz w:val="16"/>
                <w:szCs w:val="16"/>
              </w:rPr>
              <w:t>value</w:t>
            </w:r>
          </w:p>
        </w:tc>
        <w:tc>
          <w:tcPr>
            <w:tcW w:w="428"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P-value</w:t>
            </w:r>
          </w:p>
        </w:tc>
        <w:tc>
          <w:tcPr>
            <w:tcW w:w="243"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Sig.</w:t>
            </w:r>
          </w:p>
        </w:tc>
      </w:tr>
      <w:tr w:rsidR="00B420B4" w:rsidRPr="00AF7E26" w:rsidTr="006851B2">
        <w:trPr>
          <w:jc w:val="center"/>
        </w:trPr>
        <w:tc>
          <w:tcPr>
            <w:tcW w:w="1860" w:type="pct"/>
            <w:gridSpan w:val="2"/>
            <w:vMerge/>
            <w:vAlign w:val="center"/>
          </w:tcPr>
          <w:p w:rsidR="00B420B4" w:rsidRPr="00AF7E26" w:rsidRDefault="00B420B4" w:rsidP="00AF7E26">
            <w:pPr>
              <w:snapToGrid w:val="0"/>
              <w:jc w:val="both"/>
              <w:rPr>
                <w:b/>
                <w:bCs/>
                <w:sz w:val="16"/>
                <w:szCs w:val="16"/>
              </w:rPr>
            </w:pP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30</w:t>
            </w: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15</w:t>
            </w:r>
          </w:p>
        </w:tc>
        <w:tc>
          <w:tcPr>
            <w:tcW w:w="691"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15</w:t>
            </w:r>
          </w:p>
        </w:tc>
        <w:tc>
          <w:tcPr>
            <w:tcW w:w="396" w:type="pct"/>
            <w:vMerge/>
            <w:vAlign w:val="center"/>
          </w:tcPr>
          <w:p w:rsidR="00B420B4" w:rsidRPr="00AF7E26" w:rsidRDefault="00B420B4" w:rsidP="00AF7E26">
            <w:pPr>
              <w:snapToGrid w:val="0"/>
              <w:jc w:val="both"/>
              <w:rPr>
                <w:b/>
                <w:bCs/>
                <w:sz w:val="16"/>
                <w:szCs w:val="16"/>
              </w:rPr>
            </w:pPr>
          </w:p>
        </w:tc>
        <w:tc>
          <w:tcPr>
            <w:tcW w:w="428" w:type="pct"/>
            <w:vMerge/>
            <w:vAlign w:val="center"/>
          </w:tcPr>
          <w:p w:rsidR="00B420B4" w:rsidRPr="00AF7E26" w:rsidRDefault="00B420B4" w:rsidP="00AF7E26">
            <w:pPr>
              <w:snapToGrid w:val="0"/>
              <w:jc w:val="both"/>
              <w:rPr>
                <w:b/>
                <w:bCs/>
                <w:sz w:val="16"/>
                <w:szCs w:val="16"/>
              </w:rPr>
            </w:pPr>
          </w:p>
        </w:tc>
        <w:tc>
          <w:tcPr>
            <w:tcW w:w="243" w:type="pct"/>
            <w:vMerge/>
            <w:vAlign w:val="center"/>
          </w:tcPr>
          <w:p w:rsidR="00B420B4" w:rsidRPr="00AF7E26" w:rsidRDefault="00B420B4" w:rsidP="00AF7E26">
            <w:pPr>
              <w:snapToGrid w:val="0"/>
              <w:jc w:val="both"/>
              <w:rPr>
                <w:b/>
                <w:bCs/>
                <w:sz w:val="16"/>
                <w:szCs w:val="16"/>
              </w:rPr>
            </w:pP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Age (years)</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54.70 ± 18.01</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47.20 ± 18.31</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62.20 ± 14.69</w:t>
            </w:r>
          </w:p>
        </w:tc>
        <w:tc>
          <w:tcPr>
            <w:tcW w:w="396"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-2.474•</w:t>
            </w:r>
          </w:p>
        </w:tc>
        <w:tc>
          <w:tcPr>
            <w:tcW w:w="42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0.020</w:t>
            </w:r>
          </w:p>
        </w:tc>
        <w:tc>
          <w:tcPr>
            <w:tcW w:w="243"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Sex</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Male</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13 (43.3%)</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 (53.3%)</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 (33.3%)</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1.222*</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0.269</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Female</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17 (56.7%)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7 (46.7%)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 (66.7%)</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HTN</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16 (53.3%)</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 (33.3%)</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 (73.3%)</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4.821</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0.028</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14 (46.7%)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 (66.7%)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(26.7%)</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DM</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14 (46.7%)</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(26.7%)</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 (66.7%)</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4.821</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0.028</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16 (53.3%)</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 (73.3%)</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 (33.3%)</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COPD</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7 (23.3%)</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3 (20.0%)</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(26.7%)</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0.186</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0.666</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23 (76.7%)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12 (80.0%)</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 (73.3%)</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Hepatic</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 (26.7%)</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3 (20.0%)</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 (33.3%)</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0.682</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0.409</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22 (73.3%)</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12 (80.0%)</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 (66.7%)</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Site of sepsis</w:t>
            </w:r>
          </w:p>
        </w:tc>
        <w:tc>
          <w:tcPr>
            <w:tcW w:w="1052"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Pneumonia</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20 (66.7%)</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9 (60.0%)</w:t>
            </w:r>
          </w:p>
        </w:tc>
        <w:tc>
          <w:tcPr>
            <w:tcW w:w="691"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 (73.3%)</w:t>
            </w:r>
          </w:p>
        </w:tc>
        <w:tc>
          <w:tcPr>
            <w:tcW w:w="39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5.200</w:t>
            </w:r>
          </w:p>
        </w:tc>
        <w:tc>
          <w:tcPr>
            <w:tcW w:w="428"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0.158</w:t>
            </w:r>
          </w:p>
        </w:tc>
        <w:tc>
          <w:tcPr>
            <w:tcW w:w="243"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UTI</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(13.3%)</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(26.7%)</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0 (0.0%)</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Wound infection</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 (13.3%)</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 (6.7%)</w:t>
            </w:r>
          </w:p>
        </w:tc>
        <w:tc>
          <w:tcPr>
            <w:tcW w:w="691"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3 (20.0%)</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vMerge/>
            <w:vAlign w:val="center"/>
          </w:tcPr>
          <w:p w:rsidR="00B420B4" w:rsidRPr="00AF7E26" w:rsidRDefault="00B420B4" w:rsidP="00AF7E26">
            <w:pPr>
              <w:snapToGrid w:val="0"/>
              <w:jc w:val="both"/>
              <w:rPr>
                <w:sz w:val="16"/>
                <w:szCs w:val="16"/>
              </w:rPr>
            </w:pPr>
          </w:p>
        </w:tc>
        <w:tc>
          <w:tcPr>
            <w:tcW w:w="1052"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Intraabdominal sepsis</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 (6.7%)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 (6.7%)</w:t>
            </w:r>
          </w:p>
        </w:tc>
        <w:tc>
          <w:tcPr>
            <w:tcW w:w="691"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 (6.7%)</w:t>
            </w:r>
          </w:p>
        </w:tc>
        <w:tc>
          <w:tcPr>
            <w:tcW w:w="396" w:type="pct"/>
            <w:vMerge/>
            <w:vAlign w:val="center"/>
          </w:tcPr>
          <w:p w:rsidR="00B420B4" w:rsidRPr="00AF7E26" w:rsidRDefault="00B420B4" w:rsidP="00AF7E26">
            <w:pPr>
              <w:snapToGrid w:val="0"/>
              <w:jc w:val="both"/>
              <w:rPr>
                <w:sz w:val="16"/>
                <w:szCs w:val="16"/>
              </w:rPr>
            </w:pPr>
          </w:p>
        </w:tc>
        <w:tc>
          <w:tcPr>
            <w:tcW w:w="428" w:type="pct"/>
            <w:vMerge/>
            <w:vAlign w:val="center"/>
          </w:tcPr>
          <w:p w:rsidR="00B420B4" w:rsidRPr="00AF7E26" w:rsidRDefault="00B420B4" w:rsidP="00AF7E26">
            <w:pPr>
              <w:snapToGrid w:val="0"/>
              <w:jc w:val="both"/>
              <w:rPr>
                <w:sz w:val="16"/>
                <w:szCs w:val="16"/>
              </w:rPr>
            </w:pPr>
          </w:p>
        </w:tc>
        <w:tc>
          <w:tcPr>
            <w:tcW w:w="243"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SBP (mmHg)</w:t>
            </w:r>
          </w:p>
        </w:tc>
        <w:tc>
          <w:tcPr>
            <w:tcW w:w="1052" w:type="pct"/>
            <w:tcBorders>
              <w:top w:val="single" w:sz="6" w:space="0" w:color="auto"/>
              <w:bottom w:val="single" w:sz="6" w:space="0" w:color="auto"/>
            </w:tcBorders>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tcBorders>
              <w:top w:val="single" w:sz="6" w:space="0" w:color="auto"/>
              <w:bottom w:val="single" w:sz="6" w:space="0" w:color="auto"/>
            </w:tcBorders>
            <w:vAlign w:val="center"/>
          </w:tcPr>
          <w:p w:rsidR="00B420B4" w:rsidRPr="00AF7E26" w:rsidRDefault="00B420B4" w:rsidP="00AF7E26">
            <w:pPr>
              <w:snapToGrid w:val="0"/>
              <w:jc w:val="both"/>
              <w:rPr>
                <w:sz w:val="16"/>
                <w:szCs w:val="16"/>
              </w:rPr>
            </w:pPr>
            <w:r w:rsidRPr="00AF7E26">
              <w:rPr>
                <w:sz w:val="16"/>
                <w:szCs w:val="16"/>
              </w:rPr>
              <w:t>115.83±28.23</w:t>
            </w:r>
          </w:p>
        </w:tc>
        <w:tc>
          <w:tcPr>
            <w:tcW w:w="691" w:type="pct"/>
            <w:tcBorders>
              <w:top w:val="single" w:sz="6" w:space="0" w:color="auto"/>
              <w:bottom w:val="single" w:sz="6" w:space="0" w:color="auto"/>
            </w:tcBorders>
            <w:vAlign w:val="center"/>
          </w:tcPr>
          <w:p w:rsidR="00B420B4" w:rsidRPr="00AF7E26" w:rsidRDefault="00B420B4" w:rsidP="00AF7E26">
            <w:pPr>
              <w:snapToGrid w:val="0"/>
              <w:jc w:val="both"/>
              <w:rPr>
                <w:sz w:val="16"/>
                <w:szCs w:val="16"/>
              </w:rPr>
            </w:pPr>
            <w:r w:rsidRPr="00AF7E26">
              <w:rPr>
                <w:sz w:val="16"/>
                <w:szCs w:val="16"/>
              </w:rPr>
              <w:t>124.67±21.00</w:t>
            </w:r>
          </w:p>
        </w:tc>
        <w:tc>
          <w:tcPr>
            <w:tcW w:w="691" w:type="pct"/>
            <w:tcBorders>
              <w:top w:val="single" w:sz="6" w:space="0" w:color="auto"/>
              <w:bottom w:val="single" w:sz="6" w:space="0" w:color="auto"/>
            </w:tcBorders>
            <w:vAlign w:val="center"/>
          </w:tcPr>
          <w:p w:rsidR="00B420B4" w:rsidRPr="00AF7E26" w:rsidRDefault="00B420B4" w:rsidP="00AF7E26">
            <w:pPr>
              <w:snapToGrid w:val="0"/>
              <w:jc w:val="both"/>
              <w:rPr>
                <w:sz w:val="16"/>
                <w:szCs w:val="16"/>
              </w:rPr>
            </w:pPr>
            <w:r w:rsidRPr="00AF7E26">
              <w:rPr>
                <w:sz w:val="16"/>
                <w:szCs w:val="16"/>
              </w:rPr>
              <w:t>107.00±32.28</w:t>
            </w:r>
          </w:p>
        </w:tc>
        <w:tc>
          <w:tcPr>
            <w:tcW w:w="396" w:type="pct"/>
            <w:vAlign w:val="center"/>
          </w:tcPr>
          <w:p w:rsidR="00B420B4" w:rsidRPr="00AF7E26" w:rsidRDefault="00B420B4" w:rsidP="00AF7E26">
            <w:pPr>
              <w:snapToGrid w:val="0"/>
              <w:jc w:val="both"/>
              <w:rPr>
                <w:sz w:val="16"/>
                <w:szCs w:val="16"/>
              </w:rPr>
            </w:pPr>
            <w:r w:rsidRPr="00AF7E26">
              <w:rPr>
                <w:sz w:val="16"/>
                <w:szCs w:val="16"/>
              </w:rPr>
              <w:t>1.777</w:t>
            </w:r>
          </w:p>
        </w:tc>
        <w:tc>
          <w:tcPr>
            <w:tcW w:w="428" w:type="pct"/>
            <w:vAlign w:val="center"/>
          </w:tcPr>
          <w:p w:rsidR="00B420B4" w:rsidRPr="00AF7E26" w:rsidRDefault="00B420B4" w:rsidP="00AF7E26">
            <w:pPr>
              <w:snapToGrid w:val="0"/>
              <w:jc w:val="both"/>
              <w:rPr>
                <w:sz w:val="16"/>
                <w:szCs w:val="16"/>
              </w:rPr>
            </w:pPr>
            <w:r w:rsidRPr="00AF7E26">
              <w:rPr>
                <w:sz w:val="16"/>
                <w:szCs w:val="16"/>
              </w:rPr>
              <w:t>0.086</w:t>
            </w:r>
          </w:p>
        </w:tc>
        <w:tc>
          <w:tcPr>
            <w:tcW w:w="243" w:type="pct"/>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DBP (mmHg)</w:t>
            </w:r>
          </w:p>
        </w:tc>
        <w:tc>
          <w:tcPr>
            <w:tcW w:w="1052" w:type="pc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73.50 ± 14.33</w:t>
            </w:r>
          </w:p>
        </w:tc>
        <w:tc>
          <w:tcPr>
            <w:tcW w:w="691" w:type="pc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78.67 ± 11.87</w:t>
            </w:r>
          </w:p>
        </w:tc>
        <w:tc>
          <w:tcPr>
            <w:tcW w:w="691" w:type="pc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68.33 ± 15.08</w:t>
            </w:r>
          </w:p>
        </w:tc>
        <w:tc>
          <w:tcPr>
            <w:tcW w:w="396" w:type="pct"/>
            <w:vAlign w:val="center"/>
          </w:tcPr>
          <w:p w:rsidR="00B420B4" w:rsidRPr="00AF7E26" w:rsidRDefault="00B420B4" w:rsidP="00AF7E26">
            <w:pPr>
              <w:snapToGrid w:val="0"/>
              <w:jc w:val="both"/>
              <w:rPr>
                <w:sz w:val="16"/>
                <w:szCs w:val="16"/>
              </w:rPr>
            </w:pPr>
            <w:r w:rsidRPr="00AF7E26">
              <w:rPr>
                <w:sz w:val="16"/>
                <w:szCs w:val="16"/>
              </w:rPr>
              <w:t>2.085</w:t>
            </w:r>
          </w:p>
        </w:tc>
        <w:tc>
          <w:tcPr>
            <w:tcW w:w="428" w:type="pct"/>
            <w:vAlign w:val="center"/>
          </w:tcPr>
          <w:p w:rsidR="00B420B4" w:rsidRPr="00AF7E26" w:rsidRDefault="00B420B4" w:rsidP="00AF7E26">
            <w:pPr>
              <w:snapToGrid w:val="0"/>
              <w:jc w:val="both"/>
              <w:rPr>
                <w:sz w:val="16"/>
                <w:szCs w:val="16"/>
              </w:rPr>
            </w:pPr>
            <w:r w:rsidRPr="00AF7E26">
              <w:rPr>
                <w:sz w:val="16"/>
                <w:szCs w:val="16"/>
              </w:rPr>
              <w:t>0.046</w:t>
            </w:r>
          </w:p>
        </w:tc>
        <w:tc>
          <w:tcPr>
            <w:tcW w:w="243" w:type="pct"/>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Temp ©</w:t>
            </w:r>
          </w:p>
        </w:tc>
        <w:tc>
          <w:tcPr>
            <w:tcW w:w="1052" w:type="pct"/>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vAlign w:val="center"/>
          </w:tcPr>
          <w:p w:rsidR="00B420B4" w:rsidRPr="00AF7E26" w:rsidRDefault="00B420B4" w:rsidP="00AF7E26">
            <w:pPr>
              <w:snapToGrid w:val="0"/>
              <w:jc w:val="both"/>
              <w:rPr>
                <w:sz w:val="16"/>
                <w:szCs w:val="16"/>
              </w:rPr>
            </w:pPr>
            <w:r w:rsidRPr="00AF7E26">
              <w:rPr>
                <w:sz w:val="16"/>
                <w:szCs w:val="16"/>
              </w:rPr>
              <w:t>38.80 ± 0.96</w:t>
            </w:r>
          </w:p>
        </w:tc>
        <w:tc>
          <w:tcPr>
            <w:tcW w:w="691" w:type="pct"/>
            <w:vAlign w:val="center"/>
          </w:tcPr>
          <w:p w:rsidR="00B420B4" w:rsidRPr="00AF7E26" w:rsidRDefault="00B420B4" w:rsidP="00AF7E26">
            <w:pPr>
              <w:snapToGrid w:val="0"/>
              <w:jc w:val="both"/>
              <w:rPr>
                <w:sz w:val="16"/>
                <w:szCs w:val="16"/>
              </w:rPr>
            </w:pPr>
            <w:r w:rsidRPr="00AF7E26">
              <w:rPr>
                <w:sz w:val="16"/>
                <w:szCs w:val="16"/>
              </w:rPr>
              <w:t>38.53 ± 0.55</w:t>
            </w:r>
          </w:p>
        </w:tc>
        <w:tc>
          <w:tcPr>
            <w:tcW w:w="691" w:type="pct"/>
            <w:vAlign w:val="center"/>
          </w:tcPr>
          <w:p w:rsidR="00B420B4" w:rsidRPr="00AF7E26" w:rsidRDefault="00B420B4" w:rsidP="00AF7E26">
            <w:pPr>
              <w:snapToGrid w:val="0"/>
              <w:jc w:val="both"/>
              <w:rPr>
                <w:sz w:val="16"/>
                <w:szCs w:val="16"/>
              </w:rPr>
            </w:pPr>
            <w:r w:rsidRPr="00AF7E26">
              <w:rPr>
                <w:sz w:val="16"/>
                <w:szCs w:val="16"/>
              </w:rPr>
              <w:t>39.07 ± 1.20</w:t>
            </w:r>
          </w:p>
        </w:tc>
        <w:tc>
          <w:tcPr>
            <w:tcW w:w="396" w:type="pct"/>
            <w:vAlign w:val="center"/>
          </w:tcPr>
          <w:p w:rsidR="00B420B4" w:rsidRPr="00AF7E26" w:rsidRDefault="00B420B4" w:rsidP="00AF7E26">
            <w:pPr>
              <w:snapToGrid w:val="0"/>
              <w:jc w:val="both"/>
              <w:rPr>
                <w:sz w:val="16"/>
                <w:szCs w:val="16"/>
              </w:rPr>
            </w:pPr>
            <w:r w:rsidRPr="00AF7E26">
              <w:rPr>
                <w:sz w:val="16"/>
                <w:szCs w:val="16"/>
              </w:rPr>
              <w:t>-1.586</w:t>
            </w:r>
          </w:p>
        </w:tc>
        <w:tc>
          <w:tcPr>
            <w:tcW w:w="428" w:type="pct"/>
            <w:vAlign w:val="center"/>
          </w:tcPr>
          <w:p w:rsidR="00B420B4" w:rsidRPr="00AF7E26" w:rsidRDefault="00B420B4" w:rsidP="00AF7E26">
            <w:pPr>
              <w:snapToGrid w:val="0"/>
              <w:jc w:val="both"/>
              <w:rPr>
                <w:sz w:val="16"/>
                <w:szCs w:val="16"/>
              </w:rPr>
            </w:pPr>
            <w:r w:rsidRPr="00AF7E26">
              <w:rPr>
                <w:sz w:val="16"/>
                <w:szCs w:val="16"/>
              </w:rPr>
              <w:t>0.124</w:t>
            </w:r>
          </w:p>
        </w:tc>
        <w:tc>
          <w:tcPr>
            <w:tcW w:w="243" w:type="pct"/>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HR (beat/min)</w:t>
            </w:r>
          </w:p>
        </w:tc>
        <w:tc>
          <w:tcPr>
            <w:tcW w:w="1052" w:type="pct"/>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vAlign w:val="center"/>
          </w:tcPr>
          <w:p w:rsidR="00B420B4" w:rsidRPr="00AF7E26" w:rsidRDefault="00B420B4" w:rsidP="00AF7E26">
            <w:pPr>
              <w:snapToGrid w:val="0"/>
              <w:jc w:val="both"/>
              <w:rPr>
                <w:sz w:val="16"/>
                <w:szCs w:val="16"/>
              </w:rPr>
            </w:pPr>
            <w:r w:rsidRPr="00AF7E26">
              <w:rPr>
                <w:sz w:val="16"/>
                <w:szCs w:val="16"/>
              </w:rPr>
              <w:t>110.33±18.91</w:t>
            </w:r>
          </w:p>
        </w:tc>
        <w:tc>
          <w:tcPr>
            <w:tcW w:w="691" w:type="pct"/>
            <w:vAlign w:val="center"/>
          </w:tcPr>
          <w:p w:rsidR="00B420B4" w:rsidRPr="00AF7E26" w:rsidRDefault="00B420B4" w:rsidP="00AF7E26">
            <w:pPr>
              <w:snapToGrid w:val="0"/>
              <w:jc w:val="both"/>
              <w:rPr>
                <w:sz w:val="16"/>
                <w:szCs w:val="16"/>
              </w:rPr>
            </w:pPr>
            <w:r w:rsidRPr="00AF7E26">
              <w:rPr>
                <w:sz w:val="16"/>
                <w:szCs w:val="16"/>
              </w:rPr>
              <w:t>110.33±21.50</w:t>
            </w:r>
          </w:p>
        </w:tc>
        <w:tc>
          <w:tcPr>
            <w:tcW w:w="691" w:type="pct"/>
            <w:vAlign w:val="center"/>
          </w:tcPr>
          <w:p w:rsidR="00B420B4" w:rsidRPr="00AF7E26" w:rsidRDefault="00B420B4" w:rsidP="00AF7E26">
            <w:pPr>
              <w:snapToGrid w:val="0"/>
              <w:jc w:val="both"/>
              <w:rPr>
                <w:sz w:val="16"/>
                <w:szCs w:val="16"/>
              </w:rPr>
            </w:pPr>
            <w:r w:rsidRPr="00AF7E26">
              <w:rPr>
                <w:sz w:val="16"/>
                <w:szCs w:val="16"/>
              </w:rPr>
              <w:t>110.33±16.69</w:t>
            </w:r>
          </w:p>
        </w:tc>
        <w:tc>
          <w:tcPr>
            <w:tcW w:w="396" w:type="pct"/>
            <w:vAlign w:val="center"/>
          </w:tcPr>
          <w:p w:rsidR="00B420B4" w:rsidRPr="00AF7E26" w:rsidRDefault="00B420B4" w:rsidP="00AF7E26">
            <w:pPr>
              <w:snapToGrid w:val="0"/>
              <w:jc w:val="both"/>
              <w:rPr>
                <w:sz w:val="16"/>
                <w:szCs w:val="16"/>
              </w:rPr>
            </w:pPr>
            <w:r w:rsidRPr="00AF7E26">
              <w:rPr>
                <w:sz w:val="16"/>
                <w:szCs w:val="16"/>
              </w:rPr>
              <w:t>0.000</w:t>
            </w:r>
          </w:p>
        </w:tc>
        <w:tc>
          <w:tcPr>
            <w:tcW w:w="428" w:type="pct"/>
            <w:vAlign w:val="center"/>
          </w:tcPr>
          <w:p w:rsidR="00B420B4" w:rsidRPr="00AF7E26" w:rsidRDefault="00B420B4" w:rsidP="00AF7E26">
            <w:pPr>
              <w:snapToGrid w:val="0"/>
              <w:jc w:val="both"/>
              <w:rPr>
                <w:sz w:val="16"/>
                <w:szCs w:val="16"/>
              </w:rPr>
            </w:pPr>
            <w:r w:rsidRPr="00AF7E26">
              <w:rPr>
                <w:sz w:val="16"/>
                <w:szCs w:val="16"/>
              </w:rPr>
              <w:t>1.000</w:t>
            </w:r>
          </w:p>
        </w:tc>
        <w:tc>
          <w:tcPr>
            <w:tcW w:w="243" w:type="pct"/>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RR (breath/min)</w:t>
            </w:r>
          </w:p>
        </w:tc>
        <w:tc>
          <w:tcPr>
            <w:tcW w:w="1052" w:type="pct"/>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vAlign w:val="center"/>
          </w:tcPr>
          <w:p w:rsidR="00B420B4" w:rsidRPr="00AF7E26" w:rsidRDefault="00B420B4" w:rsidP="00AF7E26">
            <w:pPr>
              <w:snapToGrid w:val="0"/>
              <w:jc w:val="both"/>
              <w:rPr>
                <w:sz w:val="16"/>
                <w:szCs w:val="16"/>
              </w:rPr>
            </w:pPr>
            <w:r w:rsidRPr="00AF7E26">
              <w:rPr>
                <w:sz w:val="16"/>
                <w:szCs w:val="16"/>
              </w:rPr>
              <w:t>28.83 ± 5.89</w:t>
            </w:r>
          </w:p>
        </w:tc>
        <w:tc>
          <w:tcPr>
            <w:tcW w:w="691" w:type="pct"/>
            <w:vAlign w:val="center"/>
          </w:tcPr>
          <w:p w:rsidR="00B420B4" w:rsidRPr="00AF7E26" w:rsidRDefault="00B420B4" w:rsidP="00AF7E26">
            <w:pPr>
              <w:snapToGrid w:val="0"/>
              <w:jc w:val="both"/>
              <w:rPr>
                <w:sz w:val="16"/>
                <w:szCs w:val="16"/>
              </w:rPr>
            </w:pPr>
            <w:r w:rsidRPr="00AF7E26">
              <w:rPr>
                <w:sz w:val="16"/>
                <w:szCs w:val="16"/>
              </w:rPr>
              <w:t>25.93 ± 3.77</w:t>
            </w:r>
          </w:p>
        </w:tc>
        <w:tc>
          <w:tcPr>
            <w:tcW w:w="691" w:type="pct"/>
            <w:vAlign w:val="center"/>
          </w:tcPr>
          <w:p w:rsidR="00B420B4" w:rsidRPr="00AF7E26" w:rsidRDefault="00B420B4" w:rsidP="00AF7E26">
            <w:pPr>
              <w:snapToGrid w:val="0"/>
              <w:jc w:val="both"/>
              <w:rPr>
                <w:sz w:val="16"/>
                <w:szCs w:val="16"/>
              </w:rPr>
            </w:pPr>
            <w:r w:rsidRPr="00AF7E26">
              <w:rPr>
                <w:sz w:val="16"/>
                <w:szCs w:val="16"/>
              </w:rPr>
              <w:t>31.73 ± 6.30</w:t>
            </w:r>
          </w:p>
        </w:tc>
        <w:tc>
          <w:tcPr>
            <w:tcW w:w="396" w:type="pct"/>
            <w:vAlign w:val="center"/>
          </w:tcPr>
          <w:p w:rsidR="00B420B4" w:rsidRPr="00AF7E26" w:rsidRDefault="00B420B4" w:rsidP="00AF7E26">
            <w:pPr>
              <w:snapToGrid w:val="0"/>
              <w:jc w:val="both"/>
              <w:rPr>
                <w:sz w:val="16"/>
                <w:szCs w:val="16"/>
              </w:rPr>
            </w:pPr>
            <w:r w:rsidRPr="00AF7E26">
              <w:rPr>
                <w:sz w:val="16"/>
                <w:szCs w:val="16"/>
              </w:rPr>
              <w:t>-3.061</w:t>
            </w:r>
          </w:p>
        </w:tc>
        <w:tc>
          <w:tcPr>
            <w:tcW w:w="428" w:type="pct"/>
            <w:vAlign w:val="center"/>
          </w:tcPr>
          <w:p w:rsidR="00B420B4" w:rsidRPr="00AF7E26" w:rsidRDefault="00B420B4" w:rsidP="00AF7E26">
            <w:pPr>
              <w:snapToGrid w:val="0"/>
              <w:jc w:val="both"/>
              <w:rPr>
                <w:sz w:val="16"/>
                <w:szCs w:val="16"/>
              </w:rPr>
            </w:pPr>
            <w:r w:rsidRPr="00AF7E26">
              <w:rPr>
                <w:sz w:val="16"/>
                <w:szCs w:val="16"/>
              </w:rPr>
              <w:t>0.005</w:t>
            </w:r>
          </w:p>
        </w:tc>
        <w:tc>
          <w:tcPr>
            <w:tcW w:w="243" w:type="pct"/>
            <w:vAlign w:val="center"/>
          </w:tcPr>
          <w:p w:rsidR="00B420B4" w:rsidRPr="00AF7E26" w:rsidRDefault="00B420B4" w:rsidP="00AF7E26">
            <w:pPr>
              <w:snapToGrid w:val="0"/>
              <w:jc w:val="both"/>
              <w:rPr>
                <w:sz w:val="16"/>
                <w:szCs w:val="16"/>
              </w:rPr>
            </w:pPr>
            <w:r w:rsidRPr="00AF7E26">
              <w:rPr>
                <w:sz w:val="16"/>
                <w:szCs w:val="16"/>
              </w:rPr>
              <w:t>HS</w:t>
            </w:r>
          </w:p>
        </w:tc>
      </w:tr>
      <w:tr w:rsidR="006851B2" w:rsidRPr="00AF7E26" w:rsidTr="006851B2">
        <w:trPr>
          <w:jc w:val="center"/>
        </w:trPr>
        <w:tc>
          <w:tcPr>
            <w:tcW w:w="808" w:type="pct"/>
            <w:shd w:val="clear" w:color="auto" w:fill="auto"/>
            <w:noWrap/>
            <w:vAlign w:val="center"/>
          </w:tcPr>
          <w:p w:rsidR="00B420B4" w:rsidRPr="00AF7E26" w:rsidRDefault="00B420B4" w:rsidP="00AF7E26">
            <w:pPr>
              <w:snapToGrid w:val="0"/>
              <w:jc w:val="both"/>
              <w:rPr>
                <w:sz w:val="16"/>
                <w:szCs w:val="16"/>
              </w:rPr>
            </w:pPr>
            <w:r w:rsidRPr="00AF7E26">
              <w:rPr>
                <w:sz w:val="16"/>
                <w:szCs w:val="16"/>
              </w:rPr>
              <w:t>SPO2 (%)</w:t>
            </w:r>
          </w:p>
        </w:tc>
        <w:tc>
          <w:tcPr>
            <w:tcW w:w="1052" w:type="pct"/>
            <w:vAlign w:val="center"/>
          </w:tcPr>
          <w:p w:rsidR="00B420B4" w:rsidRPr="00AF7E26" w:rsidRDefault="00B420B4" w:rsidP="00AF7E26">
            <w:pPr>
              <w:snapToGrid w:val="0"/>
              <w:jc w:val="both"/>
              <w:rPr>
                <w:sz w:val="16"/>
                <w:szCs w:val="16"/>
              </w:rPr>
            </w:pPr>
            <w:r w:rsidRPr="00AF7E26">
              <w:rPr>
                <w:sz w:val="16"/>
                <w:szCs w:val="16"/>
              </w:rPr>
              <w:t>Mean ± SD</w:t>
            </w:r>
          </w:p>
        </w:tc>
        <w:tc>
          <w:tcPr>
            <w:tcW w:w="691" w:type="pct"/>
            <w:vAlign w:val="center"/>
          </w:tcPr>
          <w:p w:rsidR="00B420B4" w:rsidRPr="00AF7E26" w:rsidRDefault="00B420B4" w:rsidP="00AF7E26">
            <w:pPr>
              <w:snapToGrid w:val="0"/>
              <w:jc w:val="both"/>
              <w:rPr>
                <w:sz w:val="16"/>
                <w:szCs w:val="16"/>
              </w:rPr>
            </w:pPr>
            <w:r w:rsidRPr="00AF7E26">
              <w:rPr>
                <w:sz w:val="16"/>
                <w:szCs w:val="16"/>
              </w:rPr>
              <w:t>92.77 ± 5.82</w:t>
            </w:r>
          </w:p>
        </w:tc>
        <w:tc>
          <w:tcPr>
            <w:tcW w:w="691" w:type="pct"/>
            <w:vAlign w:val="center"/>
          </w:tcPr>
          <w:p w:rsidR="00B420B4" w:rsidRPr="00AF7E26" w:rsidRDefault="00B420B4" w:rsidP="00AF7E26">
            <w:pPr>
              <w:snapToGrid w:val="0"/>
              <w:jc w:val="both"/>
              <w:rPr>
                <w:sz w:val="16"/>
                <w:szCs w:val="16"/>
              </w:rPr>
            </w:pPr>
            <w:r w:rsidRPr="00AF7E26">
              <w:rPr>
                <w:sz w:val="16"/>
                <w:szCs w:val="16"/>
              </w:rPr>
              <w:t>94.73 ± 5.47</w:t>
            </w:r>
          </w:p>
        </w:tc>
        <w:tc>
          <w:tcPr>
            <w:tcW w:w="691" w:type="pct"/>
            <w:vAlign w:val="center"/>
          </w:tcPr>
          <w:p w:rsidR="00B420B4" w:rsidRPr="00AF7E26" w:rsidRDefault="00B420B4" w:rsidP="00AF7E26">
            <w:pPr>
              <w:snapToGrid w:val="0"/>
              <w:jc w:val="both"/>
              <w:rPr>
                <w:sz w:val="16"/>
                <w:szCs w:val="16"/>
              </w:rPr>
            </w:pPr>
            <w:r w:rsidRPr="00AF7E26">
              <w:rPr>
                <w:sz w:val="16"/>
                <w:szCs w:val="16"/>
              </w:rPr>
              <w:t>90.80 ± 5.66</w:t>
            </w:r>
          </w:p>
        </w:tc>
        <w:tc>
          <w:tcPr>
            <w:tcW w:w="396" w:type="pct"/>
            <w:vAlign w:val="center"/>
          </w:tcPr>
          <w:p w:rsidR="00B420B4" w:rsidRPr="00AF7E26" w:rsidRDefault="00B420B4" w:rsidP="00AF7E26">
            <w:pPr>
              <w:snapToGrid w:val="0"/>
              <w:jc w:val="both"/>
              <w:rPr>
                <w:sz w:val="16"/>
                <w:szCs w:val="16"/>
              </w:rPr>
            </w:pPr>
            <w:r w:rsidRPr="00AF7E26">
              <w:rPr>
                <w:sz w:val="16"/>
                <w:szCs w:val="16"/>
              </w:rPr>
              <w:t>1.935</w:t>
            </w:r>
          </w:p>
        </w:tc>
        <w:tc>
          <w:tcPr>
            <w:tcW w:w="428" w:type="pct"/>
            <w:vAlign w:val="center"/>
          </w:tcPr>
          <w:p w:rsidR="00B420B4" w:rsidRPr="00AF7E26" w:rsidRDefault="00B420B4" w:rsidP="00AF7E26">
            <w:pPr>
              <w:snapToGrid w:val="0"/>
              <w:jc w:val="both"/>
              <w:rPr>
                <w:sz w:val="16"/>
                <w:szCs w:val="16"/>
              </w:rPr>
            </w:pPr>
            <w:r w:rsidRPr="00AF7E26">
              <w:rPr>
                <w:sz w:val="16"/>
                <w:szCs w:val="16"/>
              </w:rPr>
              <w:t>0.063</w:t>
            </w:r>
          </w:p>
        </w:tc>
        <w:tc>
          <w:tcPr>
            <w:tcW w:w="243" w:type="pct"/>
            <w:vAlign w:val="center"/>
          </w:tcPr>
          <w:p w:rsidR="00B420B4" w:rsidRPr="00AF7E26" w:rsidRDefault="00B420B4" w:rsidP="00AF7E26">
            <w:pPr>
              <w:snapToGrid w:val="0"/>
              <w:jc w:val="both"/>
              <w:rPr>
                <w:sz w:val="16"/>
                <w:szCs w:val="16"/>
              </w:rPr>
            </w:pPr>
            <w:r w:rsidRPr="00AF7E26">
              <w:rPr>
                <w:sz w:val="16"/>
                <w:szCs w:val="16"/>
              </w:rPr>
              <w:t>NS</w:t>
            </w:r>
          </w:p>
        </w:tc>
      </w:tr>
    </w:tbl>
    <w:p w:rsidR="00B420B4" w:rsidRPr="00AF7E26" w:rsidRDefault="00B420B4" w:rsidP="00AF7E26">
      <w:pPr>
        <w:snapToGrid w:val="0"/>
        <w:jc w:val="both"/>
        <w:rPr>
          <w:sz w:val="16"/>
          <w:szCs w:val="16"/>
        </w:rPr>
      </w:pPr>
      <w:r w:rsidRPr="00AF7E26">
        <w:rPr>
          <w:sz w:val="16"/>
          <w:szCs w:val="16"/>
        </w:rPr>
        <w:t>P-value &gt; 0.05: Non significant; P-value &lt; 0.05: Significant; P-value &lt; 0.01: Highly significant</w:t>
      </w:r>
    </w:p>
    <w:p w:rsidR="00B420B4" w:rsidRPr="00AF7E26" w:rsidRDefault="00B420B4" w:rsidP="00AF7E26">
      <w:pPr>
        <w:snapToGrid w:val="0"/>
        <w:jc w:val="both"/>
        <w:rPr>
          <w:sz w:val="16"/>
          <w:szCs w:val="16"/>
        </w:rPr>
      </w:pPr>
      <w:r w:rsidRPr="00AF7E26">
        <w:rPr>
          <w:sz w:val="16"/>
          <w:szCs w:val="16"/>
        </w:rPr>
        <w:t>*: Chi-square test; •: Independent t-test</w:t>
      </w:r>
      <w:r w:rsidR="006851B2" w:rsidRPr="00AF7E26">
        <w:rPr>
          <w:sz w:val="16"/>
          <w:szCs w:val="16"/>
        </w:rPr>
        <w:t xml:space="preserve"> </w:t>
      </w:r>
      <w:r w:rsidRPr="00AF7E26">
        <w:rPr>
          <w:sz w:val="16"/>
          <w:szCs w:val="16"/>
        </w:rPr>
        <w:t>Data expressed as Mean ± SD / percentage</w:t>
      </w:r>
    </w:p>
    <w:p w:rsidR="00ED3A64" w:rsidRPr="006851B2" w:rsidRDefault="00B420B4" w:rsidP="004A675B">
      <w:pPr>
        <w:snapToGrid w:val="0"/>
        <w:jc w:val="both"/>
        <w:rPr>
          <w:sz w:val="20"/>
          <w:szCs w:val="20"/>
        </w:rPr>
      </w:pPr>
      <w:r w:rsidRPr="00AF7E26">
        <w:rPr>
          <w:sz w:val="16"/>
          <w:szCs w:val="16"/>
        </w:rPr>
        <w:t>DM: diabetes mellitus, HTN: hypertension, COPD: chronic obstructive pulmonary disease, SBP: systolic blood pressure, DBP: diastolic blood pressure, HR: heart rate, spo2: oxygen saturation, RR: respiratory rate</w:t>
      </w:r>
    </w:p>
    <w:p w:rsidR="00AF7E26" w:rsidRDefault="00AF7E26" w:rsidP="004A675B">
      <w:pPr>
        <w:snapToGrid w:val="0"/>
        <w:jc w:val="both"/>
        <w:rPr>
          <w:sz w:val="20"/>
          <w:szCs w:val="20"/>
        </w:rPr>
        <w:sectPr w:rsidR="00AF7E26" w:rsidSect="006851B2">
          <w:type w:val="continuous"/>
          <w:pgSz w:w="12242" w:h="15842" w:code="1"/>
          <w:pgMar w:top="1440" w:right="1440" w:bottom="1440" w:left="1440" w:header="720" w:footer="720" w:gutter="0"/>
          <w:cols w:space="720"/>
          <w:docGrid w:linePitch="360"/>
        </w:sectPr>
      </w:pPr>
    </w:p>
    <w:p w:rsidR="00B420B4" w:rsidRPr="006851B2" w:rsidRDefault="00B420B4" w:rsidP="00AF7E26">
      <w:pPr>
        <w:snapToGrid w:val="0"/>
        <w:ind w:firstLine="425"/>
        <w:jc w:val="both"/>
        <w:rPr>
          <w:sz w:val="20"/>
          <w:szCs w:val="20"/>
        </w:rPr>
      </w:pPr>
      <w:r w:rsidRPr="006851B2">
        <w:rPr>
          <w:sz w:val="20"/>
          <w:szCs w:val="20"/>
        </w:rPr>
        <w:lastRenderedPageBreak/>
        <w:t>The previous table shows that there was statistically significant relation found between mortality and older age, hypertension, Diabetes mellitus, low diastolic blood pressure and high respiratory rate among the studied cases with p-values = 0.020, 0.028, 0.028, 0.046 and 0.005 respectively, while no statistically significant relation found between mortality and gender or other risk factors and clinical data.</w:t>
      </w:r>
    </w:p>
    <w:p w:rsidR="00B420B4" w:rsidRPr="006851B2" w:rsidRDefault="00B420B4" w:rsidP="00AF7E26">
      <w:pPr>
        <w:snapToGrid w:val="0"/>
        <w:ind w:firstLine="425"/>
        <w:jc w:val="both"/>
        <w:rPr>
          <w:b/>
          <w:bCs/>
          <w:sz w:val="20"/>
          <w:szCs w:val="18"/>
        </w:rPr>
      </w:pPr>
      <w:bookmarkStart w:id="5" w:name="_Toc2872107"/>
      <w:bookmarkStart w:id="6" w:name="_Toc2872196"/>
      <w:r w:rsidRPr="006851B2">
        <w:rPr>
          <w:b/>
          <w:bCs/>
          <w:sz w:val="20"/>
          <w:szCs w:val="18"/>
        </w:rPr>
        <w:t xml:space="preserve">Table </w:t>
      </w:r>
      <w:r w:rsidR="008521B7" w:rsidRPr="008521B7">
        <w:rPr>
          <w:b/>
          <w:bCs/>
          <w:sz w:val="20"/>
          <w:szCs w:val="18"/>
        </w:rPr>
        <w:fldChar w:fldCharType="begin"/>
      </w:r>
      <w:r w:rsidRPr="006851B2">
        <w:rPr>
          <w:b/>
          <w:bCs/>
          <w:sz w:val="20"/>
          <w:szCs w:val="18"/>
        </w:rPr>
        <w:instrText xml:space="preserve"> SEQ Table \* ARABIC </w:instrText>
      </w:r>
      <w:r w:rsidR="008521B7" w:rsidRPr="008521B7">
        <w:rPr>
          <w:b/>
          <w:bCs/>
          <w:sz w:val="20"/>
          <w:szCs w:val="18"/>
        </w:rPr>
        <w:fldChar w:fldCharType="separate"/>
      </w:r>
      <w:r w:rsidR="00AF5FA6" w:rsidRPr="006851B2">
        <w:rPr>
          <w:b/>
          <w:bCs/>
          <w:noProof/>
          <w:sz w:val="20"/>
          <w:szCs w:val="18"/>
        </w:rPr>
        <w:t>2</w:t>
      </w:r>
      <w:r w:rsidR="008521B7" w:rsidRPr="006851B2">
        <w:rPr>
          <w:sz w:val="20"/>
          <w:szCs w:val="18"/>
        </w:rPr>
        <w:fldChar w:fldCharType="end"/>
      </w:r>
      <w:r w:rsidRPr="006851B2">
        <w:rPr>
          <w:b/>
          <w:bCs/>
          <w:sz w:val="20"/>
          <w:szCs w:val="18"/>
        </w:rPr>
        <w:t xml:space="preserve">: </w:t>
      </w:r>
      <w:r w:rsidRPr="006851B2">
        <w:rPr>
          <w:sz w:val="20"/>
          <w:szCs w:val="18"/>
        </w:rPr>
        <w:t>Showed relation between mortality and laboratory data on admission</w:t>
      </w:r>
      <w:bookmarkEnd w:id="5"/>
      <w:bookmarkEnd w:id="6"/>
    </w:p>
    <w:p w:rsidR="00B420B4" w:rsidRPr="006851B2" w:rsidRDefault="00B420B4" w:rsidP="00AF7E26">
      <w:pPr>
        <w:snapToGrid w:val="0"/>
        <w:ind w:firstLine="425"/>
        <w:jc w:val="both"/>
        <w:rPr>
          <w:sz w:val="20"/>
          <w:szCs w:val="16"/>
        </w:rPr>
      </w:pPr>
      <w:r w:rsidRPr="006851B2">
        <w:rPr>
          <w:sz w:val="20"/>
          <w:szCs w:val="16"/>
        </w:rPr>
        <w:lastRenderedPageBreak/>
        <w:t>P-value &gt; 0.05: Non significant; P-value &lt; 0.05: Significant; P-value &lt; 0.01: Highly significant</w:t>
      </w:r>
    </w:p>
    <w:p w:rsidR="00B420B4" w:rsidRPr="006851B2" w:rsidRDefault="00B420B4" w:rsidP="00AF7E26">
      <w:pPr>
        <w:snapToGrid w:val="0"/>
        <w:ind w:firstLine="425"/>
        <w:jc w:val="both"/>
        <w:rPr>
          <w:sz w:val="20"/>
          <w:szCs w:val="16"/>
        </w:rPr>
      </w:pPr>
      <w:r w:rsidRPr="006851B2">
        <w:rPr>
          <w:sz w:val="20"/>
          <w:szCs w:val="16"/>
        </w:rPr>
        <w:t>•: Independent t-test; ≠: Mann-Whitney test</w:t>
      </w:r>
      <w:r w:rsidR="006851B2" w:rsidRPr="006851B2">
        <w:rPr>
          <w:sz w:val="20"/>
          <w:szCs w:val="16"/>
        </w:rPr>
        <w:t xml:space="preserve"> </w:t>
      </w:r>
      <w:r w:rsidRPr="006851B2">
        <w:rPr>
          <w:sz w:val="20"/>
          <w:szCs w:val="16"/>
        </w:rPr>
        <w:t>Data expressed as Mean ± SD / Media</w:t>
      </w:r>
      <w:r w:rsidR="006851B2" w:rsidRPr="006851B2">
        <w:rPr>
          <w:sz w:val="20"/>
          <w:szCs w:val="16"/>
        </w:rPr>
        <w:t>n (</w:t>
      </w:r>
      <w:r w:rsidRPr="006851B2">
        <w:rPr>
          <w:sz w:val="20"/>
          <w:szCs w:val="16"/>
        </w:rPr>
        <w:t>IQR)</w:t>
      </w:r>
    </w:p>
    <w:p w:rsidR="00B420B4" w:rsidRPr="006851B2" w:rsidRDefault="00B420B4" w:rsidP="00AF7E26">
      <w:pPr>
        <w:snapToGrid w:val="0"/>
        <w:ind w:firstLine="425"/>
        <w:jc w:val="both"/>
        <w:rPr>
          <w:sz w:val="20"/>
          <w:szCs w:val="20"/>
        </w:rPr>
      </w:pPr>
      <w:r w:rsidRPr="006851B2">
        <w:rPr>
          <w:sz w:val="20"/>
          <w:szCs w:val="20"/>
        </w:rPr>
        <w:t>The previous table showed that there was statistically significant relation found between mortality and high CRP, high serum Lactate, low Hemoglobin, low sodium and high BNP of the studied cases with p-values = 0.031, 0.020, 0.022, 0.042 and 0.014 respectively, while no statistically significant relation found with the other laboratory data.</w:t>
      </w:r>
    </w:p>
    <w:p w:rsidR="00AF7E26" w:rsidRDefault="00AF7E26" w:rsidP="00AF7E26">
      <w:pPr>
        <w:snapToGrid w:val="0"/>
        <w:jc w:val="both"/>
        <w:rPr>
          <w:b/>
          <w:bCs/>
          <w:sz w:val="20"/>
          <w:szCs w:val="20"/>
        </w:rPr>
        <w:sectPr w:rsidR="00AF7E26" w:rsidSect="00AF7E26">
          <w:type w:val="continuous"/>
          <w:pgSz w:w="12242" w:h="15842" w:code="1"/>
          <w:pgMar w:top="1440" w:right="1440" w:bottom="1440" w:left="1440" w:header="720" w:footer="720" w:gutter="0"/>
          <w:cols w:num="2" w:space="600"/>
          <w:docGrid w:linePitch="360"/>
        </w:sectPr>
      </w:pPr>
      <w:bookmarkStart w:id="7" w:name="_Toc2872108"/>
      <w:bookmarkStart w:id="8" w:name="_Toc2872197"/>
    </w:p>
    <w:p w:rsidR="006851B2" w:rsidRPr="006851B2" w:rsidRDefault="006851B2" w:rsidP="00AF7E26">
      <w:pPr>
        <w:snapToGrid w:val="0"/>
        <w:jc w:val="both"/>
        <w:rPr>
          <w:b/>
          <w:bCs/>
          <w:sz w:val="20"/>
          <w:szCs w:val="20"/>
        </w:rPr>
      </w:pPr>
    </w:p>
    <w:p w:rsidR="00ED3A64" w:rsidRPr="006851B2" w:rsidRDefault="00ED3A64" w:rsidP="00AF7E26">
      <w:pPr>
        <w:snapToGrid w:val="0"/>
        <w:jc w:val="center"/>
        <w:rPr>
          <w:b/>
          <w:bCs/>
          <w:sz w:val="20"/>
          <w:szCs w:val="20"/>
        </w:rPr>
      </w:pPr>
    </w:p>
    <w:p w:rsidR="00B420B4" w:rsidRPr="00AF7E26" w:rsidRDefault="00B420B4" w:rsidP="00AF7E26">
      <w:pPr>
        <w:snapToGrid w:val="0"/>
        <w:jc w:val="center"/>
        <w:rPr>
          <w:sz w:val="16"/>
          <w:szCs w:val="16"/>
        </w:rPr>
      </w:pPr>
      <w:r w:rsidRPr="006851B2">
        <w:rPr>
          <w:b/>
          <w:bCs/>
          <w:sz w:val="20"/>
          <w:szCs w:val="20"/>
        </w:rPr>
        <w:t xml:space="preserve">Table </w:t>
      </w:r>
      <w:r w:rsidR="008521B7" w:rsidRPr="008521B7">
        <w:rPr>
          <w:b/>
          <w:bCs/>
          <w:sz w:val="20"/>
          <w:szCs w:val="20"/>
        </w:rPr>
        <w:fldChar w:fldCharType="begin"/>
      </w:r>
      <w:r w:rsidRPr="006851B2">
        <w:rPr>
          <w:b/>
          <w:bCs/>
          <w:sz w:val="20"/>
          <w:szCs w:val="20"/>
        </w:rPr>
        <w:instrText xml:space="preserve"> SEQ Table \* ARABIC </w:instrText>
      </w:r>
      <w:r w:rsidR="008521B7" w:rsidRPr="008521B7">
        <w:rPr>
          <w:b/>
          <w:bCs/>
          <w:sz w:val="20"/>
          <w:szCs w:val="20"/>
        </w:rPr>
        <w:fldChar w:fldCharType="separate"/>
      </w:r>
      <w:r w:rsidR="00AF5FA6" w:rsidRPr="006851B2">
        <w:rPr>
          <w:b/>
          <w:bCs/>
          <w:noProof/>
          <w:sz w:val="20"/>
          <w:szCs w:val="20"/>
        </w:rPr>
        <w:t>3</w:t>
      </w:r>
      <w:r w:rsidR="008521B7" w:rsidRPr="006851B2">
        <w:rPr>
          <w:sz w:val="20"/>
          <w:szCs w:val="20"/>
        </w:rPr>
        <w:fldChar w:fldCharType="end"/>
      </w:r>
      <w:r w:rsidRPr="006851B2">
        <w:rPr>
          <w:b/>
          <w:bCs/>
          <w:sz w:val="20"/>
          <w:szCs w:val="20"/>
        </w:rPr>
        <w:t xml:space="preserve">: </w:t>
      </w:r>
      <w:r w:rsidRPr="006851B2">
        <w:rPr>
          <w:sz w:val="20"/>
          <w:szCs w:val="20"/>
        </w:rPr>
        <w:t>Shows relation between mortality and outcome variables.</w:t>
      </w:r>
      <w:bookmarkEnd w:id="7"/>
      <w:bookmarkEnd w:id="8"/>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621"/>
        <w:gridCol w:w="1299"/>
        <w:gridCol w:w="1411"/>
        <w:gridCol w:w="1285"/>
        <w:gridCol w:w="1410"/>
        <w:gridCol w:w="959"/>
        <w:gridCol w:w="951"/>
        <w:gridCol w:w="540"/>
      </w:tblGrid>
      <w:tr w:rsidR="00B420B4" w:rsidRPr="00AF7E26" w:rsidTr="006851B2">
        <w:trPr>
          <w:jc w:val="center"/>
        </w:trPr>
        <w:tc>
          <w:tcPr>
            <w:tcW w:w="1540" w:type="pct"/>
            <w:gridSpan w:val="2"/>
            <w:vMerge w:val="restart"/>
            <w:shd w:val="clear" w:color="auto" w:fill="auto"/>
            <w:noWrap/>
            <w:vAlign w:val="center"/>
          </w:tcPr>
          <w:p w:rsidR="00B420B4" w:rsidRPr="00AF7E26" w:rsidRDefault="00B420B4" w:rsidP="00AF7E26">
            <w:pPr>
              <w:snapToGrid w:val="0"/>
              <w:jc w:val="both"/>
              <w:rPr>
                <w:b/>
                <w:bCs/>
                <w:sz w:val="16"/>
                <w:szCs w:val="16"/>
              </w:rPr>
            </w:pPr>
          </w:p>
        </w:tc>
        <w:tc>
          <w:tcPr>
            <w:tcW w:w="744"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Total cases</w:t>
            </w:r>
          </w:p>
        </w:tc>
        <w:tc>
          <w:tcPr>
            <w:tcW w:w="678"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Alive</w:t>
            </w:r>
          </w:p>
        </w:tc>
        <w:tc>
          <w:tcPr>
            <w:tcW w:w="744"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Died</w:t>
            </w:r>
          </w:p>
        </w:tc>
        <w:tc>
          <w:tcPr>
            <w:tcW w:w="506" w:type="pct"/>
            <w:vMerge w:val="restart"/>
            <w:shd w:val="clear" w:color="auto" w:fill="auto"/>
            <w:noWrap/>
            <w:vAlign w:val="center"/>
          </w:tcPr>
          <w:p w:rsidR="006851B2" w:rsidRPr="00AF7E26" w:rsidRDefault="00B420B4" w:rsidP="00AF7E26">
            <w:pPr>
              <w:snapToGrid w:val="0"/>
              <w:jc w:val="both"/>
              <w:rPr>
                <w:b/>
                <w:bCs/>
                <w:sz w:val="16"/>
                <w:szCs w:val="16"/>
              </w:rPr>
            </w:pPr>
            <w:r w:rsidRPr="00AF7E26">
              <w:rPr>
                <w:b/>
                <w:bCs/>
                <w:sz w:val="16"/>
                <w:szCs w:val="16"/>
              </w:rPr>
              <w:t>Test</w:t>
            </w:r>
          </w:p>
          <w:p w:rsidR="00B420B4" w:rsidRPr="00AF7E26" w:rsidRDefault="006851B2" w:rsidP="00AF7E26">
            <w:pPr>
              <w:snapToGrid w:val="0"/>
              <w:jc w:val="both"/>
              <w:rPr>
                <w:b/>
                <w:bCs/>
                <w:sz w:val="16"/>
                <w:szCs w:val="16"/>
              </w:rPr>
            </w:pPr>
            <w:r w:rsidRPr="00AF7E26">
              <w:rPr>
                <w:b/>
                <w:bCs/>
                <w:sz w:val="16"/>
                <w:szCs w:val="16"/>
              </w:rPr>
              <w:t>v</w:t>
            </w:r>
            <w:r w:rsidR="00B420B4" w:rsidRPr="00AF7E26">
              <w:rPr>
                <w:b/>
                <w:bCs/>
                <w:sz w:val="16"/>
                <w:szCs w:val="16"/>
              </w:rPr>
              <w:t>alue</w:t>
            </w:r>
          </w:p>
        </w:tc>
        <w:tc>
          <w:tcPr>
            <w:tcW w:w="502"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P-value</w:t>
            </w:r>
          </w:p>
        </w:tc>
        <w:tc>
          <w:tcPr>
            <w:tcW w:w="285"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Sig.</w:t>
            </w:r>
          </w:p>
        </w:tc>
      </w:tr>
      <w:tr w:rsidR="00B420B4" w:rsidRPr="00AF7E26" w:rsidTr="006851B2">
        <w:trPr>
          <w:jc w:val="center"/>
        </w:trPr>
        <w:tc>
          <w:tcPr>
            <w:tcW w:w="1540" w:type="pct"/>
            <w:gridSpan w:val="2"/>
            <w:vMerge/>
            <w:vAlign w:val="center"/>
          </w:tcPr>
          <w:p w:rsidR="00B420B4" w:rsidRPr="00AF7E26" w:rsidRDefault="00B420B4" w:rsidP="00AF7E26">
            <w:pPr>
              <w:snapToGrid w:val="0"/>
              <w:jc w:val="both"/>
              <w:rPr>
                <w:b/>
                <w:bCs/>
                <w:sz w:val="16"/>
                <w:szCs w:val="16"/>
              </w:rPr>
            </w:pPr>
          </w:p>
        </w:tc>
        <w:tc>
          <w:tcPr>
            <w:tcW w:w="744"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30</w:t>
            </w:r>
          </w:p>
        </w:tc>
        <w:tc>
          <w:tcPr>
            <w:tcW w:w="678"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15</w:t>
            </w:r>
          </w:p>
        </w:tc>
        <w:tc>
          <w:tcPr>
            <w:tcW w:w="744"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No. = 15</w:t>
            </w:r>
          </w:p>
        </w:tc>
        <w:tc>
          <w:tcPr>
            <w:tcW w:w="506" w:type="pct"/>
            <w:vMerge/>
            <w:vAlign w:val="center"/>
          </w:tcPr>
          <w:p w:rsidR="00B420B4" w:rsidRPr="00AF7E26" w:rsidRDefault="00B420B4" w:rsidP="00AF7E26">
            <w:pPr>
              <w:snapToGrid w:val="0"/>
              <w:jc w:val="both"/>
              <w:rPr>
                <w:b/>
                <w:bCs/>
                <w:sz w:val="16"/>
                <w:szCs w:val="16"/>
              </w:rPr>
            </w:pPr>
          </w:p>
        </w:tc>
        <w:tc>
          <w:tcPr>
            <w:tcW w:w="502" w:type="pct"/>
            <w:vMerge/>
            <w:vAlign w:val="center"/>
          </w:tcPr>
          <w:p w:rsidR="00B420B4" w:rsidRPr="00AF7E26" w:rsidRDefault="00B420B4" w:rsidP="00AF7E26">
            <w:pPr>
              <w:snapToGrid w:val="0"/>
              <w:jc w:val="both"/>
              <w:rPr>
                <w:b/>
                <w:bCs/>
                <w:sz w:val="16"/>
                <w:szCs w:val="16"/>
              </w:rPr>
            </w:pPr>
          </w:p>
        </w:tc>
        <w:tc>
          <w:tcPr>
            <w:tcW w:w="285" w:type="pct"/>
            <w:vMerge/>
            <w:vAlign w:val="center"/>
          </w:tcPr>
          <w:p w:rsidR="00B420B4" w:rsidRPr="00AF7E26" w:rsidRDefault="00B420B4" w:rsidP="00AF7E26">
            <w:pPr>
              <w:snapToGrid w:val="0"/>
              <w:jc w:val="both"/>
              <w:rPr>
                <w:b/>
                <w:bCs/>
                <w:sz w:val="16"/>
                <w:szCs w:val="16"/>
              </w:rPr>
            </w:pPr>
          </w:p>
        </w:tc>
      </w:tr>
      <w:tr w:rsidR="00B420B4" w:rsidRPr="00AF7E26" w:rsidTr="006851B2">
        <w:trPr>
          <w:jc w:val="center"/>
        </w:trPr>
        <w:tc>
          <w:tcPr>
            <w:tcW w:w="855" w:type="pct"/>
            <w:vMerge w:val="restart"/>
            <w:shd w:val="clear" w:color="auto" w:fill="auto"/>
            <w:noWrap/>
            <w:vAlign w:val="center"/>
          </w:tcPr>
          <w:p w:rsidR="006851B2" w:rsidRPr="00AF7E26" w:rsidRDefault="00B420B4" w:rsidP="00AF7E26">
            <w:pPr>
              <w:snapToGrid w:val="0"/>
              <w:jc w:val="both"/>
              <w:rPr>
                <w:sz w:val="16"/>
                <w:szCs w:val="16"/>
              </w:rPr>
            </w:pPr>
            <w:r w:rsidRPr="00AF7E26">
              <w:rPr>
                <w:sz w:val="16"/>
                <w:szCs w:val="16"/>
              </w:rPr>
              <w:t xml:space="preserve">Length of ICU </w:t>
            </w:r>
          </w:p>
          <w:p w:rsidR="00B420B4" w:rsidRPr="00AF7E26" w:rsidRDefault="00B420B4" w:rsidP="00AF7E26">
            <w:pPr>
              <w:snapToGrid w:val="0"/>
              <w:jc w:val="both"/>
              <w:rPr>
                <w:sz w:val="16"/>
                <w:szCs w:val="16"/>
              </w:rPr>
            </w:pPr>
            <w:r w:rsidRPr="00AF7E26">
              <w:rPr>
                <w:sz w:val="16"/>
                <w:szCs w:val="16"/>
              </w:rPr>
              <w:t>stay in days</w:t>
            </w:r>
          </w:p>
        </w:tc>
        <w:tc>
          <w:tcPr>
            <w:tcW w:w="685"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Mean ± SD</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10.67 ± 6.39</w:t>
            </w:r>
          </w:p>
        </w:tc>
        <w:tc>
          <w:tcPr>
            <w:tcW w:w="67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6.20 ± 3.95</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15.13 ± 5.11</w:t>
            </w:r>
          </w:p>
        </w:tc>
        <w:tc>
          <w:tcPr>
            <w:tcW w:w="50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-5.356•</w:t>
            </w:r>
          </w:p>
        </w:tc>
        <w:tc>
          <w:tcPr>
            <w:tcW w:w="502"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0.000</w:t>
            </w:r>
          </w:p>
        </w:tc>
        <w:tc>
          <w:tcPr>
            <w:tcW w:w="28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HS</w:t>
            </w:r>
          </w:p>
        </w:tc>
      </w:tr>
      <w:tr w:rsidR="00B420B4" w:rsidRPr="00AF7E26" w:rsidTr="006851B2">
        <w:trPr>
          <w:jc w:val="center"/>
        </w:trPr>
        <w:tc>
          <w:tcPr>
            <w:tcW w:w="855" w:type="pct"/>
            <w:vMerge/>
            <w:vAlign w:val="center"/>
          </w:tcPr>
          <w:p w:rsidR="00B420B4" w:rsidRPr="00AF7E26" w:rsidRDefault="00B420B4" w:rsidP="00AF7E26">
            <w:pPr>
              <w:snapToGrid w:val="0"/>
              <w:jc w:val="both"/>
              <w:rPr>
                <w:sz w:val="16"/>
                <w:szCs w:val="16"/>
              </w:rPr>
            </w:pPr>
          </w:p>
        </w:tc>
        <w:tc>
          <w:tcPr>
            <w:tcW w:w="685"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Range</w:t>
            </w:r>
          </w:p>
        </w:tc>
        <w:tc>
          <w:tcPr>
            <w:tcW w:w="744"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 – 23</w:t>
            </w:r>
          </w:p>
        </w:tc>
        <w:tc>
          <w:tcPr>
            <w:tcW w:w="67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 – 14</w:t>
            </w:r>
          </w:p>
        </w:tc>
        <w:tc>
          <w:tcPr>
            <w:tcW w:w="744"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 – 23</w:t>
            </w:r>
          </w:p>
        </w:tc>
        <w:tc>
          <w:tcPr>
            <w:tcW w:w="506" w:type="pct"/>
            <w:vMerge/>
            <w:vAlign w:val="center"/>
          </w:tcPr>
          <w:p w:rsidR="00B420B4" w:rsidRPr="00AF7E26" w:rsidRDefault="00B420B4" w:rsidP="00AF7E26">
            <w:pPr>
              <w:snapToGrid w:val="0"/>
              <w:jc w:val="both"/>
              <w:rPr>
                <w:sz w:val="16"/>
                <w:szCs w:val="16"/>
              </w:rPr>
            </w:pPr>
          </w:p>
        </w:tc>
        <w:tc>
          <w:tcPr>
            <w:tcW w:w="502" w:type="pct"/>
            <w:vMerge/>
            <w:vAlign w:val="center"/>
          </w:tcPr>
          <w:p w:rsidR="00B420B4" w:rsidRPr="00AF7E26" w:rsidRDefault="00B420B4" w:rsidP="00AF7E26">
            <w:pPr>
              <w:snapToGrid w:val="0"/>
              <w:jc w:val="both"/>
              <w:rPr>
                <w:sz w:val="16"/>
                <w:szCs w:val="16"/>
              </w:rPr>
            </w:pPr>
          </w:p>
        </w:tc>
        <w:tc>
          <w:tcPr>
            <w:tcW w:w="285" w:type="pct"/>
            <w:vMerge/>
            <w:vAlign w:val="center"/>
          </w:tcPr>
          <w:p w:rsidR="00B420B4" w:rsidRPr="00AF7E26" w:rsidRDefault="00B420B4" w:rsidP="00AF7E26">
            <w:pPr>
              <w:snapToGrid w:val="0"/>
              <w:jc w:val="both"/>
              <w:rPr>
                <w:sz w:val="16"/>
                <w:szCs w:val="16"/>
              </w:rPr>
            </w:pPr>
          </w:p>
        </w:tc>
      </w:tr>
      <w:tr w:rsidR="00B420B4" w:rsidRPr="00AF7E26" w:rsidTr="006851B2">
        <w:trPr>
          <w:jc w:val="center"/>
        </w:trPr>
        <w:tc>
          <w:tcPr>
            <w:tcW w:w="85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MV</w:t>
            </w:r>
          </w:p>
        </w:tc>
        <w:tc>
          <w:tcPr>
            <w:tcW w:w="685"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Yes</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14 (46.7%)</w:t>
            </w:r>
          </w:p>
        </w:tc>
        <w:tc>
          <w:tcPr>
            <w:tcW w:w="67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 (6.7%)</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13 (86.7%)</w:t>
            </w:r>
          </w:p>
        </w:tc>
        <w:tc>
          <w:tcPr>
            <w:tcW w:w="50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19.286*</w:t>
            </w:r>
          </w:p>
        </w:tc>
        <w:tc>
          <w:tcPr>
            <w:tcW w:w="502"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0.000</w:t>
            </w:r>
          </w:p>
        </w:tc>
        <w:tc>
          <w:tcPr>
            <w:tcW w:w="28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HS</w:t>
            </w:r>
          </w:p>
        </w:tc>
      </w:tr>
      <w:tr w:rsidR="00B420B4" w:rsidRPr="00AF7E26" w:rsidTr="006851B2">
        <w:trPr>
          <w:jc w:val="center"/>
        </w:trPr>
        <w:tc>
          <w:tcPr>
            <w:tcW w:w="855" w:type="pct"/>
            <w:vMerge/>
            <w:vAlign w:val="center"/>
          </w:tcPr>
          <w:p w:rsidR="00B420B4" w:rsidRPr="00AF7E26" w:rsidRDefault="00B420B4" w:rsidP="00AF7E26">
            <w:pPr>
              <w:snapToGrid w:val="0"/>
              <w:jc w:val="both"/>
              <w:rPr>
                <w:sz w:val="16"/>
                <w:szCs w:val="16"/>
              </w:rPr>
            </w:pPr>
          </w:p>
        </w:tc>
        <w:tc>
          <w:tcPr>
            <w:tcW w:w="685"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No</w:t>
            </w:r>
          </w:p>
        </w:tc>
        <w:tc>
          <w:tcPr>
            <w:tcW w:w="744"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16 (53.3%)</w:t>
            </w:r>
          </w:p>
        </w:tc>
        <w:tc>
          <w:tcPr>
            <w:tcW w:w="67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14 (93.3%)</w:t>
            </w:r>
          </w:p>
        </w:tc>
        <w:tc>
          <w:tcPr>
            <w:tcW w:w="744"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 (13.3%)</w:t>
            </w:r>
          </w:p>
        </w:tc>
        <w:tc>
          <w:tcPr>
            <w:tcW w:w="506" w:type="pct"/>
            <w:vMerge/>
            <w:vAlign w:val="center"/>
          </w:tcPr>
          <w:p w:rsidR="00B420B4" w:rsidRPr="00AF7E26" w:rsidRDefault="00B420B4" w:rsidP="00AF7E26">
            <w:pPr>
              <w:snapToGrid w:val="0"/>
              <w:jc w:val="both"/>
              <w:rPr>
                <w:sz w:val="16"/>
                <w:szCs w:val="16"/>
              </w:rPr>
            </w:pPr>
          </w:p>
        </w:tc>
        <w:tc>
          <w:tcPr>
            <w:tcW w:w="502" w:type="pct"/>
            <w:vMerge/>
            <w:vAlign w:val="center"/>
          </w:tcPr>
          <w:p w:rsidR="00B420B4" w:rsidRPr="00AF7E26" w:rsidRDefault="00B420B4" w:rsidP="00AF7E26">
            <w:pPr>
              <w:snapToGrid w:val="0"/>
              <w:jc w:val="both"/>
              <w:rPr>
                <w:sz w:val="16"/>
                <w:szCs w:val="16"/>
              </w:rPr>
            </w:pPr>
          </w:p>
        </w:tc>
        <w:tc>
          <w:tcPr>
            <w:tcW w:w="285" w:type="pct"/>
            <w:vMerge/>
            <w:vAlign w:val="center"/>
          </w:tcPr>
          <w:p w:rsidR="00B420B4" w:rsidRPr="00AF7E26" w:rsidRDefault="00B420B4" w:rsidP="00AF7E26">
            <w:pPr>
              <w:snapToGrid w:val="0"/>
              <w:jc w:val="both"/>
              <w:rPr>
                <w:sz w:val="16"/>
                <w:szCs w:val="16"/>
              </w:rPr>
            </w:pPr>
          </w:p>
        </w:tc>
      </w:tr>
      <w:tr w:rsidR="00B420B4" w:rsidRPr="00AF7E26" w:rsidTr="006851B2">
        <w:trPr>
          <w:jc w:val="center"/>
        </w:trPr>
        <w:tc>
          <w:tcPr>
            <w:tcW w:w="855" w:type="pct"/>
            <w:vMerge w:val="restart"/>
            <w:shd w:val="clear" w:color="auto" w:fill="auto"/>
            <w:noWrap/>
            <w:vAlign w:val="center"/>
          </w:tcPr>
          <w:p w:rsidR="006851B2" w:rsidRPr="00AF7E26" w:rsidRDefault="00B420B4" w:rsidP="00AF7E26">
            <w:pPr>
              <w:snapToGrid w:val="0"/>
              <w:jc w:val="both"/>
              <w:rPr>
                <w:sz w:val="16"/>
                <w:szCs w:val="16"/>
              </w:rPr>
            </w:pPr>
            <w:r w:rsidRPr="00AF7E26">
              <w:rPr>
                <w:sz w:val="16"/>
                <w:szCs w:val="16"/>
              </w:rPr>
              <w:t xml:space="preserve">Progressing to </w:t>
            </w:r>
          </w:p>
          <w:p w:rsidR="00B420B4" w:rsidRPr="00AF7E26" w:rsidRDefault="00B420B4" w:rsidP="00AF7E26">
            <w:pPr>
              <w:snapToGrid w:val="0"/>
              <w:jc w:val="both"/>
              <w:rPr>
                <w:sz w:val="16"/>
                <w:szCs w:val="16"/>
              </w:rPr>
            </w:pPr>
            <w:r w:rsidRPr="00AF7E26">
              <w:rPr>
                <w:sz w:val="16"/>
                <w:szCs w:val="16"/>
              </w:rPr>
              <w:t>septic shock</w:t>
            </w:r>
          </w:p>
        </w:tc>
        <w:tc>
          <w:tcPr>
            <w:tcW w:w="685"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Yes</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 (36.7%)</w:t>
            </w:r>
          </w:p>
        </w:tc>
        <w:tc>
          <w:tcPr>
            <w:tcW w:w="67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 (13.3%)</w:t>
            </w:r>
          </w:p>
        </w:tc>
        <w:tc>
          <w:tcPr>
            <w:tcW w:w="744"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9 (60.0%)</w:t>
            </w:r>
          </w:p>
        </w:tc>
        <w:tc>
          <w:tcPr>
            <w:tcW w:w="506"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7.033*</w:t>
            </w:r>
          </w:p>
        </w:tc>
        <w:tc>
          <w:tcPr>
            <w:tcW w:w="502"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0.008</w:t>
            </w:r>
          </w:p>
        </w:tc>
        <w:tc>
          <w:tcPr>
            <w:tcW w:w="28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HS</w:t>
            </w:r>
          </w:p>
        </w:tc>
      </w:tr>
      <w:tr w:rsidR="00B420B4" w:rsidRPr="00AF7E26" w:rsidTr="006851B2">
        <w:trPr>
          <w:jc w:val="center"/>
        </w:trPr>
        <w:tc>
          <w:tcPr>
            <w:tcW w:w="855" w:type="pct"/>
            <w:vMerge/>
            <w:vAlign w:val="center"/>
          </w:tcPr>
          <w:p w:rsidR="00B420B4" w:rsidRPr="00AF7E26" w:rsidRDefault="00B420B4" w:rsidP="00AF7E26">
            <w:pPr>
              <w:snapToGrid w:val="0"/>
              <w:jc w:val="both"/>
              <w:rPr>
                <w:sz w:val="16"/>
                <w:szCs w:val="16"/>
              </w:rPr>
            </w:pPr>
          </w:p>
        </w:tc>
        <w:tc>
          <w:tcPr>
            <w:tcW w:w="685"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No</w:t>
            </w:r>
          </w:p>
        </w:tc>
        <w:tc>
          <w:tcPr>
            <w:tcW w:w="744"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19 (63.3%)</w:t>
            </w:r>
          </w:p>
        </w:tc>
        <w:tc>
          <w:tcPr>
            <w:tcW w:w="678"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13 (86.7%)</w:t>
            </w:r>
          </w:p>
        </w:tc>
        <w:tc>
          <w:tcPr>
            <w:tcW w:w="744"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6 (40.0%)</w:t>
            </w:r>
          </w:p>
        </w:tc>
        <w:tc>
          <w:tcPr>
            <w:tcW w:w="506" w:type="pct"/>
            <w:vMerge/>
            <w:vAlign w:val="center"/>
          </w:tcPr>
          <w:p w:rsidR="00B420B4" w:rsidRPr="00AF7E26" w:rsidRDefault="00B420B4" w:rsidP="00AF7E26">
            <w:pPr>
              <w:snapToGrid w:val="0"/>
              <w:jc w:val="both"/>
              <w:rPr>
                <w:sz w:val="16"/>
                <w:szCs w:val="16"/>
              </w:rPr>
            </w:pPr>
          </w:p>
        </w:tc>
        <w:tc>
          <w:tcPr>
            <w:tcW w:w="502" w:type="pct"/>
            <w:vMerge/>
            <w:vAlign w:val="center"/>
          </w:tcPr>
          <w:p w:rsidR="00B420B4" w:rsidRPr="00AF7E26" w:rsidRDefault="00B420B4" w:rsidP="00AF7E26">
            <w:pPr>
              <w:snapToGrid w:val="0"/>
              <w:jc w:val="both"/>
              <w:rPr>
                <w:sz w:val="16"/>
                <w:szCs w:val="16"/>
              </w:rPr>
            </w:pPr>
          </w:p>
        </w:tc>
        <w:tc>
          <w:tcPr>
            <w:tcW w:w="285" w:type="pct"/>
            <w:vMerge/>
            <w:vAlign w:val="center"/>
          </w:tcPr>
          <w:p w:rsidR="00B420B4" w:rsidRPr="00AF7E26" w:rsidRDefault="00B420B4" w:rsidP="00AF7E26">
            <w:pPr>
              <w:snapToGrid w:val="0"/>
              <w:jc w:val="both"/>
              <w:rPr>
                <w:sz w:val="16"/>
                <w:szCs w:val="16"/>
              </w:rPr>
            </w:pPr>
          </w:p>
        </w:tc>
      </w:tr>
    </w:tbl>
    <w:p w:rsidR="00B420B4" w:rsidRPr="00AF7E26" w:rsidRDefault="00B420B4" w:rsidP="00AF7E26">
      <w:pPr>
        <w:snapToGrid w:val="0"/>
        <w:jc w:val="both"/>
        <w:rPr>
          <w:sz w:val="16"/>
          <w:szCs w:val="16"/>
        </w:rPr>
      </w:pPr>
      <w:r w:rsidRPr="00AF7E26">
        <w:rPr>
          <w:sz w:val="16"/>
          <w:szCs w:val="16"/>
        </w:rPr>
        <w:t>P-value &gt; 0.05: Non significant; P-value &lt; 0.05: Significant; P-value &lt; 0.01: Highly significant</w:t>
      </w:r>
    </w:p>
    <w:p w:rsidR="00B420B4" w:rsidRPr="00AF7E26" w:rsidRDefault="00B420B4" w:rsidP="00AF7E26">
      <w:pPr>
        <w:snapToGrid w:val="0"/>
        <w:jc w:val="both"/>
        <w:rPr>
          <w:sz w:val="16"/>
          <w:szCs w:val="16"/>
        </w:rPr>
      </w:pPr>
      <w:r w:rsidRPr="00AF7E26">
        <w:rPr>
          <w:sz w:val="16"/>
          <w:szCs w:val="16"/>
        </w:rPr>
        <w:t>*: Chi-square test; •: Independent t-test</w:t>
      </w:r>
      <w:r w:rsidR="006851B2" w:rsidRPr="00AF7E26">
        <w:rPr>
          <w:sz w:val="16"/>
          <w:szCs w:val="16"/>
        </w:rPr>
        <w:t xml:space="preserve"> </w:t>
      </w:r>
      <w:r w:rsidRPr="00AF7E26">
        <w:rPr>
          <w:sz w:val="16"/>
          <w:szCs w:val="16"/>
        </w:rPr>
        <w:t>Data expressed as Mean ± SD / percentage</w:t>
      </w:r>
      <w:r w:rsidR="00ED3A64" w:rsidRPr="00AF7E26">
        <w:rPr>
          <w:sz w:val="16"/>
          <w:szCs w:val="16"/>
        </w:rPr>
        <w:t xml:space="preserve"> </w:t>
      </w:r>
      <w:r w:rsidRPr="00AF7E26">
        <w:rPr>
          <w:sz w:val="16"/>
          <w:szCs w:val="16"/>
        </w:rPr>
        <w:t>ICU: intensive care unit, MV: mechanical ventilation</w:t>
      </w:r>
    </w:p>
    <w:p w:rsidR="00ED3A64" w:rsidRPr="006851B2" w:rsidRDefault="00ED3A64" w:rsidP="00AF7E26">
      <w:pPr>
        <w:snapToGrid w:val="0"/>
        <w:ind w:firstLine="425"/>
        <w:jc w:val="both"/>
        <w:rPr>
          <w:sz w:val="20"/>
          <w:szCs w:val="20"/>
        </w:rPr>
      </w:pPr>
    </w:p>
    <w:p w:rsidR="00ED3A64" w:rsidRPr="006851B2" w:rsidRDefault="00B420B4" w:rsidP="00AF7E26">
      <w:pPr>
        <w:snapToGrid w:val="0"/>
        <w:ind w:firstLine="425"/>
        <w:jc w:val="both"/>
        <w:rPr>
          <w:sz w:val="20"/>
          <w:szCs w:val="20"/>
        </w:rPr>
      </w:pPr>
      <w:r w:rsidRPr="006851B2">
        <w:rPr>
          <w:sz w:val="20"/>
          <w:szCs w:val="20"/>
        </w:rPr>
        <w:t>The previous table showed statistically significant relation between mortality and length of ICU stay, mechanical ventilation and progression to septic shock with p values = 0.000, 0.000 and 0.08 respectively.</w:t>
      </w:r>
    </w:p>
    <w:p w:rsidR="00B420B4" w:rsidRPr="006851B2" w:rsidRDefault="00B420B4" w:rsidP="00AF7E26">
      <w:pPr>
        <w:snapToGrid w:val="0"/>
        <w:ind w:firstLine="425"/>
        <w:jc w:val="both"/>
        <w:rPr>
          <w:sz w:val="20"/>
          <w:szCs w:val="20"/>
        </w:rPr>
      </w:pPr>
    </w:p>
    <w:p w:rsidR="00B420B4" w:rsidRPr="00AF7E26" w:rsidRDefault="00B420B4" w:rsidP="00AF7E26">
      <w:pPr>
        <w:snapToGrid w:val="0"/>
        <w:jc w:val="center"/>
        <w:rPr>
          <w:sz w:val="16"/>
          <w:szCs w:val="16"/>
        </w:rPr>
      </w:pPr>
      <w:bookmarkStart w:id="9" w:name="_Toc2872110"/>
      <w:bookmarkStart w:id="10" w:name="_Toc2872199"/>
      <w:r w:rsidRPr="006851B2">
        <w:rPr>
          <w:b/>
          <w:bCs/>
          <w:sz w:val="20"/>
          <w:szCs w:val="20"/>
        </w:rPr>
        <w:t xml:space="preserve">Table </w:t>
      </w:r>
      <w:r w:rsidR="008521B7" w:rsidRPr="008521B7">
        <w:rPr>
          <w:b/>
          <w:bCs/>
          <w:sz w:val="20"/>
          <w:szCs w:val="20"/>
        </w:rPr>
        <w:fldChar w:fldCharType="begin"/>
      </w:r>
      <w:r w:rsidRPr="006851B2">
        <w:rPr>
          <w:b/>
          <w:bCs/>
          <w:sz w:val="20"/>
          <w:szCs w:val="20"/>
        </w:rPr>
        <w:instrText xml:space="preserve"> SEQ Table \* ARABIC </w:instrText>
      </w:r>
      <w:r w:rsidR="008521B7" w:rsidRPr="008521B7">
        <w:rPr>
          <w:b/>
          <w:bCs/>
          <w:sz w:val="20"/>
          <w:szCs w:val="20"/>
        </w:rPr>
        <w:fldChar w:fldCharType="separate"/>
      </w:r>
      <w:r w:rsidR="00AF5FA6" w:rsidRPr="006851B2">
        <w:rPr>
          <w:b/>
          <w:bCs/>
          <w:noProof/>
          <w:sz w:val="20"/>
          <w:szCs w:val="20"/>
        </w:rPr>
        <w:t>4</w:t>
      </w:r>
      <w:r w:rsidR="008521B7" w:rsidRPr="006851B2">
        <w:rPr>
          <w:sz w:val="20"/>
          <w:szCs w:val="20"/>
        </w:rPr>
        <w:fldChar w:fldCharType="end"/>
      </w:r>
      <w:r w:rsidRPr="006851B2">
        <w:rPr>
          <w:b/>
          <w:bCs/>
          <w:sz w:val="20"/>
          <w:szCs w:val="20"/>
        </w:rPr>
        <w:t xml:space="preserve">: </w:t>
      </w:r>
      <w:r w:rsidRPr="006851B2">
        <w:rPr>
          <w:sz w:val="20"/>
          <w:szCs w:val="20"/>
        </w:rPr>
        <w:t>Shows relation between BNP and the other studied parameters</w:t>
      </w:r>
      <w:bookmarkEnd w:id="9"/>
      <w:bookmarkEnd w:id="10"/>
      <w:r w:rsidRPr="006851B2">
        <w:rPr>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683"/>
        <w:gridCol w:w="2256"/>
        <w:gridCol w:w="2157"/>
        <w:gridCol w:w="993"/>
        <w:gridCol w:w="885"/>
        <w:gridCol w:w="502"/>
      </w:tblGrid>
      <w:tr w:rsidR="00B420B4" w:rsidRPr="00AF7E26" w:rsidTr="006851B2">
        <w:trPr>
          <w:jc w:val="center"/>
        </w:trPr>
        <w:tc>
          <w:tcPr>
            <w:tcW w:w="2605" w:type="pct"/>
            <w:gridSpan w:val="2"/>
            <w:vMerge w:val="restart"/>
            <w:shd w:val="clear" w:color="auto" w:fill="auto"/>
            <w:noWrap/>
            <w:vAlign w:val="center"/>
          </w:tcPr>
          <w:p w:rsidR="00B420B4" w:rsidRPr="00AF7E26" w:rsidRDefault="00B420B4" w:rsidP="00AF7E26">
            <w:pPr>
              <w:snapToGrid w:val="0"/>
              <w:jc w:val="both"/>
              <w:rPr>
                <w:b/>
                <w:bCs/>
                <w:sz w:val="16"/>
                <w:szCs w:val="16"/>
              </w:rPr>
            </w:pPr>
          </w:p>
        </w:tc>
        <w:tc>
          <w:tcPr>
            <w:tcW w:w="1138" w:type="pct"/>
            <w:vAlign w:val="center"/>
          </w:tcPr>
          <w:p w:rsidR="00B420B4" w:rsidRPr="00AF7E26" w:rsidRDefault="00B420B4" w:rsidP="00AF7E26">
            <w:pPr>
              <w:snapToGrid w:val="0"/>
              <w:jc w:val="both"/>
              <w:rPr>
                <w:b/>
                <w:bCs/>
                <w:sz w:val="16"/>
                <w:szCs w:val="16"/>
              </w:rPr>
            </w:pPr>
            <w:r w:rsidRPr="00AF7E26">
              <w:rPr>
                <w:b/>
                <w:bCs/>
                <w:sz w:val="16"/>
                <w:szCs w:val="16"/>
              </w:rPr>
              <w:t>BN</w:t>
            </w:r>
            <w:r w:rsidR="006851B2" w:rsidRPr="00AF7E26">
              <w:rPr>
                <w:b/>
                <w:bCs/>
                <w:sz w:val="16"/>
                <w:szCs w:val="16"/>
              </w:rPr>
              <w:t>P (</w:t>
            </w:r>
            <w:r w:rsidRPr="00AF7E26">
              <w:rPr>
                <w:b/>
                <w:bCs/>
                <w:sz w:val="16"/>
                <w:szCs w:val="16"/>
              </w:rPr>
              <w:t>pg/ml)</w:t>
            </w:r>
          </w:p>
        </w:tc>
        <w:tc>
          <w:tcPr>
            <w:tcW w:w="524" w:type="pct"/>
            <w:vMerge w:val="restart"/>
            <w:shd w:val="clear" w:color="auto" w:fill="auto"/>
            <w:noWrap/>
            <w:vAlign w:val="center"/>
          </w:tcPr>
          <w:p w:rsidR="006851B2" w:rsidRPr="00AF7E26" w:rsidRDefault="00B420B4" w:rsidP="00AF7E26">
            <w:pPr>
              <w:snapToGrid w:val="0"/>
              <w:jc w:val="both"/>
              <w:rPr>
                <w:b/>
                <w:bCs/>
                <w:sz w:val="16"/>
                <w:szCs w:val="16"/>
              </w:rPr>
            </w:pPr>
            <w:r w:rsidRPr="00AF7E26">
              <w:rPr>
                <w:b/>
                <w:bCs/>
                <w:sz w:val="16"/>
                <w:szCs w:val="16"/>
              </w:rPr>
              <w:t xml:space="preserve">Test </w:t>
            </w:r>
          </w:p>
          <w:p w:rsidR="00B420B4" w:rsidRPr="00AF7E26" w:rsidRDefault="00B420B4" w:rsidP="00AF7E26">
            <w:pPr>
              <w:snapToGrid w:val="0"/>
              <w:jc w:val="both"/>
              <w:rPr>
                <w:b/>
                <w:bCs/>
                <w:sz w:val="16"/>
                <w:szCs w:val="16"/>
              </w:rPr>
            </w:pPr>
            <w:r w:rsidRPr="00AF7E26">
              <w:rPr>
                <w:b/>
                <w:bCs/>
                <w:sz w:val="16"/>
                <w:szCs w:val="16"/>
              </w:rPr>
              <w:t>value</w:t>
            </w:r>
          </w:p>
        </w:tc>
        <w:tc>
          <w:tcPr>
            <w:tcW w:w="467"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P-value</w:t>
            </w:r>
          </w:p>
        </w:tc>
        <w:tc>
          <w:tcPr>
            <w:tcW w:w="265" w:type="pct"/>
            <w:vMerge w:val="restar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Sig.</w:t>
            </w:r>
          </w:p>
        </w:tc>
      </w:tr>
      <w:tr w:rsidR="00B420B4" w:rsidRPr="00AF7E26" w:rsidTr="006851B2">
        <w:trPr>
          <w:jc w:val="center"/>
        </w:trPr>
        <w:tc>
          <w:tcPr>
            <w:tcW w:w="2605" w:type="pct"/>
            <w:gridSpan w:val="2"/>
            <w:vMerge/>
            <w:vAlign w:val="center"/>
          </w:tcPr>
          <w:p w:rsidR="00B420B4" w:rsidRPr="00AF7E26" w:rsidRDefault="00B420B4" w:rsidP="00AF7E26">
            <w:pPr>
              <w:snapToGrid w:val="0"/>
              <w:jc w:val="both"/>
              <w:rPr>
                <w:b/>
                <w:bCs/>
                <w:sz w:val="16"/>
                <w:szCs w:val="16"/>
              </w:rPr>
            </w:pPr>
          </w:p>
        </w:tc>
        <w:tc>
          <w:tcPr>
            <w:tcW w:w="1138" w:type="pct"/>
            <w:shd w:val="clear" w:color="auto" w:fill="auto"/>
            <w:noWrap/>
            <w:vAlign w:val="center"/>
          </w:tcPr>
          <w:p w:rsidR="00B420B4" w:rsidRPr="00AF7E26" w:rsidRDefault="00B420B4" w:rsidP="00AF7E26">
            <w:pPr>
              <w:snapToGrid w:val="0"/>
              <w:jc w:val="both"/>
              <w:rPr>
                <w:b/>
                <w:bCs/>
                <w:sz w:val="16"/>
                <w:szCs w:val="16"/>
              </w:rPr>
            </w:pPr>
            <w:r w:rsidRPr="00AF7E26">
              <w:rPr>
                <w:b/>
                <w:bCs/>
                <w:sz w:val="16"/>
                <w:szCs w:val="16"/>
              </w:rPr>
              <w:t>Median (IQR)</w:t>
            </w:r>
          </w:p>
        </w:tc>
        <w:tc>
          <w:tcPr>
            <w:tcW w:w="524" w:type="pct"/>
            <w:vMerge/>
            <w:vAlign w:val="center"/>
          </w:tcPr>
          <w:p w:rsidR="00B420B4" w:rsidRPr="00AF7E26" w:rsidRDefault="00B420B4" w:rsidP="00AF7E26">
            <w:pPr>
              <w:snapToGrid w:val="0"/>
              <w:jc w:val="both"/>
              <w:rPr>
                <w:b/>
                <w:bCs/>
                <w:sz w:val="16"/>
                <w:szCs w:val="16"/>
              </w:rPr>
            </w:pPr>
          </w:p>
        </w:tc>
        <w:tc>
          <w:tcPr>
            <w:tcW w:w="467" w:type="pct"/>
            <w:vMerge/>
            <w:vAlign w:val="center"/>
          </w:tcPr>
          <w:p w:rsidR="00B420B4" w:rsidRPr="00AF7E26" w:rsidRDefault="00B420B4" w:rsidP="00AF7E26">
            <w:pPr>
              <w:snapToGrid w:val="0"/>
              <w:jc w:val="both"/>
              <w:rPr>
                <w:b/>
                <w:bCs/>
                <w:sz w:val="16"/>
                <w:szCs w:val="16"/>
              </w:rPr>
            </w:pPr>
          </w:p>
        </w:tc>
        <w:tc>
          <w:tcPr>
            <w:tcW w:w="265" w:type="pct"/>
            <w:vMerge/>
            <w:vAlign w:val="center"/>
          </w:tcPr>
          <w:p w:rsidR="00B420B4" w:rsidRPr="00AF7E26" w:rsidRDefault="00B420B4" w:rsidP="00AF7E26">
            <w:pPr>
              <w:snapToGrid w:val="0"/>
              <w:jc w:val="both"/>
              <w:rPr>
                <w:b/>
                <w:bCs/>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Sex</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Male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100 (61.8 – 418)</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-0.314≠</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0.754</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Female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90 (58 – 428)</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HTN</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239 (49.5 – 459)</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-0.416≠</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0.678</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89.3 (61.8 – 300)</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DM</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239.0 (57.2 – 428)</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-0.042≠</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0.967</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89.5 (63.65 – 400)</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COPD</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100 (58 – 493)</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-0.466≠</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0.641</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81 (57.2 – 418)</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Hepatic</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61.75 (40.55 – 234.5)</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-1.688≠</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0.091</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130.5 (78 – 493)</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Site of sepsis</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Pneumonia</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84.3 (57.6 – 459)</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1.488≠≠</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0.685</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UTI</w:t>
            </w:r>
          </w:p>
        </w:tc>
        <w:tc>
          <w:tcPr>
            <w:tcW w:w="1138"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81.4 (29.4 – 590.5)</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Wound infection</w:t>
            </w:r>
          </w:p>
        </w:tc>
        <w:tc>
          <w:tcPr>
            <w:tcW w:w="1138" w:type="pct"/>
            <w:tcBorders>
              <w:top w:val="nil"/>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249.5 (80 – 760)</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Intra-abdominal sepsis</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254.5 (100 – 409)</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Blood culture</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90 (58 – 418)</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-1.213≠</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0.225</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500 (500 – 500)</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Urinal culture</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81 (58 – 388)</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-1.741≠≠</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0.082</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500 (41.8 – 1040)</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Sputum culture</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Negative</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90.5 (78 – 418)</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-0.125≠</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0.901</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NS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Positive</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115 (57.6 – 495)</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MV</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Yes</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423 (90 – 500)</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-3.035≠</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0.002</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HS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No</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71.75 (31.1 – 110.5)</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Progressing to septic shock</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Yes</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409 (100 – 500)</w:t>
            </w:r>
          </w:p>
        </w:tc>
        <w:tc>
          <w:tcPr>
            <w:tcW w:w="524"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-2.518≠</w:t>
            </w:r>
          </w:p>
        </w:tc>
        <w:tc>
          <w:tcPr>
            <w:tcW w:w="467"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0.012</w:t>
            </w:r>
          </w:p>
        </w:tc>
        <w:tc>
          <w:tcPr>
            <w:tcW w:w="265" w:type="pct"/>
            <w:vMerge w:val="restart"/>
            <w:shd w:val="clear" w:color="auto" w:fill="auto"/>
            <w:noWrap/>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1415" w:type="pct"/>
            <w:vMerge/>
            <w:tcBorders>
              <w:bottom w:val="single" w:sz="6" w:space="0" w:color="auto"/>
            </w:tcBorders>
            <w:vAlign w:val="center"/>
          </w:tcPr>
          <w:p w:rsidR="00B420B4" w:rsidRPr="00AF7E26" w:rsidRDefault="00B420B4" w:rsidP="00AF7E26">
            <w:pPr>
              <w:snapToGrid w:val="0"/>
              <w:jc w:val="both"/>
              <w:rPr>
                <w:sz w:val="16"/>
                <w:szCs w:val="16"/>
              </w:rPr>
            </w:pPr>
          </w:p>
        </w:tc>
        <w:tc>
          <w:tcPr>
            <w:tcW w:w="1189"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No</w:t>
            </w:r>
          </w:p>
        </w:tc>
        <w:tc>
          <w:tcPr>
            <w:tcW w:w="1138" w:type="pct"/>
            <w:tcBorders>
              <w:top w:val="nil"/>
              <w:bottom w:val="single" w:sz="6"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78 (38.3 – 140)</w:t>
            </w:r>
          </w:p>
        </w:tc>
        <w:tc>
          <w:tcPr>
            <w:tcW w:w="524" w:type="pct"/>
            <w:vMerge/>
            <w:tcBorders>
              <w:bottom w:val="single" w:sz="6" w:space="0" w:color="auto"/>
            </w:tcBorders>
            <w:vAlign w:val="center"/>
          </w:tcPr>
          <w:p w:rsidR="00B420B4" w:rsidRPr="00AF7E26" w:rsidRDefault="00B420B4" w:rsidP="00AF7E26">
            <w:pPr>
              <w:snapToGrid w:val="0"/>
              <w:jc w:val="both"/>
              <w:rPr>
                <w:sz w:val="16"/>
                <w:szCs w:val="16"/>
              </w:rPr>
            </w:pPr>
          </w:p>
        </w:tc>
        <w:tc>
          <w:tcPr>
            <w:tcW w:w="467" w:type="pct"/>
            <w:vMerge/>
            <w:tcBorders>
              <w:bottom w:val="single" w:sz="6" w:space="0" w:color="auto"/>
            </w:tcBorders>
            <w:vAlign w:val="center"/>
          </w:tcPr>
          <w:p w:rsidR="00B420B4" w:rsidRPr="00AF7E26" w:rsidRDefault="00B420B4" w:rsidP="00AF7E26">
            <w:pPr>
              <w:snapToGrid w:val="0"/>
              <w:jc w:val="both"/>
              <w:rPr>
                <w:sz w:val="16"/>
                <w:szCs w:val="16"/>
              </w:rPr>
            </w:pPr>
          </w:p>
        </w:tc>
        <w:tc>
          <w:tcPr>
            <w:tcW w:w="265" w:type="pct"/>
            <w:vMerge/>
            <w:tcBorders>
              <w:bottom w:val="single" w:sz="6" w:space="0" w:color="auto"/>
            </w:tcBorders>
            <w:vAlign w:val="center"/>
          </w:tcPr>
          <w:p w:rsidR="00B420B4" w:rsidRPr="00AF7E26" w:rsidRDefault="00B420B4" w:rsidP="00AF7E26">
            <w:pPr>
              <w:snapToGrid w:val="0"/>
              <w:jc w:val="both"/>
              <w:rPr>
                <w:sz w:val="16"/>
                <w:szCs w:val="16"/>
              </w:rPr>
            </w:pPr>
          </w:p>
        </w:tc>
      </w:tr>
      <w:tr w:rsidR="006851B2" w:rsidRPr="00AF7E26" w:rsidTr="006851B2">
        <w:trPr>
          <w:jc w:val="center"/>
        </w:trPr>
        <w:tc>
          <w:tcPr>
            <w:tcW w:w="1415" w:type="pct"/>
            <w:vMerge w:val="restar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Lactate</w:t>
            </w:r>
          </w:p>
        </w:tc>
        <w:tc>
          <w:tcPr>
            <w:tcW w:w="1189"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&lt; 2</w:t>
            </w:r>
          </w:p>
        </w:tc>
        <w:tc>
          <w:tcPr>
            <w:tcW w:w="1138" w:type="pct"/>
            <w:tcBorders>
              <w:top w:val="single" w:sz="6" w:space="0" w:color="auto"/>
              <w:bottom w:val="nil"/>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78.3 (49.5 – 130.5)</w:t>
            </w:r>
          </w:p>
        </w:tc>
        <w:tc>
          <w:tcPr>
            <w:tcW w:w="524" w:type="pct"/>
            <w:vMerge w:val="restar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1.995</w:t>
            </w:r>
          </w:p>
        </w:tc>
        <w:tc>
          <w:tcPr>
            <w:tcW w:w="467" w:type="pct"/>
            <w:vMerge w:val="restar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0.046</w:t>
            </w:r>
          </w:p>
        </w:tc>
        <w:tc>
          <w:tcPr>
            <w:tcW w:w="265" w:type="pct"/>
            <w:vMerge w:val="restart"/>
            <w:tcBorders>
              <w:top w:val="single" w:sz="6" w:space="0" w:color="auto"/>
            </w:tcBorders>
            <w:vAlign w:val="center"/>
          </w:tcPr>
          <w:p w:rsidR="00B420B4" w:rsidRPr="00AF7E26" w:rsidRDefault="00B420B4" w:rsidP="00AF7E26">
            <w:pPr>
              <w:snapToGrid w:val="0"/>
              <w:jc w:val="both"/>
              <w:rPr>
                <w:sz w:val="16"/>
                <w:szCs w:val="16"/>
              </w:rPr>
            </w:pPr>
            <w:r w:rsidRPr="00AF7E26">
              <w:rPr>
                <w:sz w:val="16"/>
                <w:szCs w:val="16"/>
              </w:rPr>
              <w:t>S</w:t>
            </w:r>
          </w:p>
        </w:tc>
      </w:tr>
      <w:tr w:rsidR="006851B2" w:rsidRPr="00AF7E26" w:rsidTr="006851B2">
        <w:trPr>
          <w:jc w:val="center"/>
        </w:trPr>
        <w:tc>
          <w:tcPr>
            <w:tcW w:w="1415" w:type="pct"/>
            <w:vMerge/>
            <w:vAlign w:val="center"/>
          </w:tcPr>
          <w:p w:rsidR="00B420B4" w:rsidRPr="00AF7E26" w:rsidRDefault="00B420B4" w:rsidP="00AF7E26">
            <w:pPr>
              <w:snapToGrid w:val="0"/>
              <w:jc w:val="both"/>
              <w:rPr>
                <w:sz w:val="16"/>
                <w:szCs w:val="16"/>
              </w:rPr>
            </w:pPr>
          </w:p>
        </w:tc>
        <w:tc>
          <w:tcPr>
            <w:tcW w:w="1189"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u w:val="single"/>
              </w:rPr>
              <w:sym w:font="Symbol" w:char="F03E"/>
            </w:r>
            <w:r w:rsidRPr="00AF7E26">
              <w:rPr>
                <w:sz w:val="16"/>
                <w:szCs w:val="16"/>
              </w:rPr>
              <w:t xml:space="preserve"> 2</w:t>
            </w:r>
          </w:p>
        </w:tc>
        <w:tc>
          <w:tcPr>
            <w:tcW w:w="1138" w:type="pct"/>
            <w:tcBorders>
              <w:top w:val="nil"/>
              <w:bottom w:val="single" w:sz="18" w:space="0" w:color="auto"/>
            </w:tcBorders>
            <w:shd w:val="clear" w:color="auto" w:fill="auto"/>
            <w:noWrap/>
            <w:vAlign w:val="center"/>
          </w:tcPr>
          <w:p w:rsidR="00B420B4" w:rsidRPr="00AF7E26" w:rsidRDefault="00B420B4" w:rsidP="00AF7E26">
            <w:pPr>
              <w:snapToGrid w:val="0"/>
              <w:jc w:val="both"/>
              <w:rPr>
                <w:sz w:val="16"/>
                <w:szCs w:val="16"/>
              </w:rPr>
            </w:pPr>
            <w:r w:rsidRPr="00AF7E26">
              <w:rPr>
                <w:sz w:val="16"/>
                <w:szCs w:val="16"/>
              </w:rPr>
              <w:t>398.5 (81 – 493)</w:t>
            </w:r>
          </w:p>
        </w:tc>
        <w:tc>
          <w:tcPr>
            <w:tcW w:w="524" w:type="pct"/>
            <w:vMerge/>
            <w:vAlign w:val="center"/>
          </w:tcPr>
          <w:p w:rsidR="00B420B4" w:rsidRPr="00AF7E26" w:rsidRDefault="00B420B4" w:rsidP="00AF7E26">
            <w:pPr>
              <w:snapToGrid w:val="0"/>
              <w:jc w:val="both"/>
              <w:rPr>
                <w:sz w:val="16"/>
                <w:szCs w:val="16"/>
              </w:rPr>
            </w:pPr>
          </w:p>
        </w:tc>
        <w:tc>
          <w:tcPr>
            <w:tcW w:w="467" w:type="pct"/>
            <w:vMerge/>
            <w:vAlign w:val="center"/>
          </w:tcPr>
          <w:p w:rsidR="00B420B4" w:rsidRPr="00AF7E26" w:rsidRDefault="00B420B4" w:rsidP="00AF7E26">
            <w:pPr>
              <w:snapToGrid w:val="0"/>
              <w:jc w:val="both"/>
              <w:rPr>
                <w:sz w:val="16"/>
                <w:szCs w:val="16"/>
              </w:rPr>
            </w:pPr>
          </w:p>
        </w:tc>
        <w:tc>
          <w:tcPr>
            <w:tcW w:w="265" w:type="pct"/>
            <w:vMerge/>
            <w:vAlign w:val="center"/>
          </w:tcPr>
          <w:p w:rsidR="00B420B4" w:rsidRPr="00AF7E26" w:rsidRDefault="00B420B4" w:rsidP="00AF7E26">
            <w:pPr>
              <w:snapToGrid w:val="0"/>
              <w:jc w:val="both"/>
              <w:rPr>
                <w:sz w:val="16"/>
                <w:szCs w:val="16"/>
              </w:rPr>
            </w:pPr>
          </w:p>
        </w:tc>
      </w:tr>
    </w:tbl>
    <w:p w:rsidR="00B420B4" w:rsidRPr="00AF7E26" w:rsidRDefault="00B420B4" w:rsidP="00AF7E26">
      <w:pPr>
        <w:snapToGrid w:val="0"/>
        <w:jc w:val="both"/>
        <w:rPr>
          <w:sz w:val="16"/>
          <w:szCs w:val="16"/>
        </w:rPr>
      </w:pPr>
      <w:r w:rsidRPr="00AF7E26">
        <w:rPr>
          <w:sz w:val="16"/>
          <w:szCs w:val="16"/>
        </w:rPr>
        <w:t>P-value &gt; 0.05: Non significant; P-value &lt; 0.05: Significant; P-value &lt; 0.01: Highly significant</w:t>
      </w:r>
    </w:p>
    <w:p w:rsidR="00B420B4" w:rsidRPr="00AF7E26" w:rsidRDefault="00B420B4" w:rsidP="00AF7E26">
      <w:pPr>
        <w:snapToGrid w:val="0"/>
        <w:jc w:val="both"/>
        <w:rPr>
          <w:sz w:val="16"/>
          <w:szCs w:val="16"/>
        </w:rPr>
      </w:pPr>
      <w:r w:rsidRPr="00AF7E26">
        <w:rPr>
          <w:sz w:val="16"/>
          <w:szCs w:val="16"/>
        </w:rPr>
        <w:t>≠: Mann-Whitney test; ≠≠: Kruskal-Wallis test</w:t>
      </w:r>
      <w:r w:rsidR="006851B2" w:rsidRPr="00AF7E26">
        <w:rPr>
          <w:sz w:val="16"/>
          <w:szCs w:val="16"/>
        </w:rPr>
        <w:t xml:space="preserve"> </w:t>
      </w:r>
      <w:r w:rsidRPr="00AF7E26">
        <w:rPr>
          <w:sz w:val="16"/>
          <w:szCs w:val="16"/>
        </w:rPr>
        <w:t>Data expressed as Mean ± SD</w:t>
      </w:r>
      <w:r w:rsidR="00ED3A64" w:rsidRPr="00AF7E26">
        <w:rPr>
          <w:sz w:val="16"/>
          <w:szCs w:val="16"/>
        </w:rPr>
        <w:t xml:space="preserve"> </w:t>
      </w:r>
      <w:r w:rsidRPr="00AF7E26">
        <w:rPr>
          <w:sz w:val="16"/>
          <w:szCs w:val="16"/>
        </w:rPr>
        <w:t>MV: mechanical ventilation</w:t>
      </w:r>
    </w:p>
    <w:p w:rsidR="00AF7E26" w:rsidRPr="00F82D54" w:rsidRDefault="00AF7E26" w:rsidP="00AF7E26">
      <w:pPr>
        <w:snapToGrid w:val="0"/>
        <w:ind w:firstLine="425"/>
        <w:jc w:val="both"/>
        <w:rPr>
          <w:sz w:val="20"/>
          <w:szCs w:val="20"/>
          <w:lang w:eastAsia="zh-CN"/>
        </w:rPr>
      </w:pPr>
    </w:p>
    <w:p w:rsidR="00AF7E26" w:rsidRPr="00F82D54" w:rsidRDefault="00AF7E26" w:rsidP="00AF7E26">
      <w:pPr>
        <w:snapToGrid w:val="0"/>
        <w:ind w:firstLine="425"/>
        <w:jc w:val="both"/>
        <w:rPr>
          <w:sz w:val="20"/>
          <w:szCs w:val="20"/>
          <w:lang w:eastAsia="zh-CN"/>
        </w:rPr>
        <w:sectPr w:rsidR="00AF7E26" w:rsidRPr="00F82D54" w:rsidSect="006851B2">
          <w:type w:val="continuous"/>
          <w:pgSz w:w="12242" w:h="15842" w:code="1"/>
          <w:pgMar w:top="1440" w:right="1440" w:bottom="1440" w:left="1440" w:header="720" w:footer="720" w:gutter="0"/>
          <w:cols w:space="720"/>
          <w:docGrid w:linePitch="360"/>
        </w:sectPr>
      </w:pPr>
    </w:p>
    <w:p w:rsidR="00B420B4" w:rsidRPr="00F82D54" w:rsidRDefault="00B420B4" w:rsidP="00AF7E26">
      <w:pPr>
        <w:snapToGrid w:val="0"/>
        <w:ind w:firstLine="425"/>
        <w:jc w:val="both"/>
        <w:rPr>
          <w:sz w:val="20"/>
          <w:szCs w:val="20"/>
        </w:rPr>
      </w:pPr>
      <w:r w:rsidRPr="00F82D54">
        <w:rPr>
          <w:sz w:val="20"/>
          <w:szCs w:val="20"/>
        </w:rPr>
        <w:lastRenderedPageBreak/>
        <w:t>The previous table shows that there was statistically significant relation found between BNP level and mechanical ventilation, serum lactate and progressing to septic shock with p-value 0.002, 0.046 and 0.012 respectively while no statistically significant relation found with the other parameters.</w:t>
      </w:r>
    </w:p>
    <w:p w:rsidR="00ED3A64" w:rsidRPr="00F82D54" w:rsidRDefault="00ED3A64" w:rsidP="00AF7E26">
      <w:pPr>
        <w:snapToGrid w:val="0"/>
        <w:jc w:val="both"/>
        <w:rPr>
          <w:b/>
          <w:bCs/>
          <w:sz w:val="20"/>
          <w:szCs w:val="20"/>
        </w:rPr>
      </w:pPr>
      <w:bookmarkStart w:id="11" w:name="_Toc2872373"/>
    </w:p>
    <w:p w:rsidR="00B420B4" w:rsidRPr="00F82D54" w:rsidRDefault="00ED3A64" w:rsidP="00AF7E26">
      <w:pPr>
        <w:snapToGrid w:val="0"/>
        <w:jc w:val="both"/>
        <w:rPr>
          <w:b/>
          <w:bCs/>
          <w:sz w:val="20"/>
          <w:szCs w:val="20"/>
        </w:rPr>
      </w:pPr>
      <w:r w:rsidRPr="00F82D54">
        <w:rPr>
          <w:b/>
          <w:bCs/>
          <w:sz w:val="20"/>
          <w:szCs w:val="20"/>
        </w:rPr>
        <w:t>4. Discussion</w:t>
      </w:r>
      <w:bookmarkEnd w:id="11"/>
    </w:p>
    <w:p w:rsidR="00B420B4" w:rsidRPr="00F82D54" w:rsidRDefault="00B420B4" w:rsidP="00AF7E26">
      <w:pPr>
        <w:snapToGrid w:val="0"/>
        <w:ind w:firstLine="425"/>
        <w:jc w:val="both"/>
        <w:rPr>
          <w:b/>
          <w:bCs/>
          <w:sz w:val="20"/>
          <w:szCs w:val="20"/>
        </w:rPr>
      </w:pPr>
      <w:r w:rsidRPr="00F82D54">
        <w:rPr>
          <w:sz w:val="20"/>
          <w:szCs w:val="20"/>
        </w:rPr>
        <w:t>Although sepsis is one of the leading causes of mortality in hospitalized patients, information regarding early predictive factors for mortality and morbidity is limited.</w:t>
      </w:r>
      <w:r w:rsidRPr="00F82D54">
        <w:rPr>
          <w:b/>
          <w:bCs/>
          <w:sz w:val="20"/>
          <w:szCs w:val="20"/>
        </w:rPr>
        <w:t xml:space="preserve"> </w:t>
      </w:r>
      <w:r w:rsidRPr="00F82D54">
        <w:rPr>
          <w:sz w:val="20"/>
          <w:szCs w:val="20"/>
        </w:rPr>
        <w:t>Early identification of septic patients at high risk of dying remains a challenge. The prognostic role of brain natriuretic peptide (BNP) in septic patients remains controversial. Therefore, there is a need for a fast simple and cost-effective method to enhance risk stratification in septic patients</w:t>
      </w:r>
      <w:r w:rsidRPr="00F82D54">
        <w:rPr>
          <w:b/>
          <w:bCs/>
          <w:sz w:val="20"/>
          <w:szCs w:val="20"/>
        </w:rPr>
        <w:t xml:space="preserve"> </w:t>
      </w:r>
      <w:r w:rsidRPr="00F82D54">
        <w:rPr>
          <w:b/>
          <w:bCs/>
          <w:i/>
          <w:iCs/>
          <w:sz w:val="20"/>
          <w:szCs w:val="20"/>
        </w:rPr>
        <w:t>(Wang et al., 2012; Aziz et al., 2017).</w:t>
      </w:r>
    </w:p>
    <w:p w:rsidR="00B420B4" w:rsidRPr="00F82D54" w:rsidRDefault="00B420B4" w:rsidP="00AF7E26">
      <w:pPr>
        <w:snapToGrid w:val="0"/>
        <w:ind w:firstLine="425"/>
        <w:jc w:val="both"/>
        <w:rPr>
          <w:b/>
          <w:bCs/>
          <w:i/>
          <w:iCs/>
          <w:sz w:val="20"/>
          <w:szCs w:val="20"/>
        </w:rPr>
      </w:pPr>
      <w:r w:rsidRPr="00F82D54">
        <w:rPr>
          <w:sz w:val="20"/>
          <w:szCs w:val="20"/>
        </w:rPr>
        <w:t>Brain natriuretic peptide has been found to be useful markers in the diagnosis, management and prognosis of patients with congestive heart failure. Also, BNP is a powerful predictor of death and major adverse cardiovascular events in patients</w:t>
      </w:r>
      <w:r w:rsidRPr="00F82D54">
        <w:rPr>
          <w:b/>
          <w:bCs/>
          <w:sz w:val="20"/>
          <w:szCs w:val="20"/>
        </w:rPr>
        <w:t xml:space="preserve"> </w:t>
      </w:r>
      <w:r w:rsidRPr="00F82D54">
        <w:rPr>
          <w:b/>
          <w:bCs/>
          <w:i/>
          <w:iCs/>
          <w:sz w:val="20"/>
          <w:szCs w:val="20"/>
        </w:rPr>
        <w:t>(Tang et al., 2007).</w:t>
      </w:r>
    </w:p>
    <w:p w:rsidR="00B420B4" w:rsidRPr="00F82D54" w:rsidRDefault="00B420B4" w:rsidP="00AF7E26">
      <w:pPr>
        <w:snapToGrid w:val="0"/>
        <w:ind w:firstLine="425"/>
        <w:jc w:val="both"/>
        <w:rPr>
          <w:b/>
          <w:bCs/>
          <w:i/>
          <w:iCs/>
          <w:sz w:val="20"/>
          <w:szCs w:val="20"/>
        </w:rPr>
      </w:pPr>
      <w:r w:rsidRPr="00F82D54">
        <w:rPr>
          <w:sz w:val="20"/>
          <w:szCs w:val="20"/>
        </w:rPr>
        <w:t xml:space="preserve">Given that BNP levels has been linked with hemodynamics and cardiovascular functions which are both affected in sepsis, we suggest that BNP can be a prognostic indicator for prediction of sepsis severity </w:t>
      </w:r>
      <w:r w:rsidRPr="00F82D54">
        <w:rPr>
          <w:b/>
          <w:bCs/>
          <w:i/>
          <w:iCs/>
          <w:sz w:val="20"/>
          <w:szCs w:val="20"/>
        </w:rPr>
        <w:t>(Ahmed et al., 2011).</w:t>
      </w:r>
    </w:p>
    <w:p w:rsidR="00B420B4" w:rsidRPr="00F82D54" w:rsidRDefault="00B420B4" w:rsidP="00AF7E26">
      <w:pPr>
        <w:snapToGrid w:val="0"/>
        <w:ind w:firstLine="425"/>
        <w:jc w:val="both"/>
        <w:rPr>
          <w:sz w:val="20"/>
          <w:szCs w:val="20"/>
        </w:rPr>
      </w:pPr>
      <w:r w:rsidRPr="00F82D54">
        <w:rPr>
          <w:sz w:val="20"/>
          <w:szCs w:val="20"/>
        </w:rPr>
        <w:t>During the period from June 2018 to January 2019, thirty patients were registered in our study from those who were admitted to Intensive care unit of October 6 university hospital and Ain shams university hospital.</w:t>
      </w:r>
    </w:p>
    <w:p w:rsidR="00B420B4" w:rsidRPr="00F82D54" w:rsidRDefault="00B420B4" w:rsidP="00AF7E26">
      <w:pPr>
        <w:snapToGrid w:val="0"/>
        <w:ind w:firstLine="425"/>
        <w:jc w:val="both"/>
        <w:rPr>
          <w:sz w:val="20"/>
          <w:szCs w:val="20"/>
        </w:rPr>
      </w:pPr>
      <w:r w:rsidRPr="00F82D54">
        <w:rPr>
          <w:sz w:val="20"/>
          <w:szCs w:val="20"/>
        </w:rPr>
        <w:t xml:space="preserve">We studied 30 patients with sepsis with age ranged from 19 to 80 years and with mean age of 54.70±18.01, 13 males (43.3%) and 17 females (56.7%). while, </w:t>
      </w:r>
      <w:r w:rsidRPr="00F82D54">
        <w:rPr>
          <w:b/>
          <w:bCs/>
          <w:i/>
          <w:iCs/>
          <w:sz w:val="20"/>
          <w:szCs w:val="20"/>
        </w:rPr>
        <w:t>Omar et al. (2013)</w:t>
      </w:r>
      <w:r w:rsidRPr="00F82D54">
        <w:rPr>
          <w:sz w:val="20"/>
          <w:szCs w:val="20"/>
        </w:rPr>
        <w:t xml:space="preserve"> studied 30 patients divided into two groups 20 patients with sepsis and 10 patients with septic shock with age range of 19-72 years with mean age of 49.8±16.7 years, 18 male</w:t>
      </w:r>
      <w:r w:rsidR="006851B2" w:rsidRPr="00F82D54">
        <w:rPr>
          <w:sz w:val="20"/>
          <w:szCs w:val="20"/>
        </w:rPr>
        <w:t>s (</w:t>
      </w:r>
      <w:r w:rsidRPr="00F82D54">
        <w:rPr>
          <w:sz w:val="20"/>
          <w:szCs w:val="20"/>
        </w:rPr>
        <w:t xml:space="preserve">60%) and 12 females (40%), </w:t>
      </w:r>
      <w:r w:rsidRPr="00F82D54">
        <w:rPr>
          <w:b/>
          <w:bCs/>
          <w:i/>
          <w:iCs/>
          <w:sz w:val="20"/>
          <w:szCs w:val="20"/>
        </w:rPr>
        <w:t>Ahmed et al. (2011)</w:t>
      </w:r>
      <w:r w:rsidRPr="00F82D54">
        <w:rPr>
          <w:sz w:val="20"/>
          <w:szCs w:val="20"/>
        </w:rPr>
        <w:t xml:space="preserve"> studied 30patients divided into three groups group 1was 10 patients with sepsis, group 2 was 10 patients with septic shock and group 3 was 10 controls with a mean age of 45.33±5.22years, 18 male</w:t>
      </w:r>
      <w:r w:rsidR="006851B2" w:rsidRPr="00F82D54">
        <w:rPr>
          <w:sz w:val="20"/>
          <w:szCs w:val="20"/>
        </w:rPr>
        <w:t>s (</w:t>
      </w:r>
      <w:r w:rsidRPr="00F82D54">
        <w:rPr>
          <w:sz w:val="20"/>
          <w:szCs w:val="20"/>
        </w:rPr>
        <w:t xml:space="preserve">60%) and 12 females (40%), </w:t>
      </w:r>
      <w:r w:rsidRPr="00F82D54">
        <w:rPr>
          <w:b/>
          <w:bCs/>
          <w:i/>
          <w:iCs/>
          <w:sz w:val="20"/>
          <w:szCs w:val="20"/>
        </w:rPr>
        <w:t>Singh et al. (2017)</w:t>
      </w:r>
      <w:r w:rsidRPr="00F82D54">
        <w:rPr>
          <w:sz w:val="20"/>
          <w:szCs w:val="20"/>
        </w:rPr>
        <w:t>, studied 505 patients admitted with sepsis or severe sepsis or septic shock with age more than 18 and they were 220 males (43.5%) and 285 females (56.5%).</w:t>
      </w:r>
    </w:p>
    <w:p w:rsidR="00B420B4" w:rsidRPr="00F82D54" w:rsidRDefault="00B420B4" w:rsidP="00AF7E26">
      <w:pPr>
        <w:snapToGrid w:val="0"/>
        <w:ind w:firstLine="425"/>
        <w:jc w:val="both"/>
        <w:rPr>
          <w:sz w:val="20"/>
          <w:szCs w:val="20"/>
        </w:rPr>
      </w:pPr>
      <w:r w:rsidRPr="00F82D54">
        <w:rPr>
          <w:sz w:val="20"/>
          <w:szCs w:val="20"/>
        </w:rPr>
        <w:t>Eighty percent of patients in our study were admitted with sepsis due to medical cause versus twenty percent with surgical cause.</w:t>
      </w:r>
    </w:p>
    <w:p w:rsidR="00B420B4" w:rsidRPr="00F82D54" w:rsidRDefault="00B420B4" w:rsidP="00AF7E26">
      <w:pPr>
        <w:snapToGrid w:val="0"/>
        <w:ind w:firstLine="425"/>
        <w:jc w:val="both"/>
        <w:rPr>
          <w:sz w:val="20"/>
          <w:szCs w:val="20"/>
        </w:rPr>
      </w:pPr>
      <w:r w:rsidRPr="00F82D54">
        <w:rPr>
          <w:sz w:val="20"/>
          <w:szCs w:val="20"/>
        </w:rPr>
        <w:t xml:space="preserve">Thirty three percent of our studied patients showed negative cultures while, </w:t>
      </w:r>
      <w:r w:rsidRPr="00F82D54">
        <w:rPr>
          <w:b/>
          <w:bCs/>
          <w:i/>
          <w:iCs/>
          <w:sz w:val="20"/>
          <w:szCs w:val="20"/>
        </w:rPr>
        <w:t>Ahmed et al. (2011)</w:t>
      </w:r>
      <w:r w:rsidRPr="00F82D54">
        <w:rPr>
          <w:sz w:val="20"/>
          <w:szCs w:val="20"/>
        </w:rPr>
        <w:t xml:space="preserve"> study showed 20% negative cultures, </w:t>
      </w:r>
      <w:r w:rsidRPr="00F82D54">
        <w:rPr>
          <w:b/>
          <w:bCs/>
          <w:i/>
          <w:iCs/>
          <w:sz w:val="20"/>
          <w:szCs w:val="20"/>
        </w:rPr>
        <w:t xml:space="preserve">Cohen et al. </w:t>
      </w:r>
      <w:r w:rsidRPr="00F82D54">
        <w:rPr>
          <w:b/>
          <w:bCs/>
          <w:i/>
          <w:iCs/>
          <w:sz w:val="20"/>
          <w:szCs w:val="20"/>
        </w:rPr>
        <w:lastRenderedPageBreak/>
        <w:t>(1999)</w:t>
      </w:r>
      <w:r w:rsidRPr="00F82D54">
        <w:rPr>
          <w:b/>
          <w:bCs/>
          <w:sz w:val="20"/>
          <w:szCs w:val="20"/>
        </w:rPr>
        <w:t xml:space="preserve"> </w:t>
      </w:r>
      <w:r w:rsidRPr="00F82D54">
        <w:rPr>
          <w:sz w:val="20"/>
          <w:szCs w:val="20"/>
        </w:rPr>
        <w:t xml:space="preserve">study reported that negative cultures was found in 39% of his patients, also </w:t>
      </w:r>
      <w:r w:rsidRPr="00F82D54">
        <w:rPr>
          <w:b/>
          <w:bCs/>
          <w:i/>
          <w:iCs/>
          <w:sz w:val="20"/>
          <w:szCs w:val="20"/>
        </w:rPr>
        <w:t xml:space="preserve">Kieft et al. (1993) </w:t>
      </w:r>
      <w:r w:rsidRPr="00F82D54">
        <w:rPr>
          <w:sz w:val="20"/>
          <w:szCs w:val="20"/>
        </w:rPr>
        <w:t>showed that 20-30% of his patients who presented with sepsis were never identified infection sites and both imaging studies and blood culture analysis did not rule out presence of infection in these study groups.</w:t>
      </w:r>
    </w:p>
    <w:p w:rsidR="00B420B4" w:rsidRPr="00F82D54" w:rsidRDefault="00B420B4" w:rsidP="00AF7E26">
      <w:pPr>
        <w:snapToGrid w:val="0"/>
        <w:ind w:firstLine="425"/>
        <w:jc w:val="both"/>
        <w:rPr>
          <w:sz w:val="20"/>
          <w:szCs w:val="20"/>
        </w:rPr>
      </w:pPr>
      <w:r w:rsidRPr="00F82D54">
        <w:rPr>
          <w:sz w:val="20"/>
          <w:szCs w:val="20"/>
        </w:rPr>
        <w:t xml:space="preserve">Chest infection was predominant in 20 out of 30 patients (66.7%) in our study and that matches with </w:t>
      </w:r>
      <w:r w:rsidRPr="00F82D54">
        <w:rPr>
          <w:b/>
          <w:bCs/>
          <w:i/>
          <w:iCs/>
          <w:sz w:val="20"/>
          <w:szCs w:val="20"/>
        </w:rPr>
        <w:t>Ahmed et al. (2011)</w:t>
      </w:r>
      <w:r w:rsidRPr="00F82D54">
        <w:rPr>
          <w:b/>
          <w:bCs/>
          <w:sz w:val="20"/>
          <w:szCs w:val="20"/>
        </w:rPr>
        <w:t xml:space="preserve"> </w:t>
      </w:r>
      <w:r w:rsidRPr="00F82D54">
        <w:rPr>
          <w:sz w:val="20"/>
          <w:szCs w:val="20"/>
        </w:rPr>
        <w:t xml:space="preserve">study who reported that 13 out of 20 patients of his patients with sepsis and septic shock due to chest Infection, also </w:t>
      </w:r>
      <w:r w:rsidRPr="00F82D54">
        <w:rPr>
          <w:b/>
          <w:bCs/>
          <w:i/>
          <w:iCs/>
          <w:sz w:val="20"/>
          <w:szCs w:val="20"/>
        </w:rPr>
        <w:t>Tang et al. (2007)</w:t>
      </w:r>
      <w:r w:rsidRPr="00F82D54">
        <w:rPr>
          <w:sz w:val="20"/>
          <w:szCs w:val="20"/>
        </w:rPr>
        <w:t xml:space="preserve"> showed that respiratory infection is the most common cause of sepsis in his study results.</w:t>
      </w:r>
    </w:p>
    <w:p w:rsidR="00B420B4" w:rsidRPr="00F82D54" w:rsidRDefault="00B420B4" w:rsidP="00AF7E26">
      <w:pPr>
        <w:snapToGrid w:val="0"/>
        <w:ind w:firstLine="425"/>
        <w:jc w:val="both"/>
        <w:rPr>
          <w:sz w:val="20"/>
          <w:szCs w:val="20"/>
        </w:rPr>
      </w:pPr>
      <w:r w:rsidRPr="00F82D54">
        <w:rPr>
          <w:sz w:val="20"/>
          <w:szCs w:val="20"/>
        </w:rPr>
        <w:t xml:space="preserve">In our study, 15 patients died out of 30 patients (50%) with hospital stay = 15.13 ± 5.11, these results matches with </w:t>
      </w:r>
      <w:r w:rsidRPr="00F82D54">
        <w:rPr>
          <w:b/>
          <w:bCs/>
          <w:i/>
          <w:iCs/>
          <w:sz w:val="20"/>
          <w:szCs w:val="20"/>
        </w:rPr>
        <w:t>Fleischmann et al. (2016)</w:t>
      </w:r>
      <w:r w:rsidRPr="00F82D54">
        <w:rPr>
          <w:b/>
          <w:bCs/>
          <w:sz w:val="20"/>
          <w:szCs w:val="20"/>
        </w:rPr>
        <w:t xml:space="preserve"> </w:t>
      </w:r>
      <w:r w:rsidRPr="00F82D54">
        <w:rPr>
          <w:sz w:val="20"/>
          <w:szCs w:val="20"/>
        </w:rPr>
        <w:t xml:space="preserve">study who recorded sepsis motality of 41% in his study patients, Also </w:t>
      </w:r>
      <w:r w:rsidRPr="00F82D54">
        <w:rPr>
          <w:b/>
          <w:bCs/>
          <w:i/>
          <w:iCs/>
          <w:sz w:val="20"/>
          <w:szCs w:val="20"/>
        </w:rPr>
        <w:t>Alberti et al. (2003)</w:t>
      </w:r>
      <w:r w:rsidRPr="00F82D54">
        <w:rPr>
          <w:sz w:val="20"/>
          <w:szCs w:val="20"/>
        </w:rPr>
        <w:t xml:space="preserve"> study that documented hospital mortality from 25-60% according to sepsis stage, </w:t>
      </w:r>
      <w:r w:rsidRPr="00F82D54">
        <w:rPr>
          <w:b/>
          <w:bCs/>
          <w:i/>
          <w:iCs/>
          <w:sz w:val="20"/>
          <w:szCs w:val="20"/>
        </w:rPr>
        <w:t>Ahmed et al. (2011)</w:t>
      </w:r>
      <w:r w:rsidRPr="00F82D54">
        <w:rPr>
          <w:sz w:val="20"/>
          <w:szCs w:val="20"/>
        </w:rPr>
        <w:t xml:space="preserve"> that reported 40% mortality in his study subjects, while </w:t>
      </w:r>
      <w:r w:rsidR="00323C14" w:rsidRPr="00F82D54">
        <w:rPr>
          <w:b/>
          <w:bCs/>
          <w:i/>
          <w:iCs/>
          <w:sz w:val="20"/>
          <w:szCs w:val="20"/>
        </w:rPr>
        <w:t>Vieillard-Baron</w:t>
      </w:r>
      <w:r w:rsidRPr="00F82D54">
        <w:rPr>
          <w:b/>
          <w:bCs/>
          <w:i/>
          <w:iCs/>
          <w:sz w:val="20"/>
          <w:szCs w:val="20"/>
        </w:rPr>
        <w:t xml:space="preserve"> et al. (2003)</w:t>
      </w:r>
      <w:r w:rsidRPr="00F82D54">
        <w:rPr>
          <w:sz w:val="20"/>
          <w:szCs w:val="20"/>
        </w:rPr>
        <w:t xml:space="preserve"> that showed 60% mortality in his study. </w:t>
      </w:r>
    </w:p>
    <w:p w:rsidR="00B420B4" w:rsidRPr="00F82D54" w:rsidRDefault="00B420B4" w:rsidP="00AF7E26">
      <w:pPr>
        <w:snapToGrid w:val="0"/>
        <w:ind w:firstLine="425"/>
        <w:jc w:val="both"/>
        <w:rPr>
          <w:sz w:val="20"/>
          <w:szCs w:val="20"/>
        </w:rPr>
      </w:pPr>
      <w:r w:rsidRPr="00F82D54">
        <w:rPr>
          <w:sz w:val="20"/>
          <w:szCs w:val="20"/>
        </w:rPr>
        <w:t xml:space="preserve">In the current study we correlated BNP level on admission with mortalities and it was observed that BNP level was significantly higher in those who did not survive (15 out of 30 patients) (Median 418pg/ml) than in those who survived (15 out of 30 patients) (median 78 pg/ml) and it was statistically significant with p value &lt;0.014 and the cut off point for BNP level to predict mortality was recorded &gt; 300 (pg/ml) with sensitivity of 66.67%, specificity of 93.3%. These results matched with </w:t>
      </w:r>
      <w:r w:rsidRPr="00F82D54">
        <w:rPr>
          <w:b/>
          <w:bCs/>
          <w:i/>
          <w:iCs/>
          <w:sz w:val="20"/>
          <w:szCs w:val="20"/>
        </w:rPr>
        <w:t>Singh et al. (2017)</w:t>
      </w:r>
      <w:r w:rsidRPr="00F82D54">
        <w:rPr>
          <w:sz w:val="20"/>
          <w:szCs w:val="20"/>
        </w:rPr>
        <w:t xml:space="preserve"> study who found that that sepsis mortality was associated with an average of 300 higher BNP units. Also </w:t>
      </w:r>
      <w:r w:rsidRPr="00F82D54">
        <w:rPr>
          <w:b/>
          <w:bCs/>
          <w:i/>
          <w:iCs/>
          <w:sz w:val="20"/>
          <w:szCs w:val="20"/>
        </w:rPr>
        <w:t>Wang et al. (2012)</w:t>
      </w:r>
      <w:r w:rsidRPr="00F82D54">
        <w:rPr>
          <w:sz w:val="20"/>
          <w:szCs w:val="20"/>
        </w:rPr>
        <w:t xml:space="preserve"> in a meta-analysis involving a total of 1,865 patients, both inactive and active forms of natriuretic peptide were elevated and significantly associated with increased risk of mortality, with a sensitivity and specificity of 79% and 60%, respectively.</w:t>
      </w:r>
    </w:p>
    <w:p w:rsidR="00B420B4" w:rsidRPr="00F82D54" w:rsidRDefault="00B420B4" w:rsidP="00AF7E26">
      <w:pPr>
        <w:snapToGrid w:val="0"/>
        <w:ind w:firstLine="425"/>
        <w:jc w:val="both"/>
        <w:rPr>
          <w:sz w:val="20"/>
          <w:szCs w:val="20"/>
        </w:rPr>
      </w:pPr>
      <w:r w:rsidRPr="00F82D54">
        <w:rPr>
          <w:sz w:val="20"/>
          <w:szCs w:val="20"/>
        </w:rPr>
        <w:t xml:space="preserve">During monitoring of the results we have found that higher BNP level on admission correlated to the progression to septic shock with cut off point for BNP level to predict progressing to septic shock was found &gt; 200 (pg/ml) with sensitivity of 72.73%, specificity of 78.95%. This results matched </w:t>
      </w:r>
      <w:r w:rsidRPr="00F82D54">
        <w:rPr>
          <w:b/>
          <w:bCs/>
          <w:i/>
          <w:iCs/>
          <w:sz w:val="20"/>
          <w:szCs w:val="20"/>
        </w:rPr>
        <w:t>Guaricci et al. (2015)</w:t>
      </w:r>
      <w:r w:rsidRPr="00F82D54">
        <w:rPr>
          <w:b/>
          <w:bCs/>
          <w:sz w:val="20"/>
          <w:szCs w:val="20"/>
        </w:rPr>
        <w:t xml:space="preserve"> </w:t>
      </w:r>
      <w:r w:rsidRPr="00F82D54">
        <w:rPr>
          <w:sz w:val="20"/>
          <w:szCs w:val="20"/>
        </w:rPr>
        <w:t>study that showed that BNP changes within 72 h could predict mortality at 28 days in patients with septic shock. This study also found that levels greater than 1,000 pg/mL at 72 h were associated with an adverse outcome, sensitivity and specificity of 95.5% and 94.4%</w:t>
      </w:r>
      <w:r w:rsidR="00AF7E26" w:rsidRPr="00F82D54">
        <w:rPr>
          <w:sz w:val="20"/>
          <w:szCs w:val="20"/>
        </w:rPr>
        <w:t>, r</w:t>
      </w:r>
      <w:r w:rsidRPr="00F82D54">
        <w:rPr>
          <w:sz w:val="20"/>
          <w:szCs w:val="20"/>
        </w:rPr>
        <w:t xml:space="preserve">espectively. Also </w:t>
      </w:r>
      <w:r w:rsidRPr="00F82D54">
        <w:rPr>
          <w:b/>
          <w:bCs/>
          <w:i/>
          <w:iCs/>
          <w:sz w:val="20"/>
          <w:szCs w:val="20"/>
        </w:rPr>
        <w:t xml:space="preserve">Bar et al. (2006) </w:t>
      </w:r>
      <w:r w:rsidRPr="00F82D54">
        <w:rPr>
          <w:sz w:val="20"/>
          <w:szCs w:val="20"/>
        </w:rPr>
        <w:t>study documented that BNP was higher in those patients who progressed to septic shock.</w:t>
      </w:r>
    </w:p>
    <w:p w:rsidR="00B420B4" w:rsidRPr="00F82D54" w:rsidRDefault="00B420B4" w:rsidP="00AF7E26">
      <w:pPr>
        <w:snapToGrid w:val="0"/>
        <w:ind w:firstLine="425"/>
        <w:jc w:val="both"/>
        <w:rPr>
          <w:sz w:val="20"/>
          <w:szCs w:val="20"/>
        </w:rPr>
      </w:pPr>
      <w:r w:rsidRPr="00F82D54">
        <w:rPr>
          <w:sz w:val="20"/>
          <w:szCs w:val="20"/>
        </w:rPr>
        <w:t xml:space="preserve">We also observed that higher BNP levels predicted high length of stay in ICU, there was highly </w:t>
      </w:r>
      <w:r w:rsidRPr="00F82D54">
        <w:rPr>
          <w:sz w:val="20"/>
          <w:szCs w:val="20"/>
        </w:rPr>
        <w:lastRenderedPageBreak/>
        <w:t xml:space="preserve">significant correlation with p value= 0.0001, these results matched </w:t>
      </w:r>
      <w:r w:rsidRPr="00F82D54">
        <w:rPr>
          <w:b/>
          <w:bCs/>
          <w:i/>
          <w:iCs/>
          <w:sz w:val="20"/>
          <w:szCs w:val="20"/>
        </w:rPr>
        <w:t>Zhang et al. (2012)</w:t>
      </w:r>
      <w:r w:rsidRPr="00F82D54">
        <w:rPr>
          <w:sz w:val="20"/>
          <w:szCs w:val="20"/>
        </w:rPr>
        <w:t>, reported that a BNP</w:t>
      </w:r>
      <w:r w:rsidRPr="00F82D54">
        <w:rPr>
          <w:rFonts w:eastAsia="MS Mincho"/>
          <w:sz w:val="20"/>
          <w:szCs w:val="20"/>
        </w:rPr>
        <w:t> </w:t>
      </w:r>
      <w:r w:rsidRPr="00F82D54">
        <w:rPr>
          <w:sz w:val="20"/>
          <w:szCs w:val="20"/>
        </w:rPr>
        <w:t>greater than</w:t>
      </w:r>
      <w:r w:rsidRPr="00F82D54">
        <w:rPr>
          <w:rFonts w:eastAsia="MS Mincho"/>
          <w:sz w:val="20"/>
          <w:szCs w:val="20"/>
        </w:rPr>
        <w:t> </w:t>
      </w:r>
      <w:r w:rsidRPr="00F82D54">
        <w:rPr>
          <w:sz w:val="20"/>
          <w:szCs w:val="20"/>
        </w:rPr>
        <w:t>100</w:t>
      </w:r>
      <w:r w:rsidRPr="00F82D54">
        <w:rPr>
          <w:rFonts w:eastAsia="MS Mincho"/>
          <w:sz w:val="20"/>
          <w:szCs w:val="20"/>
        </w:rPr>
        <w:t> </w:t>
      </w:r>
      <w:r w:rsidRPr="00F82D54">
        <w:rPr>
          <w:sz w:val="20"/>
          <w:szCs w:val="20"/>
        </w:rPr>
        <w:t>pg/mL was predictive of Intensive care unit length of stay (ICULOS) &gt; 7 days, and hospital length of stay (HLOS)</w:t>
      </w:r>
      <w:r w:rsidRPr="00F82D54">
        <w:rPr>
          <w:rFonts w:eastAsia="MS Mincho"/>
          <w:sz w:val="20"/>
          <w:szCs w:val="20"/>
        </w:rPr>
        <w:t> </w:t>
      </w:r>
      <w:r w:rsidRPr="00F82D54">
        <w:rPr>
          <w:sz w:val="20"/>
          <w:szCs w:val="20"/>
        </w:rPr>
        <w:t>&gt;</w:t>
      </w:r>
      <w:r w:rsidRPr="00F82D54">
        <w:rPr>
          <w:rFonts w:eastAsia="MS Mincho"/>
          <w:sz w:val="20"/>
          <w:szCs w:val="20"/>
        </w:rPr>
        <w:t> </w:t>
      </w:r>
      <w:r w:rsidRPr="00F82D54">
        <w:rPr>
          <w:sz w:val="20"/>
          <w:szCs w:val="20"/>
        </w:rPr>
        <w:t xml:space="preserve">12 days. </w:t>
      </w:r>
      <w:r w:rsidRPr="00F82D54">
        <w:rPr>
          <w:b/>
          <w:bCs/>
          <w:i/>
          <w:iCs/>
          <w:sz w:val="20"/>
          <w:szCs w:val="20"/>
        </w:rPr>
        <w:t>Zhao et al. (2009)</w:t>
      </w:r>
      <w:r w:rsidRPr="00F82D54">
        <w:rPr>
          <w:sz w:val="20"/>
          <w:szCs w:val="20"/>
        </w:rPr>
        <w:t xml:space="preserve">, also showed that the Intensive care unit length of stay (ICULOS) was significantly higher in the BNP elevated cohort compared to the BNP normal group (23.7 ± 7.5 days vs. 14.9 ± 5.1 days, P &lt; 0.05) also </w:t>
      </w:r>
      <w:r w:rsidRPr="00F82D54">
        <w:rPr>
          <w:b/>
          <w:bCs/>
          <w:i/>
          <w:iCs/>
          <w:sz w:val="20"/>
          <w:szCs w:val="20"/>
        </w:rPr>
        <w:t>Singh et al. (2017)</w:t>
      </w:r>
      <w:r w:rsidRPr="00F82D54">
        <w:rPr>
          <w:sz w:val="20"/>
          <w:szCs w:val="20"/>
        </w:rPr>
        <w:t xml:space="preserve"> study recorded that patients with a high BNP had 1.18 times longer average hospital stay.</w:t>
      </w:r>
    </w:p>
    <w:p w:rsidR="00582019" w:rsidRPr="00F82D54" w:rsidRDefault="00B420B4" w:rsidP="00AF7E26">
      <w:pPr>
        <w:snapToGrid w:val="0"/>
        <w:ind w:firstLine="425"/>
        <w:jc w:val="both"/>
        <w:rPr>
          <w:sz w:val="20"/>
          <w:szCs w:val="20"/>
        </w:rPr>
      </w:pPr>
      <w:r w:rsidRPr="00F82D54">
        <w:rPr>
          <w:sz w:val="20"/>
          <w:szCs w:val="20"/>
        </w:rPr>
        <w:t xml:space="preserve">Also our study showed that higher plasma BNP levels correlated with the need of mechanical ventilation with best cut off point for BNP level to predict MV was found &gt; 300 (pg/ml) with sensitivity of 71.43%, specificity of 93.75% this results was correlated to </w:t>
      </w:r>
      <w:r w:rsidRPr="00F82D54">
        <w:rPr>
          <w:b/>
          <w:bCs/>
          <w:i/>
          <w:iCs/>
          <w:sz w:val="20"/>
          <w:szCs w:val="20"/>
        </w:rPr>
        <w:t>Vander et al. (2010)</w:t>
      </w:r>
      <w:r w:rsidRPr="00F82D54">
        <w:rPr>
          <w:sz w:val="20"/>
          <w:szCs w:val="20"/>
        </w:rPr>
        <w:t xml:space="preserve"> study that BNP at the first 24 hours correlated with the number of days on mechanical ventilation. Also </w:t>
      </w:r>
      <w:r w:rsidRPr="00F82D54">
        <w:rPr>
          <w:b/>
          <w:bCs/>
          <w:i/>
          <w:iCs/>
          <w:sz w:val="20"/>
          <w:szCs w:val="20"/>
        </w:rPr>
        <w:t>Farghaly et al. (2015)</w:t>
      </w:r>
      <w:r w:rsidRPr="00F82D54">
        <w:rPr>
          <w:sz w:val="20"/>
          <w:szCs w:val="20"/>
        </w:rPr>
        <w:t xml:space="preserve"> study documented that BNP can be used as a predictor for underlying need of further mechanical ventilation of already ventilated patients or failure of weaning of ventilation also there was some trials suggesting the use of BNP in predicting spontaneous breathing trial outcome however, No studies directly stated whether BNP can predict the need of mechanical ventilation in patients with sepsis.</w:t>
      </w:r>
    </w:p>
    <w:p w:rsidR="00ED3A64" w:rsidRPr="00F82D54" w:rsidRDefault="00ED3A64" w:rsidP="00AF7E26">
      <w:pPr>
        <w:snapToGrid w:val="0"/>
        <w:jc w:val="both"/>
        <w:rPr>
          <w:b/>
          <w:bCs/>
          <w:sz w:val="20"/>
          <w:szCs w:val="20"/>
        </w:rPr>
      </w:pPr>
      <w:bookmarkStart w:id="12" w:name="_Toc2872375"/>
    </w:p>
    <w:p w:rsidR="00B420B4" w:rsidRPr="00F82D54" w:rsidRDefault="00ED3A64" w:rsidP="00AF7E26">
      <w:pPr>
        <w:snapToGrid w:val="0"/>
        <w:jc w:val="both"/>
        <w:rPr>
          <w:b/>
          <w:bCs/>
          <w:sz w:val="20"/>
          <w:szCs w:val="20"/>
        </w:rPr>
      </w:pPr>
      <w:r w:rsidRPr="00F82D54">
        <w:rPr>
          <w:b/>
          <w:bCs/>
          <w:sz w:val="20"/>
          <w:szCs w:val="20"/>
        </w:rPr>
        <w:t>Conclusion</w:t>
      </w:r>
      <w:bookmarkEnd w:id="12"/>
    </w:p>
    <w:p w:rsidR="00B420B4" w:rsidRPr="00F82D54" w:rsidRDefault="00B420B4" w:rsidP="00AF7E26">
      <w:pPr>
        <w:snapToGrid w:val="0"/>
        <w:ind w:firstLine="425"/>
        <w:jc w:val="both"/>
        <w:rPr>
          <w:sz w:val="20"/>
          <w:szCs w:val="20"/>
        </w:rPr>
      </w:pPr>
      <w:r w:rsidRPr="00F82D54">
        <w:rPr>
          <w:sz w:val="20"/>
          <w:szCs w:val="20"/>
        </w:rPr>
        <w:t xml:space="preserve">Laboratory and clinical medicine groups should actively collaborate and optimize their individual expertise to potentially prove standardized biomarkers assays that will optimize patient care. </w:t>
      </w:r>
    </w:p>
    <w:p w:rsidR="00B420B4" w:rsidRPr="00F82D54" w:rsidRDefault="00B420B4" w:rsidP="00AF7E26">
      <w:pPr>
        <w:snapToGrid w:val="0"/>
        <w:jc w:val="both"/>
        <w:rPr>
          <w:b/>
          <w:bCs/>
          <w:sz w:val="20"/>
          <w:szCs w:val="20"/>
        </w:rPr>
      </w:pPr>
      <w:r w:rsidRPr="00F82D54">
        <w:rPr>
          <w:b/>
          <w:bCs/>
          <w:sz w:val="20"/>
          <w:szCs w:val="20"/>
        </w:rPr>
        <w:t>From the present study we could conclude that:</w:t>
      </w:r>
    </w:p>
    <w:p w:rsidR="00B420B4" w:rsidRPr="00F82D54" w:rsidRDefault="00B420B4" w:rsidP="00AF7E26">
      <w:pPr>
        <w:numPr>
          <w:ilvl w:val="0"/>
          <w:numId w:val="6"/>
        </w:numPr>
        <w:snapToGrid w:val="0"/>
        <w:ind w:left="0" w:firstLine="425"/>
        <w:jc w:val="both"/>
        <w:rPr>
          <w:sz w:val="20"/>
          <w:szCs w:val="20"/>
        </w:rPr>
      </w:pPr>
      <w:r w:rsidRPr="00F82D54">
        <w:rPr>
          <w:sz w:val="20"/>
          <w:szCs w:val="20"/>
        </w:rPr>
        <w:t xml:space="preserve">BNP level on admission was higher in non-survivors that has statistical significance. </w:t>
      </w:r>
    </w:p>
    <w:p w:rsidR="00B420B4" w:rsidRPr="00F82D54" w:rsidRDefault="00B420B4" w:rsidP="00AF7E26">
      <w:pPr>
        <w:numPr>
          <w:ilvl w:val="0"/>
          <w:numId w:val="6"/>
        </w:numPr>
        <w:snapToGrid w:val="0"/>
        <w:ind w:left="0" w:firstLine="425"/>
        <w:jc w:val="both"/>
        <w:rPr>
          <w:sz w:val="20"/>
          <w:szCs w:val="20"/>
        </w:rPr>
      </w:pPr>
      <w:r w:rsidRPr="00F82D54">
        <w:rPr>
          <w:sz w:val="20"/>
          <w:szCs w:val="20"/>
        </w:rPr>
        <w:t xml:space="preserve">BNP level on admission was higher in those who stayed longer in ICU that has statistical significance. </w:t>
      </w:r>
    </w:p>
    <w:p w:rsidR="00B420B4" w:rsidRPr="00F82D54" w:rsidRDefault="00B420B4" w:rsidP="00AF7E26">
      <w:pPr>
        <w:numPr>
          <w:ilvl w:val="0"/>
          <w:numId w:val="6"/>
        </w:numPr>
        <w:snapToGrid w:val="0"/>
        <w:ind w:left="0" w:firstLine="425"/>
        <w:jc w:val="both"/>
        <w:rPr>
          <w:sz w:val="20"/>
          <w:szCs w:val="20"/>
        </w:rPr>
      </w:pPr>
      <w:r w:rsidRPr="00F82D54">
        <w:rPr>
          <w:sz w:val="20"/>
          <w:szCs w:val="20"/>
        </w:rPr>
        <w:t xml:space="preserve">BNP level on admission was higher in those who progressed to septic shock that has statistical significance. </w:t>
      </w:r>
    </w:p>
    <w:p w:rsidR="00B420B4" w:rsidRPr="00F82D54" w:rsidRDefault="00B420B4" w:rsidP="00AF7E26">
      <w:pPr>
        <w:numPr>
          <w:ilvl w:val="0"/>
          <w:numId w:val="6"/>
        </w:numPr>
        <w:snapToGrid w:val="0"/>
        <w:ind w:left="0" w:firstLine="425"/>
        <w:jc w:val="both"/>
        <w:rPr>
          <w:sz w:val="20"/>
          <w:szCs w:val="20"/>
        </w:rPr>
      </w:pPr>
      <w:r w:rsidRPr="00F82D54">
        <w:rPr>
          <w:sz w:val="20"/>
          <w:szCs w:val="20"/>
        </w:rPr>
        <w:t xml:space="preserve">BNP level on admission was higher in those who required mechanical ventilation that has statistical significance. </w:t>
      </w:r>
    </w:p>
    <w:p w:rsidR="00582019" w:rsidRPr="00F82D54" w:rsidRDefault="00B420B4" w:rsidP="00AF7E26">
      <w:pPr>
        <w:numPr>
          <w:ilvl w:val="0"/>
          <w:numId w:val="6"/>
        </w:numPr>
        <w:snapToGrid w:val="0"/>
        <w:ind w:left="0" w:firstLine="425"/>
        <w:jc w:val="both"/>
        <w:rPr>
          <w:sz w:val="20"/>
          <w:szCs w:val="20"/>
        </w:rPr>
      </w:pPr>
      <w:r w:rsidRPr="00F82D54">
        <w:rPr>
          <w:sz w:val="20"/>
          <w:szCs w:val="20"/>
        </w:rPr>
        <w:t>BNP has a diagnostic and prognostic role in patients with sepsis.</w:t>
      </w:r>
    </w:p>
    <w:p w:rsidR="00ED3A64" w:rsidRPr="00F82D54" w:rsidRDefault="00ED3A64" w:rsidP="00AF7E26">
      <w:pPr>
        <w:snapToGrid w:val="0"/>
        <w:jc w:val="both"/>
        <w:rPr>
          <w:b/>
          <w:bCs/>
          <w:sz w:val="20"/>
          <w:szCs w:val="20"/>
        </w:rPr>
      </w:pPr>
    </w:p>
    <w:p w:rsidR="00582019" w:rsidRPr="00F82D54" w:rsidRDefault="00ED3A64" w:rsidP="00AF7E26">
      <w:pPr>
        <w:snapToGrid w:val="0"/>
        <w:jc w:val="both"/>
        <w:rPr>
          <w:b/>
          <w:bCs/>
          <w:sz w:val="20"/>
          <w:szCs w:val="20"/>
        </w:rPr>
      </w:pPr>
      <w:r w:rsidRPr="00F82D54">
        <w:rPr>
          <w:b/>
          <w:bCs/>
          <w:sz w:val="20"/>
          <w:szCs w:val="20"/>
        </w:rPr>
        <w:t>References</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Ahmed</w:t>
      </w:r>
      <w:r w:rsidR="006851B2" w:rsidRPr="00F82D54">
        <w:rPr>
          <w:bCs/>
          <w:sz w:val="20"/>
          <w:szCs w:val="20"/>
        </w:rPr>
        <w:t xml:space="preserve"> </w:t>
      </w:r>
      <w:r w:rsidRPr="00F82D54">
        <w:rPr>
          <w:bCs/>
          <w:sz w:val="20"/>
          <w:szCs w:val="20"/>
        </w:rPr>
        <w:t>NS,</w:t>
      </w:r>
      <w:r w:rsidR="006851B2" w:rsidRPr="00F82D54">
        <w:rPr>
          <w:bCs/>
          <w:sz w:val="20"/>
          <w:szCs w:val="20"/>
        </w:rPr>
        <w:t xml:space="preserve"> </w:t>
      </w:r>
      <w:r w:rsidRPr="00F82D54">
        <w:rPr>
          <w:bCs/>
          <w:sz w:val="20"/>
          <w:szCs w:val="20"/>
        </w:rPr>
        <w:t>Risk</w:t>
      </w:r>
      <w:r w:rsidR="006851B2" w:rsidRPr="00F82D54">
        <w:rPr>
          <w:bCs/>
          <w:sz w:val="20"/>
          <w:szCs w:val="20"/>
        </w:rPr>
        <w:t xml:space="preserve"> </w:t>
      </w:r>
      <w:r w:rsidRPr="00F82D54">
        <w:rPr>
          <w:bCs/>
          <w:sz w:val="20"/>
          <w:szCs w:val="20"/>
        </w:rPr>
        <w:t>A,</w:t>
      </w:r>
      <w:r w:rsidR="006851B2" w:rsidRPr="00F82D54">
        <w:rPr>
          <w:bCs/>
          <w:sz w:val="20"/>
          <w:szCs w:val="20"/>
        </w:rPr>
        <w:t xml:space="preserve"> </w:t>
      </w:r>
      <w:r w:rsidRPr="00F82D54">
        <w:rPr>
          <w:bCs/>
          <w:sz w:val="20"/>
          <w:szCs w:val="20"/>
        </w:rPr>
        <w:t>Said</w:t>
      </w:r>
      <w:r w:rsidR="006851B2" w:rsidRPr="00F82D54">
        <w:rPr>
          <w:bCs/>
          <w:sz w:val="20"/>
          <w:szCs w:val="20"/>
        </w:rPr>
        <w:t xml:space="preserve"> </w:t>
      </w:r>
      <w:r w:rsidRPr="00F82D54">
        <w:rPr>
          <w:bCs/>
          <w:sz w:val="20"/>
          <w:szCs w:val="20"/>
        </w:rPr>
        <w:t>SM,</w:t>
      </w:r>
      <w:r w:rsidR="006851B2" w:rsidRPr="00F82D54">
        <w:rPr>
          <w:bCs/>
          <w:sz w:val="20"/>
          <w:szCs w:val="20"/>
        </w:rPr>
        <w:t xml:space="preserve"> </w:t>
      </w:r>
      <w:r w:rsidRPr="00F82D54">
        <w:rPr>
          <w:bCs/>
          <w:sz w:val="20"/>
          <w:szCs w:val="20"/>
        </w:rPr>
        <w:t>Mostafa</w:t>
      </w:r>
      <w:r w:rsidR="006851B2" w:rsidRPr="00F82D54">
        <w:rPr>
          <w:bCs/>
          <w:sz w:val="20"/>
          <w:szCs w:val="20"/>
        </w:rPr>
        <w:t xml:space="preserve"> </w:t>
      </w:r>
      <w:r w:rsidRPr="00F82D54">
        <w:rPr>
          <w:bCs/>
          <w:sz w:val="20"/>
          <w:szCs w:val="20"/>
        </w:rPr>
        <w:t>RA.</w:t>
      </w:r>
      <w:r w:rsidR="006851B2" w:rsidRPr="00F82D54">
        <w:rPr>
          <w:bCs/>
          <w:sz w:val="20"/>
          <w:szCs w:val="20"/>
        </w:rPr>
        <w:t xml:space="preserve"> </w:t>
      </w:r>
      <w:r w:rsidRPr="00F82D54">
        <w:rPr>
          <w:sz w:val="20"/>
          <w:szCs w:val="20"/>
        </w:rPr>
        <w:t>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Biomarker</w:t>
      </w:r>
      <w:r w:rsidR="006851B2" w:rsidRPr="00F82D54">
        <w:rPr>
          <w:sz w:val="20"/>
          <w:szCs w:val="20"/>
        </w:rPr>
        <w:t xml:space="preserve"> </w:t>
      </w:r>
      <w:r w:rsidRPr="00F82D54">
        <w:rPr>
          <w:sz w:val="20"/>
          <w:szCs w:val="20"/>
        </w:rPr>
        <w:t>for</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Diagnosis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Risk</w:t>
      </w:r>
      <w:r w:rsidR="006851B2" w:rsidRPr="00F82D54">
        <w:rPr>
          <w:sz w:val="20"/>
          <w:szCs w:val="20"/>
        </w:rPr>
        <w:t xml:space="preserve"> </w:t>
      </w:r>
      <w:r w:rsidRPr="00F82D54">
        <w:rPr>
          <w:sz w:val="20"/>
          <w:szCs w:val="20"/>
        </w:rPr>
        <w:t>Stratification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Patient</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Medical</w:t>
      </w:r>
      <w:r w:rsidR="006851B2" w:rsidRPr="00F82D54">
        <w:rPr>
          <w:sz w:val="20"/>
          <w:szCs w:val="20"/>
        </w:rPr>
        <w:t xml:space="preserve"> </w:t>
      </w:r>
      <w:r w:rsidRPr="00F82D54">
        <w:rPr>
          <w:sz w:val="20"/>
          <w:szCs w:val="20"/>
        </w:rPr>
        <w:t>Journal</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Cairo</w:t>
      </w:r>
      <w:r w:rsidR="006851B2" w:rsidRPr="00F82D54">
        <w:rPr>
          <w:sz w:val="20"/>
          <w:szCs w:val="20"/>
        </w:rPr>
        <w:t xml:space="preserve"> </w:t>
      </w:r>
      <w:r w:rsidRPr="00F82D54">
        <w:rPr>
          <w:sz w:val="20"/>
          <w:szCs w:val="20"/>
        </w:rPr>
        <w:t>University.</w:t>
      </w:r>
      <w:r w:rsidR="006851B2" w:rsidRPr="00F82D54">
        <w:rPr>
          <w:sz w:val="20"/>
          <w:szCs w:val="20"/>
        </w:rPr>
        <w:t xml:space="preserve"> </w:t>
      </w:r>
      <w:r w:rsidRPr="00F82D54">
        <w:rPr>
          <w:sz w:val="20"/>
          <w:szCs w:val="20"/>
        </w:rPr>
        <w:t>2011;</w:t>
      </w:r>
      <w:r w:rsidR="006851B2" w:rsidRPr="00F82D54">
        <w:rPr>
          <w:sz w:val="20"/>
          <w:szCs w:val="20"/>
        </w:rPr>
        <w:t xml:space="preserve"> </w:t>
      </w:r>
      <w:r w:rsidRPr="00F82D54">
        <w:rPr>
          <w:sz w:val="20"/>
          <w:szCs w:val="20"/>
        </w:rPr>
        <w:t>79(2).</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lastRenderedPageBreak/>
        <w:t>Alberti</w:t>
      </w:r>
      <w:r w:rsidR="006851B2" w:rsidRPr="00F82D54">
        <w:rPr>
          <w:bCs/>
          <w:sz w:val="20"/>
          <w:szCs w:val="20"/>
        </w:rPr>
        <w:t xml:space="preserve"> </w:t>
      </w:r>
      <w:r w:rsidRPr="00F82D54">
        <w:rPr>
          <w:bCs/>
          <w:sz w:val="20"/>
          <w:szCs w:val="20"/>
        </w:rPr>
        <w:t>C,</w:t>
      </w:r>
      <w:r w:rsidR="006851B2" w:rsidRPr="00F82D54">
        <w:rPr>
          <w:bCs/>
          <w:sz w:val="20"/>
          <w:szCs w:val="20"/>
        </w:rPr>
        <w:t xml:space="preserve"> </w:t>
      </w:r>
      <w:r w:rsidRPr="00F82D54">
        <w:rPr>
          <w:bCs/>
          <w:sz w:val="20"/>
          <w:szCs w:val="20"/>
        </w:rPr>
        <w:t>Brun-Buisson</w:t>
      </w:r>
      <w:r w:rsidR="006851B2" w:rsidRPr="00F82D54">
        <w:rPr>
          <w:bCs/>
          <w:sz w:val="20"/>
          <w:szCs w:val="20"/>
        </w:rPr>
        <w:t xml:space="preserve"> </w:t>
      </w:r>
      <w:r w:rsidRPr="00F82D54">
        <w:rPr>
          <w:bCs/>
          <w:sz w:val="20"/>
          <w:szCs w:val="20"/>
        </w:rPr>
        <w:t>C,</w:t>
      </w:r>
      <w:r w:rsidR="006851B2" w:rsidRPr="00F82D54">
        <w:rPr>
          <w:bCs/>
          <w:sz w:val="20"/>
          <w:szCs w:val="20"/>
        </w:rPr>
        <w:t xml:space="preserve"> </w:t>
      </w:r>
      <w:r w:rsidRPr="00F82D54">
        <w:rPr>
          <w:bCs/>
          <w:sz w:val="20"/>
          <w:szCs w:val="20"/>
        </w:rPr>
        <w:t>Goodman</w:t>
      </w:r>
      <w:r w:rsidR="006851B2" w:rsidRPr="00F82D54">
        <w:rPr>
          <w:bCs/>
          <w:sz w:val="20"/>
          <w:szCs w:val="20"/>
        </w:rPr>
        <w:t xml:space="preserve"> </w:t>
      </w:r>
      <w:r w:rsidRPr="00F82D54">
        <w:rPr>
          <w:bCs/>
          <w:sz w:val="20"/>
          <w:szCs w:val="20"/>
        </w:rPr>
        <w:t>SV,</w:t>
      </w:r>
      <w:r w:rsidR="006851B2" w:rsidRPr="00F82D54">
        <w:rPr>
          <w:bCs/>
          <w:sz w:val="20"/>
          <w:szCs w:val="20"/>
        </w:rPr>
        <w:t xml:space="preserve"> </w:t>
      </w:r>
      <w:r w:rsidRPr="00F82D54">
        <w:rPr>
          <w:bCs/>
          <w:sz w:val="20"/>
          <w:szCs w:val="20"/>
        </w:rPr>
        <w:t>Guidici</w:t>
      </w:r>
      <w:r w:rsidR="006851B2" w:rsidRPr="00F82D54">
        <w:rPr>
          <w:bCs/>
          <w:sz w:val="20"/>
          <w:szCs w:val="20"/>
        </w:rPr>
        <w:t xml:space="preserve"> </w:t>
      </w:r>
      <w:r w:rsidRPr="00F82D54">
        <w:rPr>
          <w:bCs/>
          <w:sz w:val="20"/>
          <w:szCs w:val="20"/>
        </w:rPr>
        <w:t>D,</w:t>
      </w:r>
      <w:r w:rsidR="006851B2" w:rsidRPr="00F82D54">
        <w:rPr>
          <w:bCs/>
          <w:sz w:val="20"/>
          <w:szCs w:val="20"/>
        </w:rPr>
        <w:t xml:space="preserve"> </w:t>
      </w:r>
      <w:r w:rsidRPr="00F82D54">
        <w:rPr>
          <w:bCs/>
          <w:sz w:val="20"/>
          <w:szCs w:val="20"/>
        </w:rPr>
        <w:t>Granton</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Moreno</w:t>
      </w:r>
      <w:r w:rsidR="006851B2" w:rsidRPr="00F82D54">
        <w:rPr>
          <w:bCs/>
          <w:sz w:val="20"/>
          <w:szCs w:val="20"/>
        </w:rPr>
        <w:t xml:space="preserve"> </w:t>
      </w:r>
      <w:r w:rsidRPr="00F82D54">
        <w:rPr>
          <w:bCs/>
          <w:sz w:val="20"/>
          <w:szCs w:val="20"/>
        </w:rPr>
        <w:t>R,</w:t>
      </w:r>
      <w:r w:rsidR="006851B2" w:rsidRPr="00F82D54">
        <w:rPr>
          <w:bCs/>
          <w:sz w:val="20"/>
          <w:szCs w:val="20"/>
        </w:rPr>
        <w:t xml:space="preserve"> </w:t>
      </w:r>
      <w:r w:rsidRPr="00F82D54">
        <w:rPr>
          <w:bCs/>
          <w:sz w:val="20"/>
          <w:szCs w:val="20"/>
        </w:rPr>
        <w:t>Smithies</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Thomas</w:t>
      </w:r>
      <w:r w:rsidR="006851B2" w:rsidRPr="00F82D54">
        <w:rPr>
          <w:bCs/>
          <w:sz w:val="20"/>
          <w:szCs w:val="20"/>
        </w:rPr>
        <w:t xml:space="preserve"> </w:t>
      </w:r>
      <w:r w:rsidRPr="00F82D54">
        <w:rPr>
          <w:bCs/>
          <w:sz w:val="20"/>
          <w:szCs w:val="20"/>
        </w:rPr>
        <w:t>O,</w:t>
      </w:r>
      <w:r w:rsidR="006851B2" w:rsidRPr="00F82D54">
        <w:rPr>
          <w:bCs/>
          <w:sz w:val="20"/>
          <w:szCs w:val="20"/>
        </w:rPr>
        <w:t xml:space="preserve"> </w:t>
      </w:r>
      <w:r w:rsidRPr="00F82D54">
        <w:rPr>
          <w:bCs/>
          <w:sz w:val="20"/>
          <w:szCs w:val="20"/>
        </w:rPr>
        <w:t>Artigas</w:t>
      </w:r>
      <w:r w:rsidR="006851B2" w:rsidRPr="00F82D54">
        <w:rPr>
          <w:bCs/>
          <w:sz w:val="20"/>
          <w:szCs w:val="20"/>
        </w:rPr>
        <w:t xml:space="preserve"> </w:t>
      </w:r>
      <w:r w:rsidRPr="00F82D54">
        <w:rPr>
          <w:bCs/>
          <w:sz w:val="20"/>
          <w:szCs w:val="20"/>
        </w:rPr>
        <w:t>A,</w:t>
      </w:r>
      <w:r w:rsidR="006851B2" w:rsidRPr="00F82D54">
        <w:rPr>
          <w:bCs/>
          <w:sz w:val="20"/>
          <w:szCs w:val="20"/>
        </w:rPr>
        <w:t xml:space="preserve"> </w:t>
      </w:r>
      <w:r w:rsidRPr="00F82D54">
        <w:rPr>
          <w:bCs/>
          <w:sz w:val="20"/>
          <w:szCs w:val="20"/>
        </w:rPr>
        <w:t>Le</w:t>
      </w:r>
      <w:r w:rsidR="006851B2" w:rsidRPr="00F82D54">
        <w:rPr>
          <w:bCs/>
          <w:sz w:val="20"/>
          <w:szCs w:val="20"/>
        </w:rPr>
        <w:t xml:space="preserve"> </w:t>
      </w:r>
      <w:r w:rsidRPr="00F82D54">
        <w:rPr>
          <w:bCs/>
          <w:sz w:val="20"/>
          <w:szCs w:val="20"/>
        </w:rPr>
        <w:t>Gall</w:t>
      </w:r>
      <w:r w:rsidR="006851B2" w:rsidRPr="00F82D54">
        <w:rPr>
          <w:bCs/>
          <w:sz w:val="20"/>
          <w:szCs w:val="20"/>
        </w:rPr>
        <w:t xml:space="preserve"> </w:t>
      </w:r>
      <w:r w:rsidRPr="00F82D54">
        <w:rPr>
          <w:bCs/>
          <w:sz w:val="20"/>
          <w:szCs w:val="20"/>
        </w:rPr>
        <w:t>JR.</w:t>
      </w:r>
      <w:r w:rsidR="006851B2" w:rsidRPr="00F82D54">
        <w:rPr>
          <w:bCs/>
          <w:sz w:val="20"/>
          <w:szCs w:val="20"/>
        </w:rPr>
        <w:t xml:space="preserve"> </w:t>
      </w:r>
      <w:r w:rsidRPr="00F82D54">
        <w:rPr>
          <w:sz w:val="20"/>
          <w:szCs w:val="20"/>
        </w:rPr>
        <w:t>Influence</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systemic</w:t>
      </w:r>
      <w:r w:rsidR="006851B2" w:rsidRPr="00F82D54">
        <w:rPr>
          <w:sz w:val="20"/>
          <w:szCs w:val="20"/>
        </w:rPr>
        <w:t xml:space="preserve"> </w:t>
      </w:r>
      <w:r w:rsidRPr="00F82D54">
        <w:rPr>
          <w:sz w:val="20"/>
          <w:szCs w:val="20"/>
        </w:rPr>
        <w:t>inflammatory</w:t>
      </w:r>
      <w:r w:rsidR="006851B2" w:rsidRPr="00F82D54">
        <w:rPr>
          <w:sz w:val="20"/>
          <w:szCs w:val="20"/>
        </w:rPr>
        <w:t xml:space="preserve"> </w:t>
      </w:r>
      <w:r w:rsidRPr="00F82D54">
        <w:rPr>
          <w:sz w:val="20"/>
          <w:szCs w:val="20"/>
        </w:rPr>
        <w:t>response</w:t>
      </w:r>
      <w:r w:rsidR="006851B2" w:rsidRPr="00F82D54">
        <w:rPr>
          <w:sz w:val="20"/>
          <w:szCs w:val="20"/>
        </w:rPr>
        <w:t xml:space="preserve"> </w:t>
      </w:r>
      <w:r w:rsidRPr="00F82D54">
        <w:rPr>
          <w:sz w:val="20"/>
          <w:szCs w:val="20"/>
        </w:rPr>
        <w:t>syndrome</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on</w:t>
      </w:r>
      <w:r w:rsidR="006851B2" w:rsidRPr="00F82D54">
        <w:rPr>
          <w:sz w:val="20"/>
          <w:szCs w:val="20"/>
        </w:rPr>
        <w:t xml:space="preserve"> </w:t>
      </w:r>
      <w:r w:rsidRPr="00F82D54">
        <w:rPr>
          <w:sz w:val="20"/>
          <w:szCs w:val="20"/>
        </w:rPr>
        <w:t>outcome</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critically</w:t>
      </w:r>
      <w:r w:rsidR="006851B2" w:rsidRPr="00F82D54">
        <w:rPr>
          <w:sz w:val="20"/>
          <w:szCs w:val="20"/>
        </w:rPr>
        <w:t xml:space="preserve"> </w:t>
      </w:r>
      <w:r w:rsidRPr="00F82D54">
        <w:rPr>
          <w:sz w:val="20"/>
          <w:szCs w:val="20"/>
        </w:rPr>
        <w:t>ill</w:t>
      </w:r>
      <w:r w:rsidR="006851B2" w:rsidRPr="00F82D54">
        <w:rPr>
          <w:sz w:val="20"/>
          <w:szCs w:val="20"/>
        </w:rPr>
        <w:t xml:space="preserve"> </w:t>
      </w:r>
      <w:r w:rsidRPr="00F82D54">
        <w:rPr>
          <w:sz w:val="20"/>
          <w:szCs w:val="20"/>
        </w:rPr>
        <w:t>infected</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American</w:t>
      </w:r>
      <w:r w:rsidR="006851B2" w:rsidRPr="00F82D54">
        <w:rPr>
          <w:sz w:val="20"/>
          <w:szCs w:val="20"/>
        </w:rPr>
        <w:t xml:space="preserve"> </w:t>
      </w:r>
      <w:r w:rsidRPr="00F82D54">
        <w:rPr>
          <w:sz w:val="20"/>
          <w:szCs w:val="20"/>
        </w:rPr>
        <w:t>Journal</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Respiratory</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Critical</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2003;</w:t>
      </w:r>
      <w:r w:rsidR="006851B2" w:rsidRPr="00F82D54">
        <w:rPr>
          <w:sz w:val="20"/>
          <w:szCs w:val="20"/>
        </w:rPr>
        <w:t xml:space="preserve"> </w:t>
      </w:r>
      <w:r w:rsidRPr="00F82D54">
        <w:rPr>
          <w:sz w:val="20"/>
          <w:szCs w:val="20"/>
        </w:rPr>
        <w:t>168(1):77-84.</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Angus</w:t>
      </w:r>
      <w:r w:rsidR="006851B2" w:rsidRPr="00F82D54">
        <w:rPr>
          <w:bCs/>
          <w:sz w:val="20"/>
          <w:szCs w:val="20"/>
        </w:rPr>
        <w:t xml:space="preserve"> </w:t>
      </w:r>
      <w:r w:rsidRPr="00F82D54">
        <w:rPr>
          <w:bCs/>
          <w:sz w:val="20"/>
          <w:szCs w:val="20"/>
        </w:rPr>
        <w:t>DC,</w:t>
      </w:r>
      <w:r w:rsidR="006851B2" w:rsidRPr="00F82D54">
        <w:rPr>
          <w:bCs/>
          <w:sz w:val="20"/>
          <w:szCs w:val="20"/>
        </w:rPr>
        <w:t xml:space="preserve"> </w:t>
      </w:r>
      <w:r w:rsidRPr="00F82D54">
        <w:rPr>
          <w:bCs/>
          <w:sz w:val="20"/>
          <w:szCs w:val="20"/>
        </w:rPr>
        <w:t>Linde-Zwirble</w:t>
      </w:r>
      <w:r w:rsidR="006851B2" w:rsidRPr="00F82D54">
        <w:rPr>
          <w:bCs/>
          <w:sz w:val="20"/>
          <w:szCs w:val="20"/>
        </w:rPr>
        <w:t xml:space="preserve"> </w:t>
      </w:r>
      <w:r w:rsidRPr="00F82D54">
        <w:rPr>
          <w:bCs/>
          <w:sz w:val="20"/>
          <w:szCs w:val="20"/>
        </w:rPr>
        <w:t>WT,</w:t>
      </w:r>
      <w:r w:rsidR="006851B2" w:rsidRPr="00F82D54">
        <w:rPr>
          <w:bCs/>
          <w:sz w:val="20"/>
          <w:szCs w:val="20"/>
        </w:rPr>
        <w:t xml:space="preserve"> </w:t>
      </w:r>
      <w:r w:rsidRPr="00F82D54">
        <w:rPr>
          <w:bCs/>
          <w:sz w:val="20"/>
          <w:szCs w:val="20"/>
        </w:rPr>
        <w:t>Lidicker</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et</w:t>
      </w:r>
      <w:r w:rsidR="006851B2" w:rsidRPr="00F82D54">
        <w:rPr>
          <w:bCs/>
          <w:sz w:val="20"/>
          <w:szCs w:val="20"/>
        </w:rPr>
        <w:t xml:space="preserve"> </w:t>
      </w:r>
      <w:r w:rsidRPr="00F82D54">
        <w:rPr>
          <w:bCs/>
          <w:sz w:val="20"/>
          <w:szCs w:val="20"/>
        </w:rPr>
        <w:t>al.</w:t>
      </w:r>
      <w:r w:rsidR="006851B2" w:rsidRPr="00F82D54">
        <w:rPr>
          <w:sz w:val="20"/>
          <w:szCs w:val="20"/>
        </w:rPr>
        <w:t xml:space="preserve"> </w:t>
      </w:r>
      <w:r w:rsidRPr="00F82D54">
        <w:rPr>
          <w:sz w:val="20"/>
          <w:szCs w:val="20"/>
        </w:rPr>
        <w:t>Epidemiology</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United</w:t>
      </w:r>
      <w:r w:rsidR="006851B2" w:rsidRPr="00F82D54">
        <w:rPr>
          <w:sz w:val="20"/>
          <w:szCs w:val="20"/>
        </w:rPr>
        <w:t xml:space="preserve"> </w:t>
      </w:r>
      <w:r w:rsidRPr="00F82D54">
        <w:rPr>
          <w:sz w:val="20"/>
          <w:szCs w:val="20"/>
        </w:rPr>
        <w:t>States:</w:t>
      </w:r>
      <w:r w:rsidR="006851B2" w:rsidRPr="00F82D54">
        <w:rPr>
          <w:sz w:val="20"/>
          <w:szCs w:val="20"/>
        </w:rPr>
        <w:t xml:space="preserve"> </w:t>
      </w:r>
      <w:r w:rsidRPr="00F82D54">
        <w:rPr>
          <w:sz w:val="20"/>
          <w:szCs w:val="20"/>
        </w:rPr>
        <w:t>analysis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incidence,</w:t>
      </w:r>
      <w:r w:rsidR="006851B2" w:rsidRPr="00F82D54">
        <w:rPr>
          <w:sz w:val="20"/>
          <w:szCs w:val="20"/>
        </w:rPr>
        <w:t xml:space="preserve"> </w:t>
      </w:r>
      <w:r w:rsidRPr="00F82D54">
        <w:rPr>
          <w:sz w:val="20"/>
          <w:szCs w:val="20"/>
        </w:rPr>
        <w:t>outcome,</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associated</w:t>
      </w:r>
      <w:r w:rsidR="006851B2" w:rsidRPr="00F82D54">
        <w:rPr>
          <w:sz w:val="20"/>
          <w:szCs w:val="20"/>
        </w:rPr>
        <w:t xml:space="preserve"> </w:t>
      </w:r>
      <w:r w:rsidRPr="00F82D54">
        <w:rPr>
          <w:sz w:val="20"/>
          <w:szCs w:val="20"/>
        </w:rPr>
        <w:t>costs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Crit</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Med.</w:t>
      </w:r>
      <w:r w:rsidR="006851B2" w:rsidRPr="00F82D54">
        <w:rPr>
          <w:sz w:val="20"/>
          <w:szCs w:val="20"/>
        </w:rPr>
        <w:t xml:space="preserve"> </w:t>
      </w:r>
      <w:r w:rsidRPr="00F82D54">
        <w:rPr>
          <w:sz w:val="20"/>
          <w:szCs w:val="20"/>
        </w:rPr>
        <w:t>2001;</w:t>
      </w:r>
      <w:r w:rsidR="006851B2" w:rsidRPr="00F82D54">
        <w:rPr>
          <w:sz w:val="20"/>
          <w:szCs w:val="20"/>
        </w:rPr>
        <w:t xml:space="preserve"> </w:t>
      </w:r>
      <w:r w:rsidRPr="00F82D54">
        <w:rPr>
          <w:sz w:val="20"/>
          <w:szCs w:val="20"/>
        </w:rPr>
        <w:t>29:1303–1310.</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Aziz</w:t>
      </w:r>
      <w:r w:rsidR="006851B2" w:rsidRPr="00F82D54">
        <w:rPr>
          <w:bCs/>
          <w:sz w:val="20"/>
          <w:szCs w:val="20"/>
        </w:rPr>
        <w:t xml:space="preserve"> </w:t>
      </w:r>
      <w:r w:rsidRPr="00F82D54">
        <w:rPr>
          <w:bCs/>
          <w:sz w:val="20"/>
          <w:szCs w:val="20"/>
        </w:rPr>
        <w:t>K,</w:t>
      </w:r>
      <w:r w:rsidR="006851B2" w:rsidRPr="00F82D54">
        <w:rPr>
          <w:bCs/>
          <w:sz w:val="20"/>
          <w:szCs w:val="20"/>
        </w:rPr>
        <w:t xml:space="preserve"> </w:t>
      </w:r>
      <w:r w:rsidRPr="00F82D54">
        <w:rPr>
          <w:bCs/>
          <w:sz w:val="20"/>
          <w:szCs w:val="20"/>
        </w:rPr>
        <w:t>Sayed</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Asmita</w:t>
      </w:r>
      <w:r w:rsidR="006851B2" w:rsidRPr="00F82D54">
        <w:rPr>
          <w:bCs/>
          <w:sz w:val="20"/>
          <w:szCs w:val="20"/>
        </w:rPr>
        <w:t xml:space="preserve"> </w:t>
      </w:r>
      <w:r w:rsidRPr="00F82D54">
        <w:rPr>
          <w:bCs/>
          <w:sz w:val="20"/>
          <w:szCs w:val="20"/>
        </w:rPr>
        <w:t>AM</w:t>
      </w:r>
      <w:r w:rsidR="006851B2" w:rsidRPr="00F82D54">
        <w:rPr>
          <w:bCs/>
          <w:sz w:val="20"/>
          <w:szCs w:val="20"/>
        </w:rPr>
        <w:t xml:space="preserve"> </w:t>
      </w:r>
      <w:r w:rsidRPr="00F82D54">
        <w:rPr>
          <w:bCs/>
          <w:sz w:val="20"/>
          <w:szCs w:val="20"/>
        </w:rPr>
        <w:t>and</w:t>
      </w:r>
      <w:r w:rsidR="006851B2" w:rsidRPr="00F82D54">
        <w:rPr>
          <w:bCs/>
          <w:sz w:val="20"/>
          <w:szCs w:val="20"/>
        </w:rPr>
        <w:t xml:space="preserve"> </w:t>
      </w:r>
      <w:r w:rsidRPr="00F82D54">
        <w:rPr>
          <w:bCs/>
          <w:sz w:val="20"/>
          <w:szCs w:val="20"/>
        </w:rPr>
        <w:t>Ponneduthamkuzhy</w:t>
      </w:r>
      <w:r w:rsidR="006851B2" w:rsidRPr="00F82D54">
        <w:rPr>
          <w:bCs/>
          <w:sz w:val="20"/>
          <w:szCs w:val="20"/>
        </w:rPr>
        <w:t xml:space="preserve"> </w:t>
      </w:r>
      <w:r w:rsidRPr="00F82D54">
        <w:rPr>
          <w:bCs/>
          <w:sz w:val="20"/>
          <w:szCs w:val="20"/>
        </w:rPr>
        <w:t>J</w:t>
      </w:r>
      <w:r w:rsidRPr="00F82D54">
        <w:rPr>
          <w:sz w:val="20"/>
          <w:szCs w:val="20"/>
        </w:rPr>
        <w:t>.</w:t>
      </w:r>
      <w:r w:rsidR="006851B2" w:rsidRPr="00F82D54">
        <w:rPr>
          <w:sz w:val="20"/>
          <w:szCs w:val="20"/>
        </w:rPr>
        <w:t xml:space="preserve"> </w:t>
      </w:r>
      <w:r w:rsidRPr="00F82D54">
        <w:rPr>
          <w:sz w:val="20"/>
          <w:szCs w:val="20"/>
        </w:rPr>
        <w:t>Predictors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mortality</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among</w:t>
      </w:r>
      <w:r w:rsidR="006851B2" w:rsidRPr="00F82D54">
        <w:rPr>
          <w:sz w:val="20"/>
          <w:szCs w:val="20"/>
        </w:rPr>
        <w:t xml:space="preserve"> </w:t>
      </w:r>
      <w:r w:rsidRPr="00F82D54">
        <w:rPr>
          <w:sz w:val="20"/>
          <w:szCs w:val="20"/>
        </w:rPr>
        <w:t>adult</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medical</w:t>
      </w:r>
      <w:r w:rsidR="006851B2" w:rsidRPr="00F82D54">
        <w:rPr>
          <w:sz w:val="20"/>
          <w:szCs w:val="20"/>
        </w:rPr>
        <w:t xml:space="preserve"> </w:t>
      </w:r>
      <w:r w:rsidRPr="00F82D54">
        <w:rPr>
          <w:sz w:val="20"/>
          <w:szCs w:val="20"/>
        </w:rPr>
        <w:t>Intensive</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Unit</w:t>
      </w:r>
      <w:r w:rsidR="006851B2" w:rsidRPr="00F82D54">
        <w:rPr>
          <w:sz w:val="20"/>
          <w:szCs w:val="20"/>
        </w:rPr>
        <w:t xml:space="preserve"> </w:t>
      </w:r>
      <w:r w:rsidRPr="00F82D54">
        <w:rPr>
          <w:sz w:val="20"/>
          <w:szCs w:val="20"/>
        </w:rPr>
        <w:t>Lung</w:t>
      </w:r>
      <w:r w:rsidR="006851B2" w:rsidRPr="00F82D54">
        <w:rPr>
          <w:sz w:val="20"/>
          <w:szCs w:val="20"/>
        </w:rPr>
        <w:t xml:space="preserve"> </w:t>
      </w:r>
      <w:r w:rsidRPr="00F82D54">
        <w:rPr>
          <w:sz w:val="20"/>
          <w:szCs w:val="20"/>
        </w:rPr>
        <w:t>India.</w:t>
      </w:r>
      <w:r w:rsidR="006851B2" w:rsidRPr="00F82D54">
        <w:rPr>
          <w:sz w:val="20"/>
          <w:szCs w:val="20"/>
        </w:rPr>
        <w:t xml:space="preserve"> </w:t>
      </w:r>
      <w:r w:rsidRPr="00F82D54">
        <w:rPr>
          <w:sz w:val="20"/>
          <w:szCs w:val="20"/>
        </w:rPr>
        <w:t>2017;</w:t>
      </w:r>
      <w:r w:rsidR="006851B2" w:rsidRPr="00F82D54">
        <w:rPr>
          <w:sz w:val="20"/>
          <w:szCs w:val="20"/>
        </w:rPr>
        <w:t xml:space="preserve"> </w:t>
      </w:r>
      <w:r w:rsidRPr="00F82D54">
        <w:rPr>
          <w:sz w:val="20"/>
          <w:szCs w:val="20"/>
        </w:rPr>
        <w:t>34(4):</w:t>
      </w:r>
      <w:r w:rsidR="006851B2" w:rsidRPr="00F82D54">
        <w:rPr>
          <w:sz w:val="20"/>
          <w:szCs w:val="20"/>
        </w:rPr>
        <w:t xml:space="preserve"> </w:t>
      </w:r>
      <w:r w:rsidRPr="00F82D54">
        <w:rPr>
          <w:sz w:val="20"/>
          <w:szCs w:val="20"/>
        </w:rPr>
        <w:t>330–335.</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Bar</w:t>
      </w:r>
      <w:r w:rsidR="006851B2" w:rsidRPr="00F82D54">
        <w:rPr>
          <w:bCs/>
          <w:sz w:val="20"/>
          <w:szCs w:val="20"/>
        </w:rPr>
        <w:t xml:space="preserve"> </w:t>
      </w:r>
      <w:r w:rsidRPr="00F82D54">
        <w:rPr>
          <w:bCs/>
          <w:sz w:val="20"/>
          <w:szCs w:val="20"/>
        </w:rPr>
        <w:t>SL,</w:t>
      </w:r>
      <w:r w:rsidR="006851B2" w:rsidRPr="00F82D54">
        <w:rPr>
          <w:bCs/>
          <w:sz w:val="20"/>
          <w:szCs w:val="20"/>
        </w:rPr>
        <w:t xml:space="preserve"> </w:t>
      </w:r>
      <w:r w:rsidRPr="00F82D54">
        <w:rPr>
          <w:bCs/>
          <w:sz w:val="20"/>
          <w:szCs w:val="20"/>
        </w:rPr>
        <w:t>Swiggum</w:t>
      </w:r>
      <w:r w:rsidR="006851B2" w:rsidRPr="00F82D54">
        <w:rPr>
          <w:bCs/>
          <w:sz w:val="20"/>
          <w:szCs w:val="20"/>
        </w:rPr>
        <w:t xml:space="preserve"> </w:t>
      </w:r>
      <w:r w:rsidRPr="00F82D54">
        <w:rPr>
          <w:bCs/>
          <w:sz w:val="20"/>
          <w:szCs w:val="20"/>
        </w:rPr>
        <w:t>E,</w:t>
      </w:r>
      <w:r w:rsidR="006851B2" w:rsidRPr="00F82D54">
        <w:rPr>
          <w:bCs/>
          <w:sz w:val="20"/>
          <w:szCs w:val="20"/>
        </w:rPr>
        <w:t xml:space="preserve"> </w:t>
      </w:r>
      <w:r w:rsidRPr="00F82D54">
        <w:rPr>
          <w:bCs/>
          <w:sz w:val="20"/>
          <w:szCs w:val="20"/>
        </w:rPr>
        <w:t>Straatman</w:t>
      </w:r>
      <w:r w:rsidR="006851B2" w:rsidRPr="00F82D54">
        <w:rPr>
          <w:bCs/>
          <w:sz w:val="20"/>
          <w:szCs w:val="20"/>
        </w:rPr>
        <w:t xml:space="preserve"> </w:t>
      </w:r>
      <w:r w:rsidRPr="00F82D54">
        <w:rPr>
          <w:bCs/>
          <w:sz w:val="20"/>
          <w:szCs w:val="20"/>
        </w:rPr>
        <w:t>L,</w:t>
      </w:r>
      <w:r w:rsidR="006851B2" w:rsidRPr="00F82D54">
        <w:rPr>
          <w:bCs/>
          <w:sz w:val="20"/>
          <w:szCs w:val="20"/>
        </w:rPr>
        <w:t xml:space="preserve"> </w:t>
      </w:r>
      <w:r w:rsidRPr="00F82D54">
        <w:rPr>
          <w:bCs/>
          <w:sz w:val="20"/>
          <w:szCs w:val="20"/>
        </w:rPr>
        <w:t>Ignaszewski</w:t>
      </w:r>
      <w:r w:rsidR="006851B2" w:rsidRPr="00F82D54">
        <w:rPr>
          <w:bCs/>
          <w:sz w:val="20"/>
          <w:szCs w:val="20"/>
        </w:rPr>
        <w:t xml:space="preserve"> </w:t>
      </w:r>
      <w:r w:rsidRPr="00F82D54">
        <w:rPr>
          <w:bCs/>
          <w:sz w:val="20"/>
          <w:szCs w:val="20"/>
        </w:rPr>
        <w:t>A.</w:t>
      </w:r>
      <w:r w:rsidR="006851B2" w:rsidRPr="00F82D54">
        <w:rPr>
          <w:bCs/>
          <w:sz w:val="20"/>
          <w:szCs w:val="20"/>
        </w:rPr>
        <w:t xml:space="preserve"> </w:t>
      </w:r>
      <w:r w:rsidRPr="00F82D54">
        <w:rPr>
          <w:sz w:val="20"/>
          <w:szCs w:val="20"/>
        </w:rPr>
        <w:t>Nonheart</w:t>
      </w:r>
      <w:r w:rsidR="006851B2" w:rsidRPr="00F82D54">
        <w:rPr>
          <w:sz w:val="20"/>
          <w:szCs w:val="20"/>
        </w:rPr>
        <w:t xml:space="preserve"> </w:t>
      </w:r>
      <w:r w:rsidRPr="00F82D54">
        <w:rPr>
          <w:sz w:val="20"/>
          <w:szCs w:val="20"/>
        </w:rPr>
        <w:t>failure-associated</w:t>
      </w:r>
      <w:r w:rsidR="006851B2" w:rsidRPr="00F82D54">
        <w:rPr>
          <w:sz w:val="20"/>
          <w:szCs w:val="20"/>
        </w:rPr>
        <w:t xml:space="preserve"> </w:t>
      </w:r>
      <w:r w:rsidRPr="00F82D54">
        <w:rPr>
          <w:sz w:val="20"/>
          <w:szCs w:val="20"/>
        </w:rPr>
        <w:t>elevation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amino</w:t>
      </w:r>
      <w:r w:rsidR="006851B2" w:rsidRPr="00F82D54">
        <w:rPr>
          <w:sz w:val="20"/>
          <w:szCs w:val="20"/>
        </w:rPr>
        <w:t xml:space="preserve"> </w:t>
      </w:r>
      <w:r w:rsidRPr="00F82D54">
        <w:rPr>
          <w:sz w:val="20"/>
          <w:szCs w:val="20"/>
        </w:rPr>
        <w:t>terminal</w:t>
      </w:r>
      <w:r w:rsidR="006851B2" w:rsidRPr="00F82D54">
        <w:rPr>
          <w:sz w:val="20"/>
          <w:szCs w:val="20"/>
        </w:rPr>
        <w:t xml:space="preserve"> </w:t>
      </w:r>
      <w:r w:rsidRPr="00F82D54">
        <w:rPr>
          <w:sz w:val="20"/>
          <w:szCs w:val="20"/>
        </w:rPr>
        <w:t>pro-brain</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setting</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Canadian</w:t>
      </w:r>
      <w:r w:rsidR="006851B2" w:rsidRPr="00F82D54">
        <w:rPr>
          <w:sz w:val="20"/>
          <w:szCs w:val="20"/>
        </w:rPr>
        <w:t xml:space="preserve"> </w:t>
      </w:r>
      <w:r w:rsidRPr="00F82D54">
        <w:rPr>
          <w:sz w:val="20"/>
          <w:szCs w:val="20"/>
        </w:rPr>
        <w:t>Journal</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Cardiology.</w:t>
      </w:r>
      <w:r w:rsidR="006851B2" w:rsidRPr="00F82D54">
        <w:rPr>
          <w:sz w:val="20"/>
          <w:szCs w:val="20"/>
        </w:rPr>
        <w:t xml:space="preserve"> </w:t>
      </w:r>
      <w:r w:rsidRPr="00F82D54">
        <w:rPr>
          <w:sz w:val="20"/>
          <w:szCs w:val="20"/>
        </w:rPr>
        <w:t>2006;</w:t>
      </w:r>
      <w:r w:rsidR="006851B2" w:rsidRPr="00F82D54">
        <w:rPr>
          <w:sz w:val="20"/>
          <w:szCs w:val="20"/>
        </w:rPr>
        <w:t xml:space="preserve"> </w:t>
      </w:r>
      <w:r w:rsidRPr="00F82D54">
        <w:rPr>
          <w:sz w:val="20"/>
          <w:szCs w:val="20"/>
        </w:rPr>
        <w:t>22(3):263-6.</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Cohen</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and</w:t>
      </w:r>
      <w:r w:rsidR="006851B2" w:rsidRPr="00F82D54">
        <w:rPr>
          <w:bCs/>
          <w:sz w:val="20"/>
          <w:szCs w:val="20"/>
        </w:rPr>
        <w:t xml:space="preserve"> </w:t>
      </w:r>
      <w:r w:rsidRPr="00F82D54">
        <w:rPr>
          <w:bCs/>
          <w:sz w:val="20"/>
          <w:szCs w:val="20"/>
        </w:rPr>
        <w:t>Opal</w:t>
      </w:r>
      <w:r w:rsidR="006851B2" w:rsidRPr="00F82D54">
        <w:rPr>
          <w:bCs/>
          <w:sz w:val="20"/>
          <w:szCs w:val="20"/>
        </w:rPr>
        <w:t xml:space="preserve"> </w:t>
      </w:r>
      <w:r w:rsidRPr="00F82D54">
        <w:rPr>
          <w:bCs/>
          <w:sz w:val="20"/>
          <w:szCs w:val="20"/>
        </w:rPr>
        <w:t>SM.</w:t>
      </w:r>
      <w:r w:rsidR="006851B2" w:rsidRPr="00F82D54">
        <w:rPr>
          <w:bCs/>
          <w:sz w:val="20"/>
          <w:szCs w:val="20"/>
        </w:rPr>
        <w:t xml:space="preserve"> </w:t>
      </w:r>
      <w:r w:rsidRPr="00F82D54">
        <w:rPr>
          <w:sz w:val="20"/>
          <w:szCs w:val="20"/>
        </w:rPr>
        <w:t>Clinical</w:t>
      </w:r>
      <w:r w:rsidR="006851B2" w:rsidRPr="00F82D54">
        <w:rPr>
          <w:sz w:val="20"/>
          <w:szCs w:val="20"/>
        </w:rPr>
        <w:t xml:space="preserve"> </w:t>
      </w:r>
      <w:r w:rsidRPr="00F82D54">
        <w:rPr>
          <w:sz w:val="20"/>
          <w:szCs w:val="20"/>
        </w:rPr>
        <w:t>gram-positive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does</w:t>
      </w:r>
      <w:r w:rsidR="006851B2" w:rsidRPr="00F82D54">
        <w:rPr>
          <w:sz w:val="20"/>
          <w:szCs w:val="20"/>
        </w:rPr>
        <w:t xml:space="preserve"> </w:t>
      </w:r>
      <w:r w:rsidRPr="00F82D54">
        <w:rPr>
          <w:sz w:val="20"/>
          <w:szCs w:val="20"/>
        </w:rPr>
        <w:t>it</w:t>
      </w:r>
      <w:r w:rsidR="006851B2" w:rsidRPr="00F82D54">
        <w:rPr>
          <w:sz w:val="20"/>
          <w:szCs w:val="20"/>
        </w:rPr>
        <w:t xml:space="preserve"> </w:t>
      </w:r>
      <w:r w:rsidRPr="00F82D54">
        <w:rPr>
          <w:sz w:val="20"/>
          <w:szCs w:val="20"/>
        </w:rPr>
        <w:t>fundamentally</w:t>
      </w:r>
      <w:r w:rsidR="006851B2" w:rsidRPr="00F82D54">
        <w:rPr>
          <w:sz w:val="20"/>
          <w:szCs w:val="20"/>
        </w:rPr>
        <w:t xml:space="preserve"> </w:t>
      </w:r>
      <w:r w:rsidRPr="00F82D54">
        <w:rPr>
          <w:sz w:val="20"/>
          <w:szCs w:val="20"/>
        </w:rPr>
        <w:t>differ</w:t>
      </w:r>
      <w:r w:rsidR="006851B2" w:rsidRPr="00F82D54">
        <w:rPr>
          <w:sz w:val="20"/>
          <w:szCs w:val="20"/>
        </w:rPr>
        <w:t xml:space="preserve"> </w:t>
      </w:r>
      <w:r w:rsidRPr="00F82D54">
        <w:rPr>
          <w:sz w:val="20"/>
          <w:szCs w:val="20"/>
        </w:rPr>
        <w:t>from</w:t>
      </w:r>
      <w:r w:rsidR="006851B2" w:rsidRPr="00F82D54">
        <w:rPr>
          <w:sz w:val="20"/>
          <w:szCs w:val="20"/>
        </w:rPr>
        <w:t xml:space="preserve"> </w:t>
      </w:r>
      <w:r w:rsidRPr="00F82D54">
        <w:rPr>
          <w:sz w:val="20"/>
          <w:szCs w:val="20"/>
        </w:rPr>
        <w:t>gram-negative</w:t>
      </w:r>
      <w:r w:rsidR="006851B2" w:rsidRPr="00F82D54">
        <w:rPr>
          <w:sz w:val="20"/>
          <w:szCs w:val="20"/>
        </w:rPr>
        <w:t xml:space="preserve"> </w:t>
      </w:r>
      <w:r w:rsidRPr="00F82D54">
        <w:rPr>
          <w:sz w:val="20"/>
          <w:szCs w:val="20"/>
        </w:rPr>
        <w:t>bacterial</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Critical</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1999;</w:t>
      </w:r>
      <w:r w:rsidR="006851B2" w:rsidRPr="00F82D54">
        <w:rPr>
          <w:sz w:val="20"/>
          <w:szCs w:val="20"/>
        </w:rPr>
        <w:t xml:space="preserve"> </w:t>
      </w:r>
      <w:r w:rsidRPr="00F82D54">
        <w:rPr>
          <w:sz w:val="20"/>
          <w:szCs w:val="20"/>
        </w:rPr>
        <w:t>27(8):1608-16.</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Farghaly</w:t>
      </w:r>
      <w:r w:rsidR="006851B2" w:rsidRPr="00F82D54">
        <w:rPr>
          <w:bCs/>
          <w:sz w:val="20"/>
          <w:szCs w:val="20"/>
        </w:rPr>
        <w:t xml:space="preserve"> </w:t>
      </w:r>
      <w:r w:rsidRPr="00F82D54">
        <w:rPr>
          <w:bCs/>
          <w:sz w:val="20"/>
          <w:szCs w:val="20"/>
        </w:rPr>
        <w:t>S,</w:t>
      </w:r>
      <w:r w:rsidR="006851B2" w:rsidRPr="00F82D54">
        <w:rPr>
          <w:bCs/>
          <w:sz w:val="20"/>
          <w:szCs w:val="20"/>
        </w:rPr>
        <w:t xml:space="preserve"> </w:t>
      </w:r>
      <w:r w:rsidRPr="00F82D54">
        <w:rPr>
          <w:bCs/>
          <w:sz w:val="20"/>
          <w:szCs w:val="20"/>
        </w:rPr>
        <w:t>Galal</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Hasan</w:t>
      </w:r>
      <w:r w:rsidR="006851B2" w:rsidRPr="00F82D54">
        <w:rPr>
          <w:bCs/>
          <w:sz w:val="20"/>
          <w:szCs w:val="20"/>
        </w:rPr>
        <w:t xml:space="preserve"> </w:t>
      </w:r>
      <w:r w:rsidRPr="00F82D54">
        <w:rPr>
          <w:bCs/>
          <w:sz w:val="20"/>
          <w:szCs w:val="20"/>
        </w:rPr>
        <w:t>AA,</w:t>
      </w:r>
      <w:r w:rsidR="006851B2" w:rsidRPr="00F82D54">
        <w:rPr>
          <w:bCs/>
          <w:sz w:val="20"/>
          <w:szCs w:val="20"/>
        </w:rPr>
        <w:t xml:space="preserve"> </w:t>
      </w:r>
      <w:r w:rsidRPr="00F82D54">
        <w:rPr>
          <w:bCs/>
          <w:sz w:val="20"/>
          <w:szCs w:val="20"/>
        </w:rPr>
        <w:t>Nafady</w:t>
      </w:r>
      <w:r w:rsidR="006851B2" w:rsidRPr="00F82D54">
        <w:rPr>
          <w:bCs/>
          <w:sz w:val="20"/>
          <w:szCs w:val="20"/>
        </w:rPr>
        <w:t xml:space="preserve"> </w:t>
      </w:r>
      <w:r w:rsidRPr="00F82D54">
        <w:rPr>
          <w:bCs/>
          <w:sz w:val="20"/>
          <w:szCs w:val="20"/>
        </w:rPr>
        <w:t>A.</w:t>
      </w:r>
      <w:r w:rsidR="006851B2" w:rsidRPr="00F82D54">
        <w:rPr>
          <w:sz w:val="20"/>
          <w:szCs w:val="20"/>
        </w:rPr>
        <w:t xml:space="preserve"> </w:t>
      </w:r>
      <w:r w:rsidRPr="00F82D54">
        <w:rPr>
          <w:sz w:val="20"/>
          <w:szCs w:val="20"/>
        </w:rPr>
        <w:t>Brain</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as</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predictor</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weaning</w:t>
      </w:r>
      <w:r w:rsidR="006851B2" w:rsidRPr="00F82D54">
        <w:rPr>
          <w:sz w:val="20"/>
          <w:szCs w:val="20"/>
        </w:rPr>
        <w:t xml:space="preserve"> </w:t>
      </w:r>
      <w:r w:rsidRPr="00F82D54">
        <w:rPr>
          <w:sz w:val="20"/>
          <w:szCs w:val="20"/>
        </w:rPr>
        <w:t>from</w:t>
      </w:r>
      <w:r w:rsidR="006851B2" w:rsidRPr="00F82D54">
        <w:rPr>
          <w:sz w:val="20"/>
          <w:szCs w:val="20"/>
        </w:rPr>
        <w:t xml:space="preserve"> </w:t>
      </w:r>
      <w:r w:rsidRPr="00F82D54">
        <w:rPr>
          <w:sz w:val="20"/>
          <w:szCs w:val="20"/>
        </w:rPr>
        <w:t>mechanical</w:t>
      </w:r>
      <w:r w:rsidR="006851B2" w:rsidRPr="00F82D54">
        <w:rPr>
          <w:sz w:val="20"/>
          <w:szCs w:val="20"/>
        </w:rPr>
        <w:t xml:space="preserve"> </w:t>
      </w:r>
      <w:r w:rsidRPr="00F82D54">
        <w:rPr>
          <w:sz w:val="20"/>
          <w:szCs w:val="20"/>
        </w:rPr>
        <w:t>ventilation</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respiratory</w:t>
      </w:r>
      <w:r w:rsidR="006851B2" w:rsidRPr="00F82D54">
        <w:rPr>
          <w:sz w:val="20"/>
          <w:szCs w:val="20"/>
        </w:rPr>
        <w:t xml:space="preserve"> </w:t>
      </w:r>
      <w:r w:rsidRPr="00F82D54">
        <w:rPr>
          <w:sz w:val="20"/>
          <w:szCs w:val="20"/>
        </w:rPr>
        <w:t>illness.</w:t>
      </w:r>
      <w:r w:rsidR="006851B2" w:rsidRPr="00F82D54">
        <w:rPr>
          <w:sz w:val="20"/>
          <w:szCs w:val="20"/>
        </w:rPr>
        <w:t xml:space="preserve"> </w:t>
      </w:r>
      <w:r w:rsidRPr="00F82D54">
        <w:rPr>
          <w:sz w:val="20"/>
          <w:szCs w:val="20"/>
        </w:rPr>
        <w:t>2015;</w:t>
      </w:r>
      <w:r w:rsidR="006851B2" w:rsidRPr="00F82D54">
        <w:rPr>
          <w:sz w:val="20"/>
          <w:szCs w:val="20"/>
        </w:rPr>
        <w:t xml:space="preserve"> </w:t>
      </w:r>
      <w:r w:rsidRPr="00F82D54">
        <w:rPr>
          <w:sz w:val="20"/>
          <w:szCs w:val="20"/>
        </w:rPr>
        <w:t>28(3):116-21.</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Fleischmann</w:t>
      </w:r>
      <w:r w:rsidR="006851B2" w:rsidRPr="00F82D54">
        <w:rPr>
          <w:bCs/>
          <w:sz w:val="20"/>
          <w:szCs w:val="20"/>
        </w:rPr>
        <w:t xml:space="preserve"> </w:t>
      </w:r>
      <w:r w:rsidRPr="00F82D54">
        <w:rPr>
          <w:bCs/>
          <w:sz w:val="20"/>
          <w:szCs w:val="20"/>
        </w:rPr>
        <w:t>SC,</w:t>
      </w:r>
      <w:r w:rsidR="006851B2" w:rsidRPr="00F82D54">
        <w:rPr>
          <w:bCs/>
          <w:sz w:val="20"/>
          <w:szCs w:val="20"/>
        </w:rPr>
        <w:t xml:space="preserve"> </w:t>
      </w:r>
      <w:r w:rsidRPr="00F82D54">
        <w:rPr>
          <w:bCs/>
          <w:sz w:val="20"/>
          <w:szCs w:val="20"/>
        </w:rPr>
        <w:t>Goldfarb</w:t>
      </w:r>
      <w:r w:rsidR="006851B2" w:rsidRPr="00F82D54">
        <w:rPr>
          <w:bCs/>
          <w:sz w:val="20"/>
          <w:szCs w:val="20"/>
        </w:rPr>
        <w:t xml:space="preserve"> </w:t>
      </w:r>
      <w:r w:rsidRPr="00F82D54">
        <w:rPr>
          <w:bCs/>
          <w:sz w:val="20"/>
          <w:szCs w:val="20"/>
        </w:rPr>
        <w:t>DM,</w:t>
      </w:r>
      <w:r w:rsidR="006851B2" w:rsidRPr="00F82D54">
        <w:rPr>
          <w:bCs/>
          <w:sz w:val="20"/>
          <w:szCs w:val="20"/>
        </w:rPr>
        <w:t xml:space="preserve"> </w:t>
      </w:r>
      <w:r w:rsidRPr="00F82D54">
        <w:rPr>
          <w:bCs/>
          <w:sz w:val="20"/>
          <w:szCs w:val="20"/>
        </w:rPr>
        <w:t>Schlattmann</w:t>
      </w:r>
      <w:r w:rsidR="006851B2" w:rsidRPr="00F82D54">
        <w:rPr>
          <w:bCs/>
          <w:sz w:val="20"/>
          <w:szCs w:val="20"/>
        </w:rPr>
        <w:t xml:space="preserve"> </w:t>
      </w:r>
      <w:r w:rsidRPr="00F82D54">
        <w:rPr>
          <w:bCs/>
          <w:sz w:val="20"/>
          <w:szCs w:val="20"/>
        </w:rPr>
        <w:t>P,</w:t>
      </w:r>
      <w:r w:rsidR="006851B2" w:rsidRPr="00F82D54">
        <w:rPr>
          <w:bCs/>
          <w:sz w:val="20"/>
          <w:szCs w:val="20"/>
        </w:rPr>
        <w:t xml:space="preserve"> </w:t>
      </w:r>
      <w:r w:rsidRPr="00F82D54">
        <w:rPr>
          <w:bCs/>
          <w:sz w:val="20"/>
          <w:szCs w:val="20"/>
        </w:rPr>
        <w:t>Schlapbach</w:t>
      </w:r>
      <w:r w:rsidR="006851B2" w:rsidRPr="00F82D54">
        <w:rPr>
          <w:bCs/>
          <w:sz w:val="20"/>
          <w:szCs w:val="20"/>
        </w:rPr>
        <w:t xml:space="preserve"> </w:t>
      </w:r>
      <w:r w:rsidRPr="00F82D54">
        <w:rPr>
          <w:bCs/>
          <w:sz w:val="20"/>
          <w:szCs w:val="20"/>
        </w:rPr>
        <w:t>LJ,</w:t>
      </w:r>
      <w:r w:rsidR="006851B2" w:rsidRPr="00F82D54">
        <w:rPr>
          <w:bCs/>
          <w:sz w:val="20"/>
          <w:szCs w:val="20"/>
        </w:rPr>
        <w:t xml:space="preserve"> </w:t>
      </w:r>
      <w:r w:rsidRPr="00F82D54">
        <w:rPr>
          <w:bCs/>
          <w:sz w:val="20"/>
          <w:szCs w:val="20"/>
        </w:rPr>
        <w:t>Reinhart</w:t>
      </w:r>
      <w:r w:rsidR="006851B2" w:rsidRPr="00F82D54">
        <w:rPr>
          <w:bCs/>
          <w:sz w:val="20"/>
          <w:szCs w:val="20"/>
        </w:rPr>
        <w:t xml:space="preserve"> </w:t>
      </w:r>
      <w:r w:rsidRPr="00F82D54">
        <w:rPr>
          <w:bCs/>
          <w:sz w:val="20"/>
          <w:szCs w:val="20"/>
        </w:rPr>
        <w:t>K,</w:t>
      </w:r>
      <w:r w:rsidR="006851B2" w:rsidRPr="00F82D54">
        <w:rPr>
          <w:bCs/>
          <w:sz w:val="20"/>
          <w:szCs w:val="20"/>
        </w:rPr>
        <w:t xml:space="preserve"> </w:t>
      </w:r>
      <w:r w:rsidRPr="00F82D54">
        <w:rPr>
          <w:bCs/>
          <w:sz w:val="20"/>
          <w:szCs w:val="20"/>
        </w:rPr>
        <w:t>Kissoon</w:t>
      </w:r>
      <w:r w:rsidR="006851B2" w:rsidRPr="00F82D54">
        <w:rPr>
          <w:bCs/>
          <w:sz w:val="20"/>
          <w:szCs w:val="20"/>
        </w:rPr>
        <w:t xml:space="preserve"> </w:t>
      </w:r>
      <w:r w:rsidRPr="00F82D54">
        <w:rPr>
          <w:bCs/>
          <w:sz w:val="20"/>
          <w:szCs w:val="20"/>
        </w:rPr>
        <w:t>N.</w:t>
      </w:r>
      <w:r w:rsidR="006851B2" w:rsidRPr="00F82D54">
        <w:rPr>
          <w:bCs/>
          <w:sz w:val="20"/>
          <w:szCs w:val="20"/>
        </w:rPr>
        <w:t xml:space="preserve"> </w:t>
      </w:r>
      <w:r w:rsidRPr="00F82D54">
        <w:rPr>
          <w:sz w:val="20"/>
          <w:szCs w:val="20"/>
        </w:rPr>
        <w:t>The</w:t>
      </w:r>
      <w:r w:rsidR="006851B2" w:rsidRPr="00F82D54">
        <w:rPr>
          <w:sz w:val="20"/>
          <w:szCs w:val="20"/>
        </w:rPr>
        <w:t xml:space="preserve"> </w:t>
      </w:r>
      <w:r w:rsidRPr="00F82D54">
        <w:rPr>
          <w:sz w:val="20"/>
          <w:szCs w:val="20"/>
        </w:rPr>
        <w:t>global</w:t>
      </w:r>
      <w:r w:rsidR="006851B2" w:rsidRPr="00F82D54">
        <w:rPr>
          <w:sz w:val="20"/>
          <w:szCs w:val="20"/>
        </w:rPr>
        <w:t xml:space="preserve"> </w:t>
      </w:r>
      <w:r w:rsidRPr="00F82D54">
        <w:rPr>
          <w:sz w:val="20"/>
          <w:szCs w:val="20"/>
        </w:rPr>
        <w:t>burden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paediatric</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neonatal</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systematic</w:t>
      </w:r>
      <w:r w:rsidR="006851B2" w:rsidRPr="00F82D54">
        <w:rPr>
          <w:sz w:val="20"/>
          <w:szCs w:val="20"/>
        </w:rPr>
        <w:t xml:space="preserve"> </w:t>
      </w:r>
      <w:r w:rsidRPr="00F82D54">
        <w:rPr>
          <w:sz w:val="20"/>
          <w:szCs w:val="20"/>
        </w:rPr>
        <w:t>review.</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Lancet</w:t>
      </w:r>
      <w:r w:rsidR="006851B2" w:rsidRPr="00F82D54">
        <w:rPr>
          <w:sz w:val="20"/>
          <w:szCs w:val="20"/>
        </w:rPr>
        <w:t xml:space="preserve"> </w:t>
      </w:r>
      <w:r w:rsidRPr="00F82D54">
        <w:rPr>
          <w:sz w:val="20"/>
          <w:szCs w:val="20"/>
        </w:rPr>
        <w:t>Respiratory</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2018;</w:t>
      </w:r>
      <w:r w:rsidR="006851B2" w:rsidRPr="00F82D54">
        <w:rPr>
          <w:sz w:val="20"/>
          <w:szCs w:val="20"/>
        </w:rPr>
        <w:t xml:space="preserve"> </w:t>
      </w:r>
      <w:r w:rsidRPr="00F82D54">
        <w:rPr>
          <w:sz w:val="20"/>
          <w:szCs w:val="20"/>
        </w:rPr>
        <w:t>6(3):</w:t>
      </w:r>
      <w:r w:rsidR="006851B2" w:rsidRPr="00F82D54">
        <w:rPr>
          <w:sz w:val="20"/>
          <w:szCs w:val="20"/>
        </w:rPr>
        <w:t xml:space="preserve"> </w:t>
      </w:r>
      <w:r w:rsidRPr="00F82D54">
        <w:rPr>
          <w:sz w:val="20"/>
          <w:szCs w:val="20"/>
        </w:rPr>
        <w:t>223-30.</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Guaricci</w:t>
      </w:r>
      <w:r w:rsidR="006851B2" w:rsidRPr="00F82D54">
        <w:rPr>
          <w:bCs/>
          <w:sz w:val="20"/>
          <w:szCs w:val="20"/>
        </w:rPr>
        <w:t xml:space="preserve"> </w:t>
      </w:r>
      <w:r w:rsidRPr="00F82D54">
        <w:rPr>
          <w:bCs/>
          <w:sz w:val="20"/>
          <w:szCs w:val="20"/>
        </w:rPr>
        <w:t>AI,</w:t>
      </w:r>
      <w:r w:rsidR="006851B2" w:rsidRPr="00F82D54">
        <w:rPr>
          <w:bCs/>
          <w:sz w:val="20"/>
          <w:szCs w:val="20"/>
        </w:rPr>
        <w:t xml:space="preserve"> </w:t>
      </w:r>
      <w:r w:rsidRPr="00F82D54">
        <w:rPr>
          <w:bCs/>
          <w:sz w:val="20"/>
          <w:szCs w:val="20"/>
        </w:rPr>
        <w:t>Santoro</w:t>
      </w:r>
      <w:r w:rsidR="006851B2" w:rsidRPr="00F82D54">
        <w:rPr>
          <w:bCs/>
          <w:sz w:val="20"/>
          <w:szCs w:val="20"/>
        </w:rPr>
        <w:t xml:space="preserve"> </w:t>
      </w:r>
      <w:r w:rsidRPr="00F82D54">
        <w:rPr>
          <w:bCs/>
          <w:sz w:val="20"/>
          <w:szCs w:val="20"/>
        </w:rPr>
        <w:t>F,</w:t>
      </w:r>
      <w:r w:rsidR="006851B2" w:rsidRPr="00F82D54">
        <w:rPr>
          <w:bCs/>
          <w:sz w:val="20"/>
          <w:szCs w:val="20"/>
        </w:rPr>
        <w:t xml:space="preserve"> </w:t>
      </w:r>
      <w:r w:rsidRPr="00F82D54">
        <w:rPr>
          <w:bCs/>
          <w:sz w:val="20"/>
          <w:szCs w:val="20"/>
        </w:rPr>
        <w:t>Perini</w:t>
      </w:r>
      <w:r w:rsidR="006851B2" w:rsidRPr="00F82D54">
        <w:rPr>
          <w:bCs/>
          <w:sz w:val="20"/>
          <w:szCs w:val="20"/>
        </w:rPr>
        <w:t xml:space="preserve"> </w:t>
      </w:r>
      <w:r w:rsidRPr="00F82D54">
        <w:rPr>
          <w:bCs/>
          <w:sz w:val="20"/>
          <w:szCs w:val="20"/>
        </w:rPr>
        <w:t>AP,</w:t>
      </w:r>
      <w:r w:rsidR="006851B2" w:rsidRPr="00F82D54">
        <w:rPr>
          <w:bCs/>
          <w:sz w:val="20"/>
          <w:szCs w:val="20"/>
        </w:rPr>
        <w:t xml:space="preserve"> </w:t>
      </w:r>
      <w:r w:rsidRPr="00F82D54">
        <w:rPr>
          <w:bCs/>
          <w:sz w:val="20"/>
          <w:szCs w:val="20"/>
        </w:rPr>
        <w:t>Ioffredo</w:t>
      </w:r>
      <w:r w:rsidR="006851B2" w:rsidRPr="00F82D54">
        <w:rPr>
          <w:bCs/>
          <w:sz w:val="20"/>
          <w:szCs w:val="20"/>
        </w:rPr>
        <w:t xml:space="preserve"> </w:t>
      </w:r>
      <w:r w:rsidRPr="00F82D54">
        <w:rPr>
          <w:bCs/>
          <w:sz w:val="20"/>
          <w:szCs w:val="20"/>
        </w:rPr>
        <w:t>L,</w:t>
      </w:r>
      <w:r w:rsidR="006851B2" w:rsidRPr="00F82D54">
        <w:rPr>
          <w:bCs/>
          <w:sz w:val="20"/>
          <w:szCs w:val="20"/>
        </w:rPr>
        <w:t xml:space="preserve"> </w:t>
      </w:r>
      <w:r w:rsidRPr="00F82D54">
        <w:rPr>
          <w:bCs/>
          <w:sz w:val="20"/>
          <w:szCs w:val="20"/>
        </w:rPr>
        <w:t>Trivedi</w:t>
      </w:r>
      <w:r w:rsidR="006851B2" w:rsidRPr="00F82D54">
        <w:rPr>
          <w:bCs/>
          <w:sz w:val="20"/>
          <w:szCs w:val="20"/>
        </w:rPr>
        <w:t xml:space="preserve"> </w:t>
      </w:r>
      <w:r w:rsidRPr="00F82D54">
        <w:rPr>
          <w:bCs/>
          <w:sz w:val="20"/>
          <w:szCs w:val="20"/>
        </w:rPr>
        <w:t>C,</w:t>
      </w:r>
      <w:r w:rsidR="006851B2" w:rsidRPr="00F82D54">
        <w:rPr>
          <w:bCs/>
          <w:sz w:val="20"/>
          <w:szCs w:val="20"/>
        </w:rPr>
        <w:t xml:space="preserve"> </w:t>
      </w:r>
      <w:r w:rsidRPr="00F82D54">
        <w:rPr>
          <w:bCs/>
          <w:sz w:val="20"/>
          <w:szCs w:val="20"/>
        </w:rPr>
        <w:t>Pontone</w:t>
      </w:r>
      <w:r w:rsidR="006851B2" w:rsidRPr="00F82D54">
        <w:rPr>
          <w:bCs/>
          <w:sz w:val="20"/>
          <w:szCs w:val="20"/>
        </w:rPr>
        <w:t xml:space="preserve"> </w:t>
      </w:r>
      <w:r w:rsidRPr="00F82D54">
        <w:rPr>
          <w:bCs/>
          <w:sz w:val="20"/>
          <w:szCs w:val="20"/>
        </w:rPr>
        <w:t>G,</w:t>
      </w:r>
      <w:r w:rsidR="006851B2" w:rsidRPr="00F82D54">
        <w:rPr>
          <w:bCs/>
          <w:sz w:val="20"/>
          <w:szCs w:val="20"/>
        </w:rPr>
        <w:t xml:space="preserve"> </w:t>
      </w:r>
      <w:r w:rsidRPr="00F82D54">
        <w:rPr>
          <w:bCs/>
          <w:sz w:val="20"/>
          <w:szCs w:val="20"/>
        </w:rPr>
        <w:t>Di</w:t>
      </w:r>
      <w:r w:rsidR="006851B2" w:rsidRPr="00F82D54">
        <w:rPr>
          <w:bCs/>
          <w:sz w:val="20"/>
          <w:szCs w:val="20"/>
        </w:rPr>
        <w:t xml:space="preserve"> </w:t>
      </w:r>
      <w:r w:rsidRPr="00F82D54">
        <w:rPr>
          <w:bCs/>
          <w:sz w:val="20"/>
          <w:szCs w:val="20"/>
        </w:rPr>
        <w:t>Biase</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Brunetti</w:t>
      </w:r>
      <w:r w:rsidR="006851B2" w:rsidRPr="00F82D54">
        <w:rPr>
          <w:bCs/>
          <w:sz w:val="20"/>
          <w:szCs w:val="20"/>
        </w:rPr>
        <w:t xml:space="preserve"> </w:t>
      </w:r>
      <w:r w:rsidRPr="00F82D54">
        <w:rPr>
          <w:bCs/>
          <w:sz w:val="20"/>
          <w:szCs w:val="20"/>
        </w:rPr>
        <w:t>ND.</w:t>
      </w:r>
      <w:r w:rsidR="006851B2" w:rsidRPr="00F82D54">
        <w:rPr>
          <w:bCs/>
          <w:sz w:val="20"/>
          <w:szCs w:val="20"/>
        </w:rPr>
        <w:t xml:space="preserve"> </w:t>
      </w:r>
      <w:r w:rsidRPr="00F82D54">
        <w:rPr>
          <w:sz w:val="20"/>
          <w:szCs w:val="20"/>
        </w:rPr>
        <w:t>Correlations</w:t>
      </w:r>
      <w:r w:rsidR="006851B2" w:rsidRPr="00F82D54">
        <w:rPr>
          <w:sz w:val="20"/>
          <w:szCs w:val="20"/>
        </w:rPr>
        <w:t xml:space="preserve"> </w:t>
      </w:r>
      <w:r w:rsidRPr="00F82D54">
        <w:rPr>
          <w:sz w:val="20"/>
          <w:szCs w:val="20"/>
        </w:rPr>
        <w:t>between</w:t>
      </w:r>
      <w:r w:rsidR="006851B2" w:rsidRPr="00F82D54">
        <w:rPr>
          <w:sz w:val="20"/>
          <w:szCs w:val="20"/>
        </w:rPr>
        <w:t xml:space="preserve"> </w:t>
      </w:r>
      <w:r w:rsidRPr="00F82D54">
        <w:rPr>
          <w:sz w:val="20"/>
          <w:szCs w:val="20"/>
        </w:rPr>
        <w:t>NT-proBNP,</w:t>
      </w:r>
      <w:r w:rsidR="006851B2" w:rsidRPr="00F82D54">
        <w:rPr>
          <w:sz w:val="20"/>
          <w:szCs w:val="20"/>
        </w:rPr>
        <w:t xml:space="preserve"> </w:t>
      </w:r>
      <w:r w:rsidRPr="00F82D54">
        <w:rPr>
          <w:sz w:val="20"/>
          <w:szCs w:val="20"/>
        </w:rPr>
        <w:t>outcome</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haemodynamics</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sz w:val="20"/>
          <w:szCs w:val="20"/>
        </w:rPr>
        <w:t xml:space="preserve"> </w:t>
      </w:r>
      <w:r w:rsidRPr="00F82D54">
        <w:rPr>
          <w:sz w:val="20"/>
          <w:szCs w:val="20"/>
        </w:rPr>
        <w:t>Acta</w:t>
      </w:r>
      <w:r w:rsidR="006851B2" w:rsidRPr="00F82D54">
        <w:rPr>
          <w:sz w:val="20"/>
          <w:szCs w:val="20"/>
        </w:rPr>
        <w:t xml:space="preserve"> </w:t>
      </w:r>
      <w:r w:rsidRPr="00F82D54">
        <w:rPr>
          <w:sz w:val="20"/>
          <w:szCs w:val="20"/>
        </w:rPr>
        <w:t>cardiologica.</w:t>
      </w:r>
      <w:r w:rsidR="006851B2" w:rsidRPr="00F82D54">
        <w:rPr>
          <w:sz w:val="20"/>
          <w:szCs w:val="20"/>
        </w:rPr>
        <w:t xml:space="preserve"> </w:t>
      </w:r>
      <w:r w:rsidRPr="00F82D54">
        <w:rPr>
          <w:sz w:val="20"/>
          <w:szCs w:val="20"/>
        </w:rPr>
        <w:t>2015;</w:t>
      </w:r>
      <w:r w:rsidR="006851B2" w:rsidRPr="00F82D54">
        <w:rPr>
          <w:sz w:val="20"/>
          <w:szCs w:val="20"/>
        </w:rPr>
        <w:t xml:space="preserve"> </w:t>
      </w:r>
      <w:r w:rsidRPr="00F82D54">
        <w:rPr>
          <w:sz w:val="20"/>
          <w:szCs w:val="20"/>
        </w:rPr>
        <w:t>70(5):545-52.</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Gullo</w:t>
      </w:r>
      <w:r w:rsidR="006851B2" w:rsidRPr="00F82D54">
        <w:rPr>
          <w:bCs/>
          <w:sz w:val="20"/>
          <w:szCs w:val="20"/>
        </w:rPr>
        <w:t xml:space="preserve"> </w:t>
      </w:r>
      <w:r w:rsidRPr="00F82D54">
        <w:rPr>
          <w:bCs/>
          <w:sz w:val="20"/>
          <w:szCs w:val="20"/>
        </w:rPr>
        <w:t>A,</w:t>
      </w:r>
      <w:r w:rsidR="006851B2" w:rsidRPr="00F82D54">
        <w:rPr>
          <w:bCs/>
          <w:sz w:val="20"/>
          <w:szCs w:val="20"/>
        </w:rPr>
        <w:t xml:space="preserve"> </w:t>
      </w:r>
      <w:r w:rsidRPr="00F82D54">
        <w:rPr>
          <w:bCs/>
          <w:sz w:val="20"/>
          <w:szCs w:val="20"/>
        </w:rPr>
        <w:t>Bianco</w:t>
      </w:r>
      <w:r w:rsidR="006851B2" w:rsidRPr="00F82D54">
        <w:rPr>
          <w:bCs/>
          <w:sz w:val="20"/>
          <w:szCs w:val="20"/>
        </w:rPr>
        <w:t xml:space="preserve"> </w:t>
      </w:r>
      <w:r w:rsidRPr="00F82D54">
        <w:rPr>
          <w:bCs/>
          <w:sz w:val="20"/>
          <w:szCs w:val="20"/>
        </w:rPr>
        <w:t>N,</w:t>
      </w:r>
      <w:r w:rsidR="006851B2" w:rsidRPr="00F82D54">
        <w:rPr>
          <w:bCs/>
          <w:sz w:val="20"/>
          <w:szCs w:val="20"/>
        </w:rPr>
        <w:t xml:space="preserve"> </w:t>
      </w:r>
      <w:r w:rsidRPr="00F82D54">
        <w:rPr>
          <w:bCs/>
          <w:sz w:val="20"/>
          <w:szCs w:val="20"/>
        </w:rPr>
        <w:t>Berlot</w:t>
      </w:r>
      <w:r w:rsidR="006851B2" w:rsidRPr="00F82D54">
        <w:rPr>
          <w:bCs/>
          <w:sz w:val="20"/>
          <w:szCs w:val="20"/>
        </w:rPr>
        <w:t xml:space="preserve"> </w:t>
      </w:r>
      <w:r w:rsidRPr="00F82D54">
        <w:rPr>
          <w:bCs/>
          <w:sz w:val="20"/>
          <w:szCs w:val="20"/>
        </w:rPr>
        <w:t>G.</w:t>
      </w:r>
      <w:r w:rsidR="006851B2" w:rsidRPr="00F82D54">
        <w:rPr>
          <w:sz w:val="20"/>
          <w:szCs w:val="20"/>
        </w:rPr>
        <w:t xml:space="preserve"> </w:t>
      </w:r>
      <w:r w:rsidRPr="00F82D54">
        <w:rPr>
          <w:sz w:val="20"/>
          <w:szCs w:val="20"/>
        </w:rPr>
        <w:t>Management</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sz w:val="20"/>
          <w:szCs w:val="20"/>
        </w:rPr>
        <w:t xml:space="preserve"> </w:t>
      </w:r>
      <w:r w:rsidRPr="00F82D54">
        <w:rPr>
          <w:sz w:val="20"/>
          <w:szCs w:val="20"/>
        </w:rPr>
        <w:t>challenges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recommendations.</w:t>
      </w:r>
      <w:r w:rsidR="006851B2" w:rsidRPr="00F82D54">
        <w:rPr>
          <w:sz w:val="20"/>
          <w:szCs w:val="20"/>
        </w:rPr>
        <w:t xml:space="preserve"> </w:t>
      </w:r>
      <w:r w:rsidRPr="00F82D54">
        <w:rPr>
          <w:sz w:val="20"/>
          <w:szCs w:val="20"/>
        </w:rPr>
        <w:t>Crit</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Clin.</w:t>
      </w:r>
      <w:r w:rsidR="006851B2" w:rsidRPr="00F82D54">
        <w:rPr>
          <w:sz w:val="20"/>
          <w:szCs w:val="20"/>
        </w:rPr>
        <w:t xml:space="preserve"> </w:t>
      </w:r>
      <w:r w:rsidRPr="00F82D54">
        <w:rPr>
          <w:sz w:val="20"/>
          <w:szCs w:val="20"/>
        </w:rPr>
        <w:t>2006;22:489–501.</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Karthikeyan</w:t>
      </w:r>
      <w:r w:rsidR="006851B2" w:rsidRPr="00F82D54">
        <w:rPr>
          <w:bCs/>
          <w:sz w:val="20"/>
          <w:szCs w:val="20"/>
        </w:rPr>
        <w:t xml:space="preserve"> </w:t>
      </w:r>
      <w:r w:rsidRPr="00F82D54">
        <w:rPr>
          <w:bCs/>
          <w:sz w:val="20"/>
          <w:szCs w:val="20"/>
        </w:rPr>
        <w:t>G,</w:t>
      </w:r>
      <w:r w:rsidR="006851B2" w:rsidRPr="00F82D54">
        <w:rPr>
          <w:bCs/>
          <w:sz w:val="20"/>
          <w:szCs w:val="20"/>
        </w:rPr>
        <w:t xml:space="preserve"> </w:t>
      </w:r>
      <w:r w:rsidRPr="00F82D54">
        <w:rPr>
          <w:bCs/>
          <w:sz w:val="20"/>
          <w:szCs w:val="20"/>
        </w:rPr>
        <w:t>Moncur</w:t>
      </w:r>
      <w:r w:rsidR="006851B2" w:rsidRPr="00F82D54">
        <w:rPr>
          <w:bCs/>
          <w:sz w:val="20"/>
          <w:szCs w:val="20"/>
        </w:rPr>
        <w:t xml:space="preserve"> </w:t>
      </w:r>
      <w:r w:rsidRPr="00F82D54">
        <w:rPr>
          <w:bCs/>
          <w:sz w:val="20"/>
          <w:szCs w:val="20"/>
        </w:rPr>
        <w:t>RA,</w:t>
      </w:r>
      <w:r w:rsidR="006851B2" w:rsidRPr="00F82D54">
        <w:rPr>
          <w:bCs/>
          <w:sz w:val="20"/>
          <w:szCs w:val="20"/>
        </w:rPr>
        <w:t xml:space="preserve"> </w:t>
      </w:r>
      <w:r w:rsidRPr="00F82D54">
        <w:rPr>
          <w:bCs/>
          <w:sz w:val="20"/>
          <w:szCs w:val="20"/>
        </w:rPr>
        <w:t>Levine</w:t>
      </w:r>
      <w:r w:rsidR="006851B2" w:rsidRPr="00F82D54">
        <w:rPr>
          <w:bCs/>
          <w:sz w:val="20"/>
          <w:szCs w:val="20"/>
        </w:rPr>
        <w:t xml:space="preserve"> </w:t>
      </w:r>
      <w:r w:rsidRPr="00F82D54">
        <w:rPr>
          <w:bCs/>
          <w:sz w:val="20"/>
          <w:szCs w:val="20"/>
        </w:rPr>
        <w:t>O,</w:t>
      </w:r>
      <w:r w:rsidR="006851B2" w:rsidRPr="00F82D54">
        <w:rPr>
          <w:bCs/>
          <w:sz w:val="20"/>
          <w:szCs w:val="20"/>
        </w:rPr>
        <w:t xml:space="preserve"> </w:t>
      </w:r>
      <w:r w:rsidRPr="00F82D54">
        <w:rPr>
          <w:bCs/>
          <w:sz w:val="20"/>
          <w:szCs w:val="20"/>
        </w:rPr>
        <w:t>et</w:t>
      </w:r>
      <w:r w:rsidR="006851B2" w:rsidRPr="00F82D54">
        <w:rPr>
          <w:bCs/>
          <w:sz w:val="20"/>
          <w:szCs w:val="20"/>
        </w:rPr>
        <w:t xml:space="preserve"> </w:t>
      </w:r>
      <w:r w:rsidRPr="00F82D54">
        <w:rPr>
          <w:bCs/>
          <w:sz w:val="20"/>
          <w:szCs w:val="20"/>
        </w:rPr>
        <w:t>al.</w:t>
      </w:r>
      <w:r w:rsidR="006851B2" w:rsidRPr="00F82D54">
        <w:rPr>
          <w:sz w:val="20"/>
          <w:szCs w:val="20"/>
        </w:rPr>
        <w:t xml:space="preserve"> </w:t>
      </w:r>
      <w:r w:rsidRPr="00F82D54">
        <w:rPr>
          <w:sz w:val="20"/>
          <w:szCs w:val="20"/>
        </w:rPr>
        <w:t>Is</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pre-operative</w:t>
      </w:r>
      <w:r w:rsidR="006851B2" w:rsidRPr="00F82D54">
        <w:rPr>
          <w:sz w:val="20"/>
          <w:szCs w:val="20"/>
        </w:rPr>
        <w:t xml:space="preserve"> </w:t>
      </w:r>
      <w:r w:rsidRPr="00F82D54">
        <w:rPr>
          <w:sz w:val="20"/>
          <w:szCs w:val="20"/>
        </w:rPr>
        <w:t>brain</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or</w:t>
      </w:r>
      <w:r w:rsidR="006851B2" w:rsidRPr="00F82D54">
        <w:rPr>
          <w:sz w:val="20"/>
          <w:szCs w:val="20"/>
        </w:rPr>
        <w:t xml:space="preserve"> </w:t>
      </w:r>
      <w:r w:rsidRPr="00F82D54">
        <w:rPr>
          <w:sz w:val="20"/>
          <w:szCs w:val="20"/>
        </w:rPr>
        <w:t>N-terminal</w:t>
      </w:r>
      <w:r w:rsidR="006851B2" w:rsidRPr="00F82D54">
        <w:rPr>
          <w:sz w:val="20"/>
          <w:szCs w:val="20"/>
        </w:rPr>
        <w:t xml:space="preserve"> </w:t>
      </w:r>
      <w:r w:rsidRPr="00F82D54">
        <w:rPr>
          <w:sz w:val="20"/>
          <w:szCs w:val="20"/>
        </w:rPr>
        <w:t>pro-B-type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measurement</w:t>
      </w:r>
      <w:r w:rsidR="006851B2" w:rsidRPr="00F82D54">
        <w:rPr>
          <w:sz w:val="20"/>
          <w:szCs w:val="20"/>
        </w:rPr>
        <w:t xml:space="preserve"> </w:t>
      </w:r>
      <w:r w:rsidRPr="00F82D54">
        <w:rPr>
          <w:sz w:val="20"/>
          <w:szCs w:val="20"/>
        </w:rPr>
        <w:t>an</w:t>
      </w:r>
      <w:r w:rsidR="006851B2" w:rsidRPr="00F82D54">
        <w:rPr>
          <w:sz w:val="20"/>
          <w:szCs w:val="20"/>
        </w:rPr>
        <w:t xml:space="preserve"> </w:t>
      </w:r>
      <w:r w:rsidRPr="00F82D54">
        <w:rPr>
          <w:sz w:val="20"/>
          <w:szCs w:val="20"/>
        </w:rPr>
        <w:t>independent</w:t>
      </w:r>
      <w:r w:rsidR="006851B2" w:rsidRPr="00F82D54">
        <w:rPr>
          <w:sz w:val="20"/>
          <w:szCs w:val="20"/>
        </w:rPr>
        <w:t xml:space="preserve"> </w:t>
      </w:r>
      <w:r w:rsidRPr="00F82D54">
        <w:rPr>
          <w:sz w:val="20"/>
          <w:szCs w:val="20"/>
        </w:rPr>
        <w:t>predictor</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adverse</w:t>
      </w:r>
      <w:r w:rsidR="006851B2" w:rsidRPr="00F82D54">
        <w:rPr>
          <w:sz w:val="20"/>
          <w:szCs w:val="20"/>
        </w:rPr>
        <w:t xml:space="preserve"> </w:t>
      </w:r>
      <w:r w:rsidRPr="00F82D54">
        <w:rPr>
          <w:sz w:val="20"/>
          <w:szCs w:val="20"/>
        </w:rPr>
        <w:t>cardiovascular</w:t>
      </w:r>
      <w:r w:rsidR="006851B2" w:rsidRPr="00F82D54">
        <w:rPr>
          <w:sz w:val="20"/>
          <w:szCs w:val="20"/>
        </w:rPr>
        <w:t xml:space="preserve"> </w:t>
      </w:r>
      <w:r w:rsidRPr="00F82D54">
        <w:rPr>
          <w:sz w:val="20"/>
          <w:szCs w:val="20"/>
        </w:rPr>
        <w:t>outcomes</w:t>
      </w:r>
      <w:r w:rsidR="006851B2" w:rsidRPr="00F82D54">
        <w:rPr>
          <w:sz w:val="20"/>
          <w:szCs w:val="20"/>
        </w:rPr>
        <w:t xml:space="preserve"> </w:t>
      </w:r>
      <w:r w:rsidRPr="00F82D54">
        <w:rPr>
          <w:sz w:val="20"/>
          <w:szCs w:val="20"/>
        </w:rPr>
        <w:t>within</w:t>
      </w:r>
      <w:r w:rsidR="006851B2" w:rsidRPr="00F82D54">
        <w:rPr>
          <w:sz w:val="20"/>
          <w:szCs w:val="20"/>
        </w:rPr>
        <w:t xml:space="preserve"> </w:t>
      </w:r>
      <w:r w:rsidRPr="00F82D54">
        <w:rPr>
          <w:sz w:val="20"/>
          <w:szCs w:val="20"/>
        </w:rPr>
        <w:t>30</w:t>
      </w:r>
      <w:r w:rsidR="006851B2" w:rsidRPr="00F82D54">
        <w:rPr>
          <w:sz w:val="20"/>
          <w:szCs w:val="20"/>
        </w:rPr>
        <w:t xml:space="preserve"> </w:t>
      </w:r>
      <w:r w:rsidRPr="00F82D54">
        <w:rPr>
          <w:sz w:val="20"/>
          <w:szCs w:val="20"/>
        </w:rPr>
        <w:t>days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noncardiac</w:t>
      </w:r>
      <w:r w:rsidR="006851B2" w:rsidRPr="00F82D54">
        <w:rPr>
          <w:sz w:val="20"/>
          <w:szCs w:val="20"/>
        </w:rPr>
        <w:t xml:space="preserve"> </w:t>
      </w:r>
      <w:r w:rsidRPr="00F82D54">
        <w:rPr>
          <w:sz w:val="20"/>
          <w:szCs w:val="20"/>
        </w:rPr>
        <w:t>surgery?</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systematic</w:t>
      </w:r>
      <w:r w:rsidR="006851B2" w:rsidRPr="00F82D54">
        <w:rPr>
          <w:sz w:val="20"/>
          <w:szCs w:val="20"/>
        </w:rPr>
        <w:t xml:space="preserve"> </w:t>
      </w:r>
      <w:r w:rsidRPr="00F82D54">
        <w:rPr>
          <w:sz w:val="20"/>
          <w:szCs w:val="20"/>
        </w:rPr>
        <w:t>review</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meta-analysis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observational</w:t>
      </w:r>
      <w:r w:rsidR="006851B2" w:rsidRPr="00F82D54">
        <w:rPr>
          <w:sz w:val="20"/>
          <w:szCs w:val="20"/>
        </w:rPr>
        <w:t xml:space="preserve"> </w:t>
      </w:r>
      <w:r w:rsidRPr="00F82D54">
        <w:rPr>
          <w:sz w:val="20"/>
          <w:szCs w:val="20"/>
        </w:rPr>
        <w:t>studies.</w:t>
      </w:r>
      <w:r w:rsidR="006851B2" w:rsidRPr="00F82D54">
        <w:rPr>
          <w:sz w:val="20"/>
          <w:szCs w:val="20"/>
        </w:rPr>
        <w:t xml:space="preserve"> </w:t>
      </w:r>
      <w:r w:rsidRPr="00F82D54">
        <w:rPr>
          <w:sz w:val="20"/>
          <w:szCs w:val="20"/>
        </w:rPr>
        <w:t>J</w:t>
      </w:r>
      <w:r w:rsidR="006851B2" w:rsidRPr="00F82D54">
        <w:rPr>
          <w:sz w:val="20"/>
          <w:szCs w:val="20"/>
        </w:rPr>
        <w:t xml:space="preserve"> </w:t>
      </w:r>
      <w:r w:rsidRPr="00F82D54">
        <w:rPr>
          <w:sz w:val="20"/>
          <w:szCs w:val="20"/>
        </w:rPr>
        <w:t>Am</w:t>
      </w:r>
      <w:r w:rsidR="006851B2" w:rsidRPr="00F82D54">
        <w:rPr>
          <w:sz w:val="20"/>
          <w:szCs w:val="20"/>
        </w:rPr>
        <w:t xml:space="preserve"> </w:t>
      </w:r>
      <w:r w:rsidRPr="00F82D54">
        <w:rPr>
          <w:sz w:val="20"/>
          <w:szCs w:val="20"/>
        </w:rPr>
        <w:t>Coll</w:t>
      </w:r>
      <w:r w:rsidR="006851B2" w:rsidRPr="00F82D54">
        <w:rPr>
          <w:sz w:val="20"/>
          <w:szCs w:val="20"/>
        </w:rPr>
        <w:t xml:space="preserve"> </w:t>
      </w:r>
      <w:r w:rsidRPr="00F82D54">
        <w:rPr>
          <w:sz w:val="20"/>
          <w:szCs w:val="20"/>
        </w:rPr>
        <w:t>Cardiol.</w:t>
      </w:r>
      <w:r w:rsidR="006851B2" w:rsidRPr="00F82D54">
        <w:rPr>
          <w:sz w:val="20"/>
          <w:szCs w:val="20"/>
        </w:rPr>
        <w:t xml:space="preserve"> </w:t>
      </w:r>
      <w:r w:rsidRPr="00F82D54">
        <w:rPr>
          <w:sz w:val="20"/>
          <w:szCs w:val="20"/>
        </w:rPr>
        <w:t>2009;</w:t>
      </w:r>
      <w:r w:rsidR="006851B2" w:rsidRPr="00F82D54">
        <w:rPr>
          <w:sz w:val="20"/>
          <w:szCs w:val="20"/>
        </w:rPr>
        <w:t xml:space="preserve"> </w:t>
      </w:r>
      <w:r w:rsidRPr="00F82D54">
        <w:rPr>
          <w:sz w:val="20"/>
          <w:szCs w:val="20"/>
        </w:rPr>
        <w:t>54:1599–1606.</w:t>
      </w:r>
    </w:p>
    <w:p w:rsidR="008B7740" w:rsidRPr="00F82D54" w:rsidRDefault="008B7740" w:rsidP="00AF7E26">
      <w:pPr>
        <w:pStyle w:val="ListParagraph"/>
        <w:numPr>
          <w:ilvl w:val="0"/>
          <w:numId w:val="8"/>
        </w:numPr>
        <w:snapToGrid w:val="0"/>
        <w:ind w:firstLineChars="0"/>
        <w:jc w:val="both"/>
        <w:rPr>
          <w:bCs/>
          <w:sz w:val="20"/>
          <w:szCs w:val="20"/>
        </w:rPr>
      </w:pPr>
      <w:r w:rsidRPr="00F82D54">
        <w:rPr>
          <w:bCs/>
          <w:sz w:val="20"/>
          <w:szCs w:val="20"/>
        </w:rPr>
        <w:t>Omar</w:t>
      </w:r>
      <w:r w:rsidR="006851B2" w:rsidRPr="00F82D54">
        <w:rPr>
          <w:bCs/>
          <w:sz w:val="20"/>
          <w:szCs w:val="20"/>
        </w:rPr>
        <w:t xml:space="preserve"> </w:t>
      </w:r>
      <w:r w:rsidRPr="00F82D54">
        <w:rPr>
          <w:bCs/>
          <w:sz w:val="20"/>
          <w:szCs w:val="20"/>
        </w:rPr>
        <w:t>AS,</w:t>
      </w:r>
      <w:r w:rsidR="006851B2" w:rsidRPr="00F82D54">
        <w:rPr>
          <w:bCs/>
          <w:sz w:val="20"/>
          <w:szCs w:val="20"/>
        </w:rPr>
        <w:t xml:space="preserve"> </w:t>
      </w:r>
      <w:r w:rsidRPr="00F82D54">
        <w:rPr>
          <w:bCs/>
          <w:sz w:val="20"/>
          <w:szCs w:val="20"/>
        </w:rPr>
        <w:t>Rahman</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Dhatt</w:t>
      </w:r>
      <w:r w:rsidR="006851B2" w:rsidRPr="00F82D54">
        <w:rPr>
          <w:bCs/>
          <w:sz w:val="20"/>
          <w:szCs w:val="20"/>
        </w:rPr>
        <w:t xml:space="preserve"> </w:t>
      </w:r>
      <w:r w:rsidRPr="00F82D54">
        <w:rPr>
          <w:bCs/>
          <w:sz w:val="20"/>
          <w:szCs w:val="20"/>
        </w:rPr>
        <w:t>GS,</w:t>
      </w:r>
      <w:r w:rsidR="006851B2" w:rsidRPr="00F82D54">
        <w:rPr>
          <w:bCs/>
          <w:sz w:val="20"/>
          <w:szCs w:val="20"/>
        </w:rPr>
        <w:t xml:space="preserve"> </w:t>
      </w:r>
      <w:r w:rsidRPr="00F82D54">
        <w:rPr>
          <w:bCs/>
          <w:sz w:val="20"/>
          <w:szCs w:val="20"/>
        </w:rPr>
        <w:t>Salami</w:t>
      </w:r>
      <w:r w:rsidR="006851B2" w:rsidRPr="00F82D54">
        <w:rPr>
          <w:bCs/>
          <w:sz w:val="20"/>
          <w:szCs w:val="20"/>
        </w:rPr>
        <w:t xml:space="preserve"> </w:t>
      </w:r>
      <w:r w:rsidRPr="00F82D54">
        <w:rPr>
          <w:bCs/>
          <w:sz w:val="20"/>
          <w:szCs w:val="20"/>
        </w:rPr>
        <w:t>GO</w:t>
      </w:r>
      <w:r w:rsidR="006851B2" w:rsidRPr="00F82D54">
        <w:rPr>
          <w:bCs/>
          <w:sz w:val="20"/>
          <w:szCs w:val="20"/>
        </w:rPr>
        <w:t xml:space="preserve"> </w:t>
      </w:r>
      <w:r w:rsidRPr="00F82D54">
        <w:rPr>
          <w:bCs/>
          <w:sz w:val="20"/>
          <w:szCs w:val="20"/>
        </w:rPr>
        <w:t>and</w:t>
      </w:r>
      <w:r w:rsidR="006851B2" w:rsidRPr="00F82D54">
        <w:rPr>
          <w:bCs/>
          <w:sz w:val="20"/>
          <w:szCs w:val="20"/>
        </w:rPr>
        <w:t xml:space="preserve"> </w:t>
      </w:r>
      <w:r w:rsidRPr="00F82D54">
        <w:rPr>
          <w:bCs/>
          <w:sz w:val="20"/>
          <w:szCs w:val="20"/>
        </w:rPr>
        <w:t>Abuhasna</w:t>
      </w:r>
      <w:r w:rsidR="006851B2" w:rsidRPr="00F82D54">
        <w:rPr>
          <w:bCs/>
          <w:sz w:val="20"/>
          <w:szCs w:val="20"/>
        </w:rPr>
        <w:t xml:space="preserve"> </w:t>
      </w:r>
      <w:r w:rsidRPr="00F82D54">
        <w:rPr>
          <w:bCs/>
          <w:sz w:val="20"/>
          <w:szCs w:val="20"/>
        </w:rPr>
        <w:t>S.</w:t>
      </w:r>
      <w:r w:rsidR="006851B2" w:rsidRPr="00F82D54">
        <w:rPr>
          <w:sz w:val="20"/>
          <w:szCs w:val="20"/>
        </w:rPr>
        <w:t xml:space="preserve"> </w:t>
      </w:r>
      <w:r w:rsidRPr="00F82D54">
        <w:rPr>
          <w:sz w:val="20"/>
          <w:szCs w:val="20"/>
        </w:rPr>
        <w:t>Dynamics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brain</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critically</w:t>
      </w:r>
      <w:r w:rsidR="006851B2" w:rsidRPr="00F82D54">
        <w:rPr>
          <w:sz w:val="20"/>
          <w:szCs w:val="20"/>
        </w:rPr>
        <w:t xml:space="preserve"> </w:t>
      </w:r>
      <w:r w:rsidRPr="00F82D54">
        <w:rPr>
          <w:sz w:val="20"/>
          <w:szCs w:val="20"/>
        </w:rPr>
        <w:t>ill</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lastRenderedPageBreak/>
        <w:t>and</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bCs/>
          <w:sz w:val="20"/>
          <w:szCs w:val="20"/>
        </w:rPr>
        <w:t xml:space="preserve"> </w:t>
      </w:r>
      <w:r w:rsidRPr="00F82D54">
        <w:rPr>
          <w:sz w:val="20"/>
          <w:szCs w:val="20"/>
        </w:rPr>
        <w:t>Saudi</w:t>
      </w:r>
      <w:r w:rsidR="006851B2" w:rsidRPr="00F82D54">
        <w:rPr>
          <w:sz w:val="20"/>
          <w:szCs w:val="20"/>
        </w:rPr>
        <w:t xml:space="preserve"> </w:t>
      </w:r>
      <w:r w:rsidRPr="00F82D54">
        <w:rPr>
          <w:sz w:val="20"/>
          <w:szCs w:val="20"/>
        </w:rPr>
        <w:t>J</w:t>
      </w:r>
      <w:r w:rsidR="006851B2" w:rsidRPr="00F82D54">
        <w:rPr>
          <w:sz w:val="20"/>
          <w:szCs w:val="20"/>
        </w:rPr>
        <w:t xml:space="preserve"> </w:t>
      </w:r>
      <w:r w:rsidRPr="00F82D54">
        <w:rPr>
          <w:sz w:val="20"/>
          <w:szCs w:val="20"/>
        </w:rPr>
        <w:t>Anaesth.</w:t>
      </w:r>
      <w:r w:rsidR="006851B2" w:rsidRPr="00F82D54">
        <w:rPr>
          <w:sz w:val="20"/>
          <w:szCs w:val="20"/>
        </w:rPr>
        <w:t xml:space="preserve"> </w:t>
      </w:r>
      <w:r w:rsidRPr="00F82D54">
        <w:rPr>
          <w:sz w:val="20"/>
          <w:szCs w:val="20"/>
        </w:rPr>
        <w:t>2013;</w:t>
      </w:r>
      <w:r w:rsidR="006851B2" w:rsidRPr="00F82D54">
        <w:rPr>
          <w:sz w:val="20"/>
          <w:szCs w:val="20"/>
        </w:rPr>
        <w:t xml:space="preserve"> </w:t>
      </w:r>
      <w:r w:rsidRPr="00F82D54">
        <w:rPr>
          <w:sz w:val="20"/>
          <w:szCs w:val="20"/>
        </w:rPr>
        <w:t>7(3):</w:t>
      </w:r>
      <w:r w:rsidR="006851B2" w:rsidRPr="00F82D54">
        <w:rPr>
          <w:sz w:val="20"/>
          <w:szCs w:val="20"/>
        </w:rPr>
        <w:t xml:space="preserve"> </w:t>
      </w:r>
      <w:r w:rsidRPr="00F82D54">
        <w:rPr>
          <w:sz w:val="20"/>
          <w:szCs w:val="20"/>
        </w:rPr>
        <w:t>270–276.</w:t>
      </w:r>
      <w:r w:rsidR="006851B2" w:rsidRPr="00F82D54">
        <w:rPr>
          <w:bCs/>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Singh</w:t>
      </w:r>
      <w:r w:rsidR="006851B2" w:rsidRPr="00F82D54">
        <w:rPr>
          <w:bCs/>
          <w:sz w:val="20"/>
          <w:szCs w:val="20"/>
        </w:rPr>
        <w:t xml:space="preserve"> </w:t>
      </w:r>
      <w:r w:rsidRPr="00F82D54">
        <w:rPr>
          <w:bCs/>
          <w:sz w:val="20"/>
          <w:szCs w:val="20"/>
        </w:rPr>
        <w:t>H,</w:t>
      </w:r>
      <w:r w:rsidR="006851B2" w:rsidRPr="00F82D54">
        <w:rPr>
          <w:bCs/>
          <w:sz w:val="20"/>
          <w:szCs w:val="20"/>
        </w:rPr>
        <w:t xml:space="preserve"> </w:t>
      </w:r>
      <w:r w:rsidRPr="00F82D54">
        <w:rPr>
          <w:bCs/>
          <w:sz w:val="20"/>
          <w:szCs w:val="20"/>
        </w:rPr>
        <w:t>Ramai</w:t>
      </w:r>
      <w:r w:rsidR="006851B2" w:rsidRPr="00F82D54">
        <w:rPr>
          <w:bCs/>
          <w:sz w:val="20"/>
          <w:szCs w:val="20"/>
        </w:rPr>
        <w:t xml:space="preserve"> </w:t>
      </w:r>
      <w:r w:rsidRPr="00F82D54">
        <w:rPr>
          <w:bCs/>
          <w:sz w:val="20"/>
          <w:szCs w:val="20"/>
        </w:rPr>
        <w:t>D,</w:t>
      </w:r>
      <w:r w:rsidR="006851B2" w:rsidRPr="00F82D54">
        <w:rPr>
          <w:bCs/>
          <w:sz w:val="20"/>
          <w:szCs w:val="20"/>
        </w:rPr>
        <w:t xml:space="preserve"> </w:t>
      </w:r>
      <w:r w:rsidRPr="00F82D54">
        <w:rPr>
          <w:bCs/>
          <w:sz w:val="20"/>
          <w:szCs w:val="20"/>
        </w:rPr>
        <w:t>Patel</w:t>
      </w:r>
      <w:r w:rsidR="006851B2" w:rsidRPr="00F82D54">
        <w:rPr>
          <w:bCs/>
          <w:sz w:val="20"/>
          <w:szCs w:val="20"/>
        </w:rPr>
        <w:t xml:space="preserve"> </w:t>
      </w:r>
      <w:r w:rsidRPr="00F82D54">
        <w:rPr>
          <w:bCs/>
          <w:sz w:val="20"/>
          <w:szCs w:val="20"/>
        </w:rPr>
        <w:t>H,</w:t>
      </w:r>
      <w:r w:rsidR="006851B2" w:rsidRPr="00F82D54">
        <w:rPr>
          <w:bCs/>
          <w:sz w:val="20"/>
          <w:szCs w:val="20"/>
        </w:rPr>
        <w:t xml:space="preserve"> </w:t>
      </w:r>
      <w:r w:rsidRPr="00F82D54">
        <w:rPr>
          <w:bCs/>
          <w:sz w:val="20"/>
          <w:szCs w:val="20"/>
        </w:rPr>
        <w:t>Iskandir</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Sachdev</w:t>
      </w:r>
      <w:r w:rsidR="006851B2" w:rsidRPr="00F82D54">
        <w:rPr>
          <w:bCs/>
          <w:sz w:val="20"/>
          <w:szCs w:val="20"/>
        </w:rPr>
        <w:t xml:space="preserve"> </w:t>
      </w:r>
      <w:r w:rsidRPr="00F82D54">
        <w:rPr>
          <w:bCs/>
          <w:sz w:val="20"/>
          <w:szCs w:val="20"/>
        </w:rPr>
        <w:t>S,</w:t>
      </w:r>
      <w:r w:rsidR="006851B2" w:rsidRPr="00F82D54">
        <w:rPr>
          <w:bCs/>
          <w:sz w:val="20"/>
          <w:szCs w:val="20"/>
        </w:rPr>
        <w:t xml:space="preserve"> </w:t>
      </w:r>
      <w:r w:rsidRPr="00F82D54">
        <w:rPr>
          <w:bCs/>
          <w:sz w:val="20"/>
          <w:szCs w:val="20"/>
        </w:rPr>
        <w:t>Rai</w:t>
      </w:r>
      <w:r w:rsidR="006851B2" w:rsidRPr="00F82D54">
        <w:rPr>
          <w:bCs/>
          <w:sz w:val="20"/>
          <w:szCs w:val="20"/>
        </w:rPr>
        <w:t xml:space="preserve"> </w:t>
      </w:r>
      <w:r w:rsidRPr="00F82D54">
        <w:rPr>
          <w:bCs/>
          <w:sz w:val="20"/>
          <w:szCs w:val="20"/>
        </w:rPr>
        <w:t>R,</w:t>
      </w:r>
      <w:r w:rsidR="006851B2" w:rsidRPr="00F82D54">
        <w:rPr>
          <w:bCs/>
          <w:sz w:val="20"/>
          <w:szCs w:val="20"/>
        </w:rPr>
        <w:t xml:space="preserve"> </w:t>
      </w:r>
      <w:r w:rsidRPr="00F82D54">
        <w:rPr>
          <w:bCs/>
          <w:sz w:val="20"/>
          <w:szCs w:val="20"/>
        </w:rPr>
        <w:t>Patolia</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Hassen</w:t>
      </w:r>
      <w:r w:rsidR="006851B2" w:rsidRPr="00F82D54">
        <w:rPr>
          <w:bCs/>
          <w:sz w:val="20"/>
          <w:szCs w:val="20"/>
        </w:rPr>
        <w:t xml:space="preserve"> </w:t>
      </w:r>
      <w:r w:rsidRPr="00F82D54">
        <w:rPr>
          <w:bCs/>
          <w:sz w:val="20"/>
          <w:szCs w:val="20"/>
        </w:rPr>
        <w:t>GW.</w:t>
      </w:r>
      <w:r w:rsidR="006851B2" w:rsidRPr="00F82D54">
        <w:rPr>
          <w:sz w:val="20"/>
          <w:szCs w:val="20"/>
        </w:rPr>
        <w:t xml:space="preserve"> </w:t>
      </w:r>
      <w:r w:rsidRPr="00F82D54">
        <w:rPr>
          <w:sz w:val="20"/>
          <w:szCs w:val="20"/>
        </w:rPr>
        <w:t>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Predictor</w:t>
      </w:r>
      <w:r w:rsidR="006851B2" w:rsidRPr="00F82D54">
        <w:rPr>
          <w:sz w:val="20"/>
          <w:szCs w:val="20"/>
        </w:rPr>
        <w:t xml:space="preserve"> </w:t>
      </w:r>
      <w:r w:rsidRPr="00F82D54">
        <w:rPr>
          <w:sz w:val="20"/>
          <w:szCs w:val="20"/>
        </w:rPr>
        <w:t>for</w:t>
      </w:r>
      <w:r w:rsidR="006851B2" w:rsidRPr="00F82D54">
        <w:rPr>
          <w:sz w:val="20"/>
          <w:szCs w:val="20"/>
        </w:rPr>
        <w:t xml:space="preserve"> </w:t>
      </w:r>
      <w:r w:rsidRPr="00F82D54">
        <w:rPr>
          <w:sz w:val="20"/>
          <w:szCs w:val="20"/>
        </w:rPr>
        <w:t>Mortality,</w:t>
      </w:r>
      <w:r w:rsidR="006851B2" w:rsidRPr="00F82D54">
        <w:rPr>
          <w:sz w:val="20"/>
          <w:szCs w:val="20"/>
        </w:rPr>
        <w:t xml:space="preserve"> </w:t>
      </w:r>
      <w:r w:rsidRPr="00F82D54">
        <w:rPr>
          <w:sz w:val="20"/>
          <w:szCs w:val="20"/>
        </w:rPr>
        <w:t>Intensive</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Unit</w:t>
      </w:r>
      <w:r w:rsidR="006851B2" w:rsidRPr="00F82D54">
        <w:rPr>
          <w:sz w:val="20"/>
          <w:szCs w:val="20"/>
        </w:rPr>
        <w:t xml:space="preserve"> </w:t>
      </w:r>
      <w:r w:rsidRPr="00F82D54">
        <w:rPr>
          <w:sz w:val="20"/>
          <w:szCs w:val="20"/>
        </w:rPr>
        <w:t>Length</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Stay,</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Hospital</w:t>
      </w:r>
      <w:r w:rsidR="006851B2" w:rsidRPr="00F82D54">
        <w:rPr>
          <w:sz w:val="20"/>
          <w:szCs w:val="20"/>
        </w:rPr>
        <w:t xml:space="preserve"> </w:t>
      </w:r>
      <w:r w:rsidRPr="00F82D54">
        <w:rPr>
          <w:sz w:val="20"/>
          <w:szCs w:val="20"/>
        </w:rPr>
        <w:t>Length</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Stay</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Resolving</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Cardiol</w:t>
      </w:r>
      <w:r w:rsidR="006851B2" w:rsidRPr="00F82D54">
        <w:rPr>
          <w:sz w:val="20"/>
          <w:szCs w:val="20"/>
        </w:rPr>
        <w:t xml:space="preserve"> </w:t>
      </w:r>
      <w:r w:rsidRPr="00F82D54">
        <w:rPr>
          <w:sz w:val="20"/>
          <w:szCs w:val="20"/>
        </w:rPr>
        <w:t>Res.</w:t>
      </w:r>
      <w:r w:rsidR="006851B2" w:rsidRPr="00F82D54">
        <w:rPr>
          <w:sz w:val="20"/>
          <w:szCs w:val="20"/>
        </w:rPr>
        <w:t xml:space="preserve"> </w:t>
      </w:r>
      <w:r w:rsidRPr="00F82D54">
        <w:rPr>
          <w:sz w:val="20"/>
          <w:szCs w:val="20"/>
        </w:rPr>
        <w:t>2017</w:t>
      </w:r>
      <w:r w:rsidR="006851B2" w:rsidRPr="00F82D54">
        <w:rPr>
          <w:sz w:val="20"/>
          <w:szCs w:val="20"/>
        </w:rPr>
        <w:t xml:space="preserve"> </w:t>
      </w:r>
      <w:r w:rsidRPr="00F82D54">
        <w:rPr>
          <w:sz w:val="20"/>
          <w:szCs w:val="20"/>
        </w:rPr>
        <w:t>Dec;8(6):271-275.</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Tang</w:t>
      </w:r>
      <w:r w:rsidR="006851B2" w:rsidRPr="00F82D54">
        <w:rPr>
          <w:bCs/>
          <w:sz w:val="20"/>
          <w:szCs w:val="20"/>
        </w:rPr>
        <w:t xml:space="preserve"> </w:t>
      </w:r>
      <w:r w:rsidRPr="00F82D54">
        <w:rPr>
          <w:bCs/>
          <w:sz w:val="20"/>
          <w:szCs w:val="20"/>
        </w:rPr>
        <w:t>WH,</w:t>
      </w:r>
      <w:r w:rsidR="006851B2" w:rsidRPr="00F82D54">
        <w:rPr>
          <w:bCs/>
          <w:sz w:val="20"/>
          <w:szCs w:val="20"/>
        </w:rPr>
        <w:t xml:space="preserve"> </w:t>
      </w:r>
      <w:r w:rsidRPr="00F82D54">
        <w:rPr>
          <w:bCs/>
          <w:sz w:val="20"/>
          <w:szCs w:val="20"/>
        </w:rPr>
        <w:t>Francis</w:t>
      </w:r>
      <w:r w:rsidR="006851B2" w:rsidRPr="00F82D54">
        <w:rPr>
          <w:bCs/>
          <w:sz w:val="20"/>
          <w:szCs w:val="20"/>
        </w:rPr>
        <w:t xml:space="preserve"> </w:t>
      </w:r>
      <w:r w:rsidRPr="00F82D54">
        <w:rPr>
          <w:bCs/>
          <w:sz w:val="20"/>
          <w:szCs w:val="20"/>
        </w:rPr>
        <w:t>GS,</w:t>
      </w:r>
      <w:r w:rsidR="006851B2" w:rsidRPr="00F82D54">
        <w:rPr>
          <w:bCs/>
          <w:sz w:val="20"/>
          <w:szCs w:val="20"/>
        </w:rPr>
        <w:t xml:space="preserve"> </w:t>
      </w:r>
      <w:r w:rsidRPr="00F82D54">
        <w:rPr>
          <w:bCs/>
          <w:sz w:val="20"/>
          <w:szCs w:val="20"/>
        </w:rPr>
        <w:t>Morrow</w:t>
      </w:r>
      <w:r w:rsidR="006851B2" w:rsidRPr="00F82D54">
        <w:rPr>
          <w:bCs/>
          <w:sz w:val="20"/>
          <w:szCs w:val="20"/>
        </w:rPr>
        <w:t xml:space="preserve"> </w:t>
      </w:r>
      <w:r w:rsidRPr="00F82D54">
        <w:rPr>
          <w:bCs/>
          <w:sz w:val="20"/>
          <w:szCs w:val="20"/>
        </w:rPr>
        <w:t>DA,</w:t>
      </w:r>
      <w:r w:rsidR="006851B2" w:rsidRPr="00F82D54">
        <w:rPr>
          <w:bCs/>
          <w:sz w:val="20"/>
          <w:szCs w:val="20"/>
        </w:rPr>
        <w:t xml:space="preserve"> </w:t>
      </w:r>
      <w:r w:rsidRPr="00F82D54">
        <w:rPr>
          <w:bCs/>
          <w:sz w:val="20"/>
          <w:szCs w:val="20"/>
        </w:rPr>
        <w:t>et</w:t>
      </w:r>
      <w:r w:rsidR="006851B2" w:rsidRPr="00F82D54">
        <w:rPr>
          <w:bCs/>
          <w:sz w:val="20"/>
          <w:szCs w:val="20"/>
        </w:rPr>
        <w:t xml:space="preserve"> </w:t>
      </w:r>
      <w:r w:rsidRPr="00F82D54">
        <w:rPr>
          <w:bCs/>
          <w:sz w:val="20"/>
          <w:szCs w:val="20"/>
        </w:rPr>
        <w:t>al.</w:t>
      </w:r>
      <w:r w:rsidR="006851B2" w:rsidRPr="00F82D54">
        <w:rPr>
          <w:sz w:val="20"/>
          <w:szCs w:val="20"/>
        </w:rPr>
        <w:t xml:space="preserve"> </w:t>
      </w:r>
      <w:r w:rsidRPr="00F82D54">
        <w:rPr>
          <w:sz w:val="20"/>
          <w:szCs w:val="20"/>
        </w:rPr>
        <w:t>National</w:t>
      </w:r>
      <w:r w:rsidR="006851B2" w:rsidRPr="00F82D54">
        <w:rPr>
          <w:sz w:val="20"/>
          <w:szCs w:val="20"/>
        </w:rPr>
        <w:t xml:space="preserve"> </w:t>
      </w:r>
      <w:r w:rsidRPr="00F82D54">
        <w:rPr>
          <w:sz w:val="20"/>
          <w:szCs w:val="20"/>
        </w:rPr>
        <w:t>Academy</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Clinical</w:t>
      </w:r>
      <w:r w:rsidR="006851B2" w:rsidRPr="00F82D54">
        <w:rPr>
          <w:sz w:val="20"/>
          <w:szCs w:val="20"/>
        </w:rPr>
        <w:t xml:space="preserve"> </w:t>
      </w:r>
      <w:r w:rsidRPr="00F82D54">
        <w:rPr>
          <w:sz w:val="20"/>
          <w:szCs w:val="20"/>
        </w:rPr>
        <w:t>Biochemistry</w:t>
      </w:r>
      <w:r w:rsidR="006851B2" w:rsidRPr="00F82D54">
        <w:rPr>
          <w:sz w:val="20"/>
          <w:szCs w:val="20"/>
        </w:rPr>
        <w:t xml:space="preserve"> </w:t>
      </w:r>
      <w:r w:rsidRPr="00F82D54">
        <w:rPr>
          <w:sz w:val="20"/>
          <w:szCs w:val="20"/>
        </w:rPr>
        <w:t>Laboratory</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National</w:t>
      </w:r>
      <w:r w:rsidR="006851B2" w:rsidRPr="00F82D54">
        <w:rPr>
          <w:sz w:val="20"/>
          <w:szCs w:val="20"/>
        </w:rPr>
        <w:t xml:space="preserve"> </w:t>
      </w:r>
      <w:r w:rsidRPr="00F82D54">
        <w:rPr>
          <w:sz w:val="20"/>
          <w:szCs w:val="20"/>
        </w:rPr>
        <w:t>Academy</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Clinical</w:t>
      </w:r>
      <w:r w:rsidR="006851B2" w:rsidRPr="00F82D54">
        <w:rPr>
          <w:sz w:val="20"/>
          <w:szCs w:val="20"/>
        </w:rPr>
        <w:t xml:space="preserve"> </w:t>
      </w:r>
      <w:r w:rsidRPr="00F82D54">
        <w:rPr>
          <w:sz w:val="20"/>
          <w:szCs w:val="20"/>
        </w:rPr>
        <w:t>Biochemistry</w:t>
      </w:r>
      <w:r w:rsidR="006851B2" w:rsidRPr="00F82D54">
        <w:rPr>
          <w:sz w:val="20"/>
          <w:szCs w:val="20"/>
        </w:rPr>
        <w:t xml:space="preserve"> </w:t>
      </w:r>
      <w:r w:rsidRPr="00F82D54">
        <w:rPr>
          <w:sz w:val="20"/>
          <w:szCs w:val="20"/>
        </w:rPr>
        <w:t>Laboratory</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practice</w:t>
      </w:r>
      <w:r w:rsidR="006851B2" w:rsidRPr="00F82D54">
        <w:rPr>
          <w:sz w:val="20"/>
          <w:szCs w:val="20"/>
        </w:rPr>
        <w:t xml:space="preserve"> </w:t>
      </w:r>
      <w:r w:rsidRPr="00F82D54">
        <w:rPr>
          <w:sz w:val="20"/>
          <w:szCs w:val="20"/>
        </w:rPr>
        <w:t>guidelines:</w:t>
      </w:r>
      <w:r w:rsidR="006851B2" w:rsidRPr="00F82D54">
        <w:rPr>
          <w:sz w:val="20"/>
          <w:szCs w:val="20"/>
        </w:rPr>
        <w:t xml:space="preserve"> </w:t>
      </w:r>
      <w:r w:rsidRPr="00F82D54">
        <w:rPr>
          <w:sz w:val="20"/>
          <w:szCs w:val="20"/>
        </w:rPr>
        <w:t>Clinical</w:t>
      </w:r>
      <w:r w:rsidR="006851B2" w:rsidRPr="00F82D54">
        <w:rPr>
          <w:sz w:val="20"/>
          <w:szCs w:val="20"/>
        </w:rPr>
        <w:t xml:space="preserve"> </w:t>
      </w:r>
      <w:r w:rsidRPr="00F82D54">
        <w:rPr>
          <w:sz w:val="20"/>
          <w:szCs w:val="20"/>
        </w:rPr>
        <w:t>utilization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cardiac</w:t>
      </w:r>
      <w:r w:rsidR="006851B2" w:rsidRPr="00F82D54">
        <w:rPr>
          <w:sz w:val="20"/>
          <w:szCs w:val="20"/>
        </w:rPr>
        <w:t xml:space="preserve"> </w:t>
      </w:r>
      <w:r w:rsidRPr="00F82D54">
        <w:rPr>
          <w:sz w:val="20"/>
          <w:szCs w:val="20"/>
        </w:rPr>
        <w:t>biomarker</w:t>
      </w:r>
      <w:r w:rsidR="006851B2" w:rsidRPr="00F82D54">
        <w:rPr>
          <w:sz w:val="20"/>
          <w:szCs w:val="20"/>
        </w:rPr>
        <w:t xml:space="preserve"> </w:t>
      </w:r>
      <w:r w:rsidRPr="00F82D54">
        <w:rPr>
          <w:sz w:val="20"/>
          <w:szCs w:val="20"/>
        </w:rPr>
        <w:t>testing</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heart</w:t>
      </w:r>
      <w:r w:rsidR="006851B2" w:rsidRPr="00F82D54">
        <w:rPr>
          <w:sz w:val="20"/>
          <w:szCs w:val="20"/>
        </w:rPr>
        <w:t xml:space="preserve"> </w:t>
      </w:r>
      <w:r w:rsidRPr="00F82D54">
        <w:rPr>
          <w:sz w:val="20"/>
          <w:szCs w:val="20"/>
        </w:rPr>
        <w:t>failure.</w:t>
      </w:r>
      <w:r w:rsidR="006851B2" w:rsidRPr="00F82D54">
        <w:rPr>
          <w:sz w:val="20"/>
          <w:szCs w:val="20"/>
        </w:rPr>
        <w:t xml:space="preserve"> </w:t>
      </w:r>
      <w:r w:rsidRPr="00F82D54">
        <w:rPr>
          <w:sz w:val="20"/>
          <w:szCs w:val="20"/>
        </w:rPr>
        <w:t>Circulation.</w:t>
      </w:r>
      <w:r w:rsidR="006851B2" w:rsidRPr="00F82D54">
        <w:rPr>
          <w:sz w:val="20"/>
          <w:szCs w:val="20"/>
        </w:rPr>
        <w:t xml:space="preserve"> </w:t>
      </w:r>
      <w:r w:rsidRPr="00F82D54">
        <w:rPr>
          <w:sz w:val="20"/>
          <w:szCs w:val="20"/>
        </w:rPr>
        <w:t>2007;</w:t>
      </w:r>
      <w:r w:rsidR="006851B2" w:rsidRPr="00F82D54">
        <w:rPr>
          <w:sz w:val="20"/>
          <w:szCs w:val="20"/>
        </w:rPr>
        <w:t xml:space="preserve"> </w:t>
      </w:r>
      <w:r w:rsidRPr="00F82D54">
        <w:rPr>
          <w:sz w:val="20"/>
          <w:szCs w:val="20"/>
        </w:rPr>
        <w:t>116</w:t>
      </w:r>
      <w:r w:rsidR="00AF7E26" w:rsidRPr="00F82D54">
        <w:rPr>
          <w:sz w:val="20"/>
          <w:szCs w:val="20"/>
        </w:rPr>
        <w:t>: e</w:t>
      </w:r>
      <w:r w:rsidRPr="00F82D54">
        <w:rPr>
          <w:sz w:val="20"/>
          <w:szCs w:val="20"/>
        </w:rPr>
        <w:t>99–109.</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Vander</w:t>
      </w:r>
      <w:r w:rsidR="006851B2" w:rsidRPr="00F82D54">
        <w:rPr>
          <w:bCs/>
          <w:sz w:val="20"/>
          <w:szCs w:val="20"/>
        </w:rPr>
        <w:t xml:space="preserve"> </w:t>
      </w:r>
      <w:r w:rsidRPr="00F82D54">
        <w:rPr>
          <w:bCs/>
          <w:sz w:val="20"/>
          <w:szCs w:val="20"/>
        </w:rPr>
        <w:t>Werf</w:t>
      </w:r>
      <w:r w:rsidR="006851B2" w:rsidRPr="00F82D54">
        <w:rPr>
          <w:bCs/>
          <w:sz w:val="20"/>
          <w:szCs w:val="20"/>
        </w:rPr>
        <w:t xml:space="preserve"> </w:t>
      </w:r>
      <w:r w:rsidRPr="00F82D54">
        <w:rPr>
          <w:bCs/>
          <w:sz w:val="20"/>
          <w:szCs w:val="20"/>
        </w:rPr>
        <w:t>BD,</w:t>
      </w:r>
      <w:r w:rsidR="006851B2" w:rsidRPr="00F82D54">
        <w:rPr>
          <w:bCs/>
          <w:sz w:val="20"/>
          <w:szCs w:val="20"/>
        </w:rPr>
        <w:t xml:space="preserve"> </w:t>
      </w:r>
      <w:r w:rsidRPr="00F82D54">
        <w:rPr>
          <w:bCs/>
          <w:sz w:val="20"/>
          <w:szCs w:val="20"/>
        </w:rPr>
        <w:t>Watt</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Joseph</w:t>
      </w:r>
      <w:r w:rsidR="006851B2" w:rsidRPr="00F82D54">
        <w:rPr>
          <w:bCs/>
          <w:sz w:val="20"/>
          <w:szCs w:val="20"/>
        </w:rPr>
        <w:t xml:space="preserve"> </w:t>
      </w:r>
      <w:r w:rsidRPr="00F82D54">
        <w:rPr>
          <w:bCs/>
          <w:sz w:val="20"/>
          <w:szCs w:val="20"/>
        </w:rPr>
        <w:t>B,</w:t>
      </w:r>
      <w:r w:rsidR="006851B2" w:rsidRPr="00F82D54">
        <w:rPr>
          <w:bCs/>
          <w:sz w:val="20"/>
          <w:szCs w:val="20"/>
        </w:rPr>
        <w:t xml:space="preserve"> </w:t>
      </w:r>
      <w:r w:rsidRPr="00F82D54">
        <w:rPr>
          <w:bCs/>
          <w:sz w:val="20"/>
          <w:szCs w:val="20"/>
        </w:rPr>
        <w:t>Wynne</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Kulvatunyou</w:t>
      </w:r>
      <w:r w:rsidR="006851B2" w:rsidRPr="00F82D54">
        <w:rPr>
          <w:bCs/>
          <w:sz w:val="20"/>
          <w:szCs w:val="20"/>
        </w:rPr>
        <w:t xml:space="preserve"> </w:t>
      </w:r>
      <w:r w:rsidRPr="00F82D54">
        <w:rPr>
          <w:bCs/>
          <w:sz w:val="20"/>
          <w:szCs w:val="20"/>
        </w:rPr>
        <w:t>N,</w:t>
      </w:r>
      <w:r w:rsidR="006851B2" w:rsidRPr="00F82D54">
        <w:rPr>
          <w:bCs/>
          <w:sz w:val="20"/>
          <w:szCs w:val="20"/>
        </w:rPr>
        <w:t xml:space="preserve"> </w:t>
      </w:r>
      <w:r w:rsidRPr="00F82D54">
        <w:rPr>
          <w:bCs/>
          <w:sz w:val="20"/>
          <w:szCs w:val="20"/>
        </w:rPr>
        <w:t>O'Keeffe</w:t>
      </w:r>
      <w:r w:rsidR="006851B2" w:rsidRPr="00F82D54">
        <w:rPr>
          <w:bCs/>
          <w:sz w:val="20"/>
          <w:szCs w:val="20"/>
        </w:rPr>
        <w:t xml:space="preserve"> </w:t>
      </w:r>
      <w:r w:rsidRPr="00F82D54">
        <w:rPr>
          <w:bCs/>
          <w:sz w:val="20"/>
          <w:szCs w:val="20"/>
        </w:rPr>
        <w:t>T,</w:t>
      </w:r>
      <w:r w:rsidR="006851B2" w:rsidRPr="00F82D54">
        <w:rPr>
          <w:bCs/>
          <w:sz w:val="20"/>
          <w:szCs w:val="20"/>
        </w:rPr>
        <w:t xml:space="preserve"> </w:t>
      </w:r>
      <w:r w:rsidRPr="00F82D54">
        <w:rPr>
          <w:bCs/>
          <w:sz w:val="20"/>
          <w:szCs w:val="20"/>
        </w:rPr>
        <w:t>Friese</w:t>
      </w:r>
      <w:r w:rsidR="006851B2" w:rsidRPr="00F82D54">
        <w:rPr>
          <w:bCs/>
          <w:sz w:val="20"/>
          <w:szCs w:val="20"/>
        </w:rPr>
        <w:t xml:space="preserve"> </w:t>
      </w:r>
      <w:r w:rsidRPr="00F82D54">
        <w:rPr>
          <w:bCs/>
          <w:sz w:val="20"/>
          <w:szCs w:val="20"/>
        </w:rPr>
        <w:t>RS.</w:t>
      </w:r>
      <w:r w:rsidR="006851B2" w:rsidRPr="00F82D54">
        <w:rPr>
          <w:bCs/>
          <w:sz w:val="20"/>
          <w:szCs w:val="20"/>
        </w:rPr>
        <w:t xml:space="preserve"> </w:t>
      </w:r>
      <w:r w:rsidRPr="00F82D54">
        <w:rPr>
          <w:sz w:val="20"/>
          <w:szCs w:val="20"/>
        </w:rPr>
        <w:t>Can</w:t>
      </w:r>
      <w:r w:rsidR="006851B2" w:rsidRPr="00F82D54">
        <w:rPr>
          <w:sz w:val="20"/>
          <w:szCs w:val="20"/>
        </w:rPr>
        <w:t xml:space="preserve"> </w:t>
      </w:r>
      <w:r w:rsidRPr="00F82D54">
        <w:rPr>
          <w:sz w:val="20"/>
          <w:szCs w:val="20"/>
        </w:rPr>
        <w:t>plasma</w:t>
      </w:r>
      <w:r w:rsidR="006851B2" w:rsidRPr="00F82D54">
        <w:rPr>
          <w:sz w:val="20"/>
          <w:szCs w:val="20"/>
        </w:rPr>
        <w:t xml:space="preserve"> </w:t>
      </w:r>
      <w:r w:rsidRPr="00F82D54">
        <w:rPr>
          <w:sz w:val="20"/>
          <w:szCs w:val="20"/>
        </w:rPr>
        <w:t>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levels</w:t>
      </w:r>
      <w:r w:rsidR="006851B2" w:rsidRPr="00F82D54">
        <w:rPr>
          <w:sz w:val="20"/>
          <w:szCs w:val="20"/>
        </w:rPr>
        <w:t xml:space="preserve"> </w:t>
      </w:r>
      <w:r w:rsidRPr="00F82D54">
        <w:rPr>
          <w:sz w:val="20"/>
          <w:szCs w:val="20"/>
        </w:rPr>
        <w:t>predict</w:t>
      </w:r>
      <w:r w:rsidR="006851B2" w:rsidRPr="00F82D54">
        <w:rPr>
          <w:sz w:val="20"/>
          <w:szCs w:val="20"/>
        </w:rPr>
        <w:t xml:space="preserve"> </w:t>
      </w:r>
      <w:r w:rsidRPr="00F82D54">
        <w:rPr>
          <w:sz w:val="20"/>
          <w:szCs w:val="20"/>
        </w:rPr>
        <w:t>need</w:t>
      </w:r>
      <w:r w:rsidR="006851B2" w:rsidRPr="00F82D54">
        <w:rPr>
          <w:sz w:val="20"/>
          <w:szCs w:val="20"/>
        </w:rPr>
        <w:t xml:space="preserve"> </w:t>
      </w:r>
      <w:r w:rsidRPr="00F82D54">
        <w:rPr>
          <w:sz w:val="20"/>
          <w:szCs w:val="20"/>
        </w:rPr>
        <w:t>for</w:t>
      </w:r>
      <w:r w:rsidR="006851B2" w:rsidRPr="00F82D54">
        <w:rPr>
          <w:sz w:val="20"/>
          <w:szCs w:val="20"/>
        </w:rPr>
        <w:t xml:space="preserve"> </w:t>
      </w:r>
      <w:r w:rsidRPr="00F82D54">
        <w:rPr>
          <w:sz w:val="20"/>
          <w:szCs w:val="20"/>
        </w:rPr>
        <w:t>mechanical</w:t>
      </w:r>
      <w:r w:rsidR="006851B2" w:rsidRPr="00F82D54">
        <w:rPr>
          <w:sz w:val="20"/>
          <w:szCs w:val="20"/>
        </w:rPr>
        <w:t xml:space="preserve"> </w:t>
      </w:r>
      <w:r w:rsidRPr="00F82D54">
        <w:rPr>
          <w:sz w:val="20"/>
          <w:szCs w:val="20"/>
        </w:rPr>
        <w:t>ventilation</w:t>
      </w:r>
      <w:r w:rsidR="006851B2" w:rsidRPr="00F82D54">
        <w:rPr>
          <w:sz w:val="20"/>
          <w:szCs w:val="20"/>
        </w:rPr>
        <w:t xml:space="preserve"> </w:t>
      </w:r>
      <w:r w:rsidRPr="00F82D54">
        <w:rPr>
          <w:sz w:val="20"/>
          <w:szCs w:val="20"/>
        </w:rPr>
        <w:t>after</w:t>
      </w:r>
      <w:r w:rsidR="006851B2" w:rsidRPr="00F82D54">
        <w:rPr>
          <w:sz w:val="20"/>
          <w:szCs w:val="20"/>
        </w:rPr>
        <w:t xml:space="preserve"> </w:t>
      </w:r>
      <w:r w:rsidRPr="00F82D54">
        <w:rPr>
          <w:sz w:val="20"/>
          <w:szCs w:val="20"/>
        </w:rPr>
        <w:t>injury?.</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American</w:t>
      </w:r>
      <w:r w:rsidR="006851B2" w:rsidRPr="00F82D54">
        <w:rPr>
          <w:sz w:val="20"/>
          <w:szCs w:val="20"/>
        </w:rPr>
        <w:t xml:space="preserve"> </w:t>
      </w:r>
      <w:r w:rsidRPr="00F82D54">
        <w:rPr>
          <w:sz w:val="20"/>
          <w:szCs w:val="20"/>
        </w:rPr>
        <w:t>Journal</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Surgery.</w:t>
      </w:r>
      <w:r w:rsidR="006851B2" w:rsidRPr="00F82D54">
        <w:rPr>
          <w:sz w:val="20"/>
          <w:szCs w:val="20"/>
        </w:rPr>
        <w:t xml:space="preserve"> </w:t>
      </w:r>
      <w:r w:rsidRPr="00F82D54">
        <w:rPr>
          <w:sz w:val="20"/>
          <w:szCs w:val="20"/>
        </w:rPr>
        <w:t>2010;</w:t>
      </w:r>
      <w:r w:rsidR="006851B2" w:rsidRPr="00F82D54">
        <w:rPr>
          <w:sz w:val="20"/>
          <w:szCs w:val="20"/>
        </w:rPr>
        <w:t xml:space="preserve"> </w:t>
      </w:r>
      <w:r w:rsidRPr="00F82D54">
        <w:rPr>
          <w:sz w:val="20"/>
          <w:szCs w:val="20"/>
        </w:rPr>
        <w:t>200(6):845-50.</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Vanderheyden</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Bartunek</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Goethals</w:t>
      </w:r>
      <w:r w:rsidR="006851B2" w:rsidRPr="00F82D54">
        <w:rPr>
          <w:bCs/>
          <w:sz w:val="20"/>
          <w:szCs w:val="20"/>
        </w:rPr>
        <w:t xml:space="preserve"> </w:t>
      </w:r>
      <w:r w:rsidRPr="00F82D54">
        <w:rPr>
          <w:bCs/>
          <w:sz w:val="20"/>
          <w:szCs w:val="20"/>
        </w:rPr>
        <w:t>M.</w:t>
      </w:r>
      <w:r w:rsidR="006851B2" w:rsidRPr="00F82D54">
        <w:rPr>
          <w:sz w:val="20"/>
          <w:szCs w:val="20"/>
        </w:rPr>
        <w:t xml:space="preserve"> </w:t>
      </w:r>
      <w:r w:rsidRPr="00F82D54">
        <w:rPr>
          <w:sz w:val="20"/>
          <w:szCs w:val="20"/>
        </w:rPr>
        <w:t>Brain</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other</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peptides:</w:t>
      </w:r>
      <w:r w:rsidR="006851B2" w:rsidRPr="00F82D54">
        <w:rPr>
          <w:sz w:val="20"/>
          <w:szCs w:val="20"/>
        </w:rPr>
        <w:t xml:space="preserve"> </w:t>
      </w:r>
      <w:r w:rsidRPr="00F82D54">
        <w:rPr>
          <w:sz w:val="20"/>
          <w:szCs w:val="20"/>
        </w:rPr>
        <w:t>molecular</w:t>
      </w:r>
      <w:r w:rsidR="006851B2" w:rsidRPr="00F82D54">
        <w:rPr>
          <w:sz w:val="20"/>
          <w:szCs w:val="20"/>
        </w:rPr>
        <w:t xml:space="preserve"> </w:t>
      </w:r>
      <w:r w:rsidRPr="00F82D54">
        <w:rPr>
          <w:sz w:val="20"/>
          <w:szCs w:val="20"/>
        </w:rPr>
        <w:t>aspects.</w:t>
      </w:r>
      <w:r w:rsidR="006851B2" w:rsidRPr="00F82D54">
        <w:rPr>
          <w:sz w:val="20"/>
          <w:szCs w:val="20"/>
        </w:rPr>
        <w:t xml:space="preserve"> </w:t>
      </w:r>
      <w:r w:rsidRPr="00F82D54">
        <w:rPr>
          <w:sz w:val="20"/>
          <w:szCs w:val="20"/>
        </w:rPr>
        <w:t>Eur</w:t>
      </w:r>
      <w:r w:rsidR="006851B2" w:rsidRPr="00F82D54">
        <w:rPr>
          <w:sz w:val="20"/>
          <w:szCs w:val="20"/>
        </w:rPr>
        <w:t xml:space="preserve"> </w:t>
      </w:r>
      <w:r w:rsidRPr="00F82D54">
        <w:rPr>
          <w:sz w:val="20"/>
          <w:szCs w:val="20"/>
        </w:rPr>
        <w:t>J</w:t>
      </w:r>
      <w:r w:rsidR="006851B2" w:rsidRPr="00F82D54">
        <w:rPr>
          <w:sz w:val="20"/>
          <w:szCs w:val="20"/>
        </w:rPr>
        <w:t xml:space="preserve"> </w:t>
      </w:r>
      <w:r w:rsidRPr="00F82D54">
        <w:rPr>
          <w:sz w:val="20"/>
          <w:szCs w:val="20"/>
        </w:rPr>
        <w:t>Heart</w:t>
      </w:r>
      <w:r w:rsidR="006851B2" w:rsidRPr="00F82D54">
        <w:rPr>
          <w:sz w:val="20"/>
          <w:szCs w:val="20"/>
        </w:rPr>
        <w:t xml:space="preserve"> </w:t>
      </w:r>
      <w:r w:rsidRPr="00F82D54">
        <w:rPr>
          <w:sz w:val="20"/>
          <w:szCs w:val="20"/>
        </w:rPr>
        <w:t>Fail.</w:t>
      </w:r>
      <w:r w:rsidR="006851B2" w:rsidRPr="00F82D54">
        <w:rPr>
          <w:sz w:val="20"/>
          <w:szCs w:val="20"/>
        </w:rPr>
        <w:t xml:space="preserve"> </w:t>
      </w:r>
      <w:r w:rsidRPr="00F82D54">
        <w:rPr>
          <w:sz w:val="20"/>
          <w:szCs w:val="20"/>
        </w:rPr>
        <w:t>2004;</w:t>
      </w:r>
      <w:r w:rsidR="006851B2" w:rsidRPr="00F82D54">
        <w:rPr>
          <w:sz w:val="20"/>
          <w:szCs w:val="20"/>
        </w:rPr>
        <w:t xml:space="preserve"> </w:t>
      </w:r>
      <w:r w:rsidRPr="00F82D54">
        <w:rPr>
          <w:sz w:val="20"/>
          <w:szCs w:val="20"/>
        </w:rPr>
        <w:t>6:261–268.</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lastRenderedPageBreak/>
        <w:t>Vieillard-Baron</w:t>
      </w:r>
      <w:r w:rsidR="006851B2" w:rsidRPr="00F82D54">
        <w:rPr>
          <w:bCs/>
          <w:sz w:val="20"/>
          <w:szCs w:val="20"/>
        </w:rPr>
        <w:t xml:space="preserve"> </w:t>
      </w:r>
      <w:r w:rsidRPr="00F82D54">
        <w:rPr>
          <w:bCs/>
          <w:sz w:val="20"/>
          <w:szCs w:val="20"/>
        </w:rPr>
        <w:t>A,</w:t>
      </w:r>
      <w:r w:rsidR="006851B2" w:rsidRPr="00F82D54">
        <w:rPr>
          <w:bCs/>
          <w:sz w:val="20"/>
          <w:szCs w:val="20"/>
        </w:rPr>
        <w:t xml:space="preserve"> </w:t>
      </w:r>
      <w:r w:rsidRPr="00F82D54">
        <w:rPr>
          <w:bCs/>
          <w:sz w:val="20"/>
          <w:szCs w:val="20"/>
        </w:rPr>
        <w:t>Slama</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Cholley</w:t>
      </w:r>
      <w:r w:rsidR="006851B2" w:rsidRPr="00F82D54">
        <w:rPr>
          <w:bCs/>
          <w:sz w:val="20"/>
          <w:szCs w:val="20"/>
        </w:rPr>
        <w:t xml:space="preserve"> </w:t>
      </w:r>
      <w:r w:rsidRPr="00F82D54">
        <w:rPr>
          <w:bCs/>
          <w:sz w:val="20"/>
          <w:szCs w:val="20"/>
        </w:rPr>
        <w:t>B,</w:t>
      </w:r>
      <w:r w:rsidR="006851B2" w:rsidRPr="00F82D54">
        <w:rPr>
          <w:bCs/>
          <w:sz w:val="20"/>
          <w:szCs w:val="20"/>
        </w:rPr>
        <w:t xml:space="preserve"> </w:t>
      </w:r>
      <w:r w:rsidRPr="00F82D54">
        <w:rPr>
          <w:bCs/>
          <w:sz w:val="20"/>
          <w:szCs w:val="20"/>
        </w:rPr>
        <w:t>Janvier</w:t>
      </w:r>
      <w:r w:rsidR="006851B2" w:rsidRPr="00F82D54">
        <w:rPr>
          <w:bCs/>
          <w:sz w:val="20"/>
          <w:szCs w:val="20"/>
        </w:rPr>
        <w:t xml:space="preserve"> </w:t>
      </w:r>
      <w:r w:rsidRPr="00F82D54">
        <w:rPr>
          <w:bCs/>
          <w:sz w:val="20"/>
          <w:szCs w:val="20"/>
        </w:rPr>
        <w:t>G,</w:t>
      </w:r>
      <w:r w:rsidR="006851B2" w:rsidRPr="00F82D54">
        <w:rPr>
          <w:bCs/>
          <w:sz w:val="20"/>
          <w:szCs w:val="20"/>
        </w:rPr>
        <w:t xml:space="preserve"> </w:t>
      </w:r>
      <w:r w:rsidRPr="00F82D54">
        <w:rPr>
          <w:bCs/>
          <w:sz w:val="20"/>
          <w:szCs w:val="20"/>
        </w:rPr>
        <w:t>Vignon</w:t>
      </w:r>
      <w:r w:rsidR="006851B2" w:rsidRPr="00F82D54">
        <w:rPr>
          <w:bCs/>
          <w:sz w:val="20"/>
          <w:szCs w:val="20"/>
        </w:rPr>
        <w:t xml:space="preserve"> </w:t>
      </w:r>
      <w:r w:rsidRPr="00F82D54">
        <w:rPr>
          <w:bCs/>
          <w:sz w:val="20"/>
          <w:szCs w:val="20"/>
        </w:rPr>
        <w:t>P.</w:t>
      </w:r>
      <w:r w:rsidR="006851B2" w:rsidRPr="00F82D54">
        <w:rPr>
          <w:bCs/>
          <w:sz w:val="20"/>
          <w:szCs w:val="20"/>
        </w:rPr>
        <w:t xml:space="preserve"> </w:t>
      </w:r>
      <w:r w:rsidRPr="00F82D54">
        <w:rPr>
          <w:sz w:val="20"/>
          <w:szCs w:val="20"/>
        </w:rPr>
        <w:t>Echocardiography</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intensive</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unit:</w:t>
      </w:r>
      <w:r w:rsidR="006851B2" w:rsidRPr="00F82D54">
        <w:rPr>
          <w:sz w:val="20"/>
          <w:szCs w:val="20"/>
        </w:rPr>
        <w:t xml:space="preserve"> </w:t>
      </w:r>
      <w:r w:rsidRPr="00F82D54">
        <w:rPr>
          <w:sz w:val="20"/>
          <w:szCs w:val="20"/>
        </w:rPr>
        <w:t>from</w:t>
      </w:r>
      <w:r w:rsidR="006851B2" w:rsidRPr="00F82D54">
        <w:rPr>
          <w:sz w:val="20"/>
          <w:szCs w:val="20"/>
        </w:rPr>
        <w:t xml:space="preserve"> </w:t>
      </w:r>
      <w:r w:rsidRPr="00F82D54">
        <w:rPr>
          <w:sz w:val="20"/>
          <w:szCs w:val="20"/>
        </w:rPr>
        <w:t>evolution</w:t>
      </w:r>
      <w:r w:rsidR="006851B2" w:rsidRPr="00F82D54">
        <w:rPr>
          <w:sz w:val="20"/>
          <w:szCs w:val="20"/>
        </w:rPr>
        <w:t xml:space="preserve"> </w:t>
      </w:r>
      <w:r w:rsidRPr="00F82D54">
        <w:rPr>
          <w:sz w:val="20"/>
          <w:szCs w:val="20"/>
        </w:rPr>
        <w:t>to</w:t>
      </w:r>
      <w:r w:rsidR="006851B2" w:rsidRPr="00F82D54">
        <w:rPr>
          <w:sz w:val="20"/>
          <w:szCs w:val="20"/>
        </w:rPr>
        <w:t xml:space="preserve"> </w:t>
      </w:r>
      <w:r w:rsidRPr="00F82D54">
        <w:rPr>
          <w:sz w:val="20"/>
          <w:szCs w:val="20"/>
        </w:rPr>
        <w:t>revolution?.</w:t>
      </w:r>
      <w:r w:rsidR="006851B2" w:rsidRPr="00F82D54">
        <w:rPr>
          <w:sz w:val="20"/>
          <w:szCs w:val="20"/>
        </w:rPr>
        <w:t xml:space="preserve"> </w:t>
      </w:r>
      <w:r w:rsidRPr="00F82D54">
        <w:rPr>
          <w:sz w:val="20"/>
          <w:szCs w:val="20"/>
        </w:rPr>
        <w:t>Intensive</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medicine.</w:t>
      </w:r>
      <w:r w:rsidR="006851B2" w:rsidRPr="00F82D54">
        <w:rPr>
          <w:sz w:val="20"/>
          <w:szCs w:val="20"/>
        </w:rPr>
        <w:t xml:space="preserve"> </w:t>
      </w:r>
      <w:r w:rsidRPr="00F82D54">
        <w:rPr>
          <w:sz w:val="20"/>
          <w:szCs w:val="20"/>
        </w:rPr>
        <w:t>2008;</w:t>
      </w:r>
      <w:r w:rsidR="006851B2" w:rsidRPr="00F82D54">
        <w:rPr>
          <w:sz w:val="20"/>
          <w:szCs w:val="20"/>
        </w:rPr>
        <w:t xml:space="preserve"> </w:t>
      </w:r>
      <w:r w:rsidRPr="00F82D54">
        <w:rPr>
          <w:sz w:val="20"/>
          <w:szCs w:val="20"/>
        </w:rPr>
        <w:t>34(2):243-9.</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Wang</w:t>
      </w:r>
      <w:r w:rsidR="006851B2" w:rsidRPr="00F82D54">
        <w:rPr>
          <w:bCs/>
          <w:sz w:val="20"/>
          <w:szCs w:val="20"/>
        </w:rPr>
        <w:t xml:space="preserve"> </w:t>
      </w:r>
      <w:r w:rsidRPr="00F82D54">
        <w:rPr>
          <w:bCs/>
          <w:sz w:val="20"/>
          <w:szCs w:val="20"/>
        </w:rPr>
        <w:t>F,</w:t>
      </w:r>
      <w:r w:rsidR="006851B2" w:rsidRPr="00F82D54">
        <w:rPr>
          <w:bCs/>
          <w:sz w:val="20"/>
          <w:szCs w:val="20"/>
        </w:rPr>
        <w:t xml:space="preserve"> </w:t>
      </w:r>
      <w:r w:rsidRPr="00F82D54">
        <w:rPr>
          <w:bCs/>
          <w:sz w:val="20"/>
          <w:szCs w:val="20"/>
        </w:rPr>
        <w:t>Wu</w:t>
      </w:r>
      <w:r w:rsidR="006851B2" w:rsidRPr="00F82D54">
        <w:rPr>
          <w:bCs/>
          <w:sz w:val="20"/>
          <w:szCs w:val="20"/>
        </w:rPr>
        <w:t xml:space="preserve"> </w:t>
      </w:r>
      <w:r w:rsidRPr="00F82D54">
        <w:rPr>
          <w:bCs/>
          <w:sz w:val="20"/>
          <w:szCs w:val="20"/>
        </w:rPr>
        <w:t>Y,</w:t>
      </w:r>
      <w:r w:rsidR="006851B2" w:rsidRPr="00F82D54">
        <w:rPr>
          <w:bCs/>
          <w:sz w:val="20"/>
          <w:szCs w:val="20"/>
        </w:rPr>
        <w:t xml:space="preserve"> </w:t>
      </w:r>
      <w:r w:rsidRPr="00F82D54">
        <w:rPr>
          <w:bCs/>
          <w:sz w:val="20"/>
          <w:szCs w:val="20"/>
        </w:rPr>
        <w:t>Tang</w:t>
      </w:r>
      <w:r w:rsidR="006851B2" w:rsidRPr="00F82D54">
        <w:rPr>
          <w:bCs/>
          <w:sz w:val="20"/>
          <w:szCs w:val="20"/>
        </w:rPr>
        <w:t xml:space="preserve"> </w:t>
      </w:r>
      <w:r w:rsidRPr="00F82D54">
        <w:rPr>
          <w:bCs/>
          <w:sz w:val="20"/>
          <w:szCs w:val="20"/>
        </w:rPr>
        <w:t>L,</w:t>
      </w:r>
      <w:r w:rsidR="006851B2" w:rsidRPr="00F82D54">
        <w:rPr>
          <w:bCs/>
          <w:sz w:val="20"/>
          <w:szCs w:val="20"/>
        </w:rPr>
        <w:t xml:space="preserve"> </w:t>
      </w:r>
      <w:r w:rsidRPr="00F82D54">
        <w:rPr>
          <w:bCs/>
          <w:sz w:val="20"/>
          <w:szCs w:val="20"/>
        </w:rPr>
        <w:t>Zhu</w:t>
      </w:r>
      <w:r w:rsidR="006851B2" w:rsidRPr="00F82D54">
        <w:rPr>
          <w:bCs/>
          <w:sz w:val="20"/>
          <w:szCs w:val="20"/>
        </w:rPr>
        <w:t xml:space="preserve"> </w:t>
      </w:r>
      <w:r w:rsidRPr="00F82D54">
        <w:rPr>
          <w:bCs/>
          <w:sz w:val="20"/>
          <w:szCs w:val="20"/>
        </w:rPr>
        <w:t>W,</w:t>
      </w:r>
      <w:r w:rsidR="006851B2" w:rsidRPr="00F82D54">
        <w:rPr>
          <w:bCs/>
          <w:sz w:val="20"/>
          <w:szCs w:val="20"/>
        </w:rPr>
        <w:t xml:space="preserve"> </w:t>
      </w:r>
      <w:r w:rsidRPr="00F82D54">
        <w:rPr>
          <w:bCs/>
          <w:sz w:val="20"/>
          <w:szCs w:val="20"/>
        </w:rPr>
        <w:t>Chen</w:t>
      </w:r>
      <w:r w:rsidR="006851B2" w:rsidRPr="00F82D54">
        <w:rPr>
          <w:bCs/>
          <w:sz w:val="20"/>
          <w:szCs w:val="20"/>
        </w:rPr>
        <w:t xml:space="preserve"> </w:t>
      </w:r>
      <w:r w:rsidRPr="00F82D54">
        <w:rPr>
          <w:bCs/>
          <w:sz w:val="20"/>
          <w:szCs w:val="20"/>
        </w:rPr>
        <w:t>F,</w:t>
      </w:r>
      <w:r w:rsidR="006851B2" w:rsidRPr="00F82D54">
        <w:rPr>
          <w:bCs/>
          <w:sz w:val="20"/>
          <w:szCs w:val="20"/>
        </w:rPr>
        <w:t xml:space="preserve"> </w:t>
      </w:r>
      <w:r w:rsidRPr="00F82D54">
        <w:rPr>
          <w:bCs/>
          <w:sz w:val="20"/>
          <w:szCs w:val="20"/>
        </w:rPr>
        <w:t>Xu</w:t>
      </w:r>
      <w:r w:rsidR="006851B2" w:rsidRPr="00F82D54">
        <w:rPr>
          <w:bCs/>
          <w:sz w:val="20"/>
          <w:szCs w:val="20"/>
        </w:rPr>
        <w:t xml:space="preserve"> </w:t>
      </w:r>
      <w:r w:rsidRPr="00F82D54">
        <w:rPr>
          <w:bCs/>
          <w:sz w:val="20"/>
          <w:szCs w:val="20"/>
        </w:rPr>
        <w:t>T,</w:t>
      </w:r>
      <w:r w:rsidR="006851B2" w:rsidRPr="00F82D54">
        <w:rPr>
          <w:bCs/>
          <w:sz w:val="20"/>
          <w:szCs w:val="20"/>
        </w:rPr>
        <w:t xml:space="preserve"> </w:t>
      </w:r>
      <w:r w:rsidRPr="00F82D54">
        <w:rPr>
          <w:bCs/>
          <w:sz w:val="20"/>
          <w:szCs w:val="20"/>
        </w:rPr>
        <w:t>Bo</w:t>
      </w:r>
      <w:r w:rsidR="006851B2" w:rsidRPr="00F82D54">
        <w:rPr>
          <w:bCs/>
          <w:sz w:val="20"/>
          <w:szCs w:val="20"/>
        </w:rPr>
        <w:t xml:space="preserve"> </w:t>
      </w:r>
      <w:r w:rsidRPr="00F82D54">
        <w:rPr>
          <w:bCs/>
          <w:sz w:val="20"/>
          <w:szCs w:val="20"/>
        </w:rPr>
        <w:t>L,</w:t>
      </w:r>
      <w:r w:rsidR="006851B2" w:rsidRPr="00F82D54">
        <w:rPr>
          <w:bCs/>
          <w:sz w:val="20"/>
          <w:szCs w:val="20"/>
        </w:rPr>
        <w:t xml:space="preserve"> </w:t>
      </w:r>
      <w:r w:rsidRPr="00F82D54">
        <w:rPr>
          <w:bCs/>
          <w:sz w:val="20"/>
          <w:szCs w:val="20"/>
        </w:rPr>
        <w:t>Li</w:t>
      </w:r>
      <w:r w:rsidR="006851B2" w:rsidRPr="00F82D54">
        <w:rPr>
          <w:bCs/>
          <w:sz w:val="20"/>
          <w:szCs w:val="20"/>
        </w:rPr>
        <w:t xml:space="preserve"> </w:t>
      </w:r>
      <w:r w:rsidRPr="00F82D54">
        <w:rPr>
          <w:bCs/>
          <w:sz w:val="20"/>
          <w:szCs w:val="20"/>
        </w:rPr>
        <w:t>J,</w:t>
      </w:r>
      <w:r w:rsidR="006851B2" w:rsidRPr="00F82D54">
        <w:rPr>
          <w:bCs/>
          <w:sz w:val="20"/>
          <w:szCs w:val="20"/>
        </w:rPr>
        <w:t xml:space="preserve"> </w:t>
      </w:r>
      <w:r w:rsidRPr="00F82D54">
        <w:rPr>
          <w:bCs/>
          <w:sz w:val="20"/>
          <w:szCs w:val="20"/>
        </w:rPr>
        <w:t>Deng</w:t>
      </w:r>
      <w:r w:rsidR="006851B2" w:rsidRPr="00F82D54">
        <w:rPr>
          <w:bCs/>
          <w:sz w:val="20"/>
          <w:szCs w:val="20"/>
        </w:rPr>
        <w:t xml:space="preserve"> </w:t>
      </w:r>
      <w:r w:rsidRPr="00F82D54">
        <w:rPr>
          <w:bCs/>
          <w:sz w:val="20"/>
          <w:szCs w:val="20"/>
        </w:rPr>
        <w:t>X.</w:t>
      </w:r>
      <w:r w:rsidR="006851B2" w:rsidRPr="00F82D54">
        <w:rPr>
          <w:bCs/>
          <w:sz w:val="20"/>
          <w:szCs w:val="20"/>
        </w:rPr>
        <w:t xml:space="preserve"> </w:t>
      </w:r>
      <w:r w:rsidRPr="00F82D54">
        <w:rPr>
          <w:sz w:val="20"/>
          <w:szCs w:val="20"/>
        </w:rPr>
        <w:t>Brain</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for</w:t>
      </w:r>
      <w:r w:rsidR="006851B2" w:rsidRPr="00F82D54">
        <w:rPr>
          <w:sz w:val="20"/>
          <w:szCs w:val="20"/>
        </w:rPr>
        <w:t xml:space="preserve"> </w:t>
      </w:r>
      <w:r w:rsidRPr="00F82D54">
        <w:rPr>
          <w:sz w:val="20"/>
          <w:szCs w:val="20"/>
        </w:rPr>
        <w:t>prediction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mortality</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with</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w:t>
      </w:r>
      <w:r w:rsidR="006851B2" w:rsidRPr="00F82D54">
        <w:rPr>
          <w:sz w:val="20"/>
          <w:szCs w:val="20"/>
        </w:rPr>
        <w:t xml:space="preserve"> </w:t>
      </w:r>
      <w:r w:rsidRPr="00F82D54">
        <w:rPr>
          <w:sz w:val="20"/>
          <w:szCs w:val="20"/>
        </w:rPr>
        <w:t>systematic</w:t>
      </w:r>
      <w:r w:rsidR="006851B2" w:rsidRPr="00F82D54">
        <w:rPr>
          <w:sz w:val="20"/>
          <w:szCs w:val="20"/>
        </w:rPr>
        <w:t xml:space="preserve"> </w:t>
      </w:r>
      <w:r w:rsidRPr="00F82D54">
        <w:rPr>
          <w:sz w:val="20"/>
          <w:szCs w:val="20"/>
        </w:rPr>
        <w:t>review</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meta-analysis.</w:t>
      </w:r>
      <w:r w:rsidR="006851B2" w:rsidRPr="00F82D54">
        <w:rPr>
          <w:sz w:val="20"/>
          <w:szCs w:val="20"/>
        </w:rPr>
        <w:t xml:space="preserve"> </w:t>
      </w:r>
      <w:r w:rsidRPr="00F82D54">
        <w:rPr>
          <w:sz w:val="20"/>
          <w:szCs w:val="20"/>
        </w:rPr>
        <w:t>Critical</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2012;</w:t>
      </w:r>
      <w:r w:rsidR="006851B2" w:rsidRPr="00F82D54">
        <w:rPr>
          <w:sz w:val="20"/>
          <w:szCs w:val="20"/>
        </w:rPr>
        <w:t xml:space="preserve"> </w:t>
      </w:r>
      <w:r w:rsidRPr="00F82D54">
        <w:rPr>
          <w:sz w:val="20"/>
          <w:szCs w:val="20"/>
        </w:rPr>
        <w:t>16(3)</w:t>
      </w:r>
      <w:r w:rsidR="00AF7E26" w:rsidRPr="00F82D54">
        <w:rPr>
          <w:sz w:val="20"/>
          <w:szCs w:val="20"/>
        </w:rPr>
        <w:t>: R</w:t>
      </w:r>
      <w:r w:rsidRPr="00F82D54">
        <w:rPr>
          <w:sz w:val="20"/>
          <w:szCs w:val="20"/>
        </w:rPr>
        <w:t>74.</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Zambon</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Ceola</w:t>
      </w:r>
      <w:r w:rsidR="006851B2" w:rsidRPr="00F82D54">
        <w:rPr>
          <w:bCs/>
          <w:sz w:val="20"/>
          <w:szCs w:val="20"/>
        </w:rPr>
        <w:t xml:space="preserve"> </w:t>
      </w:r>
      <w:r w:rsidRPr="00F82D54">
        <w:rPr>
          <w:bCs/>
          <w:sz w:val="20"/>
          <w:szCs w:val="20"/>
        </w:rPr>
        <w:t>M,</w:t>
      </w:r>
      <w:r w:rsidR="006851B2" w:rsidRPr="00F82D54">
        <w:rPr>
          <w:bCs/>
          <w:sz w:val="20"/>
          <w:szCs w:val="20"/>
        </w:rPr>
        <w:t xml:space="preserve"> </w:t>
      </w:r>
      <w:r w:rsidRPr="00F82D54">
        <w:rPr>
          <w:bCs/>
          <w:sz w:val="20"/>
          <w:szCs w:val="20"/>
        </w:rPr>
        <w:t>Almeida-de-Castro</w:t>
      </w:r>
      <w:r w:rsidR="006851B2" w:rsidRPr="00F82D54">
        <w:rPr>
          <w:bCs/>
          <w:sz w:val="20"/>
          <w:szCs w:val="20"/>
        </w:rPr>
        <w:t xml:space="preserve"> </w:t>
      </w:r>
      <w:r w:rsidRPr="00F82D54">
        <w:rPr>
          <w:bCs/>
          <w:sz w:val="20"/>
          <w:szCs w:val="20"/>
        </w:rPr>
        <w:t>R,</w:t>
      </w:r>
      <w:r w:rsidR="006851B2" w:rsidRPr="00F82D54">
        <w:rPr>
          <w:bCs/>
          <w:sz w:val="20"/>
          <w:szCs w:val="20"/>
        </w:rPr>
        <w:t xml:space="preserve"> </w:t>
      </w:r>
      <w:r w:rsidRPr="00F82D54">
        <w:rPr>
          <w:bCs/>
          <w:sz w:val="20"/>
          <w:szCs w:val="20"/>
        </w:rPr>
        <w:t>et</w:t>
      </w:r>
      <w:r w:rsidR="006851B2" w:rsidRPr="00F82D54">
        <w:rPr>
          <w:bCs/>
          <w:sz w:val="20"/>
          <w:szCs w:val="20"/>
        </w:rPr>
        <w:t xml:space="preserve"> </w:t>
      </w:r>
      <w:r w:rsidRPr="00F82D54">
        <w:rPr>
          <w:bCs/>
          <w:sz w:val="20"/>
          <w:szCs w:val="20"/>
        </w:rPr>
        <w:t>al.</w:t>
      </w:r>
      <w:r w:rsidR="006851B2" w:rsidRPr="00F82D54">
        <w:rPr>
          <w:sz w:val="20"/>
          <w:szCs w:val="20"/>
        </w:rPr>
        <w:t xml:space="preserve"> </w:t>
      </w:r>
      <w:r w:rsidRPr="00F82D54">
        <w:rPr>
          <w:sz w:val="20"/>
          <w:szCs w:val="20"/>
        </w:rPr>
        <w:t>Implementation</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the</w:t>
      </w:r>
      <w:r w:rsidR="006851B2" w:rsidRPr="00F82D54">
        <w:rPr>
          <w:sz w:val="20"/>
          <w:szCs w:val="20"/>
        </w:rPr>
        <w:t xml:space="preserve"> </w:t>
      </w:r>
      <w:r w:rsidRPr="00F82D54">
        <w:rPr>
          <w:sz w:val="20"/>
          <w:szCs w:val="20"/>
        </w:rPr>
        <w:t>Surviving</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Campaign</w:t>
      </w:r>
      <w:r w:rsidR="006851B2" w:rsidRPr="00F82D54">
        <w:rPr>
          <w:sz w:val="20"/>
          <w:szCs w:val="20"/>
        </w:rPr>
        <w:t xml:space="preserve"> </w:t>
      </w:r>
      <w:r w:rsidRPr="00F82D54">
        <w:rPr>
          <w:sz w:val="20"/>
          <w:szCs w:val="20"/>
        </w:rPr>
        <w:t>guidelines</w:t>
      </w:r>
      <w:r w:rsidR="006851B2" w:rsidRPr="00F82D54">
        <w:rPr>
          <w:sz w:val="20"/>
          <w:szCs w:val="20"/>
        </w:rPr>
        <w:t xml:space="preserve"> </w:t>
      </w:r>
      <w:r w:rsidRPr="00F82D54">
        <w:rPr>
          <w:sz w:val="20"/>
          <w:szCs w:val="20"/>
        </w:rPr>
        <w:t>for</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sz w:val="20"/>
          <w:szCs w:val="20"/>
        </w:rPr>
        <w:t xml:space="preserve"> </w:t>
      </w:r>
      <w:r w:rsidRPr="00F82D54">
        <w:rPr>
          <w:sz w:val="20"/>
          <w:szCs w:val="20"/>
        </w:rPr>
        <w:t>we</w:t>
      </w:r>
      <w:r w:rsidR="006851B2" w:rsidRPr="00F82D54">
        <w:rPr>
          <w:sz w:val="20"/>
          <w:szCs w:val="20"/>
        </w:rPr>
        <w:t xml:space="preserve"> </w:t>
      </w:r>
      <w:r w:rsidRPr="00F82D54">
        <w:rPr>
          <w:sz w:val="20"/>
          <w:szCs w:val="20"/>
        </w:rPr>
        <w:t>could</w:t>
      </w:r>
      <w:r w:rsidR="006851B2" w:rsidRPr="00F82D54">
        <w:rPr>
          <w:sz w:val="20"/>
          <w:szCs w:val="20"/>
        </w:rPr>
        <w:t xml:space="preserve"> </w:t>
      </w:r>
      <w:r w:rsidRPr="00F82D54">
        <w:rPr>
          <w:sz w:val="20"/>
          <w:szCs w:val="20"/>
        </w:rPr>
        <w:t>go</w:t>
      </w:r>
      <w:r w:rsidR="006851B2" w:rsidRPr="00F82D54">
        <w:rPr>
          <w:sz w:val="20"/>
          <w:szCs w:val="20"/>
        </w:rPr>
        <w:t xml:space="preserve"> </w:t>
      </w:r>
      <w:r w:rsidRPr="00F82D54">
        <w:rPr>
          <w:sz w:val="20"/>
          <w:szCs w:val="20"/>
        </w:rPr>
        <w:t>faster.</w:t>
      </w:r>
      <w:r w:rsidR="006851B2" w:rsidRPr="00F82D54">
        <w:rPr>
          <w:sz w:val="20"/>
          <w:szCs w:val="20"/>
        </w:rPr>
        <w:t xml:space="preserve"> </w:t>
      </w:r>
      <w:r w:rsidRPr="00F82D54">
        <w:rPr>
          <w:sz w:val="20"/>
          <w:szCs w:val="20"/>
        </w:rPr>
        <w:t>J</w:t>
      </w:r>
      <w:r w:rsidR="006851B2" w:rsidRPr="00F82D54">
        <w:rPr>
          <w:sz w:val="20"/>
          <w:szCs w:val="20"/>
        </w:rPr>
        <w:t xml:space="preserve"> </w:t>
      </w:r>
      <w:r w:rsidRPr="00F82D54">
        <w:rPr>
          <w:sz w:val="20"/>
          <w:szCs w:val="20"/>
        </w:rPr>
        <w:t>Crit</w:t>
      </w:r>
      <w:r w:rsidR="006851B2" w:rsidRPr="00F82D54">
        <w:rPr>
          <w:sz w:val="20"/>
          <w:szCs w:val="20"/>
        </w:rPr>
        <w:t xml:space="preserve"> </w:t>
      </w:r>
      <w:r w:rsidRPr="00F82D54">
        <w:rPr>
          <w:sz w:val="20"/>
          <w:szCs w:val="20"/>
        </w:rPr>
        <w:t>Care.</w:t>
      </w:r>
      <w:r w:rsidR="006851B2" w:rsidRPr="00F82D54">
        <w:rPr>
          <w:sz w:val="20"/>
          <w:szCs w:val="20"/>
        </w:rPr>
        <w:t xml:space="preserve"> </w:t>
      </w:r>
      <w:r w:rsidRPr="00F82D54">
        <w:rPr>
          <w:sz w:val="20"/>
          <w:szCs w:val="20"/>
        </w:rPr>
        <w:t>2008;23:455–460.</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Zhang</w:t>
      </w:r>
      <w:r w:rsidR="006851B2" w:rsidRPr="00F82D54">
        <w:rPr>
          <w:bCs/>
          <w:sz w:val="20"/>
          <w:szCs w:val="20"/>
        </w:rPr>
        <w:t xml:space="preserve"> </w:t>
      </w:r>
      <w:r w:rsidRPr="00F82D54">
        <w:rPr>
          <w:bCs/>
          <w:sz w:val="20"/>
          <w:szCs w:val="20"/>
        </w:rPr>
        <w:t>Z,</w:t>
      </w:r>
      <w:r w:rsidR="006851B2" w:rsidRPr="00F82D54">
        <w:rPr>
          <w:bCs/>
          <w:sz w:val="20"/>
          <w:szCs w:val="20"/>
        </w:rPr>
        <w:t xml:space="preserve"> </w:t>
      </w:r>
      <w:r w:rsidRPr="00F82D54">
        <w:rPr>
          <w:bCs/>
          <w:sz w:val="20"/>
          <w:szCs w:val="20"/>
        </w:rPr>
        <w:t>Xue</w:t>
      </w:r>
      <w:r w:rsidR="006851B2" w:rsidRPr="00F82D54">
        <w:rPr>
          <w:bCs/>
          <w:sz w:val="20"/>
          <w:szCs w:val="20"/>
        </w:rPr>
        <w:t xml:space="preserve"> </w:t>
      </w:r>
      <w:r w:rsidRPr="00F82D54">
        <w:rPr>
          <w:bCs/>
          <w:sz w:val="20"/>
          <w:szCs w:val="20"/>
        </w:rPr>
        <w:t>Y,</w:t>
      </w:r>
      <w:r w:rsidR="006851B2" w:rsidRPr="00F82D54">
        <w:rPr>
          <w:bCs/>
          <w:sz w:val="20"/>
          <w:szCs w:val="20"/>
        </w:rPr>
        <w:t xml:space="preserve"> </w:t>
      </w:r>
      <w:r w:rsidRPr="00F82D54">
        <w:rPr>
          <w:bCs/>
          <w:sz w:val="20"/>
          <w:szCs w:val="20"/>
        </w:rPr>
        <w:t>Xu</w:t>
      </w:r>
      <w:r w:rsidR="006851B2" w:rsidRPr="00F82D54">
        <w:rPr>
          <w:bCs/>
          <w:sz w:val="20"/>
          <w:szCs w:val="20"/>
        </w:rPr>
        <w:t xml:space="preserve"> </w:t>
      </w:r>
      <w:r w:rsidRPr="00F82D54">
        <w:rPr>
          <w:bCs/>
          <w:sz w:val="20"/>
          <w:szCs w:val="20"/>
        </w:rPr>
        <w:t>X,</w:t>
      </w:r>
      <w:r w:rsidR="006851B2" w:rsidRPr="00F82D54">
        <w:rPr>
          <w:bCs/>
          <w:sz w:val="20"/>
          <w:szCs w:val="20"/>
        </w:rPr>
        <w:t xml:space="preserve"> </w:t>
      </w:r>
      <w:r w:rsidRPr="00F82D54">
        <w:rPr>
          <w:bCs/>
          <w:sz w:val="20"/>
          <w:szCs w:val="20"/>
        </w:rPr>
        <w:t>Ni</w:t>
      </w:r>
      <w:r w:rsidR="006851B2" w:rsidRPr="00F82D54">
        <w:rPr>
          <w:bCs/>
          <w:sz w:val="20"/>
          <w:szCs w:val="20"/>
        </w:rPr>
        <w:t xml:space="preserve"> </w:t>
      </w:r>
      <w:r w:rsidRPr="00F82D54">
        <w:rPr>
          <w:bCs/>
          <w:sz w:val="20"/>
          <w:szCs w:val="20"/>
        </w:rPr>
        <w:t>H</w:t>
      </w:r>
      <w:r w:rsidRPr="00F82D54">
        <w:rPr>
          <w:sz w:val="20"/>
          <w:szCs w:val="20"/>
        </w:rPr>
        <w:t>.</w:t>
      </w:r>
      <w:r w:rsidR="006851B2" w:rsidRPr="00F82D54">
        <w:rPr>
          <w:sz w:val="20"/>
          <w:szCs w:val="20"/>
        </w:rPr>
        <w:t xml:space="preserve"> </w:t>
      </w:r>
      <w:r w:rsidRPr="00F82D54">
        <w:rPr>
          <w:sz w:val="20"/>
          <w:szCs w:val="20"/>
        </w:rPr>
        <w:t>Prognostic</w:t>
      </w:r>
      <w:r w:rsidR="006851B2" w:rsidRPr="00F82D54">
        <w:rPr>
          <w:sz w:val="20"/>
          <w:szCs w:val="20"/>
        </w:rPr>
        <w:t xml:space="preserve"> </w:t>
      </w:r>
      <w:r w:rsidRPr="00F82D54">
        <w:rPr>
          <w:sz w:val="20"/>
          <w:szCs w:val="20"/>
        </w:rPr>
        <w:t>value</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(BNP)</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its</w:t>
      </w:r>
      <w:r w:rsidR="006851B2" w:rsidRPr="00F82D54">
        <w:rPr>
          <w:sz w:val="20"/>
          <w:szCs w:val="20"/>
        </w:rPr>
        <w:t xml:space="preserve"> </w:t>
      </w:r>
      <w:r w:rsidRPr="00F82D54">
        <w:rPr>
          <w:sz w:val="20"/>
          <w:szCs w:val="20"/>
        </w:rPr>
        <w:t>potential</w:t>
      </w:r>
      <w:r w:rsidR="006851B2" w:rsidRPr="00F82D54">
        <w:rPr>
          <w:sz w:val="20"/>
          <w:szCs w:val="20"/>
        </w:rPr>
        <w:t xml:space="preserve"> </w:t>
      </w:r>
      <w:r w:rsidRPr="00F82D54">
        <w:rPr>
          <w:sz w:val="20"/>
          <w:szCs w:val="20"/>
        </w:rPr>
        <w:t>role</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guiding</w:t>
      </w:r>
      <w:r w:rsidR="006851B2" w:rsidRPr="00F82D54">
        <w:rPr>
          <w:sz w:val="20"/>
          <w:szCs w:val="20"/>
        </w:rPr>
        <w:t xml:space="preserve"> </w:t>
      </w:r>
      <w:r w:rsidRPr="00F82D54">
        <w:rPr>
          <w:sz w:val="20"/>
          <w:szCs w:val="20"/>
        </w:rPr>
        <w:t>fluid</w:t>
      </w:r>
      <w:r w:rsidR="006851B2" w:rsidRPr="00F82D54">
        <w:rPr>
          <w:sz w:val="20"/>
          <w:szCs w:val="20"/>
        </w:rPr>
        <w:t xml:space="preserve"> </w:t>
      </w:r>
      <w:r w:rsidRPr="00F82D54">
        <w:rPr>
          <w:sz w:val="20"/>
          <w:szCs w:val="20"/>
        </w:rPr>
        <w:t>therapy</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critically</w:t>
      </w:r>
      <w:r w:rsidR="006851B2" w:rsidRPr="00F82D54">
        <w:rPr>
          <w:sz w:val="20"/>
          <w:szCs w:val="20"/>
        </w:rPr>
        <w:t xml:space="preserve"> </w:t>
      </w:r>
      <w:r w:rsidRPr="00F82D54">
        <w:rPr>
          <w:sz w:val="20"/>
          <w:szCs w:val="20"/>
        </w:rPr>
        <w:t>ill</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patients.</w:t>
      </w:r>
      <w:r w:rsidR="006851B2" w:rsidRPr="00F82D54">
        <w:rPr>
          <w:sz w:val="20"/>
          <w:szCs w:val="20"/>
        </w:rPr>
        <w:t xml:space="preserve"> </w:t>
      </w:r>
      <w:r w:rsidRPr="00F82D54">
        <w:rPr>
          <w:sz w:val="20"/>
          <w:szCs w:val="20"/>
        </w:rPr>
        <w:t>Scand</w:t>
      </w:r>
      <w:r w:rsidR="006851B2" w:rsidRPr="00F82D54">
        <w:rPr>
          <w:sz w:val="20"/>
          <w:szCs w:val="20"/>
        </w:rPr>
        <w:t xml:space="preserve"> </w:t>
      </w:r>
      <w:r w:rsidRPr="00F82D54">
        <w:rPr>
          <w:sz w:val="20"/>
          <w:szCs w:val="20"/>
        </w:rPr>
        <w:t>J</w:t>
      </w:r>
      <w:r w:rsidR="006851B2" w:rsidRPr="00F82D54">
        <w:rPr>
          <w:sz w:val="20"/>
          <w:szCs w:val="20"/>
        </w:rPr>
        <w:t xml:space="preserve"> </w:t>
      </w:r>
      <w:r w:rsidRPr="00F82D54">
        <w:rPr>
          <w:sz w:val="20"/>
          <w:szCs w:val="20"/>
        </w:rPr>
        <w:t>Trauma</w:t>
      </w:r>
      <w:r w:rsidR="006851B2" w:rsidRPr="00F82D54">
        <w:rPr>
          <w:sz w:val="20"/>
          <w:szCs w:val="20"/>
        </w:rPr>
        <w:t xml:space="preserve"> </w:t>
      </w:r>
      <w:r w:rsidRPr="00F82D54">
        <w:rPr>
          <w:sz w:val="20"/>
          <w:szCs w:val="20"/>
        </w:rPr>
        <w:t>Resusc</w:t>
      </w:r>
      <w:r w:rsidR="006851B2" w:rsidRPr="00F82D54">
        <w:rPr>
          <w:sz w:val="20"/>
          <w:szCs w:val="20"/>
        </w:rPr>
        <w:t xml:space="preserve"> </w:t>
      </w:r>
      <w:r w:rsidRPr="00F82D54">
        <w:rPr>
          <w:sz w:val="20"/>
          <w:szCs w:val="20"/>
        </w:rPr>
        <w:t>Emerg</w:t>
      </w:r>
      <w:r w:rsidR="006851B2" w:rsidRPr="00F82D54">
        <w:rPr>
          <w:sz w:val="20"/>
          <w:szCs w:val="20"/>
        </w:rPr>
        <w:t xml:space="preserve"> </w:t>
      </w:r>
      <w:r w:rsidRPr="00F82D54">
        <w:rPr>
          <w:sz w:val="20"/>
          <w:szCs w:val="20"/>
        </w:rPr>
        <w:t>Med.</w:t>
      </w:r>
      <w:r w:rsidR="006851B2" w:rsidRPr="00F82D54">
        <w:rPr>
          <w:sz w:val="20"/>
          <w:szCs w:val="20"/>
        </w:rPr>
        <w:t xml:space="preserve"> </w:t>
      </w:r>
      <w:r w:rsidRPr="00F82D54">
        <w:rPr>
          <w:sz w:val="20"/>
          <w:szCs w:val="20"/>
        </w:rPr>
        <w:t>2012;20:86.</w:t>
      </w:r>
      <w:r w:rsidR="006851B2" w:rsidRPr="00F82D54">
        <w:rPr>
          <w:sz w:val="20"/>
          <w:szCs w:val="20"/>
        </w:rPr>
        <w:t xml:space="preserve"> </w:t>
      </w:r>
    </w:p>
    <w:p w:rsidR="008B7740" w:rsidRPr="00F82D54" w:rsidRDefault="008B7740" w:rsidP="00AF7E26">
      <w:pPr>
        <w:pStyle w:val="ListParagraph"/>
        <w:numPr>
          <w:ilvl w:val="0"/>
          <w:numId w:val="8"/>
        </w:numPr>
        <w:snapToGrid w:val="0"/>
        <w:ind w:firstLineChars="0"/>
        <w:jc w:val="both"/>
        <w:rPr>
          <w:sz w:val="20"/>
          <w:szCs w:val="20"/>
        </w:rPr>
      </w:pPr>
      <w:r w:rsidRPr="00F82D54">
        <w:rPr>
          <w:bCs/>
          <w:sz w:val="20"/>
          <w:szCs w:val="20"/>
        </w:rPr>
        <w:t>Zhao</w:t>
      </w:r>
      <w:r w:rsidR="006851B2" w:rsidRPr="00F82D54">
        <w:rPr>
          <w:bCs/>
          <w:sz w:val="20"/>
          <w:szCs w:val="20"/>
        </w:rPr>
        <w:t xml:space="preserve"> </w:t>
      </w:r>
      <w:r w:rsidRPr="00F82D54">
        <w:rPr>
          <w:bCs/>
          <w:sz w:val="20"/>
          <w:szCs w:val="20"/>
        </w:rPr>
        <w:t>HY,</w:t>
      </w:r>
      <w:r w:rsidR="006851B2" w:rsidRPr="00F82D54">
        <w:rPr>
          <w:bCs/>
          <w:sz w:val="20"/>
          <w:szCs w:val="20"/>
        </w:rPr>
        <w:t xml:space="preserve"> </w:t>
      </w:r>
      <w:r w:rsidRPr="00F82D54">
        <w:rPr>
          <w:bCs/>
          <w:sz w:val="20"/>
          <w:szCs w:val="20"/>
        </w:rPr>
        <w:t>An</w:t>
      </w:r>
      <w:r w:rsidR="006851B2" w:rsidRPr="00F82D54">
        <w:rPr>
          <w:bCs/>
          <w:sz w:val="20"/>
          <w:szCs w:val="20"/>
        </w:rPr>
        <w:t xml:space="preserve"> </w:t>
      </w:r>
      <w:r w:rsidRPr="00F82D54">
        <w:rPr>
          <w:bCs/>
          <w:sz w:val="20"/>
          <w:szCs w:val="20"/>
        </w:rPr>
        <w:t>YZ,</w:t>
      </w:r>
      <w:r w:rsidR="006851B2" w:rsidRPr="00F82D54">
        <w:rPr>
          <w:bCs/>
          <w:sz w:val="20"/>
          <w:szCs w:val="20"/>
        </w:rPr>
        <w:t xml:space="preserve"> </w:t>
      </w:r>
      <w:r w:rsidRPr="00F82D54">
        <w:rPr>
          <w:bCs/>
          <w:sz w:val="20"/>
          <w:szCs w:val="20"/>
        </w:rPr>
        <w:t>Liu</w:t>
      </w:r>
      <w:r w:rsidR="006851B2" w:rsidRPr="00F82D54">
        <w:rPr>
          <w:bCs/>
          <w:sz w:val="20"/>
          <w:szCs w:val="20"/>
        </w:rPr>
        <w:t xml:space="preserve"> </w:t>
      </w:r>
      <w:r w:rsidRPr="00F82D54">
        <w:rPr>
          <w:bCs/>
          <w:sz w:val="20"/>
          <w:szCs w:val="20"/>
        </w:rPr>
        <w:t>F.</w:t>
      </w:r>
      <w:r w:rsidR="006851B2" w:rsidRPr="00F82D54">
        <w:rPr>
          <w:sz w:val="20"/>
          <w:szCs w:val="20"/>
        </w:rPr>
        <w:t xml:space="preserve"> </w:t>
      </w:r>
      <w:r w:rsidRPr="00F82D54">
        <w:rPr>
          <w:sz w:val="20"/>
          <w:szCs w:val="20"/>
        </w:rPr>
        <w:t>[Prognostic</w:t>
      </w:r>
      <w:r w:rsidR="006851B2" w:rsidRPr="00F82D54">
        <w:rPr>
          <w:sz w:val="20"/>
          <w:szCs w:val="20"/>
        </w:rPr>
        <w:t xml:space="preserve"> </w:t>
      </w:r>
      <w:r w:rsidRPr="00F82D54">
        <w:rPr>
          <w:sz w:val="20"/>
          <w:szCs w:val="20"/>
        </w:rPr>
        <w:t>values</w:t>
      </w:r>
      <w:r w:rsidR="006851B2" w:rsidRPr="00F82D54">
        <w:rPr>
          <w:sz w:val="20"/>
          <w:szCs w:val="20"/>
        </w:rPr>
        <w:t xml:space="preserve"> </w:t>
      </w:r>
      <w:r w:rsidRPr="00F82D54">
        <w:rPr>
          <w:sz w:val="20"/>
          <w:szCs w:val="20"/>
        </w:rPr>
        <w:t>of</w:t>
      </w:r>
      <w:r w:rsidR="006851B2" w:rsidRPr="00F82D54">
        <w:rPr>
          <w:sz w:val="20"/>
          <w:szCs w:val="20"/>
        </w:rPr>
        <w:t xml:space="preserve"> </w:t>
      </w:r>
      <w:r w:rsidRPr="00F82D54">
        <w:rPr>
          <w:sz w:val="20"/>
          <w:szCs w:val="20"/>
        </w:rPr>
        <w:t>B-type</w:t>
      </w:r>
      <w:r w:rsidR="006851B2" w:rsidRPr="00F82D54">
        <w:rPr>
          <w:sz w:val="20"/>
          <w:szCs w:val="20"/>
        </w:rPr>
        <w:t xml:space="preserve"> </w:t>
      </w:r>
      <w:r w:rsidRPr="00F82D54">
        <w:rPr>
          <w:sz w:val="20"/>
          <w:szCs w:val="20"/>
        </w:rPr>
        <w:t>natriuretic</w:t>
      </w:r>
      <w:r w:rsidR="006851B2" w:rsidRPr="00F82D54">
        <w:rPr>
          <w:sz w:val="20"/>
          <w:szCs w:val="20"/>
        </w:rPr>
        <w:t xml:space="preserve"> </w:t>
      </w:r>
      <w:r w:rsidRPr="00F82D54">
        <w:rPr>
          <w:sz w:val="20"/>
          <w:szCs w:val="20"/>
        </w:rPr>
        <w:t>peptide</w:t>
      </w:r>
      <w:r w:rsidR="006851B2" w:rsidRPr="00F82D54">
        <w:rPr>
          <w:sz w:val="20"/>
          <w:szCs w:val="20"/>
        </w:rPr>
        <w:t xml:space="preserve"> </w:t>
      </w:r>
      <w:r w:rsidRPr="00F82D54">
        <w:rPr>
          <w:sz w:val="20"/>
          <w:szCs w:val="20"/>
        </w:rPr>
        <w:t>in</w:t>
      </w:r>
      <w:r w:rsidR="006851B2" w:rsidRPr="00F82D54">
        <w:rPr>
          <w:sz w:val="20"/>
          <w:szCs w:val="20"/>
        </w:rPr>
        <w:t xml:space="preserve"> </w:t>
      </w:r>
      <w:r w:rsidRPr="00F82D54">
        <w:rPr>
          <w:sz w:val="20"/>
          <w:szCs w:val="20"/>
        </w:rPr>
        <w:t>severe</w:t>
      </w:r>
      <w:r w:rsidR="006851B2" w:rsidRPr="00F82D54">
        <w:rPr>
          <w:sz w:val="20"/>
          <w:szCs w:val="20"/>
        </w:rPr>
        <w:t xml:space="preserve"> </w:t>
      </w:r>
      <w:r w:rsidRPr="00F82D54">
        <w:rPr>
          <w:sz w:val="20"/>
          <w:szCs w:val="20"/>
        </w:rPr>
        <w:t>sepsis</w:t>
      </w:r>
      <w:r w:rsidR="006851B2" w:rsidRPr="00F82D54">
        <w:rPr>
          <w:sz w:val="20"/>
          <w:szCs w:val="20"/>
        </w:rPr>
        <w:t xml:space="preserve"> </w:t>
      </w:r>
      <w:r w:rsidRPr="00F82D54">
        <w:rPr>
          <w:sz w:val="20"/>
          <w:szCs w:val="20"/>
        </w:rPr>
        <w:t>and</w:t>
      </w:r>
      <w:r w:rsidR="006851B2" w:rsidRPr="00F82D54">
        <w:rPr>
          <w:sz w:val="20"/>
          <w:szCs w:val="20"/>
        </w:rPr>
        <w:t xml:space="preserve"> </w:t>
      </w:r>
      <w:r w:rsidRPr="00F82D54">
        <w:rPr>
          <w:sz w:val="20"/>
          <w:szCs w:val="20"/>
        </w:rPr>
        <w:t>septic</w:t>
      </w:r>
      <w:r w:rsidR="006851B2" w:rsidRPr="00F82D54">
        <w:rPr>
          <w:sz w:val="20"/>
          <w:szCs w:val="20"/>
        </w:rPr>
        <w:t xml:space="preserve"> </w:t>
      </w:r>
      <w:r w:rsidRPr="00F82D54">
        <w:rPr>
          <w:sz w:val="20"/>
          <w:szCs w:val="20"/>
        </w:rPr>
        <w:t>shock]</w:t>
      </w:r>
      <w:r w:rsidR="006851B2" w:rsidRPr="00F82D54">
        <w:rPr>
          <w:sz w:val="20"/>
          <w:szCs w:val="20"/>
        </w:rPr>
        <w:t xml:space="preserve"> </w:t>
      </w:r>
      <w:r w:rsidRPr="00F82D54">
        <w:rPr>
          <w:sz w:val="20"/>
          <w:szCs w:val="20"/>
        </w:rPr>
        <w:t>Zhongguo</w:t>
      </w:r>
      <w:r w:rsidR="006851B2" w:rsidRPr="00F82D54">
        <w:rPr>
          <w:sz w:val="20"/>
          <w:szCs w:val="20"/>
        </w:rPr>
        <w:t xml:space="preserve"> </w:t>
      </w:r>
      <w:r w:rsidRPr="00F82D54">
        <w:rPr>
          <w:sz w:val="20"/>
          <w:szCs w:val="20"/>
        </w:rPr>
        <w:t>Wei</w:t>
      </w:r>
      <w:r w:rsidR="006851B2" w:rsidRPr="00F82D54">
        <w:rPr>
          <w:sz w:val="20"/>
          <w:szCs w:val="20"/>
        </w:rPr>
        <w:t xml:space="preserve"> </w:t>
      </w:r>
      <w:r w:rsidRPr="00F82D54">
        <w:rPr>
          <w:sz w:val="20"/>
          <w:szCs w:val="20"/>
        </w:rPr>
        <w:t>Zhong</w:t>
      </w:r>
      <w:r w:rsidR="006851B2" w:rsidRPr="00F82D54">
        <w:rPr>
          <w:sz w:val="20"/>
          <w:szCs w:val="20"/>
        </w:rPr>
        <w:t xml:space="preserve"> </w:t>
      </w:r>
      <w:r w:rsidRPr="00F82D54">
        <w:rPr>
          <w:sz w:val="20"/>
          <w:szCs w:val="20"/>
        </w:rPr>
        <w:t>Bing</w:t>
      </w:r>
      <w:r w:rsidR="006851B2" w:rsidRPr="00F82D54">
        <w:rPr>
          <w:sz w:val="20"/>
          <w:szCs w:val="20"/>
        </w:rPr>
        <w:t xml:space="preserve"> </w:t>
      </w:r>
      <w:r w:rsidRPr="00F82D54">
        <w:rPr>
          <w:sz w:val="20"/>
          <w:szCs w:val="20"/>
        </w:rPr>
        <w:t>Ji</w:t>
      </w:r>
      <w:r w:rsidR="006851B2" w:rsidRPr="00F82D54">
        <w:rPr>
          <w:sz w:val="20"/>
          <w:szCs w:val="20"/>
        </w:rPr>
        <w:t xml:space="preserve"> </w:t>
      </w:r>
      <w:r w:rsidRPr="00F82D54">
        <w:rPr>
          <w:sz w:val="20"/>
          <w:szCs w:val="20"/>
        </w:rPr>
        <w:t>Jiu</w:t>
      </w:r>
      <w:r w:rsidR="006851B2" w:rsidRPr="00F82D54">
        <w:rPr>
          <w:sz w:val="20"/>
          <w:szCs w:val="20"/>
        </w:rPr>
        <w:t xml:space="preserve"> </w:t>
      </w:r>
      <w:r w:rsidRPr="00F82D54">
        <w:rPr>
          <w:sz w:val="20"/>
          <w:szCs w:val="20"/>
        </w:rPr>
        <w:t>Yi</w:t>
      </w:r>
      <w:r w:rsidR="006851B2" w:rsidRPr="00F82D54">
        <w:rPr>
          <w:sz w:val="20"/>
          <w:szCs w:val="20"/>
        </w:rPr>
        <w:t xml:space="preserve"> </w:t>
      </w:r>
      <w:r w:rsidRPr="00F82D54">
        <w:rPr>
          <w:sz w:val="20"/>
          <w:szCs w:val="20"/>
        </w:rPr>
        <w:t>Xue.</w:t>
      </w:r>
      <w:r w:rsidR="006851B2" w:rsidRPr="00F82D54">
        <w:rPr>
          <w:sz w:val="20"/>
          <w:szCs w:val="20"/>
        </w:rPr>
        <w:t xml:space="preserve"> </w:t>
      </w:r>
      <w:r w:rsidRPr="00F82D54">
        <w:rPr>
          <w:sz w:val="20"/>
          <w:szCs w:val="20"/>
        </w:rPr>
        <w:t>2009;</w:t>
      </w:r>
      <w:r w:rsidR="006851B2" w:rsidRPr="00F82D54">
        <w:rPr>
          <w:sz w:val="20"/>
          <w:szCs w:val="20"/>
        </w:rPr>
        <w:t xml:space="preserve"> </w:t>
      </w:r>
      <w:r w:rsidRPr="00F82D54">
        <w:rPr>
          <w:sz w:val="20"/>
          <w:szCs w:val="20"/>
        </w:rPr>
        <w:t>21(5):293–295.</w:t>
      </w:r>
      <w:r w:rsidR="006851B2" w:rsidRPr="00F82D54">
        <w:rPr>
          <w:sz w:val="20"/>
          <w:szCs w:val="20"/>
        </w:rPr>
        <w:t xml:space="preserve"> </w:t>
      </w:r>
    </w:p>
    <w:p w:rsidR="00AF7E26" w:rsidRPr="00F82D54" w:rsidRDefault="00AF7E26" w:rsidP="00AF7E26">
      <w:pPr>
        <w:snapToGrid w:val="0"/>
        <w:ind w:left="425" w:hanging="425"/>
        <w:jc w:val="both"/>
        <w:rPr>
          <w:sz w:val="20"/>
          <w:szCs w:val="20"/>
        </w:rPr>
        <w:sectPr w:rsidR="00AF7E26" w:rsidRPr="00F82D54" w:rsidSect="00AF7E26">
          <w:type w:val="continuous"/>
          <w:pgSz w:w="12242" w:h="15842" w:code="1"/>
          <w:pgMar w:top="1440" w:right="1440" w:bottom="1440" w:left="1440" w:header="720" w:footer="720" w:gutter="0"/>
          <w:cols w:num="2" w:space="600"/>
          <w:docGrid w:linePitch="360"/>
        </w:sectPr>
      </w:pPr>
    </w:p>
    <w:p w:rsidR="006851B2" w:rsidRPr="00F82D54" w:rsidRDefault="006851B2" w:rsidP="00AF7E26">
      <w:pPr>
        <w:snapToGrid w:val="0"/>
        <w:ind w:left="425" w:hanging="425"/>
        <w:jc w:val="both"/>
        <w:rPr>
          <w:sz w:val="20"/>
          <w:szCs w:val="20"/>
        </w:rPr>
      </w:pPr>
    </w:p>
    <w:p w:rsidR="006851B2" w:rsidRPr="00F82D54" w:rsidRDefault="006851B2" w:rsidP="00AF7E26">
      <w:pPr>
        <w:snapToGrid w:val="0"/>
        <w:ind w:left="425" w:hanging="425"/>
        <w:jc w:val="both"/>
        <w:rPr>
          <w:sz w:val="20"/>
          <w:szCs w:val="20"/>
        </w:rPr>
      </w:pPr>
      <w:r w:rsidRPr="00F82D54">
        <w:rPr>
          <w:sz w:val="20"/>
          <w:szCs w:val="20"/>
        </w:rPr>
        <w:t xml:space="preserve"> </w:t>
      </w:r>
      <w:r w:rsidRPr="00F82D54">
        <w:rPr>
          <w:sz w:val="20"/>
          <w:szCs w:val="20"/>
        </w:rPr>
        <w:cr/>
      </w:r>
    </w:p>
    <w:p w:rsidR="00ED3A64" w:rsidRPr="00F82D54" w:rsidRDefault="006851B2" w:rsidP="00AF7E26">
      <w:pPr>
        <w:snapToGrid w:val="0"/>
        <w:jc w:val="both"/>
        <w:rPr>
          <w:sz w:val="20"/>
          <w:szCs w:val="20"/>
        </w:rPr>
      </w:pPr>
      <w:r w:rsidRPr="00F82D54">
        <w:rPr>
          <w:sz w:val="20"/>
          <w:szCs w:val="20"/>
        </w:rPr>
        <w:t>3/9/2019</w:t>
      </w:r>
    </w:p>
    <w:sectPr w:rsidR="00ED3A64" w:rsidRPr="00F82D54" w:rsidSect="006851B2">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97" w:rsidRDefault="00037E97">
      <w:r>
        <w:separator/>
      </w:r>
    </w:p>
  </w:endnote>
  <w:endnote w:type="continuationSeparator" w:id="1">
    <w:p w:rsidR="00037E97" w:rsidRDefault="00037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D" w:rsidRDefault="008521B7" w:rsidP="001521B8">
    <w:pPr>
      <w:pStyle w:val="Footer"/>
      <w:framePr w:wrap="around" w:vAnchor="text" w:hAnchor="margin" w:xAlign="center" w:y="1"/>
      <w:rPr>
        <w:rStyle w:val="PageNumber"/>
      </w:rPr>
    </w:pPr>
    <w:r>
      <w:rPr>
        <w:rStyle w:val="PageNumber"/>
      </w:rPr>
      <w:fldChar w:fldCharType="begin"/>
    </w:r>
    <w:r w:rsidR="00AE72AD">
      <w:rPr>
        <w:rStyle w:val="PageNumber"/>
      </w:rPr>
      <w:instrText xml:space="preserve">PAGE  </w:instrText>
    </w:r>
    <w:r>
      <w:rPr>
        <w:rStyle w:val="PageNumber"/>
      </w:rPr>
      <w:fldChar w:fldCharType="end"/>
    </w:r>
  </w:p>
  <w:p w:rsidR="00AE72AD" w:rsidRDefault="00AE7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D" w:rsidRPr="00093AC1" w:rsidRDefault="008521B7" w:rsidP="00093AC1">
    <w:pPr>
      <w:jc w:val="center"/>
      <w:rPr>
        <w:sz w:val="20"/>
      </w:rPr>
    </w:pPr>
    <w:r w:rsidRPr="00093AC1">
      <w:rPr>
        <w:sz w:val="20"/>
      </w:rPr>
      <w:fldChar w:fldCharType="begin"/>
    </w:r>
    <w:r w:rsidR="00093AC1" w:rsidRPr="00093AC1">
      <w:rPr>
        <w:sz w:val="20"/>
      </w:rPr>
      <w:instrText xml:space="preserve"> page </w:instrText>
    </w:r>
    <w:r w:rsidRPr="00093AC1">
      <w:rPr>
        <w:sz w:val="20"/>
      </w:rPr>
      <w:fldChar w:fldCharType="separate"/>
    </w:r>
    <w:r w:rsidR="009614A5">
      <w:rPr>
        <w:noProof/>
        <w:sz w:val="20"/>
      </w:rPr>
      <w:t>22</w:t>
    </w:r>
    <w:r w:rsidRPr="00093A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97" w:rsidRDefault="00037E97">
      <w:r>
        <w:separator/>
      </w:r>
    </w:p>
  </w:footnote>
  <w:footnote w:type="continuationSeparator" w:id="1">
    <w:p w:rsidR="00037E97" w:rsidRDefault="00037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1" w:rsidRPr="00093AC1" w:rsidRDefault="00093AC1" w:rsidP="00093AC1">
    <w:pPr>
      <w:pBdr>
        <w:bottom w:val="thinThickMediumGap" w:sz="12" w:space="1" w:color="auto"/>
      </w:pBdr>
      <w:tabs>
        <w:tab w:val="left" w:pos="851"/>
        <w:tab w:val="right" w:pos="8364"/>
      </w:tabs>
      <w:adjustRightInd w:val="0"/>
      <w:snapToGrid w:val="0"/>
      <w:jc w:val="both"/>
      <w:rPr>
        <w:iCs/>
        <w:sz w:val="20"/>
        <w:szCs w:val="20"/>
      </w:rPr>
    </w:pPr>
    <w:r w:rsidRPr="00093AC1">
      <w:rPr>
        <w:rFonts w:hint="eastAsia"/>
        <w:sz w:val="20"/>
        <w:szCs w:val="20"/>
      </w:rPr>
      <w:tab/>
    </w:r>
    <w:r w:rsidRPr="00093AC1">
      <w:rPr>
        <w:sz w:val="20"/>
        <w:szCs w:val="20"/>
      </w:rPr>
      <w:t>New York Science Journal 201</w:t>
    </w:r>
    <w:r w:rsidRPr="00093AC1">
      <w:rPr>
        <w:rFonts w:hint="eastAsia"/>
        <w:sz w:val="20"/>
        <w:szCs w:val="20"/>
      </w:rPr>
      <w:t>9</w:t>
    </w:r>
    <w:r w:rsidRPr="00093AC1">
      <w:rPr>
        <w:sz w:val="20"/>
        <w:szCs w:val="20"/>
      </w:rPr>
      <w:t>;</w:t>
    </w:r>
    <w:r w:rsidRPr="00093AC1">
      <w:rPr>
        <w:rFonts w:hint="eastAsia"/>
        <w:sz w:val="20"/>
        <w:szCs w:val="20"/>
      </w:rPr>
      <w:t>12</w:t>
    </w:r>
    <w:r w:rsidRPr="00093AC1">
      <w:rPr>
        <w:sz w:val="20"/>
        <w:szCs w:val="20"/>
      </w:rPr>
      <w:t>(</w:t>
    </w:r>
    <w:r w:rsidRPr="00093AC1">
      <w:rPr>
        <w:rFonts w:hint="eastAsia"/>
        <w:sz w:val="20"/>
        <w:szCs w:val="20"/>
      </w:rPr>
      <w:t>3</w:t>
    </w:r>
    <w:r w:rsidRPr="00093AC1">
      <w:rPr>
        <w:sz w:val="20"/>
        <w:szCs w:val="20"/>
      </w:rPr>
      <w:t>)</w:t>
    </w:r>
    <w:r w:rsidRPr="00093AC1">
      <w:rPr>
        <w:iCs/>
        <w:sz w:val="20"/>
        <w:szCs w:val="20"/>
      </w:rPr>
      <w:t xml:space="preserve">     </w:t>
    </w:r>
    <w:r w:rsidRPr="00093AC1">
      <w:rPr>
        <w:rFonts w:hint="eastAsia"/>
        <w:iCs/>
        <w:sz w:val="20"/>
        <w:szCs w:val="20"/>
      </w:rPr>
      <w:tab/>
    </w:r>
    <w:r w:rsidRPr="00093AC1">
      <w:rPr>
        <w:iCs/>
        <w:sz w:val="20"/>
        <w:szCs w:val="20"/>
      </w:rPr>
      <w:t xml:space="preserve"> </w:t>
    </w:r>
    <w:r w:rsidRPr="00093AC1">
      <w:rPr>
        <w:rFonts w:hint="eastAsia"/>
        <w:iCs/>
        <w:sz w:val="20"/>
        <w:szCs w:val="20"/>
      </w:rPr>
      <w:t xml:space="preserve"> </w:t>
    </w:r>
    <w:r w:rsidRPr="00093AC1">
      <w:rPr>
        <w:iCs/>
        <w:sz w:val="20"/>
        <w:szCs w:val="20"/>
      </w:rPr>
      <w:t xml:space="preserve">   </w:t>
    </w:r>
    <w:hyperlink r:id="rId1" w:history="1">
      <w:r w:rsidRPr="00093AC1">
        <w:rPr>
          <w:rStyle w:val="Hyperlink"/>
          <w:sz w:val="20"/>
          <w:szCs w:val="20"/>
        </w:rPr>
        <w:t>http://www.sciencepub.net/newyork</w:t>
      </w:r>
    </w:hyperlink>
  </w:p>
  <w:p w:rsidR="00093AC1" w:rsidRPr="00093AC1" w:rsidRDefault="00093AC1" w:rsidP="00093AC1">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68A"/>
    <w:multiLevelType w:val="hybridMultilevel"/>
    <w:tmpl w:val="F6C68F40"/>
    <w:lvl w:ilvl="0" w:tplc="EEB2C08A">
      <w:start w:val="1"/>
      <w:numFmt w:val="decimal"/>
      <w:lvlText w:val="%1-"/>
      <w:lvlJc w:val="left"/>
      <w:pPr>
        <w:ind w:left="1700" w:hanging="360"/>
      </w:pPr>
      <w:rPr>
        <w:rFonts w:ascii="Times New Roman" w:hAnsi="Times New Roman" w:cs="Times New Roman"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4705A6"/>
    <w:multiLevelType w:val="hybridMultilevel"/>
    <w:tmpl w:val="B12A2D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5EE5E13"/>
    <w:multiLevelType w:val="hybridMultilevel"/>
    <w:tmpl w:val="9E9A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F6C0EAE"/>
    <w:multiLevelType w:val="hybridMultilevel"/>
    <w:tmpl w:val="D9BA2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8F0E58"/>
    <w:multiLevelType w:val="multilevel"/>
    <w:tmpl w:val="D608A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11568E"/>
    <w:multiLevelType w:val="hybridMultilevel"/>
    <w:tmpl w:val="ADDE9D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BD7E6B"/>
    <w:multiLevelType w:val="hybridMultilevel"/>
    <w:tmpl w:val="851ABB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582019"/>
    <w:rsid w:val="00001CA5"/>
    <w:rsid w:val="00037E97"/>
    <w:rsid w:val="00060C55"/>
    <w:rsid w:val="00066017"/>
    <w:rsid w:val="00093AC1"/>
    <w:rsid w:val="000B1696"/>
    <w:rsid w:val="000F6688"/>
    <w:rsid w:val="001521B8"/>
    <w:rsid w:val="001701F3"/>
    <w:rsid w:val="001A6C90"/>
    <w:rsid w:val="002D5B15"/>
    <w:rsid w:val="00323C14"/>
    <w:rsid w:val="004A675B"/>
    <w:rsid w:val="00544E3F"/>
    <w:rsid w:val="00582019"/>
    <w:rsid w:val="006851B2"/>
    <w:rsid w:val="006F78C8"/>
    <w:rsid w:val="00705CAD"/>
    <w:rsid w:val="007A02F7"/>
    <w:rsid w:val="008521B7"/>
    <w:rsid w:val="00886817"/>
    <w:rsid w:val="008B7740"/>
    <w:rsid w:val="008E24EB"/>
    <w:rsid w:val="009614A5"/>
    <w:rsid w:val="009875D0"/>
    <w:rsid w:val="00A56B48"/>
    <w:rsid w:val="00AE72AD"/>
    <w:rsid w:val="00AF5FA6"/>
    <w:rsid w:val="00AF7E26"/>
    <w:rsid w:val="00B00555"/>
    <w:rsid w:val="00B420B4"/>
    <w:rsid w:val="00BD509D"/>
    <w:rsid w:val="00C4526F"/>
    <w:rsid w:val="00C618D9"/>
    <w:rsid w:val="00C7356D"/>
    <w:rsid w:val="00CA523C"/>
    <w:rsid w:val="00CD7A78"/>
    <w:rsid w:val="00CE235A"/>
    <w:rsid w:val="00CF4A86"/>
    <w:rsid w:val="00D0013D"/>
    <w:rsid w:val="00E55FD4"/>
    <w:rsid w:val="00EC4A7D"/>
    <w:rsid w:val="00ED3A64"/>
    <w:rsid w:val="00F82D54"/>
    <w:rsid w:val="00FE7B5B"/>
    <w:rsid w:val="00FF0788"/>
    <w:rsid w:val="00FF33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23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FA6"/>
    <w:pPr>
      <w:tabs>
        <w:tab w:val="center" w:pos="4320"/>
        <w:tab w:val="right" w:pos="8640"/>
      </w:tabs>
    </w:pPr>
  </w:style>
  <w:style w:type="paragraph" w:styleId="Footer">
    <w:name w:val="footer"/>
    <w:basedOn w:val="Normal"/>
    <w:rsid w:val="00AF5FA6"/>
    <w:pPr>
      <w:tabs>
        <w:tab w:val="center" w:pos="4320"/>
        <w:tab w:val="right" w:pos="8640"/>
      </w:tabs>
    </w:pPr>
  </w:style>
  <w:style w:type="character" w:styleId="PageNumber">
    <w:name w:val="page number"/>
    <w:basedOn w:val="DefaultParagraphFont"/>
    <w:rsid w:val="00AF5FA6"/>
  </w:style>
  <w:style w:type="character" w:styleId="Hyperlink">
    <w:name w:val="Hyperlink"/>
    <w:basedOn w:val="DefaultParagraphFont"/>
    <w:uiPriority w:val="99"/>
    <w:rsid w:val="000B1696"/>
    <w:rPr>
      <w:color w:val="0000FF"/>
      <w:u w:val="single"/>
    </w:rPr>
  </w:style>
  <w:style w:type="paragraph" w:styleId="ListParagraph">
    <w:name w:val="List Paragraph"/>
    <w:basedOn w:val="Normal"/>
    <w:uiPriority w:val="34"/>
    <w:qFormat/>
    <w:rsid w:val="00AF7E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elsherif@hotmail.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319.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24179</CharactersWithSpaces>
  <SharedDoc>false</SharedDoc>
  <HLinks>
    <vt:vector size="72" baseType="variant">
      <vt:variant>
        <vt:i4>458843</vt:i4>
      </vt:variant>
      <vt:variant>
        <vt:i4>42</vt:i4>
      </vt:variant>
      <vt:variant>
        <vt:i4>0</vt:i4>
      </vt:variant>
      <vt:variant>
        <vt:i4>5</vt:i4>
      </vt:variant>
      <vt:variant>
        <vt:lpwstr>https://www.ncbi.nlm.nih.gov/pubmed/29317968</vt:lpwstr>
      </vt:variant>
      <vt:variant>
        <vt:lpwstr/>
      </vt:variant>
      <vt:variant>
        <vt:i4>6946837</vt:i4>
      </vt:variant>
      <vt:variant>
        <vt:i4>39</vt:i4>
      </vt:variant>
      <vt:variant>
        <vt:i4>0</vt:i4>
      </vt:variant>
      <vt:variant>
        <vt:i4>5</vt:i4>
      </vt:variant>
      <vt:variant>
        <vt:lpwstr>https://www.ncbi.nlm.nih.gov/pubmed/?term=Hassen%20GW%5BAuthor%5D&amp;cauthor=true&amp;cauthor_uid=29317968</vt:lpwstr>
      </vt:variant>
      <vt:variant>
        <vt:lpwstr/>
      </vt:variant>
      <vt:variant>
        <vt:i4>3211352</vt:i4>
      </vt:variant>
      <vt:variant>
        <vt:i4>36</vt:i4>
      </vt:variant>
      <vt:variant>
        <vt:i4>0</vt:i4>
      </vt:variant>
      <vt:variant>
        <vt:i4>5</vt:i4>
      </vt:variant>
      <vt:variant>
        <vt:lpwstr>https://www.ncbi.nlm.nih.gov/pubmed/?term=Patolia%20J%5BAuthor%5D&amp;cauthor=true&amp;cauthor_uid=29317968</vt:lpwstr>
      </vt:variant>
      <vt:variant>
        <vt:lpwstr/>
      </vt:variant>
      <vt:variant>
        <vt:i4>3604562</vt:i4>
      </vt:variant>
      <vt:variant>
        <vt:i4>33</vt:i4>
      </vt:variant>
      <vt:variant>
        <vt:i4>0</vt:i4>
      </vt:variant>
      <vt:variant>
        <vt:i4>5</vt:i4>
      </vt:variant>
      <vt:variant>
        <vt:lpwstr>https://www.ncbi.nlm.nih.gov/pubmed/?term=Rai%20R%5BAuthor%5D&amp;cauthor=true&amp;cauthor_uid=29317968</vt:lpwstr>
      </vt:variant>
      <vt:variant>
        <vt:lpwstr/>
      </vt:variant>
      <vt:variant>
        <vt:i4>3801162</vt:i4>
      </vt:variant>
      <vt:variant>
        <vt:i4>30</vt:i4>
      </vt:variant>
      <vt:variant>
        <vt:i4>0</vt:i4>
      </vt:variant>
      <vt:variant>
        <vt:i4>5</vt:i4>
      </vt:variant>
      <vt:variant>
        <vt:lpwstr>https://www.ncbi.nlm.nih.gov/pubmed/?term=Sachdev%20S%5BAuthor%5D&amp;cauthor=true&amp;cauthor_uid=29317968</vt:lpwstr>
      </vt:variant>
      <vt:variant>
        <vt:lpwstr/>
      </vt:variant>
      <vt:variant>
        <vt:i4>3342346</vt:i4>
      </vt:variant>
      <vt:variant>
        <vt:i4>27</vt:i4>
      </vt:variant>
      <vt:variant>
        <vt:i4>0</vt:i4>
      </vt:variant>
      <vt:variant>
        <vt:i4>5</vt:i4>
      </vt:variant>
      <vt:variant>
        <vt:lpwstr>https://www.ncbi.nlm.nih.gov/pubmed/?term=Iskandir%20M%5BAuthor%5D&amp;cauthor=true&amp;cauthor_uid=29317968</vt:lpwstr>
      </vt:variant>
      <vt:variant>
        <vt:lpwstr/>
      </vt:variant>
      <vt:variant>
        <vt:i4>5374011</vt:i4>
      </vt:variant>
      <vt:variant>
        <vt:i4>24</vt:i4>
      </vt:variant>
      <vt:variant>
        <vt:i4>0</vt:i4>
      </vt:variant>
      <vt:variant>
        <vt:i4>5</vt:i4>
      </vt:variant>
      <vt:variant>
        <vt:lpwstr>https://www.ncbi.nlm.nih.gov/pubmed/?term=Patel%20H%5BAuthor%5D&amp;cauthor=true&amp;cauthor_uid=29317968</vt:lpwstr>
      </vt:variant>
      <vt:variant>
        <vt:lpwstr/>
      </vt:variant>
      <vt:variant>
        <vt:i4>5636137</vt:i4>
      </vt:variant>
      <vt:variant>
        <vt:i4>21</vt:i4>
      </vt:variant>
      <vt:variant>
        <vt:i4>0</vt:i4>
      </vt:variant>
      <vt:variant>
        <vt:i4>5</vt:i4>
      </vt:variant>
      <vt:variant>
        <vt:lpwstr>https://www.ncbi.nlm.nih.gov/pubmed/?term=Ramai%20D%5BAuthor%5D&amp;cauthor=true&amp;cauthor_uid=29317968</vt:lpwstr>
      </vt:variant>
      <vt:variant>
        <vt:lpwstr/>
      </vt:variant>
      <vt:variant>
        <vt:i4>5767206</vt:i4>
      </vt:variant>
      <vt:variant>
        <vt:i4>18</vt:i4>
      </vt:variant>
      <vt:variant>
        <vt:i4>0</vt:i4>
      </vt:variant>
      <vt:variant>
        <vt:i4>5</vt:i4>
      </vt:variant>
      <vt:variant>
        <vt:lpwstr>https://www.ncbi.nlm.nih.gov/pubmed/?term=Singh%20H%5BAuthor%5D&amp;cauthor=true&amp;cauthor_uid=29317968</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2949186</vt:i4>
      </vt:variant>
      <vt:variant>
        <vt:i4>0</vt:i4>
      </vt:variant>
      <vt:variant>
        <vt:i4>0</vt:i4>
      </vt:variant>
      <vt:variant>
        <vt:i4>5</vt:i4>
      </vt:variant>
      <vt:variant>
        <vt:lpwstr>mailto:Ahmedelsherif@hotmail.co.uk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WAEL</dc:creator>
  <cp:lastModifiedBy>drmonazaki</cp:lastModifiedBy>
  <cp:revision>4</cp:revision>
  <dcterms:created xsi:type="dcterms:W3CDTF">2019-03-17T11:21:00Z</dcterms:created>
  <dcterms:modified xsi:type="dcterms:W3CDTF">2019-03-17T12:20:00Z</dcterms:modified>
</cp:coreProperties>
</file>