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93" w:rsidRPr="009F0699" w:rsidRDefault="006361D8" w:rsidP="00D009F8">
      <w:pPr>
        <w:snapToGrid w:val="0"/>
        <w:spacing w:after="0" w:line="240" w:lineRule="auto"/>
        <w:jc w:val="center"/>
        <w:rPr>
          <w:rFonts w:ascii="Times New Roman" w:hAnsi="Times New Roman" w:cs="Times New Roman"/>
          <w:b/>
          <w:bCs/>
          <w:color w:val="0D0D0D" w:themeColor="text1" w:themeTint="F2"/>
          <w:sz w:val="20"/>
          <w:szCs w:val="20"/>
          <w:lang w:val="en-GB" w:eastAsia="zh-CN"/>
        </w:rPr>
      </w:pPr>
      <w:bookmarkStart w:id="0" w:name="_GoBack"/>
      <w:bookmarkEnd w:id="0"/>
      <w:r w:rsidRPr="009F0699">
        <w:rPr>
          <w:rFonts w:ascii="Times New Roman" w:hAnsi="Times New Roman" w:cs="Times New Roman"/>
          <w:b/>
          <w:bCs/>
          <w:color w:val="0D0D0D" w:themeColor="text1" w:themeTint="F2"/>
          <w:sz w:val="20"/>
          <w:szCs w:val="20"/>
          <w:lang w:val="en-GB"/>
        </w:rPr>
        <w:t xml:space="preserve">TIMI Risk Index (TRI) as a Predictor of Angiographic No-reflow Phenomenon after Primary </w:t>
      </w:r>
      <w:proofErr w:type="spellStart"/>
      <w:r w:rsidRPr="009F0699">
        <w:rPr>
          <w:rFonts w:ascii="Times New Roman" w:hAnsi="Times New Roman" w:cs="Times New Roman"/>
          <w:b/>
          <w:bCs/>
          <w:color w:val="0D0D0D" w:themeColor="text1" w:themeTint="F2"/>
          <w:sz w:val="20"/>
          <w:szCs w:val="20"/>
          <w:lang w:val="en-GB"/>
        </w:rPr>
        <w:t>Percutaneous</w:t>
      </w:r>
      <w:proofErr w:type="spellEnd"/>
      <w:r w:rsidRPr="009F0699">
        <w:rPr>
          <w:rFonts w:ascii="Times New Roman" w:hAnsi="Times New Roman" w:cs="Times New Roman"/>
          <w:b/>
          <w:bCs/>
          <w:color w:val="0D0D0D" w:themeColor="text1" w:themeTint="F2"/>
          <w:sz w:val="20"/>
          <w:szCs w:val="20"/>
          <w:lang w:val="en-GB"/>
        </w:rPr>
        <w:t xml:space="preserve"> Coronary Intervention in Patients with STEMI</w:t>
      </w:r>
    </w:p>
    <w:p w:rsidR="00CC3693" w:rsidRPr="009F0699" w:rsidRDefault="00CC3693" w:rsidP="00D009F8">
      <w:pPr>
        <w:snapToGrid w:val="0"/>
        <w:spacing w:after="0" w:line="240" w:lineRule="auto"/>
        <w:jc w:val="center"/>
        <w:rPr>
          <w:rFonts w:ascii="Times New Roman" w:hAnsi="Times New Roman" w:cs="Times New Roman"/>
          <w:b/>
          <w:bCs/>
          <w:color w:val="0D0D0D" w:themeColor="text1" w:themeTint="F2"/>
          <w:sz w:val="20"/>
          <w:szCs w:val="20"/>
          <w:lang w:val="en-GB" w:eastAsia="zh-CN"/>
        </w:rPr>
      </w:pPr>
    </w:p>
    <w:p w:rsidR="00CC3693" w:rsidRPr="009F0699" w:rsidRDefault="006361D8" w:rsidP="00D009F8">
      <w:pPr>
        <w:snapToGrid w:val="0"/>
        <w:spacing w:after="0" w:line="240" w:lineRule="auto"/>
        <w:jc w:val="center"/>
        <w:rPr>
          <w:rFonts w:ascii="Times New Roman" w:hAnsi="Times New Roman" w:cs="Times New Roman"/>
          <w:bCs/>
          <w:color w:val="0D0D0D" w:themeColor="text1" w:themeTint="F2"/>
          <w:sz w:val="20"/>
          <w:szCs w:val="20"/>
          <w:lang w:eastAsia="zh-CN"/>
        </w:rPr>
      </w:pPr>
      <w:proofErr w:type="spellStart"/>
      <w:r w:rsidRPr="009F0699">
        <w:rPr>
          <w:rFonts w:ascii="Times New Roman" w:hAnsi="Times New Roman" w:cs="Times New Roman"/>
          <w:bCs/>
          <w:color w:val="0D0D0D" w:themeColor="text1" w:themeTint="F2"/>
          <w:sz w:val="20"/>
          <w:szCs w:val="20"/>
        </w:rPr>
        <w:t>Metwally</w:t>
      </w:r>
      <w:proofErr w:type="spellEnd"/>
      <w:r w:rsidRPr="009F0699">
        <w:rPr>
          <w:rFonts w:ascii="Times New Roman" w:hAnsi="Times New Roman" w:cs="Times New Roman"/>
          <w:bCs/>
          <w:color w:val="0D0D0D" w:themeColor="text1" w:themeTint="F2"/>
          <w:sz w:val="20"/>
          <w:szCs w:val="20"/>
        </w:rPr>
        <w:t xml:space="preserve"> H. </w:t>
      </w:r>
      <w:proofErr w:type="spellStart"/>
      <w:r w:rsidRPr="009F0699">
        <w:rPr>
          <w:rFonts w:ascii="Times New Roman" w:hAnsi="Times New Roman" w:cs="Times New Roman"/>
          <w:bCs/>
          <w:color w:val="0D0D0D" w:themeColor="text1" w:themeTint="F2"/>
          <w:sz w:val="20"/>
          <w:szCs w:val="20"/>
        </w:rPr>
        <w:t>Elemary</w:t>
      </w:r>
      <w:proofErr w:type="spellEnd"/>
      <w:r w:rsidRPr="009F0699">
        <w:rPr>
          <w:rFonts w:ascii="Times New Roman" w:hAnsi="Times New Roman" w:cs="Times New Roman"/>
          <w:bCs/>
          <w:color w:val="0D0D0D" w:themeColor="text1" w:themeTint="F2"/>
          <w:sz w:val="20"/>
          <w:szCs w:val="20"/>
        </w:rPr>
        <w:t>, MD;</w:t>
      </w:r>
      <w:r w:rsidR="00CC3693" w:rsidRPr="009F0699">
        <w:rPr>
          <w:rFonts w:ascii="Times New Roman" w:hAnsi="Times New Roman" w:cs="Times New Roman"/>
          <w:bCs/>
          <w:color w:val="0D0D0D" w:themeColor="text1" w:themeTint="F2"/>
          <w:sz w:val="20"/>
          <w:szCs w:val="20"/>
        </w:rPr>
        <w:t xml:space="preserve"> </w:t>
      </w:r>
      <w:proofErr w:type="spellStart"/>
      <w:r w:rsidRPr="009F0699">
        <w:rPr>
          <w:rFonts w:ascii="Times New Roman" w:hAnsi="Times New Roman" w:cs="Times New Roman"/>
          <w:bCs/>
          <w:color w:val="0D0D0D" w:themeColor="text1" w:themeTint="F2"/>
          <w:sz w:val="20"/>
          <w:szCs w:val="20"/>
        </w:rPr>
        <w:t>Eman</w:t>
      </w:r>
      <w:proofErr w:type="spellEnd"/>
      <w:r w:rsidRPr="009F0699">
        <w:rPr>
          <w:rFonts w:ascii="Times New Roman" w:hAnsi="Times New Roman" w:cs="Times New Roman"/>
          <w:bCs/>
          <w:color w:val="0D0D0D" w:themeColor="text1" w:themeTint="F2"/>
          <w:sz w:val="20"/>
          <w:szCs w:val="20"/>
        </w:rPr>
        <w:t xml:space="preserve"> S. </w:t>
      </w:r>
      <w:proofErr w:type="spellStart"/>
      <w:r w:rsidRPr="009F0699">
        <w:rPr>
          <w:rFonts w:ascii="Times New Roman" w:hAnsi="Times New Roman" w:cs="Times New Roman"/>
          <w:bCs/>
          <w:color w:val="0D0D0D" w:themeColor="text1" w:themeTint="F2"/>
          <w:sz w:val="20"/>
          <w:szCs w:val="20"/>
        </w:rPr>
        <w:t>Elkeshk</w:t>
      </w:r>
      <w:proofErr w:type="spellEnd"/>
      <w:r w:rsidRPr="009F0699">
        <w:rPr>
          <w:rFonts w:ascii="Times New Roman" w:hAnsi="Times New Roman" w:cs="Times New Roman"/>
          <w:bCs/>
          <w:color w:val="0D0D0D" w:themeColor="text1" w:themeTint="F2"/>
          <w:sz w:val="20"/>
          <w:szCs w:val="20"/>
        </w:rPr>
        <w:t>, MD;</w:t>
      </w:r>
      <w:r w:rsidR="00CC3693" w:rsidRPr="009F0699">
        <w:rPr>
          <w:rFonts w:ascii="Times New Roman" w:hAnsi="Times New Roman" w:cs="Times New Roman"/>
          <w:bCs/>
          <w:color w:val="0D0D0D" w:themeColor="text1" w:themeTint="F2"/>
          <w:sz w:val="20"/>
          <w:szCs w:val="20"/>
        </w:rPr>
        <w:t xml:space="preserve"> </w:t>
      </w:r>
      <w:proofErr w:type="spellStart"/>
      <w:r w:rsidRPr="009F0699">
        <w:rPr>
          <w:rFonts w:ascii="Times New Roman" w:hAnsi="Times New Roman" w:cs="Times New Roman"/>
          <w:bCs/>
          <w:color w:val="0D0D0D" w:themeColor="text1" w:themeTint="F2"/>
          <w:sz w:val="20"/>
          <w:szCs w:val="20"/>
        </w:rPr>
        <w:t>Fathy</w:t>
      </w:r>
      <w:proofErr w:type="spellEnd"/>
      <w:r w:rsidRPr="009F0699">
        <w:rPr>
          <w:rFonts w:ascii="Times New Roman" w:hAnsi="Times New Roman" w:cs="Times New Roman"/>
          <w:bCs/>
          <w:color w:val="0D0D0D" w:themeColor="text1" w:themeTint="F2"/>
          <w:sz w:val="20"/>
          <w:szCs w:val="20"/>
        </w:rPr>
        <w:t xml:space="preserve"> M. </w:t>
      </w:r>
      <w:proofErr w:type="spellStart"/>
      <w:r w:rsidRPr="009F0699">
        <w:rPr>
          <w:rFonts w:ascii="Times New Roman" w:hAnsi="Times New Roman" w:cs="Times New Roman"/>
          <w:bCs/>
          <w:color w:val="0D0D0D" w:themeColor="text1" w:themeTint="F2"/>
          <w:sz w:val="20"/>
          <w:szCs w:val="20"/>
        </w:rPr>
        <w:t>swailem</w:t>
      </w:r>
      <w:proofErr w:type="spellEnd"/>
      <w:r w:rsidRPr="009F0699">
        <w:rPr>
          <w:rFonts w:ascii="Times New Roman" w:hAnsi="Times New Roman" w:cs="Times New Roman"/>
          <w:bCs/>
          <w:color w:val="0D0D0D" w:themeColor="text1" w:themeTint="F2"/>
          <w:sz w:val="20"/>
          <w:szCs w:val="20"/>
        </w:rPr>
        <w:t xml:space="preserve">, MD; Mohammed S. </w:t>
      </w:r>
      <w:proofErr w:type="spellStart"/>
      <w:r w:rsidRPr="009F0699">
        <w:rPr>
          <w:rFonts w:ascii="Times New Roman" w:hAnsi="Times New Roman" w:cs="Times New Roman"/>
          <w:bCs/>
          <w:color w:val="0D0D0D" w:themeColor="text1" w:themeTint="F2"/>
          <w:sz w:val="20"/>
          <w:szCs w:val="20"/>
        </w:rPr>
        <w:t>Abd</w:t>
      </w:r>
      <w:proofErr w:type="spellEnd"/>
      <w:r w:rsidRPr="009F0699">
        <w:rPr>
          <w:rFonts w:ascii="Times New Roman" w:hAnsi="Times New Roman" w:cs="Times New Roman"/>
          <w:bCs/>
          <w:color w:val="0D0D0D" w:themeColor="text1" w:themeTint="F2"/>
          <w:sz w:val="20"/>
          <w:szCs w:val="20"/>
        </w:rPr>
        <w:t xml:space="preserve"> </w:t>
      </w:r>
      <w:proofErr w:type="spellStart"/>
      <w:r w:rsidRPr="009F0699">
        <w:rPr>
          <w:rFonts w:ascii="Times New Roman" w:hAnsi="Times New Roman" w:cs="Times New Roman"/>
          <w:bCs/>
          <w:color w:val="0D0D0D" w:themeColor="text1" w:themeTint="F2"/>
          <w:sz w:val="20"/>
          <w:szCs w:val="20"/>
        </w:rPr>
        <w:t>Elhafeez</w:t>
      </w:r>
      <w:proofErr w:type="spellEnd"/>
      <w:r w:rsidRPr="009F0699">
        <w:rPr>
          <w:rFonts w:ascii="Times New Roman" w:hAnsi="Times New Roman" w:cs="Times New Roman"/>
          <w:bCs/>
          <w:color w:val="0D0D0D" w:themeColor="text1" w:themeTint="F2"/>
          <w:sz w:val="20"/>
          <w:szCs w:val="20"/>
        </w:rPr>
        <w:t>, M.Sc.</w:t>
      </w:r>
    </w:p>
    <w:p w:rsidR="00D009F8" w:rsidRPr="009F0699" w:rsidRDefault="00CC3693" w:rsidP="00D009F8">
      <w:pPr>
        <w:snapToGrid w:val="0"/>
        <w:spacing w:after="0" w:line="240" w:lineRule="auto"/>
        <w:jc w:val="center"/>
        <w:rPr>
          <w:rFonts w:ascii="Times New Roman" w:hAnsi="Times New Roman" w:cs="Times New Roman"/>
          <w:bCs/>
          <w:color w:val="0D0D0D" w:themeColor="text1" w:themeTint="F2"/>
          <w:sz w:val="20"/>
          <w:szCs w:val="20"/>
          <w:lang w:val="en-GB" w:eastAsia="zh-CN"/>
        </w:rPr>
      </w:pPr>
      <w:r w:rsidRPr="009F0699">
        <w:rPr>
          <w:rFonts w:ascii="Times New Roman" w:hAnsi="Times New Roman" w:cs="Times New Roman"/>
          <w:bCs/>
          <w:color w:val="0D0D0D" w:themeColor="text1" w:themeTint="F2"/>
          <w:sz w:val="20"/>
          <w:szCs w:val="20"/>
        </w:rPr>
        <w:t>D</w:t>
      </w:r>
      <w:r w:rsidR="006361D8" w:rsidRPr="009F0699">
        <w:rPr>
          <w:rFonts w:ascii="Times New Roman" w:hAnsi="Times New Roman" w:cs="Times New Roman"/>
          <w:bCs/>
          <w:color w:val="0D0D0D" w:themeColor="text1" w:themeTint="F2"/>
          <w:sz w:val="20"/>
          <w:szCs w:val="20"/>
        </w:rPr>
        <w:t xml:space="preserve">epartment of Cardiology, Faculty of Medicine, </w:t>
      </w:r>
      <w:proofErr w:type="spellStart"/>
      <w:r w:rsidR="006361D8" w:rsidRPr="009F0699">
        <w:rPr>
          <w:rFonts w:ascii="Times New Roman" w:hAnsi="Times New Roman" w:cs="Times New Roman"/>
          <w:bCs/>
          <w:color w:val="0D0D0D" w:themeColor="text1" w:themeTint="F2"/>
          <w:sz w:val="20"/>
          <w:szCs w:val="20"/>
        </w:rPr>
        <w:t>Benha</w:t>
      </w:r>
      <w:proofErr w:type="spellEnd"/>
      <w:r w:rsidR="006361D8" w:rsidRPr="009F0699">
        <w:rPr>
          <w:rFonts w:ascii="Times New Roman" w:hAnsi="Times New Roman" w:cs="Times New Roman"/>
          <w:bCs/>
          <w:color w:val="0D0D0D" w:themeColor="text1" w:themeTint="F2"/>
          <w:sz w:val="20"/>
          <w:szCs w:val="20"/>
        </w:rPr>
        <w:t xml:space="preserve"> University</w:t>
      </w:r>
      <w:r w:rsidRPr="009F0699">
        <w:rPr>
          <w:rFonts w:ascii="Times New Roman" w:hAnsi="Times New Roman" w:cs="Times New Roman"/>
          <w:bCs/>
          <w:color w:val="0D0D0D" w:themeColor="text1" w:themeTint="F2"/>
          <w:sz w:val="20"/>
          <w:szCs w:val="20"/>
          <w:lang w:val="en-GB"/>
        </w:rPr>
        <w:t xml:space="preserve"> </w:t>
      </w:r>
    </w:p>
    <w:p w:rsidR="00CC3693" w:rsidRPr="009F0699" w:rsidRDefault="00597A67" w:rsidP="00D009F8">
      <w:pPr>
        <w:snapToGrid w:val="0"/>
        <w:spacing w:after="0" w:line="240" w:lineRule="auto"/>
        <w:jc w:val="center"/>
        <w:rPr>
          <w:rFonts w:ascii="Times New Roman" w:hAnsi="Times New Roman" w:cs="Times New Roman"/>
          <w:bCs/>
          <w:color w:val="0D0D0D" w:themeColor="text1" w:themeTint="F2"/>
          <w:sz w:val="20"/>
          <w:szCs w:val="20"/>
          <w:lang w:val="en-GB" w:eastAsia="zh-CN"/>
        </w:rPr>
      </w:pPr>
      <w:hyperlink r:id="rId8" w:history="1">
        <w:r w:rsidR="00CC3693" w:rsidRPr="009F0699">
          <w:rPr>
            <w:rStyle w:val="Hyperlink"/>
            <w:rFonts w:ascii="Times New Roman" w:hAnsi="Times New Roman" w:cs="Times New Roman"/>
            <w:bCs/>
            <w:sz w:val="20"/>
            <w:szCs w:val="20"/>
            <w:lang w:val="en-GB"/>
          </w:rPr>
          <w:t>Mohammedsoliman861@yahoo.com</w:t>
        </w:r>
      </w:hyperlink>
    </w:p>
    <w:p w:rsidR="00CC3693" w:rsidRPr="009F0699" w:rsidRDefault="00CC3693" w:rsidP="00D009F8">
      <w:pPr>
        <w:snapToGrid w:val="0"/>
        <w:spacing w:after="0" w:line="240" w:lineRule="auto"/>
        <w:jc w:val="both"/>
        <w:rPr>
          <w:rFonts w:ascii="Times New Roman" w:hAnsi="Times New Roman" w:cs="Times New Roman"/>
          <w:b/>
          <w:bCs/>
          <w:color w:val="0D0D0D" w:themeColor="text1" w:themeTint="F2"/>
          <w:sz w:val="20"/>
          <w:szCs w:val="20"/>
          <w:lang w:val="en-GB" w:eastAsia="zh-CN"/>
        </w:rPr>
      </w:pPr>
    </w:p>
    <w:p w:rsidR="000115E3" w:rsidRPr="009F0699" w:rsidRDefault="00C03557" w:rsidP="00D009F8">
      <w:pPr>
        <w:snapToGrid w:val="0"/>
        <w:spacing w:after="0" w:line="240" w:lineRule="auto"/>
        <w:jc w:val="both"/>
        <w:rPr>
          <w:rFonts w:ascii="Times New Roman" w:hAnsi="Times New Roman" w:cs="Times New Roman"/>
          <w:color w:val="0D0D0D" w:themeColor="text1" w:themeTint="F2"/>
          <w:sz w:val="20"/>
          <w:szCs w:val="20"/>
        </w:rPr>
      </w:pPr>
      <w:r w:rsidRPr="009F0699">
        <w:rPr>
          <w:rFonts w:ascii="Times New Roman" w:hAnsi="Times New Roman" w:cs="Times New Roman"/>
          <w:b/>
          <w:bCs/>
          <w:color w:val="0D0D0D" w:themeColor="text1" w:themeTint="F2"/>
          <w:sz w:val="20"/>
          <w:szCs w:val="20"/>
        </w:rPr>
        <w:t xml:space="preserve">Background/aim: </w:t>
      </w:r>
      <w:r w:rsidRPr="009F0699">
        <w:rPr>
          <w:rFonts w:ascii="Times New Roman" w:hAnsi="Times New Roman" w:cs="Times New Roman"/>
          <w:color w:val="0D0D0D" w:themeColor="text1" w:themeTint="F2"/>
          <w:sz w:val="20"/>
          <w:szCs w:val="20"/>
        </w:rPr>
        <w:t xml:space="preserve">The </w:t>
      </w:r>
      <w:proofErr w:type="spellStart"/>
      <w:r w:rsidRPr="009F0699">
        <w:rPr>
          <w:rFonts w:ascii="Times New Roman" w:hAnsi="Times New Roman" w:cs="Times New Roman"/>
          <w:color w:val="0D0D0D" w:themeColor="text1" w:themeTint="F2"/>
          <w:sz w:val="20"/>
          <w:szCs w:val="20"/>
        </w:rPr>
        <w:t>thrombolysis</w:t>
      </w:r>
      <w:proofErr w:type="spellEnd"/>
      <w:r w:rsidRPr="009F0699">
        <w:rPr>
          <w:rFonts w:ascii="Times New Roman" w:hAnsi="Times New Roman" w:cs="Times New Roman"/>
          <w:color w:val="0D0D0D" w:themeColor="text1" w:themeTint="F2"/>
          <w:sz w:val="20"/>
          <w:szCs w:val="20"/>
        </w:rPr>
        <w:t xml:space="preserve"> in myocardial infarction (TIMI) risk score, global registry of acute coronary events (GRACE) risk score (GRS) and the TIMI risk index (TRI) have been reported in acute coronary artery disease patients. We investigated whether admission TRI is associated with no-reflow (NRF)</w:t>
      </w:r>
      <w:r w:rsidR="00B15E0D" w:rsidRPr="009F0699">
        <w:rPr>
          <w:rFonts w:ascii="Times New Roman" w:hAnsi="Times New Roman" w:cs="Times New Roman"/>
          <w:sz w:val="20"/>
          <w:szCs w:val="20"/>
        </w:rPr>
        <w:t xml:space="preserve"> </w:t>
      </w:r>
      <w:r w:rsidR="00B15E0D" w:rsidRPr="009F0699">
        <w:rPr>
          <w:rFonts w:ascii="Times New Roman" w:hAnsi="Times New Roman" w:cs="Times New Roman"/>
          <w:color w:val="0D0D0D" w:themeColor="text1" w:themeTint="F2"/>
          <w:sz w:val="20"/>
          <w:szCs w:val="20"/>
        </w:rPr>
        <w:t>Phenomenon</w:t>
      </w:r>
      <w:r w:rsidRPr="009F0699">
        <w:rPr>
          <w:rFonts w:ascii="Times New Roman" w:hAnsi="Times New Roman" w:cs="Times New Roman"/>
          <w:color w:val="0D0D0D" w:themeColor="text1" w:themeTint="F2"/>
          <w:sz w:val="20"/>
          <w:szCs w:val="20"/>
        </w:rPr>
        <w:t xml:space="preserve">, in-hospital major </w:t>
      </w:r>
      <w:r w:rsidR="00A75FFE" w:rsidRPr="009F0699">
        <w:rPr>
          <w:rFonts w:ascii="Times New Roman" w:hAnsi="Times New Roman" w:cs="Times New Roman"/>
          <w:color w:val="0D0D0D" w:themeColor="text1" w:themeTint="F2"/>
          <w:sz w:val="20"/>
          <w:szCs w:val="20"/>
        </w:rPr>
        <w:t xml:space="preserve">adverse </w:t>
      </w:r>
      <w:r w:rsidRPr="009F0699">
        <w:rPr>
          <w:rFonts w:ascii="Times New Roman" w:hAnsi="Times New Roman" w:cs="Times New Roman"/>
          <w:color w:val="0D0D0D" w:themeColor="text1" w:themeTint="F2"/>
          <w:sz w:val="20"/>
          <w:szCs w:val="20"/>
        </w:rPr>
        <w:t xml:space="preserve">cardiac events (MACE) and in-hospital mortality in patients underwent primary </w:t>
      </w:r>
      <w:proofErr w:type="spellStart"/>
      <w:r w:rsidRPr="009F0699">
        <w:rPr>
          <w:rFonts w:ascii="Times New Roman" w:hAnsi="Times New Roman" w:cs="Times New Roman"/>
          <w:color w:val="0D0D0D" w:themeColor="text1" w:themeTint="F2"/>
          <w:sz w:val="20"/>
          <w:szCs w:val="20"/>
        </w:rPr>
        <w:t>percutaneous</w:t>
      </w:r>
      <w:proofErr w:type="spellEnd"/>
      <w:r w:rsidRPr="009F0699">
        <w:rPr>
          <w:rFonts w:ascii="Times New Roman" w:hAnsi="Times New Roman" w:cs="Times New Roman"/>
          <w:color w:val="0D0D0D" w:themeColor="text1" w:themeTint="F2"/>
          <w:sz w:val="20"/>
          <w:szCs w:val="20"/>
        </w:rPr>
        <w:t xml:space="preserve"> coronary intervention (P-PCI).</w:t>
      </w:r>
      <w:r w:rsidR="004D75EC" w:rsidRPr="009F0699">
        <w:rPr>
          <w:rFonts w:ascii="Times New Roman" w:hAnsi="Times New Roman" w:cs="Times New Roman"/>
          <w:color w:val="0D0D0D" w:themeColor="text1" w:themeTint="F2"/>
          <w:sz w:val="20"/>
          <w:szCs w:val="20"/>
        </w:rPr>
        <w:t xml:space="preserve"> </w:t>
      </w:r>
      <w:r w:rsidR="00733101" w:rsidRPr="009F0699">
        <w:rPr>
          <w:rFonts w:ascii="Times New Roman" w:hAnsi="Times New Roman" w:cs="Times New Roman"/>
          <w:b/>
          <w:bCs/>
          <w:color w:val="0D0D0D" w:themeColor="text1" w:themeTint="F2"/>
          <w:sz w:val="20"/>
          <w:szCs w:val="20"/>
        </w:rPr>
        <w:t xml:space="preserve">Materials and methods: </w:t>
      </w:r>
      <w:r w:rsidR="00733101" w:rsidRPr="009F0699">
        <w:rPr>
          <w:rFonts w:ascii="Times New Roman" w:hAnsi="Times New Roman" w:cs="Times New Roman"/>
          <w:color w:val="0D0D0D" w:themeColor="text1" w:themeTint="F2"/>
          <w:sz w:val="20"/>
          <w:szCs w:val="20"/>
        </w:rPr>
        <w:t>ST-segment elevation myocardial infarction (STEMI) patients treated with p-PCI were included in the study.</w:t>
      </w:r>
      <w:r w:rsidR="000B49A4" w:rsidRPr="009F0699">
        <w:rPr>
          <w:rFonts w:ascii="Times New Roman" w:hAnsi="Times New Roman" w:cs="Times New Roman" w:hint="eastAsia"/>
          <w:color w:val="0D0D0D" w:themeColor="text1" w:themeTint="F2"/>
          <w:sz w:val="20"/>
          <w:szCs w:val="20"/>
          <w:lang w:eastAsia="zh-CN"/>
        </w:rPr>
        <w:t xml:space="preserve"> </w:t>
      </w:r>
      <w:r w:rsidR="00733101" w:rsidRPr="009F0699">
        <w:rPr>
          <w:rFonts w:ascii="Times New Roman" w:hAnsi="Times New Roman" w:cs="Times New Roman"/>
          <w:color w:val="0D0D0D" w:themeColor="text1" w:themeTint="F2"/>
          <w:sz w:val="20"/>
          <w:szCs w:val="20"/>
        </w:rPr>
        <w:t>TRI was calculated on admission using specified variables. All patients were subjected to informed consent, detailed history taking</w:t>
      </w:r>
      <w:r w:rsidR="004D1C1B" w:rsidRPr="009F0699">
        <w:rPr>
          <w:rFonts w:ascii="Times New Roman" w:hAnsi="Times New Roman" w:cs="Times New Roman"/>
          <w:color w:val="0D0D0D" w:themeColor="text1" w:themeTint="F2"/>
          <w:sz w:val="20"/>
          <w:szCs w:val="20"/>
        </w:rPr>
        <w:t>,</w:t>
      </w:r>
      <w:r w:rsidR="00CC3693" w:rsidRPr="009F0699">
        <w:rPr>
          <w:rFonts w:ascii="Times New Roman" w:hAnsi="Times New Roman" w:cs="Times New Roman"/>
          <w:color w:val="0D0D0D" w:themeColor="text1" w:themeTint="F2"/>
          <w:sz w:val="20"/>
          <w:szCs w:val="20"/>
        </w:rPr>
        <w:t xml:space="preserve"> </w:t>
      </w:r>
      <w:r w:rsidR="00733101" w:rsidRPr="009F0699">
        <w:rPr>
          <w:rFonts w:ascii="Times New Roman" w:hAnsi="Times New Roman" w:cs="Times New Roman"/>
          <w:color w:val="0D0D0D" w:themeColor="text1" w:themeTint="F2"/>
          <w:sz w:val="20"/>
          <w:szCs w:val="20"/>
        </w:rPr>
        <w:t xml:space="preserve">clinical evaluation, ECG analysis and coronary risk factor assessment. Additionally, </w:t>
      </w:r>
      <w:proofErr w:type="spellStart"/>
      <w:r w:rsidR="00733101" w:rsidRPr="009F0699">
        <w:rPr>
          <w:rFonts w:ascii="Times New Roman" w:hAnsi="Times New Roman" w:cs="Times New Roman"/>
          <w:color w:val="0D0D0D" w:themeColor="text1" w:themeTint="F2"/>
          <w:sz w:val="20"/>
          <w:szCs w:val="20"/>
        </w:rPr>
        <w:t>K</w:t>
      </w:r>
      <w:r w:rsidR="00887969" w:rsidRPr="009F0699">
        <w:rPr>
          <w:rFonts w:ascii="Times New Roman" w:hAnsi="Times New Roman" w:cs="Times New Roman"/>
          <w:color w:val="0D0D0D" w:themeColor="text1" w:themeTint="F2"/>
          <w:sz w:val="20"/>
          <w:szCs w:val="20"/>
        </w:rPr>
        <w:t>illip</w:t>
      </w:r>
      <w:proofErr w:type="spellEnd"/>
      <w:r w:rsidR="00887969" w:rsidRPr="009F0699">
        <w:rPr>
          <w:rFonts w:ascii="Times New Roman" w:hAnsi="Times New Roman" w:cs="Times New Roman"/>
          <w:color w:val="0D0D0D" w:themeColor="text1" w:themeTint="F2"/>
          <w:sz w:val="20"/>
          <w:szCs w:val="20"/>
        </w:rPr>
        <w:t xml:space="preserve"> class examinations of all </w:t>
      </w:r>
      <w:r w:rsidR="00733101" w:rsidRPr="009F0699">
        <w:rPr>
          <w:rFonts w:ascii="Times New Roman" w:hAnsi="Times New Roman" w:cs="Times New Roman"/>
          <w:color w:val="0D0D0D" w:themeColor="text1" w:themeTint="F2"/>
          <w:sz w:val="20"/>
          <w:szCs w:val="20"/>
        </w:rPr>
        <w:t xml:space="preserve">patients were recorded. We defined the angiographic NRF phenomenon as a coronary TIMI flow </w:t>
      </w:r>
      <w:r w:rsidR="004D1C1B" w:rsidRPr="009F0699">
        <w:rPr>
          <w:rFonts w:ascii="Times New Roman" w:hAnsi="Times New Roman" w:cs="Times New Roman"/>
          <w:color w:val="0D0D0D" w:themeColor="text1" w:themeTint="F2"/>
          <w:sz w:val="20"/>
          <w:szCs w:val="20"/>
        </w:rPr>
        <w:t>grade of ≤ 2</w:t>
      </w:r>
      <w:r w:rsidR="00733101" w:rsidRPr="009F0699">
        <w:rPr>
          <w:rFonts w:ascii="Times New Roman" w:hAnsi="Times New Roman" w:cs="Times New Roman"/>
          <w:color w:val="0D0D0D" w:themeColor="text1" w:themeTint="F2"/>
          <w:sz w:val="20"/>
          <w:szCs w:val="20"/>
        </w:rPr>
        <w:t xml:space="preserve"> after the vessel was </w:t>
      </w:r>
      <w:proofErr w:type="spellStart"/>
      <w:r w:rsidR="00733101" w:rsidRPr="009F0699">
        <w:rPr>
          <w:rFonts w:ascii="Times New Roman" w:hAnsi="Times New Roman" w:cs="Times New Roman"/>
          <w:color w:val="0D0D0D" w:themeColor="text1" w:themeTint="F2"/>
          <w:sz w:val="20"/>
          <w:szCs w:val="20"/>
        </w:rPr>
        <w:t>recanalized</w:t>
      </w:r>
      <w:proofErr w:type="spellEnd"/>
      <w:r w:rsidR="00733101" w:rsidRPr="009F0699">
        <w:rPr>
          <w:rFonts w:ascii="Times New Roman" w:hAnsi="Times New Roman" w:cs="Times New Roman"/>
          <w:color w:val="0D0D0D" w:themeColor="text1" w:themeTint="F2"/>
          <w:sz w:val="20"/>
          <w:szCs w:val="20"/>
        </w:rPr>
        <w:t xml:space="preserve"> or a TIMI flow grade of </w:t>
      </w:r>
      <w:r w:rsidR="004D1C1B" w:rsidRPr="009F0699">
        <w:rPr>
          <w:rFonts w:ascii="Times New Roman" w:hAnsi="Times New Roman" w:cs="Times New Roman"/>
          <w:color w:val="0D0D0D" w:themeColor="text1" w:themeTint="F2"/>
          <w:sz w:val="20"/>
          <w:szCs w:val="20"/>
        </w:rPr>
        <w:t>3</w:t>
      </w:r>
      <w:r w:rsidR="00733101" w:rsidRPr="009F0699">
        <w:rPr>
          <w:rFonts w:ascii="Times New Roman" w:hAnsi="Times New Roman" w:cs="Times New Roman"/>
          <w:color w:val="0D0D0D" w:themeColor="text1" w:themeTint="F2"/>
          <w:sz w:val="20"/>
          <w:szCs w:val="20"/>
        </w:rPr>
        <w:t xml:space="preserve"> together with a final myocardial blush grade (MBG) of &lt;2 in a manner as described in previous studies.</w:t>
      </w:r>
      <w:r w:rsidR="00CC3693" w:rsidRPr="009F0699">
        <w:rPr>
          <w:rFonts w:ascii="Times New Roman" w:hAnsi="Times New Roman" w:cs="Times New Roman"/>
          <w:color w:val="0D0D0D" w:themeColor="text1" w:themeTint="F2"/>
          <w:sz w:val="20"/>
          <w:szCs w:val="20"/>
        </w:rPr>
        <w:t xml:space="preserve"> </w:t>
      </w:r>
      <w:r w:rsidR="009C7B0A" w:rsidRPr="009F0699">
        <w:rPr>
          <w:rFonts w:ascii="Times New Roman" w:hAnsi="Times New Roman" w:cs="Times New Roman"/>
          <w:b/>
          <w:bCs/>
          <w:color w:val="0D0D0D" w:themeColor="text1" w:themeTint="F2"/>
          <w:sz w:val="20"/>
          <w:szCs w:val="20"/>
        </w:rPr>
        <w:t>Results:</w:t>
      </w:r>
      <w:r w:rsidR="009C7B0A" w:rsidRPr="009F0699">
        <w:rPr>
          <w:rFonts w:ascii="Times New Roman" w:hAnsi="Times New Roman" w:cs="Times New Roman"/>
          <w:color w:val="0D0D0D" w:themeColor="text1" w:themeTint="F2"/>
          <w:sz w:val="20"/>
          <w:szCs w:val="20"/>
        </w:rPr>
        <w:t xml:space="preserve"> A total of 319 patients who underwent p-PCI were enrolled in the study. In terms of age, NRF patients were older than reflow patients. </w:t>
      </w:r>
      <w:proofErr w:type="spellStart"/>
      <w:r w:rsidR="009C7B0A" w:rsidRPr="009F0699">
        <w:rPr>
          <w:rFonts w:ascii="Times New Roman" w:hAnsi="Times New Roman" w:cs="Times New Roman"/>
          <w:color w:val="0D0D0D" w:themeColor="text1" w:themeTint="F2"/>
          <w:sz w:val="20"/>
          <w:szCs w:val="20"/>
        </w:rPr>
        <w:t>Killip</w:t>
      </w:r>
      <w:proofErr w:type="spellEnd"/>
      <w:r w:rsidR="009C7B0A" w:rsidRPr="009F0699">
        <w:rPr>
          <w:rFonts w:ascii="Times New Roman" w:hAnsi="Times New Roman" w:cs="Times New Roman"/>
          <w:color w:val="0D0D0D" w:themeColor="text1" w:themeTint="F2"/>
          <w:sz w:val="20"/>
          <w:szCs w:val="20"/>
        </w:rPr>
        <w:t xml:space="preserve"> class III-IV designations were more common in NRF patients</w:t>
      </w:r>
      <w:r w:rsidR="00887969" w:rsidRPr="009F0699">
        <w:rPr>
          <w:rFonts w:ascii="Times New Roman" w:hAnsi="Times New Roman" w:cs="Times New Roman"/>
          <w:color w:val="0D0D0D" w:themeColor="text1" w:themeTint="F2"/>
          <w:sz w:val="20"/>
          <w:szCs w:val="20"/>
        </w:rPr>
        <w:t>. TRI</w:t>
      </w:r>
      <w:r w:rsidR="009C7B0A" w:rsidRPr="009F0699">
        <w:rPr>
          <w:rFonts w:ascii="Times New Roman" w:hAnsi="Times New Roman" w:cs="Times New Roman"/>
          <w:color w:val="0D0D0D" w:themeColor="text1" w:themeTint="F2"/>
          <w:sz w:val="20"/>
          <w:szCs w:val="20"/>
        </w:rPr>
        <w:t xml:space="preserve"> values were </w:t>
      </w:r>
      <w:r w:rsidR="00887969" w:rsidRPr="009F0699">
        <w:rPr>
          <w:rFonts w:ascii="Times New Roman" w:hAnsi="Times New Roman" w:cs="Times New Roman"/>
          <w:color w:val="0D0D0D" w:themeColor="text1" w:themeTint="F2"/>
          <w:sz w:val="20"/>
          <w:szCs w:val="20"/>
        </w:rPr>
        <w:t>significantly</w:t>
      </w:r>
      <w:r w:rsidR="009C7B0A" w:rsidRPr="009F0699">
        <w:rPr>
          <w:rFonts w:ascii="Times New Roman" w:hAnsi="Times New Roman" w:cs="Times New Roman"/>
          <w:color w:val="0D0D0D" w:themeColor="text1" w:themeTint="F2"/>
          <w:sz w:val="20"/>
          <w:szCs w:val="20"/>
        </w:rPr>
        <w:t xml:space="preserve"> greater in the NR</w:t>
      </w:r>
      <w:r w:rsidR="00887969" w:rsidRPr="009F0699">
        <w:rPr>
          <w:rFonts w:ascii="Times New Roman" w:hAnsi="Times New Roman" w:cs="Times New Roman"/>
          <w:color w:val="0D0D0D" w:themeColor="text1" w:themeTint="F2"/>
          <w:sz w:val="20"/>
          <w:szCs w:val="20"/>
        </w:rPr>
        <w:t>F group. TRI was an independent predictor of NRF</w:t>
      </w:r>
      <w:r w:rsidR="009C7B0A" w:rsidRPr="009F0699">
        <w:rPr>
          <w:rFonts w:ascii="Times New Roman" w:hAnsi="Times New Roman" w:cs="Times New Roman"/>
          <w:color w:val="0D0D0D" w:themeColor="text1" w:themeTint="F2"/>
          <w:sz w:val="20"/>
          <w:szCs w:val="20"/>
        </w:rPr>
        <w:t>.</w:t>
      </w:r>
      <w:r w:rsidR="004D75EC" w:rsidRPr="009F0699">
        <w:rPr>
          <w:rFonts w:ascii="Times New Roman" w:hAnsi="Times New Roman" w:cs="Times New Roman"/>
          <w:color w:val="0D0D0D" w:themeColor="text1" w:themeTint="F2"/>
          <w:sz w:val="20"/>
          <w:szCs w:val="20"/>
        </w:rPr>
        <w:t xml:space="preserve"> </w:t>
      </w:r>
      <w:r w:rsidR="00887969" w:rsidRPr="009F0699">
        <w:rPr>
          <w:rFonts w:ascii="Times New Roman" w:hAnsi="Times New Roman" w:cs="Times New Roman"/>
          <w:b/>
          <w:bCs/>
          <w:color w:val="0D0D0D" w:themeColor="text1" w:themeTint="F2"/>
          <w:sz w:val="20"/>
          <w:szCs w:val="20"/>
        </w:rPr>
        <w:t>Conclusion:</w:t>
      </w:r>
      <w:r w:rsidR="00887969" w:rsidRPr="009F0699">
        <w:rPr>
          <w:rFonts w:ascii="Times New Roman" w:hAnsi="Times New Roman" w:cs="Times New Roman"/>
          <w:color w:val="0D0D0D" w:themeColor="text1" w:themeTint="F2"/>
          <w:sz w:val="20"/>
          <w:szCs w:val="20"/>
        </w:rPr>
        <w:t xml:space="preserve"> TRI significantly related to no-reflow and in-hospital MACE and in-hospital mortality. TRI uses simple and inexpensive methods for evaluating patients with STEMI. In addition, high TRI may be helpful in identifying high risk patients and determining appropriate treatment strategies.</w:t>
      </w:r>
    </w:p>
    <w:p w:rsidR="000115E3" w:rsidRPr="009F0699" w:rsidRDefault="000115E3" w:rsidP="00D009F8">
      <w:pPr>
        <w:snapToGrid w:val="0"/>
        <w:spacing w:after="0" w:line="240" w:lineRule="auto"/>
        <w:jc w:val="both"/>
        <w:rPr>
          <w:rFonts w:ascii="Times New Roman" w:hAnsi="Times New Roman" w:cs="Times New Roman"/>
          <w:bCs/>
          <w:color w:val="0D0D0D" w:themeColor="text1" w:themeTint="F2"/>
          <w:sz w:val="20"/>
          <w:szCs w:val="20"/>
          <w:lang w:eastAsia="zh-CN"/>
        </w:rPr>
      </w:pPr>
      <w:r w:rsidRPr="009F0699">
        <w:rPr>
          <w:rFonts w:ascii="Times New Roman" w:hAnsi="Times New Roman" w:cs="Times New Roman"/>
          <w:bCs/>
          <w:sz w:val="20"/>
          <w:szCs w:val="20"/>
        </w:rPr>
        <w:t>[</w:t>
      </w:r>
      <w:proofErr w:type="spellStart"/>
      <w:r w:rsidRPr="009F0699">
        <w:rPr>
          <w:rFonts w:ascii="Times New Roman" w:hAnsi="Times New Roman" w:cs="Times New Roman"/>
          <w:bCs/>
          <w:color w:val="0D0D0D" w:themeColor="text1" w:themeTint="F2"/>
          <w:sz w:val="20"/>
          <w:szCs w:val="20"/>
        </w:rPr>
        <w:t>Metwally</w:t>
      </w:r>
      <w:proofErr w:type="spellEnd"/>
      <w:r w:rsidRPr="009F0699">
        <w:rPr>
          <w:rFonts w:ascii="Times New Roman" w:hAnsi="Times New Roman" w:cs="Times New Roman"/>
          <w:bCs/>
          <w:color w:val="0D0D0D" w:themeColor="text1" w:themeTint="F2"/>
          <w:sz w:val="20"/>
          <w:szCs w:val="20"/>
        </w:rPr>
        <w:t xml:space="preserve"> H. </w:t>
      </w:r>
      <w:proofErr w:type="spellStart"/>
      <w:r w:rsidRPr="009F0699">
        <w:rPr>
          <w:rFonts w:ascii="Times New Roman" w:hAnsi="Times New Roman" w:cs="Times New Roman"/>
          <w:bCs/>
          <w:color w:val="0D0D0D" w:themeColor="text1" w:themeTint="F2"/>
          <w:sz w:val="20"/>
          <w:szCs w:val="20"/>
        </w:rPr>
        <w:t>Elemary</w:t>
      </w:r>
      <w:proofErr w:type="spellEnd"/>
      <w:r w:rsidRPr="009F0699">
        <w:rPr>
          <w:rFonts w:ascii="Times New Roman" w:hAnsi="Times New Roman" w:cs="Times New Roman"/>
          <w:bCs/>
          <w:color w:val="0D0D0D" w:themeColor="text1" w:themeTint="F2"/>
          <w:sz w:val="20"/>
          <w:szCs w:val="20"/>
        </w:rPr>
        <w:t xml:space="preserve">, MD; </w:t>
      </w:r>
      <w:proofErr w:type="spellStart"/>
      <w:r w:rsidRPr="009F0699">
        <w:rPr>
          <w:rFonts w:ascii="Times New Roman" w:hAnsi="Times New Roman" w:cs="Times New Roman"/>
          <w:bCs/>
          <w:color w:val="0D0D0D" w:themeColor="text1" w:themeTint="F2"/>
          <w:sz w:val="20"/>
          <w:szCs w:val="20"/>
        </w:rPr>
        <w:t>Eman</w:t>
      </w:r>
      <w:proofErr w:type="spellEnd"/>
      <w:r w:rsidRPr="009F0699">
        <w:rPr>
          <w:rFonts w:ascii="Times New Roman" w:hAnsi="Times New Roman" w:cs="Times New Roman"/>
          <w:bCs/>
          <w:color w:val="0D0D0D" w:themeColor="text1" w:themeTint="F2"/>
          <w:sz w:val="20"/>
          <w:szCs w:val="20"/>
        </w:rPr>
        <w:t xml:space="preserve"> S. </w:t>
      </w:r>
      <w:proofErr w:type="spellStart"/>
      <w:r w:rsidRPr="009F0699">
        <w:rPr>
          <w:rFonts w:ascii="Times New Roman" w:hAnsi="Times New Roman" w:cs="Times New Roman"/>
          <w:bCs/>
          <w:color w:val="0D0D0D" w:themeColor="text1" w:themeTint="F2"/>
          <w:sz w:val="20"/>
          <w:szCs w:val="20"/>
        </w:rPr>
        <w:t>Elkeshk</w:t>
      </w:r>
      <w:proofErr w:type="spellEnd"/>
      <w:r w:rsidRPr="009F0699">
        <w:rPr>
          <w:rFonts w:ascii="Times New Roman" w:hAnsi="Times New Roman" w:cs="Times New Roman"/>
          <w:bCs/>
          <w:color w:val="0D0D0D" w:themeColor="text1" w:themeTint="F2"/>
          <w:sz w:val="20"/>
          <w:szCs w:val="20"/>
        </w:rPr>
        <w:t xml:space="preserve">, MD; </w:t>
      </w:r>
      <w:proofErr w:type="spellStart"/>
      <w:r w:rsidRPr="009F0699">
        <w:rPr>
          <w:rFonts w:ascii="Times New Roman" w:hAnsi="Times New Roman" w:cs="Times New Roman"/>
          <w:bCs/>
          <w:color w:val="0D0D0D" w:themeColor="text1" w:themeTint="F2"/>
          <w:sz w:val="20"/>
          <w:szCs w:val="20"/>
        </w:rPr>
        <w:t>Fathy</w:t>
      </w:r>
      <w:proofErr w:type="spellEnd"/>
      <w:r w:rsidRPr="009F0699">
        <w:rPr>
          <w:rFonts w:ascii="Times New Roman" w:hAnsi="Times New Roman" w:cs="Times New Roman"/>
          <w:bCs/>
          <w:color w:val="0D0D0D" w:themeColor="text1" w:themeTint="F2"/>
          <w:sz w:val="20"/>
          <w:szCs w:val="20"/>
        </w:rPr>
        <w:t xml:space="preserve"> M. </w:t>
      </w:r>
      <w:proofErr w:type="spellStart"/>
      <w:r w:rsidRPr="009F0699">
        <w:rPr>
          <w:rFonts w:ascii="Times New Roman" w:hAnsi="Times New Roman" w:cs="Times New Roman"/>
          <w:bCs/>
          <w:color w:val="0D0D0D" w:themeColor="text1" w:themeTint="F2"/>
          <w:sz w:val="20"/>
          <w:szCs w:val="20"/>
        </w:rPr>
        <w:t>swailem</w:t>
      </w:r>
      <w:proofErr w:type="spellEnd"/>
      <w:r w:rsidRPr="009F0699">
        <w:rPr>
          <w:rFonts w:ascii="Times New Roman" w:hAnsi="Times New Roman" w:cs="Times New Roman"/>
          <w:bCs/>
          <w:color w:val="0D0D0D" w:themeColor="text1" w:themeTint="F2"/>
          <w:sz w:val="20"/>
          <w:szCs w:val="20"/>
        </w:rPr>
        <w:t xml:space="preserve">, MD; Mohammed S. </w:t>
      </w:r>
      <w:proofErr w:type="spellStart"/>
      <w:r w:rsidRPr="009F0699">
        <w:rPr>
          <w:rFonts w:ascii="Times New Roman" w:hAnsi="Times New Roman" w:cs="Times New Roman"/>
          <w:bCs/>
          <w:color w:val="0D0D0D" w:themeColor="text1" w:themeTint="F2"/>
          <w:sz w:val="20"/>
          <w:szCs w:val="20"/>
        </w:rPr>
        <w:t>Abd</w:t>
      </w:r>
      <w:proofErr w:type="spellEnd"/>
      <w:r w:rsidRPr="009F0699">
        <w:rPr>
          <w:rFonts w:ascii="Times New Roman" w:hAnsi="Times New Roman" w:cs="Times New Roman"/>
          <w:bCs/>
          <w:color w:val="0D0D0D" w:themeColor="text1" w:themeTint="F2"/>
          <w:sz w:val="20"/>
          <w:szCs w:val="20"/>
        </w:rPr>
        <w:t xml:space="preserve"> </w:t>
      </w:r>
      <w:proofErr w:type="spellStart"/>
      <w:r w:rsidRPr="009F0699">
        <w:rPr>
          <w:rFonts w:ascii="Times New Roman" w:hAnsi="Times New Roman" w:cs="Times New Roman"/>
          <w:bCs/>
          <w:color w:val="0D0D0D" w:themeColor="text1" w:themeTint="F2"/>
          <w:sz w:val="20"/>
          <w:szCs w:val="20"/>
        </w:rPr>
        <w:t>Elhafeez</w:t>
      </w:r>
      <w:proofErr w:type="spellEnd"/>
      <w:r w:rsidRPr="009F0699">
        <w:rPr>
          <w:rFonts w:ascii="Times New Roman" w:hAnsi="Times New Roman" w:cs="Times New Roman"/>
          <w:bCs/>
          <w:color w:val="0D0D0D" w:themeColor="text1" w:themeTint="F2"/>
          <w:sz w:val="20"/>
          <w:szCs w:val="20"/>
        </w:rPr>
        <w:t>, M.Sc.</w:t>
      </w:r>
      <w:r w:rsidRPr="009F0699">
        <w:rPr>
          <w:rFonts w:ascii="Times New Roman" w:hAnsi="Times New Roman" w:cs="Times New Roman" w:hint="eastAsia"/>
          <w:b/>
          <w:bCs/>
          <w:sz w:val="20"/>
          <w:szCs w:val="20"/>
          <w:lang w:bidi="fa-IR"/>
        </w:rPr>
        <w:t xml:space="preserve"> </w:t>
      </w:r>
      <w:r w:rsidRPr="009F0699">
        <w:rPr>
          <w:rFonts w:ascii="Times New Roman" w:hAnsi="Times New Roman" w:cs="Times New Roman"/>
          <w:b/>
          <w:bCs/>
          <w:color w:val="0D0D0D" w:themeColor="text1" w:themeTint="F2"/>
          <w:sz w:val="20"/>
          <w:szCs w:val="20"/>
          <w:lang w:val="en-GB"/>
        </w:rPr>
        <w:t xml:space="preserve">TIMI Risk Index (TRI) as a Predictor of Angiographic No-reflow Phenomenon after Primary </w:t>
      </w:r>
      <w:proofErr w:type="spellStart"/>
      <w:r w:rsidRPr="009F0699">
        <w:rPr>
          <w:rFonts w:ascii="Times New Roman" w:hAnsi="Times New Roman" w:cs="Times New Roman"/>
          <w:b/>
          <w:bCs/>
          <w:color w:val="0D0D0D" w:themeColor="text1" w:themeTint="F2"/>
          <w:sz w:val="20"/>
          <w:szCs w:val="20"/>
          <w:lang w:val="en-GB"/>
        </w:rPr>
        <w:t>Percutaneous</w:t>
      </w:r>
      <w:proofErr w:type="spellEnd"/>
      <w:r w:rsidRPr="009F0699">
        <w:rPr>
          <w:rFonts w:ascii="Times New Roman" w:hAnsi="Times New Roman" w:cs="Times New Roman"/>
          <w:b/>
          <w:bCs/>
          <w:color w:val="0D0D0D" w:themeColor="text1" w:themeTint="F2"/>
          <w:sz w:val="20"/>
          <w:szCs w:val="20"/>
          <w:lang w:val="en-GB"/>
        </w:rPr>
        <w:t xml:space="preserve"> Coronary Intervention in Patients with STEMI</w:t>
      </w:r>
      <w:r w:rsidRPr="009F0699">
        <w:rPr>
          <w:rFonts w:ascii="Times New Roman" w:eastAsia="Times New Roman" w:hAnsi="Times New Roman" w:cs="Times New Roman"/>
          <w:b/>
          <w:bCs/>
          <w:sz w:val="20"/>
          <w:szCs w:val="20"/>
          <w:lang w:bidi="fa-IR"/>
        </w:rPr>
        <w:t>.</w:t>
      </w:r>
      <w:r w:rsidRPr="009F0699">
        <w:rPr>
          <w:rFonts w:ascii="Times New Roman" w:hAnsi="Times New Roman" w:cs="Times New Roman"/>
          <w:bCs/>
          <w:i/>
          <w:sz w:val="20"/>
          <w:szCs w:val="20"/>
        </w:rPr>
        <w:t xml:space="preserve"> N Y </w:t>
      </w:r>
      <w:proofErr w:type="spellStart"/>
      <w:r w:rsidRPr="009F0699">
        <w:rPr>
          <w:rFonts w:ascii="Times New Roman" w:hAnsi="Times New Roman" w:cs="Times New Roman"/>
          <w:bCs/>
          <w:i/>
          <w:sz w:val="20"/>
          <w:szCs w:val="20"/>
        </w:rPr>
        <w:t>Sci</w:t>
      </w:r>
      <w:proofErr w:type="spellEnd"/>
      <w:r w:rsidRPr="009F0699">
        <w:rPr>
          <w:rFonts w:ascii="Times New Roman" w:hAnsi="Times New Roman" w:cs="Times New Roman"/>
          <w:bCs/>
          <w:i/>
          <w:sz w:val="20"/>
          <w:szCs w:val="20"/>
        </w:rPr>
        <w:t xml:space="preserve"> J</w:t>
      </w:r>
      <w:r w:rsidRPr="009F0699">
        <w:rPr>
          <w:rFonts w:ascii="Times New Roman" w:hAnsi="Times New Roman" w:cs="Times New Roman"/>
          <w:bCs/>
          <w:sz w:val="20"/>
          <w:szCs w:val="20"/>
        </w:rPr>
        <w:t xml:space="preserve"> </w:t>
      </w:r>
      <w:r w:rsidRPr="009F0699">
        <w:rPr>
          <w:rFonts w:ascii="Times New Roman" w:hAnsi="Times New Roman" w:cs="Times New Roman"/>
          <w:sz w:val="20"/>
          <w:szCs w:val="20"/>
        </w:rPr>
        <w:t>201</w:t>
      </w:r>
      <w:r w:rsidRPr="009F0699">
        <w:rPr>
          <w:rFonts w:ascii="Times New Roman" w:hAnsi="Times New Roman" w:cs="Times New Roman" w:hint="eastAsia"/>
          <w:sz w:val="20"/>
          <w:szCs w:val="20"/>
        </w:rPr>
        <w:t>9</w:t>
      </w:r>
      <w:r w:rsidRPr="009F0699">
        <w:rPr>
          <w:rFonts w:ascii="Times New Roman" w:hAnsi="Times New Roman" w:cs="Times New Roman"/>
          <w:sz w:val="20"/>
          <w:szCs w:val="20"/>
        </w:rPr>
        <w:t>;</w:t>
      </w:r>
      <w:r w:rsidRPr="009F0699">
        <w:rPr>
          <w:rFonts w:ascii="Times New Roman" w:hAnsi="Times New Roman" w:cs="Times New Roman" w:hint="eastAsia"/>
          <w:sz w:val="20"/>
          <w:szCs w:val="20"/>
        </w:rPr>
        <w:t>12</w:t>
      </w:r>
      <w:r w:rsidRPr="009F0699">
        <w:rPr>
          <w:rFonts w:ascii="Times New Roman" w:hAnsi="Times New Roman" w:cs="Times New Roman"/>
          <w:sz w:val="20"/>
          <w:szCs w:val="20"/>
        </w:rPr>
        <w:t>(</w:t>
      </w:r>
      <w:r w:rsidRPr="009F0699">
        <w:rPr>
          <w:rFonts w:ascii="Times New Roman" w:hAnsi="Times New Roman" w:cs="Times New Roman" w:hint="eastAsia"/>
          <w:sz w:val="20"/>
          <w:szCs w:val="20"/>
        </w:rPr>
        <w:t>3</w:t>
      </w:r>
      <w:r w:rsidRPr="009F0699">
        <w:rPr>
          <w:rFonts w:ascii="Times New Roman" w:hAnsi="Times New Roman" w:cs="Times New Roman"/>
          <w:sz w:val="20"/>
          <w:szCs w:val="20"/>
        </w:rPr>
        <w:t>):</w:t>
      </w:r>
      <w:r w:rsidR="007E01AD" w:rsidRPr="009F0699">
        <w:rPr>
          <w:rFonts w:ascii="Times New Roman" w:hAnsi="Times New Roman" w:cs="Times New Roman"/>
          <w:noProof/>
          <w:color w:val="000000"/>
          <w:sz w:val="20"/>
          <w:szCs w:val="20"/>
        </w:rPr>
        <w:t>74-8</w:t>
      </w:r>
      <w:r w:rsidR="009F0699">
        <w:rPr>
          <w:rFonts w:ascii="Times New Roman" w:hAnsi="Times New Roman" w:cs="Times New Roman" w:hint="eastAsia"/>
          <w:noProof/>
          <w:color w:val="000000"/>
          <w:sz w:val="20"/>
          <w:szCs w:val="20"/>
          <w:lang w:eastAsia="zh-CN"/>
        </w:rPr>
        <w:t>1</w:t>
      </w:r>
      <w:r w:rsidRPr="009F0699">
        <w:rPr>
          <w:rFonts w:ascii="Times New Roman" w:hAnsi="Times New Roman" w:cs="Times New Roman"/>
          <w:sz w:val="20"/>
          <w:szCs w:val="20"/>
        </w:rPr>
        <w:t xml:space="preserve">]. </w:t>
      </w:r>
      <w:r w:rsidRPr="009F0699">
        <w:rPr>
          <w:rFonts w:ascii="Times New Roman" w:hAnsi="Times New Roman" w:cs="Times New Roman"/>
          <w:iCs/>
          <w:color w:val="000000"/>
          <w:sz w:val="20"/>
          <w:szCs w:val="20"/>
        </w:rPr>
        <w:t>ISSN 1554-0200 (print); ISSN 2375-723X (online)</w:t>
      </w:r>
      <w:r w:rsidRPr="009F0699">
        <w:rPr>
          <w:rFonts w:ascii="Times New Roman" w:hAnsi="Times New Roman" w:cs="Times New Roman"/>
          <w:sz w:val="20"/>
          <w:szCs w:val="20"/>
        </w:rPr>
        <w:t xml:space="preserve">. </w:t>
      </w:r>
      <w:hyperlink r:id="rId9" w:history="1">
        <w:r w:rsidRPr="009F0699">
          <w:rPr>
            <w:rStyle w:val="Hyperlink"/>
            <w:rFonts w:ascii="Times New Roman" w:hAnsi="Times New Roman" w:cs="Times New Roman"/>
            <w:sz w:val="20"/>
            <w:szCs w:val="20"/>
          </w:rPr>
          <w:t>http://www.sciencepub.net/newyork</w:t>
        </w:r>
      </w:hyperlink>
      <w:r w:rsidRPr="009F0699">
        <w:rPr>
          <w:rFonts w:ascii="Times New Roman" w:hAnsi="Times New Roman" w:cs="Times New Roman"/>
          <w:sz w:val="20"/>
          <w:szCs w:val="20"/>
        </w:rPr>
        <w:t xml:space="preserve">. </w:t>
      </w:r>
      <w:r w:rsidR="00D009F8" w:rsidRPr="009F0699">
        <w:rPr>
          <w:rFonts w:ascii="Times New Roman" w:hAnsi="Times New Roman" w:cs="Times New Roman" w:hint="eastAsia"/>
          <w:sz w:val="20"/>
          <w:szCs w:val="20"/>
          <w:lang w:eastAsia="zh-CN"/>
        </w:rPr>
        <w:t>10</w:t>
      </w:r>
      <w:r w:rsidRPr="009F0699">
        <w:rPr>
          <w:rFonts w:ascii="Times New Roman" w:hAnsi="Times New Roman" w:cs="Times New Roman" w:hint="eastAsia"/>
          <w:sz w:val="20"/>
          <w:szCs w:val="20"/>
        </w:rPr>
        <w:t xml:space="preserve">. </w:t>
      </w:r>
      <w:r w:rsidRPr="009F0699">
        <w:rPr>
          <w:rFonts w:ascii="Times New Roman" w:hAnsi="Times New Roman" w:cs="Times New Roman"/>
          <w:color w:val="000000"/>
          <w:sz w:val="20"/>
          <w:szCs w:val="20"/>
          <w:shd w:val="clear" w:color="auto" w:fill="FFFFFF"/>
        </w:rPr>
        <w:t>doi:</w:t>
      </w:r>
      <w:hyperlink r:id="rId10" w:history="1">
        <w:r w:rsidRPr="009F0699">
          <w:rPr>
            <w:rStyle w:val="Hyperlink"/>
            <w:rFonts w:ascii="Times New Roman" w:hAnsi="Times New Roman" w:cs="Times New Roman"/>
            <w:sz w:val="20"/>
            <w:szCs w:val="20"/>
            <w:shd w:val="clear" w:color="auto" w:fill="FFFFFF"/>
          </w:rPr>
          <w:t>10.7537/mars</w:t>
        </w:r>
        <w:r w:rsidRPr="009F0699">
          <w:rPr>
            <w:rStyle w:val="Hyperlink"/>
            <w:rFonts w:ascii="Times New Roman" w:hAnsi="Times New Roman" w:cs="Times New Roman" w:hint="eastAsia"/>
            <w:sz w:val="20"/>
            <w:szCs w:val="20"/>
            <w:shd w:val="clear" w:color="auto" w:fill="FFFFFF"/>
          </w:rPr>
          <w:t>nys120319.</w:t>
        </w:r>
        <w:r w:rsidR="00D009F8" w:rsidRPr="009F0699">
          <w:rPr>
            <w:rStyle w:val="Hyperlink"/>
            <w:rFonts w:ascii="Times New Roman" w:hAnsi="Times New Roman" w:cs="Times New Roman" w:hint="eastAsia"/>
            <w:sz w:val="20"/>
            <w:szCs w:val="20"/>
            <w:shd w:val="clear" w:color="auto" w:fill="FFFFFF"/>
            <w:lang w:eastAsia="zh-CN"/>
          </w:rPr>
          <w:t>1</w:t>
        </w:r>
        <w:r w:rsidRPr="009F0699">
          <w:rPr>
            <w:rStyle w:val="Hyperlink"/>
            <w:rFonts w:ascii="Times New Roman" w:hAnsi="Times New Roman" w:cs="Times New Roman"/>
            <w:sz w:val="20"/>
            <w:szCs w:val="20"/>
            <w:shd w:val="clear" w:color="auto" w:fill="FFFFFF"/>
          </w:rPr>
          <w:t>0</w:t>
        </w:r>
      </w:hyperlink>
      <w:r w:rsidRPr="009F0699">
        <w:rPr>
          <w:rFonts w:ascii="Times New Roman" w:hAnsi="Times New Roman" w:cs="Times New Roman"/>
          <w:color w:val="000000"/>
          <w:sz w:val="20"/>
          <w:szCs w:val="20"/>
          <w:shd w:val="clear" w:color="auto" w:fill="FFFFFF"/>
        </w:rPr>
        <w:t>.</w:t>
      </w:r>
    </w:p>
    <w:p w:rsidR="00616C66" w:rsidRPr="009F0699" w:rsidRDefault="00616C66" w:rsidP="00D009F8">
      <w:pPr>
        <w:snapToGrid w:val="0"/>
        <w:spacing w:after="0" w:line="240" w:lineRule="auto"/>
        <w:jc w:val="both"/>
        <w:rPr>
          <w:rFonts w:ascii="Times New Roman" w:hAnsi="Times New Roman" w:cs="Times New Roman"/>
          <w:color w:val="0D0D0D" w:themeColor="text1" w:themeTint="F2"/>
          <w:sz w:val="20"/>
          <w:szCs w:val="20"/>
        </w:rPr>
      </w:pPr>
    </w:p>
    <w:p w:rsidR="00041663" w:rsidRPr="009F0699" w:rsidRDefault="00041663" w:rsidP="00D009F8">
      <w:pPr>
        <w:snapToGrid w:val="0"/>
        <w:spacing w:after="0" w:line="240" w:lineRule="auto"/>
        <w:jc w:val="both"/>
        <w:rPr>
          <w:rFonts w:ascii="Times New Roman" w:hAnsi="Times New Roman" w:cs="Times New Roman"/>
          <w:color w:val="0D0D0D" w:themeColor="text1" w:themeTint="F2"/>
          <w:sz w:val="20"/>
          <w:szCs w:val="20"/>
          <w:lang w:eastAsia="zh-CN"/>
        </w:rPr>
      </w:pPr>
      <w:r w:rsidRPr="009F0699">
        <w:rPr>
          <w:rFonts w:ascii="Times New Roman" w:hAnsi="Times New Roman" w:cs="Times New Roman"/>
          <w:b/>
          <w:bCs/>
          <w:color w:val="0D0D0D" w:themeColor="text1" w:themeTint="F2"/>
          <w:sz w:val="20"/>
          <w:szCs w:val="20"/>
        </w:rPr>
        <w:t>Keywords</w:t>
      </w:r>
      <w:r w:rsidRPr="009F0699">
        <w:rPr>
          <w:rFonts w:ascii="Times New Roman" w:hAnsi="Times New Roman" w:cs="Times New Roman"/>
          <w:color w:val="0D0D0D" w:themeColor="text1" w:themeTint="F2"/>
          <w:sz w:val="20"/>
          <w:szCs w:val="20"/>
        </w:rPr>
        <w:t>: Global registry of acute coronary events (GRACE) risk score (GRS), TIMI risk index (TRI), Acute</w:t>
      </w:r>
      <w:r w:rsidR="000B49A4" w:rsidRPr="009F0699">
        <w:rPr>
          <w:rFonts w:ascii="Times New Roman" w:hAnsi="Times New Roman" w:cs="Times New Roman" w:hint="eastAsia"/>
          <w:color w:val="0D0D0D" w:themeColor="text1" w:themeTint="F2"/>
          <w:sz w:val="20"/>
          <w:szCs w:val="20"/>
          <w:lang w:eastAsia="zh-CN"/>
        </w:rPr>
        <w:t xml:space="preserve"> </w:t>
      </w:r>
      <w:r w:rsidRPr="009F0699">
        <w:rPr>
          <w:rFonts w:ascii="Times New Roman" w:hAnsi="Times New Roman" w:cs="Times New Roman"/>
          <w:color w:val="0D0D0D" w:themeColor="text1" w:themeTint="F2"/>
          <w:sz w:val="20"/>
          <w:szCs w:val="20"/>
        </w:rPr>
        <w:t xml:space="preserve">myocardial infarction, No-reflow (NRF), </w:t>
      </w:r>
      <w:proofErr w:type="spellStart"/>
      <w:r w:rsidRPr="009F0699">
        <w:rPr>
          <w:rFonts w:ascii="Times New Roman" w:hAnsi="Times New Roman" w:cs="Times New Roman"/>
          <w:color w:val="0D0D0D" w:themeColor="text1" w:themeTint="F2"/>
          <w:sz w:val="20"/>
          <w:szCs w:val="20"/>
        </w:rPr>
        <w:t>percutaneous</w:t>
      </w:r>
      <w:proofErr w:type="spellEnd"/>
      <w:r w:rsidRPr="009F0699">
        <w:rPr>
          <w:rFonts w:ascii="Times New Roman" w:hAnsi="Times New Roman" w:cs="Times New Roman"/>
          <w:color w:val="0D0D0D" w:themeColor="text1" w:themeTint="F2"/>
          <w:sz w:val="20"/>
          <w:szCs w:val="20"/>
        </w:rPr>
        <w:t xml:space="preserve"> coronary intervention (PCI).</w:t>
      </w:r>
    </w:p>
    <w:p w:rsidR="00D009F8" w:rsidRDefault="00D009F8" w:rsidP="00D009F8">
      <w:pPr>
        <w:snapToGrid w:val="0"/>
        <w:spacing w:after="0" w:line="240" w:lineRule="auto"/>
        <w:jc w:val="both"/>
        <w:rPr>
          <w:rFonts w:ascii="Times New Roman" w:hAnsi="Times New Roman" w:cs="Times New Roman" w:hint="eastAsia"/>
          <w:color w:val="0D0D0D" w:themeColor="text1" w:themeTint="F2"/>
          <w:sz w:val="20"/>
          <w:szCs w:val="20"/>
          <w:lang w:eastAsia="zh-CN"/>
        </w:rPr>
      </w:pPr>
    </w:p>
    <w:p w:rsidR="009F0699" w:rsidRPr="009F0699" w:rsidRDefault="009F0699" w:rsidP="00D009F8">
      <w:pPr>
        <w:snapToGrid w:val="0"/>
        <w:spacing w:after="0" w:line="240" w:lineRule="auto"/>
        <w:jc w:val="both"/>
        <w:rPr>
          <w:rFonts w:ascii="Times New Roman" w:hAnsi="Times New Roman" w:cs="Times New Roman"/>
          <w:color w:val="0D0D0D" w:themeColor="text1" w:themeTint="F2"/>
          <w:sz w:val="20"/>
          <w:szCs w:val="20"/>
          <w:lang w:eastAsia="zh-CN"/>
        </w:rPr>
      </w:pPr>
    </w:p>
    <w:p w:rsidR="00D009F8" w:rsidRPr="009F0699" w:rsidRDefault="00D009F8" w:rsidP="00D009F8">
      <w:pPr>
        <w:pStyle w:val="ListParagraph"/>
        <w:numPr>
          <w:ilvl w:val="0"/>
          <w:numId w:val="3"/>
        </w:numPr>
        <w:snapToGrid w:val="0"/>
        <w:spacing w:after="0" w:line="240" w:lineRule="auto"/>
        <w:ind w:left="0" w:firstLine="0"/>
        <w:jc w:val="both"/>
        <w:rPr>
          <w:rFonts w:ascii="Times New Roman" w:hAnsi="Times New Roman" w:cs="Times New Roman"/>
          <w:b/>
          <w:bCs/>
          <w:color w:val="0D0D0D" w:themeColor="text1" w:themeTint="F2"/>
          <w:sz w:val="20"/>
          <w:szCs w:val="20"/>
        </w:rPr>
        <w:sectPr w:rsidR="00D009F8" w:rsidRPr="009F0699" w:rsidSect="007E01AD">
          <w:headerReference w:type="default" r:id="rId11"/>
          <w:footerReference w:type="default" r:id="rId12"/>
          <w:type w:val="continuous"/>
          <w:pgSz w:w="12242" w:h="15842" w:code="1"/>
          <w:pgMar w:top="1440" w:right="1440" w:bottom="1440" w:left="1440" w:header="720" w:footer="720" w:gutter="0"/>
          <w:pgNumType w:start="74"/>
          <w:cols w:space="720"/>
          <w:docGrid w:linePitch="360"/>
        </w:sectPr>
      </w:pPr>
    </w:p>
    <w:p w:rsidR="00D009F8" w:rsidRPr="009F0699" w:rsidRDefault="006C0A47" w:rsidP="00D009F8">
      <w:pPr>
        <w:pStyle w:val="ListParagraph"/>
        <w:numPr>
          <w:ilvl w:val="0"/>
          <w:numId w:val="3"/>
        </w:numPr>
        <w:snapToGrid w:val="0"/>
        <w:spacing w:after="0" w:line="240" w:lineRule="auto"/>
        <w:ind w:left="0" w:firstLine="0"/>
        <w:jc w:val="both"/>
        <w:rPr>
          <w:rFonts w:ascii="Times New Roman" w:hAnsi="Times New Roman" w:cs="Times New Roman"/>
          <w:b/>
          <w:bCs/>
          <w:color w:val="0D0D0D" w:themeColor="text1" w:themeTint="F2"/>
          <w:sz w:val="20"/>
          <w:szCs w:val="20"/>
        </w:rPr>
      </w:pPr>
      <w:r w:rsidRPr="009F0699">
        <w:rPr>
          <w:rFonts w:ascii="Times New Roman" w:hAnsi="Times New Roman" w:cs="Times New Roman"/>
          <w:b/>
          <w:bCs/>
          <w:color w:val="0D0D0D" w:themeColor="text1" w:themeTint="F2"/>
          <w:sz w:val="20"/>
          <w:szCs w:val="20"/>
        </w:rPr>
        <w:lastRenderedPageBreak/>
        <w:t>Introduction</w:t>
      </w:r>
      <w:r w:rsidR="00CC3693" w:rsidRPr="009F0699">
        <w:rPr>
          <w:rFonts w:ascii="Times New Roman" w:hAnsi="Times New Roman" w:cs="Times New Roman"/>
          <w:b/>
          <w:bCs/>
          <w:color w:val="0D0D0D" w:themeColor="text1" w:themeTint="F2"/>
          <w:sz w:val="20"/>
          <w:szCs w:val="20"/>
        </w:rPr>
        <w:t xml:space="preserve"> </w:t>
      </w:r>
    </w:p>
    <w:p w:rsidR="00CC3693" w:rsidRPr="009F0699" w:rsidRDefault="006C0A47" w:rsidP="00D009F8">
      <w:pPr>
        <w:pStyle w:val="ListParagraph"/>
        <w:snapToGrid w:val="0"/>
        <w:spacing w:after="0" w:line="240" w:lineRule="auto"/>
        <w:ind w:left="0" w:firstLine="425"/>
        <w:jc w:val="both"/>
        <w:rPr>
          <w:rFonts w:ascii="Times New Roman" w:hAnsi="Times New Roman" w:cs="Times New Roman"/>
          <w:b/>
          <w:bCs/>
          <w:color w:val="0D0D0D" w:themeColor="text1" w:themeTint="F2"/>
          <w:sz w:val="20"/>
          <w:szCs w:val="20"/>
        </w:rPr>
      </w:pPr>
      <w:r w:rsidRPr="009F0699">
        <w:rPr>
          <w:rFonts w:ascii="Times New Roman" w:hAnsi="Times New Roman" w:cs="Times New Roman"/>
          <w:color w:val="0D0D0D" w:themeColor="text1" w:themeTint="F2"/>
          <w:sz w:val="20"/>
          <w:szCs w:val="20"/>
        </w:rPr>
        <w:t xml:space="preserve">Coronary artery disease (CAD) and acute myocardial infarction are major causes of death and morbidity worldwide </w:t>
      </w:r>
      <w:r w:rsidR="00F325CA" w:rsidRPr="009F0699">
        <w:rPr>
          <w:rFonts w:ascii="Times New Roman" w:hAnsi="Times New Roman" w:cs="Times New Roman"/>
          <w:b/>
          <w:bCs/>
          <w:color w:val="0D0D0D" w:themeColor="text1" w:themeTint="F2"/>
          <w:sz w:val="20"/>
          <w:szCs w:val="20"/>
        </w:rPr>
        <w:t>(1</w:t>
      </w:r>
      <w:r w:rsidRPr="009F0699">
        <w:rPr>
          <w:rFonts w:ascii="Times New Roman" w:hAnsi="Times New Roman" w:cs="Times New Roman"/>
          <w:b/>
          <w:bCs/>
          <w:color w:val="0D0D0D" w:themeColor="text1" w:themeTint="F2"/>
          <w:sz w:val="20"/>
          <w:szCs w:val="20"/>
        </w:rPr>
        <w:t>)</w:t>
      </w:r>
      <w:r w:rsidR="00D009F8" w:rsidRPr="009F0699">
        <w:rPr>
          <w:rFonts w:ascii="Times New Roman" w:hAnsi="Times New Roman" w:cs="Times New Roman"/>
          <w:b/>
          <w:bCs/>
          <w:color w:val="0D0D0D" w:themeColor="text1" w:themeTint="F2"/>
          <w:sz w:val="20"/>
          <w:szCs w:val="20"/>
        </w:rPr>
        <w:t xml:space="preserve">. </w:t>
      </w:r>
      <w:r w:rsidR="00D009F8" w:rsidRPr="009F0699">
        <w:rPr>
          <w:rFonts w:ascii="Times New Roman" w:hAnsi="Times New Roman" w:cs="Times New Roman"/>
          <w:color w:val="0D0D0D" w:themeColor="text1" w:themeTint="F2"/>
          <w:sz w:val="20"/>
          <w:szCs w:val="20"/>
        </w:rPr>
        <w:t>R</w:t>
      </w:r>
      <w:r w:rsidRPr="009F0699">
        <w:rPr>
          <w:rFonts w:ascii="Times New Roman" w:hAnsi="Times New Roman" w:cs="Times New Roman"/>
          <w:color w:val="0D0D0D" w:themeColor="text1" w:themeTint="F2"/>
          <w:sz w:val="20"/>
          <w:szCs w:val="20"/>
        </w:rPr>
        <w:t xml:space="preserve">apid restoration of coronary blood flow to the jeopardized myocardium is the crux of therapy after AMI. The invention and usage of stents have made </w:t>
      </w:r>
      <w:proofErr w:type="spellStart"/>
      <w:r w:rsidRPr="009F0699">
        <w:rPr>
          <w:rFonts w:ascii="Times New Roman" w:hAnsi="Times New Roman" w:cs="Times New Roman"/>
          <w:color w:val="0D0D0D" w:themeColor="text1" w:themeTint="F2"/>
          <w:sz w:val="20"/>
          <w:szCs w:val="20"/>
        </w:rPr>
        <w:t>percutaneous</w:t>
      </w:r>
      <w:proofErr w:type="spellEnd"/>
      <w:r w:rsidRPr="009F0699">
        <w:rPr>
          <w:rFonts w:ascii="Times New Roman" w:hAnsi="Times New Roman" w:cs="Times New Roman"/>
          <w:color w:val="0D0D0D" w:themeColor="text1" w:themeTint="F2"/>
          <w:sz w:val="20"/>
          <w:szCs w:val="20"/>
        </w:rPr>
        <w:t xml:space="preserve"> coronary intervention (PCI) a safe, effective, and preferred treatment of ST-segment elevation</w:t>
      </w:r>
      <w:r w:rsidR="004D1C1B" w:rsidRPr="009F0699">
        <w:rPr>
          <w:rFonts w:ascii="Times New Roman" w:hAnsi="Times New Roman" w:cs="Times New Roman"/>
          <w:color w:val="0D0D0D" w:themeColor="text1" w:themeTint="F2"/>
          <w:sz w:val="20"/>
          <w:szCs w:val="20"/>
        </w:rPr>
        <w:t xml:space="preserve"> myocardial infarction</w:t>
      </w:r>
      <w:r w:rsidR="0096117B" w:rsidRPr="009F0699">
        <w:rPr>
          <w:rFonts w:ascii="Times New Roman" w:hAnsi="Times New Roman" w:cs="Times New Roman"/>
          <w:color w:val="0D0D0D" w:themeColor="text1" w:themeTint="F2"/>
          <w:sz w:val="20"/>
          <w:szCs w:val="20"/>
        </w:rPr>
        <w:t xml:space="preserve"> </w:t>
      </w:r>
      <w:r w:rsidR="00F325CA" w:rsidRPr="009F0699">
        <w:rPr>
          <w:rFonts w:ascii="Times New Roman" w:hAnsi="Times New Roman" w:cs="Times New Roman"/>
          <w:b/>
          <w:bCs/>
          <w:color w:val="0D0D0D" w:themeColor="text1" w:themeTint="F2"/>
          <w:sz w:val="20"/>
          <w:szCs w:val="20"/>
        </w:rPr>
        <w:t>(2</w:t>
      </w:r>
      <w:r w:rsidRPr="009F0699">
        <w:rPr>
          <w:rFonts w:ascii="Times New Roman" w:hAnsi="Times New Roman" w:cs="Times New Roman"/>
          <w:b/>
          <w:bCs/>
          <w:color w:val="0D0D0D" w:themeColor="text1" w:themeTint="F2"/>
          <w:sz w:val="20"/>
          <w:szCs w:val="20"/>
        </w:rPr>
        <w:t>)</w:t>
      </w:r>
      <w:r w:rsidR="00D009F8" w:rsidRPr="009F0699">
        <w:rPr>
          <w:rFonts w:ascii="Times New Roman" w:hAnsi="Times New Roman" w:cs="Times New Roman"/>
          <w:b/>
          <w:bCs/>
          <w:color w:val="0D0D0D" w:themeColor="text1" w:themeTint="F2"/>
          <w:sz w:val="20"/>
          <w:szCs w:val="20"/>
        </w:rPr>
        <w:t xml:space="preserve">. </w:t>
      </w:r>
      <w:r w:rsidR="00D009F8" w:rsidRPr="009F0699">
        <w:rPr>
          <w:rFonts w:ascii="Times New Roman" w:hAnsi="Times New Roman" w:cs="Times New Roman"/>
          <w:color w:val="0D0D0D" w:themeColor="text1" w:themeTint="F2"/>
          <w:sz w:val="20"/>
          <w:szCs w:val="20"/>
        </w:rPr>
        <w:t>T</w:t>
      </w:r>
      <w:r w:rsidRPr="009F0699">
        <w:rPr>
          <w:rFonts w:ascii="Times New Roman" w:hAnsi="Times New Roman" w:cs="Times New Roman"/>
          <w:color w:val="0D0D0D" w:themeColor="text1" w:themeTint="F2"/>
          <w:sz w:val="20"/>
          <w:szCs w:val="20"/>
        </w:rPr>
        <w:t>he success of a PCI procedure is best defined by 3 interrelated components: angiographic findings, procedural events, and clinical outcomes. Angiographic</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Success</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was defined in</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ACCF/AHA/SCAI</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2011</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As</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 xml:space="preserve">a minimum diameter </w:t>
      </w:r>
      <w:proofErr w:type="spellStart"/>
      <w:r w:rsidRPr="009F0699">
        <w:rPr>
          <w:rFonts w:ascii="Times New Roman" w:hAnsi="Times New Roman" w:cs="Times New Roman"/>
          <w:color w:val="0D0D0D" w:themeColor="text1" w:themeTint="F2"/>
          <w:sz w:val="20"/>
          <w:szCs w:val="20"/>
        </w:rPr>
        <w:t>stenosis</w:t>
      </w:r>
      <w:proofErr w:type="spellEnd"/>
      <w:r w:rsidRPr="009F0699">
        <w:rPr>
          <w:rFonts w:ascii="Times New Roman" w:hAnsi="Times New Roman" w:cs="Times New Roman"/>
          <w:color w:val="0D0D0D" w:themeColor="text1" w:themeTint="F2"/>
          <w:sz w:val="20"/>
          <w:szCs w:val="20"/>
        </w:rPr>
        <w:t xml:space="preserve"> of &lt; 10% (with an optimal goal of as close to 0% as possible ) With</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 xml:space="preserve">final TIMI flow grade 3, without occlusion of a significant side branch, flow-limiting dissection, distal </w:t>
      </w:r>
      <w:proofErr w:type="spellStart"/>
      <w:r w:rsidRPr="009F0699">
        <w:rPr>
          <w:rFonts w:ascii="Times New Roman" w:hAnsi="Times New Roman" w:cs="Times New Roman"/>
          <w:color w:val="0D0D0D" w:themeColor="text1" w:themeTint="F2"/>
          <w:sz w:val="20"/>
          <w:szCs w:val="20"/>
        </w:rPr>
        <w:t>embolization</w:t>
      </w:r>
      <w:proofErr w:type="spellEnd"/>
      <w:r w:rsidRPr="009F0699">
        <w:rPr>
          <w:rFonts w:ascii="Times New Roman" w:hAnsi="Times New Roman" w:cs="Times New Roman"/>
          <w:color w:val="0D0D0D" w:themeColor="text1" w:themeTint="F2"/>
          <w:sz w:val="20"/>
          <w:szCs w:val="20"/>
        </w:rPr>
        <w:t>, or angiographic thrombus</w:t>
      </w:r>
      <w:r w:rsidR="00CC3693" w:rsidRPr="009F0699">
        <w:rPr>
          <w:rFonts w:ascii="Times New Roman" w:hAnsi="Times New Roman" w:cs="Times New Roman"/>
          <w:color w:val="0D0D0D" w:themeColor="text1" w:themeTint="F2"/>
          <w:sz w:val="20"/>
          <w:szCs w:val="20"/>
        </w:rPr>
        <w:t>,</w:t>
      </w:r>
      <w:r w:rsidRPr="009F0699">
        <w:rPr>
          <w:rFonts w:ascii="Times New Roman" w:hAnsi="Times New Roman" w:cs="Times New Roman"/>
          <w:color w:val="0D0D0D" w:themeColor="text1" w:themeTint="F2"/>
          <w:sz w:val="20"/>
          <w:szCs w:val="20"/>
        </w:rPr>
        <w:t xml:space="preserve"> the procedural success of</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PCI was defined as achievement</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angiographic success without associated in-hospital major clinical complications (e.g. death, MI, stroke, emergency CABG)</w:t>
      </w:r>
      <w:r w:rsidR="00CC3693" w:rsidRPr="009F0699">
        <w:rPr>
          <w:rFonts w:ascii="Times New Roman" w:hAnsi="Times New Roman" w:cs="Times New Roman"/>
          <w:color w:val="0D0D0D" w:themeColor="text1" w:themeTint="F2"/>
          <w:sz w:val="20"/>
          <w:szCs w:val="20"/>
        </w:rPr>
        <w:t>,</w:t>
      </w:r>
      <w:r w:rsidRPr="009F0699">
        <w:rPr>
          <w:rFonts w:ascii="Times New Roman" w:hAnsi="Times New Roman" w:cs="Times New Roman"/>
          <w:color w:val="0D0D0D" w:themeColor="text1" w:themeTint="F2"/>
          <w:sz w:val="20"/>
          <w:szCs w:val="20"/>
        </w:rPr>
        <w:t xml:space="preserve"> while</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the</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 xml:space="preserve">clinically successful PCI requires </w:t>
      </w:r>
      <w:r w:rsidRPr="009F0699">
        <w:rPr>
          <w:rFonts w:ascii="Times New Roman" w:hAnsi="Times New Roman" w:cs="Times New Roman"/>
          <w:color w:val="0D0D0D" w:themeColor="text1" w:themeTint="F2"/>
          <w:sz w:val="20"/>
          <w:szCs w:val="20"/>
        </w:rPr>
        <w:lastRenderedPageBreak/>
        <w:t xml:space="preserve">both anatomic and procedural success along with relief of signs and/or symptoms of myocardial ischemia </w:t>
      </w:r>
      <w:r w:rsidR="00F325CA" w:rsidRPr="009F0699">
        <w:rPr>
          <w:rFonts w:ascii="Times New Roman" w:hAnsi="Times New Roman" w:cs="Times New Roman"/>
          <w:b/>
          <w:bCs/>
          <w:color w:val="0D0D0D" w:themeColor="text1" w:themeTint="F2"/>
          <w:sz w:val="20"/>
          <w:szCs w:val="20"/>
        </w:rPr>
        <w:t>(3</w:t>
      </w:r>
      <w:r w:rsidRPr="009F0699">
        <w:rPr>
          <w:rFonts w:ascii="Times New Roman" w:hAnsi="Times New Roman" w:cs="Times New Roman"/>
          <w:b/>
          <w:bCs/>
          <w:color w:val="0D0D0D" w:themeColor="text1" w:themeTint="F2"/>
          <w:sz w:val="20"/>
          <w:szCs w:val="20"/>
        </w:rPr>
        <w:t>).</w:t>
      </w:r>
    </w:p>
    <w:p w:rsidR="001C160B" w:rsidRPr="009F0699" w:rsidRDefault="00CC3693" w:rsidP="00D009F8">
      <w:pPr>
        <w:pStyle w:val="ListParagraph"/>
        <w:snapToGrid w:val="0"/>
        <w:spacing w:after="0" w:line="240" w:lineRule="auto"/>
        <w:ind w:left="0" w:firstLine="425"/>
        <w:jc w:val="both"/>
        <w:rPr>
          <w:rFonts w:ascii="Times New Roman" w:hAnsi="Times New Roman" w:cs="Times New Roman"/>
          <w:color w:val="0D0D0D" w:themeColor="text1" w:themeTint="F2"/>
          <w:sz w:val="20"/>
          <w:szCs w:val="20"/>
        </w:rPr>
      </w:pPr>
      <w:r w:rsidRPr="009F0699">
        <w:rPr>
          <w:rFonts w:ascii="Times New Roman" w:hAnsi="Times New Roman" w:cs="Times New Roman"/>
          <w:color w:val="0D0D0D" w:themeColor="text1" w:themeTint="F2"/>
          <w:sz w:val="20"/>
          <w:szCs w:val="20"/>
        </w:rPr>
        <w:t>H</w:t>
      </w:r>
      <w:r w:rsidR="006C0A47" w:rsidRPr="009F0699">
        <w:rPr>
          <w:rFonts w:ascii="Times New Roman" w:hAnsi="Times New Roman" w:cs="Times New Roman"/>
          <w:color w:val="0D0D0D" w:themeColor="text1" w:themeTint="F2"/>
          <w:sz w:val="20"/>
          <w:szCs w:val="20"/>
        </w:rPr>
        <w:t xml:space="preserve">owever, even after patency of an </w:t>
      </w:r>
      <w:proofErr w:type="spellStart"/>
      <w:r w:rsidR="006C0A47" w:rsidRPr="009F0699">
        <w:rPr>
          <w:rFonts w:ascii="Times New Roman" w:hAnsi="Times New Roman" w:cs="Times New Roman"/>
          <w:color w:val="0D0D0D" w:themeColor="text1" w:themeTint="F2"/>
          <w:sz w:val="20"/>
          <w:szCs w:val="20"/>
        </w:rPr>
        <w:t>infarcted</w:t>
      </w:r>
      <w:proofErr w:type="spellEnd"/>
      <w:r w:rsidR="006C0A47" w:rsidRPr="009F0699">
        <w:rPr>
          <w:rFonts w:ascii="Times New Roman" w:hAnsi="Times New Roman" w:cs="Times New Roman"/>
          <w:color w:val="0D0D0D" w:themeColor="text1" w:themeTint="F2"/>
          <w:sz w:val="20"/>
          <w:szCs w:val="20"/>
        </w:rPr>
        <w:t xml:space="preserve"> artery was achieved via stent implantation, sufficient myocardial reperfusion was not observed in 2.3% to 29% of patients in the setting of AMI, often called the no-reflow (NRF) phenomenon </w:t>
      </w:r>
      <w:r w:rsidR="00F325CA" w:rsidRPr="009F0699">
        <w:rPr>
          <w:rFonts w:ascii="Times New Roman" w:hAnsi="Times New Roman" w:cs="Times New Roman"/>
          <w:b/>
          <w:bCs/>
          <w:color w:val="0D0D0D" w:themeColor="text1" w:themeTint="F2"/>
          <w:sz w:val="20"/>
          <w:szCs w:val="20"/>
        </w:rPr>
        <w:t>(4</w:t>
      </w:r>
      <w:r w:rsidR="006C0A47" w:rsidRPr="009F0699">
        <w:rPr>
          <w:rFonts w:ascii="Times New Roman" w:hAnsi="Times New Roman" w:cs="Times New Roman"/>
          <w:b/>
          <w:bCs/>
          <w:color w:val="0D0D0D" w:themeColor="text1" w:themeTint="F2"/>
          <w:sz w:val="20"/>
          <w:szCs w:val="20"/>
        </w:rPr>
        <w:t xml:space="preserve">). </w:t>
      </w:r>
      <w:r w:rsidR="006C0A47" w:rsidRPr="009F0699">
        <w:rPr>
          <w:rFonts w:ascii="Times New Roman" w:hAnsi="Times New Roman" w:cs="Times New Roman"/>
          <w:color w:val="0D0D0D" w:themeColor="text1" w:themeTint="F2"/>
          <w:sz w:val="20"/>
          <w:szCs w:val="20"/>
        </w:rPr>
        <w:t xml:space="preserve">Factors associated with increased primary PCI complication rates include advanced age, diabetes, CKD, congestive heart failure, and </w:t>
      </w:r>
      <w:proofErr w:type="spellStart"/>
      <w:r w:rsidR="006C0A47" w:rsidRPr="009F0699">
        <w:rPr>
          <w:rFonts w:ascii="Times New Roman" w:hAnsi="Times New Roman" w:cs="Times New Roman"/>
          <w:color w:val="0D0D0D" w:themeColor="text1" w:themeTint="F2"/>
          <w:sz w:val="20"/>
          <w:szCs w:val="20"/>
        </w:rPr>
        <w:t>multivessel</w:t>
      </w:r>
      <w:proofErr w:type="spellEnd"/>
      <w:r w:rsidR="006C0A47" w:rsidRPr="009F0699">
        <w:rPr>
          <w:rFonts w:ascii="Times New Roman" w:hAnsi="Times New Roman" w:cs="Times New Roman"/>
          <w:color w:val="0D0D0D" w:themeColor="text1" w:themeTint="F2"/>
          <w:sz w:val="20"/>
          <w:szCs w:val="20"/>
        </w:rPr>
        <w:t xml:space="preserve"> CAD. A large number of scoring systems and laboratory</w:t>
      </w:r>
      <w:r w:rsidR="006C0A47" w:rsidRPr="009F0699">
        <w:rPr>
          <w:rFonts w:ascii="Times New Roman" w:hAnsi="Times New Roman" w:cs="Times New Roman"/>
          <w:color w:val="000000"/>
          <w:sz w:val="20"/>
          <w:szCs w:val="20"/>
        </w:rPr>
        <w:t xml:space="preserve"> </w:t>
      </w:r>
      <w:r w:rsidR="006C0A47" w:rsidRPr="009F0699">
        <w:rPr>
          <w:rFonts w:ascii="Times New Roman" w:hAnsi="Times New Roman" w:cs="Times New Roman"/>
          <w:color w:val="0D0D0D" w:themeColor="text1" w:themeTint="F2"/>
          <w:sz w:val="20"/>
          <w:szCs w:val="20"/>
        </w:rPr>
        <w:t xml:space="preserve">parameters have been used in clinical practice to predict mortality with PCI. Nevertheless, those interested in cardiovascular medicine still need an easily accessible, cost effective, and noninvasive predictor of primary PCI success. In order to identify high-risk patients with STEMI, various risks classification systems and scoring systems are used frequently. Prediction of early and late mortality in hundreds of thousands of patients has been shown by the in-hospital death global registry of acute coronary events (GRACE) risk score (GRS) and the </w:t>
      </w:r>
      <w:proofErr w:type="spellStart"/>
      <w:r w:rsidR="006C0A47" w:rsidRPr="009F0699">
        <w:rPr>
          <w:rFonts w:ascii="Times New Roman" w:hAnsi="Times New Roman" w:cs="Times New Roman"/>
          <w:color w:val="0D0D0D" w:themeColor="text1" w:themeTint="F2"/>
          <w:sz w:val="20"/>
          <w:szCs w:val="20"/>
        </w:rPr>
        <w:t>thrombolysis</w:t>
      </w:r>
      <w:proofErr w:type="spellEnd"/>
      <w:r w:rsidR="006C0A47" w:rsidRPr="009F0699">
        <w:rPr>
          <w:rFonts w:ascii="Times New Roman" w:hAnsi="Times New Roman" w:cs="Times New Roman"/>
          <w:color w:val="0D0D0D" w:themeColor="text1" w:themeTint="F2"/>
          <w:sz w:val="20"/>
          <w:szCs w:val="20"/>
        </w:rPr>
        <w:t xml:space="preserve"> in myocardial infarction (TIMI) risk score (TRS)</w:t>
      </w:r>
      <w:r w:rsidR="006C0A47" w:rsidRPr="009F0699">
        <w:rPr>
          <w:rFonts w:ascii="Times New Roman" w:hAnsi="Times New Roman" w:cs="Times New Roman"/>
          <w:b/>
          <w:bCs/>
          <w:color w:val="0D0D0D" w:themeColor="text1" w:themeTint="F2"/>
          <w:sz w:val="20"/>
          <w:szCs w:val="20"/>
        </w:rPr>
        <w:t xml:space="preserve"> (</w:t>
      </w:r>
      <w:r w:rsidR="00F325CA" w:rsidRPr="009F0699">
        <w:rPr>
          <w:rFonts w:ascii="Times New Roman" w:hAnsi="Times New Roman" w:cs="Times New Roman"/>
          <w:b/>
          <w:bCs/>
          <w:color w:val="0D0D0D" w:themeColor="text1" w:themeTint="F2"/>
          <w:sz w:val="20"/>
          <w:szCs w:val="20"/>
        </w:rPr>
        <w:t>5</w:t>
      </w:r>
      <w:r w:rsidR="006C0A47" w:rsidRPr="009F0699">
        <w:rPr>
          <w:rFonts w:ascii="Times New Roman" w:hAnsi="Times New Roman" w:cs="Times New Roman"/>
          <w:b/>
          <w:bCs/>
          <w:color w:val="0D0D0D" w:themeColor="text1" w:themeTint="F2"/>
          <w:sz w:val="20"/>
          <w:szCs w:val="20"/>
        </w:rPr>
        <w:t xml:space="preserve">). </w:t>
      </w:r>
      <w:r w:rsidR="006C0A47" w:rsidRPr="009F0699">
        <w:rPr>
          <w:rFonts w:ascii="Times New Roman" w:hAnsi="Times New Roman" w:cs="Times New Roman"/>
          <w:color w:val="0D0D0D" w:themeColor="text1" w:themeTint="F2"/>
          <w:sz w:val="20"/>
          <w:szCs w:val="20"/>
        </w:rPr>
        <w:t>Recently, the TIMI risk index (TRI) "which can predict mortality, may be easier to asse</w:t>
      </w:r>
      <w:r w:rsidR="00193E52" w:rsidRPr="009F0699">
        <w:rPr>
          <w:rFonts w:ascii="Times New Roman" w:hAnsi="Times New Roman" w:cs="Times New Roman"/>
          <w:color w:val="0D0D0D" w:themeColor="text1" w:themeTint="F2"/>
          <w:sz w:val="20"/>
          <w:szCs w:val="20"/>
        </w:rPr>
        <w:t xml:space="preserve">ss </w:t>
      </w:r>
      <w:r w:rsidR="00193E52" w:rsidRPr="009F0699">
        <w:rPr>
          <w:rFonts w:ascii="Times New Roman" w:hAnsi="Times New Roman" w:cs="Times New Roman"/>
          <w:color w:val="0D0D0D" w:themeColor="text1" w:themeTint="F2"/>
          <w:sz w:val="20"/>
          <w:szCs w:val="20"/>
        </w:rPr>
        <w:lastRenderedPageBreak/>
        <w:t xml:space="preserve">and can be </w:t>
      </w:r>
      <w:r w:rsidR="006C0A47" w:rsidRPr="009F0699">
        <w:rPr>
          <w:rFonts w:ascii="Times New Roman" w:hAnsi="Times New Roman" w:cs="Times New Roman"/>
          <w:color w:val="0D0D0D" w:themeColor="text1" w:themeTint="F2"/>
          <w:sz w:val="20"/>
          <w:szCs w:val="20"/>
        </w:rPr>
        <w:t>scored with fewer parameters in patients with STEMI" was improved.</w:t>
      </w:r>
    </w:p>
    <w:p w:rsidR="00CC3693" w:rsidRPr="009F0699" w:rsidRDefault="00CC3693" w:rsidP="00D009F8">
      <w:pPr>
        <w:pStyle w:val="ListParagraph"/>
        <w:snapToGrid w:val="0"/>
        <w:spacing w:after="0" w:line="240" w:lineRule="auto"/>
        <w:ind w:left="0" w:firstLine="425"/>
        <w:jc w:val="both"/>
        <w:rPr>
          <w:rFonts w:ascii="Times New Roman" w:hAnsi="Times New Roman" w:cs="Times New Roman"/>
          <w:color w:val="0D0D0D" w:themeColor="text1" w:themeTint="F2"/>
          <w:sz w:val="20"/>
          <w:szCs w:val="20"/>
        </w:rPr>
      </w:pPr>
    </w:p>
    <w:p w:rsidR="001C160B" w:rsidRPr="009F0699" w:rsidRDefault="00CC3693" w:rsidP="00D009F8">
      <w:pPr>
        <w:pStyle w:val="ListParagraph"/>
        <w:snapToGrid w:val="0"/>
        <w:spacing w:after="0" w:line="240" w:lineRule="auto"/>
        <w:ind w:left="0"/>
        <w:jc w:val="both"/>
        <w:rPr>
          <w:rFonts w:ascii="Times New Roman" w:hAnsi="Times New Roman" w:cs="Times New Roman"/>
          <w:b/>
          <w:bCs/>
          <w:color w:val="0D0D0D" w:themeColor="text1" w:themeTint="F2"/>
          <w:sz w:val="20"/>
          <w:szCs w:val="20"/>
        </w:rPr>
      </w:pPr>
      <w:r w:rsidRPr="009F0699">
        <w:rPr>
          <w:rFonts w:ascii="Times New Roman" w:hAnsi="Times New Roman" w:cs="Times New Roman"/>
          <w:b/>
          <w:bCs/>
          <w:color w:val="0D0D0D" w:themeColor="text1" w:themeTint="F2"/>
          <w:sz w:val="20"/>
          <w:szCs w:val="20"/>
        </w:rPr>
        <w:t>2</w:t>
      </w:r>
      <w:r w:rsidR="00FD16B1" w:rsidRPr="009F0699">
        <w:rPr>
          <w:rFonts w:ascii="Times New Roman" w:hAnsi="Times New Roman" w:cs="Times New Roman"/>
          <w:b/>
          <w:bCs/>
          <w:color w:val="0D0D0D" w:themeColor="text1" w:themeTint="F2"/>
          <w:sz w:val="20"/>
          <w:szCs w:val="20"/>
        </w:rPr>
        <w:t>. Patients</w:t>
      </w:r>
      <w:r w:rsidR="001C160B" w:rsidRPr="009F0699">
        <w:rPr>
          <w:rFonts w:ascii="Times New Roman" w:hAnsi="Times New Roman" w:cs="Times New Roman"/>
          <w:b/>
          <w:bCs/>
          <w:color w:val="0D0D0D" w:themeColor="text1" w:themeTint="F2"/>
          <w:sz w:val="20"/>
          <w:szCs w:val="20"/>
        </w:rPr>
        <w:t xml:space="preserve"> and Methods</w:t>
      </w:r>
    </w:p>
    <w:p w:rsidR="004E635A" w:rsidRPr="009F0699" w:rsidRDefault="004E635A" w:rsidP="00D009F8">
      <w:pPr>
        <w:pStyle w:val="ListParagraph"/>
        <w:snapToGrid w:val="0"/>
        <w:spacing w:after="0" w:line="240" w:lineRule="auto"/>
        <w:ind w:left="0"/>
        <w:jc w:val="both"/>
        <w:rPr>
          <w:rFonts w:ascii="Times New Roman" w:hAnsi="Times New Roman" w:cs="Times New Roman"/>
          <w:b/>
          <w:bCs/>
          <w:color w:val="0D0D0D" w:themeColor="text1" w:themeTint="F2"/>
          <w:sz w:val="20"/>
          <w:szCs w:val="20"/>
        </w:rPr>
      </w:pPr>
      <w:r w:rsidRPr="009F0699">
        <w:rPr>
          <w:rFonts w:ascii="Times New Roman" w:hAnsi="Times New Roman" w:cs="Times New Roman"/>
          <w:b/>
          <w:bCs/>
          <w:color w:val="0D0D0D" w:themeColor="text1" w:themeTint="F2"/>
          <w:sz w:val="20"/>
          <w:szCs w:val="20"/>
        </w:rPr>
        <w:t>2.1. Study population</w:t>
      </w:r>
    </w:p>
    <w:p w:rsidR="00D009F8" w:rsidRPr="009F0699" w:rsidRDefault="001C160B" w:rsidP="00D009F8">
      <w:pPr>
        <w:pStyle w:val="ListParagraph"/>
        <w:snapToGrid w:val="0"/>
        <w:spacing w:after="0" w:line="240" w:lineRule="auto"/>
        <w:ind w:left="0" w:firstLine="425"/>
        <w:jc w:val="both"/>
        <w:rPr>
          <w:rFonts w:ascii="Times New Roman" w:hAnsi="Times New Roman" w:cs="Times New Roman"/>
          <w:color w:val="0D0D0D" w:themeColor="text1" w:themeTint="F2"/>
          <w:sz w:val="20"/>
          <w:szCs w:val="20"/>
          <w:lang w:eastAsia="zh-CN"/>
        </w:rPr>
      </w:pPr>
      <w:r w:rsidRPr="009F0699">
        <w:rPr>
          <w:rFonts w:ascii="Times New Roman" w:hAnsi="Times New Roman" w:cs="Times New Roman"/>
          <w:color w:val="0D0D0D" w:themeColor="text1" w:themeTint="F2"/>
          <w:sz w:val="20"/>
          <w:szCs w:val="20"/>
        </w:rPr>
        <w:t xml:space="preserve">This study is </w:t>
      </w:r>
      <w:r w:rsidR="00A439C0" w:rsidRPr="009F0699">
        <w:rPr>
          <w:rFonts w:ascii="Times New Roman" w:hAnsi="Times New Roman" w:cs="Times New Roman"/>
          <w:color w:val="0D0D0D" w:themeColor="text1" w:themeTint="F2"/>
          <w:sz w:val="20"/>
          <w:szCs w:val="20"/>
        </w:rPr>
        <w:t>a</w:t>
      </w:r>
      <w:r w:rsidR="004B5A81" w:rsidRPr="009F0699">
        <w:rPr>
          <w:rFonts w:ascii="Times New Roman" w:hAnsi="Times New Roman" w:cs="Times New Roman"/>
          <w:color w:val="0D0D0D" w:themeColor="text1" w:themeTint="F2"/>
          <w:sz w:val="20"/>
          <w:szCs w:val="20"/>
        </w:rPr>
        <w:t xml:space="preserve"> cross sectional</w:t>
      </w:r>
      <w:r w:rsidRPr="009F0699">
        <w:rPr>
          <w:rFonts w:ascii="Times New Roman" w:hAnsi="Times New Roman" w:cs="Times New Roman"/>
          <w:color w:val="0D0D0D" w:themeColor="text1" w:themeTint="F2"/>
          <w:sz w:val="20"/>
          <w:szCs w:val="20"/>
        </w:rPr>
        <w:t xml:space="preserve"> </w:t>
      </w:r>
      <w:r w:rsidR="004B5A81" w:rsidRPr="009F0699">
        <w:rPr>
          <w:rFonts w:ascii="Times New Roman" w:hAnsi="Times New Roman" w:cs="Times New Roman"/>
          <w:color w:val="0D0D0D" w:themeColor="text1" w:themeTint="F2"/>
          <w:sz w:val="20"/>
          <w:szCs w:val="20"/>
        </w:rPr>
        <w:t xml:space="preserve">observational </w:t>
      </w:r>
      <w:r w:rsidRPr="009F0699">
        <w:rPr>
          <w:rFonts w:ascii="Times New Roman" w:hAnsi="Times New Roman" w:cs="Times New Roman"/>
          <w:color w:val="0D0D0D" w:themeColor="text1" w:themeTint="F2"/>
          <w:sz w:val="20"/>
          <w:szCs w:val="20"/>
        </w:rPr>
        <w:t xml:space="preserve">study, comprised </w:t>
      </w:r>
      <w:r w:rsidR="00FD16B1" w:rsidRPr="009F0699">
        <w:rPr>
          <w:rFonts w:ascii="Times New Roman" w:hAnsi="Times New Roman" w:cs="Times New Roman"/>
          <w:color w:val="0D0D0D" w:themeColor="text1" w:themeTint="F2"/>
          <w:sz w:val="20"/>
          <w:szCs w:val="20"/>
        </w:rPr>
        <w:t>319</w:t>
      </w:r>
      <w:r w:rsidR="00DF1A51"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patients</w:t>
      </w:r>
      <w:r w:rsidR="00FD16B1" w:rsidRPr="009F0699">
        <w:rPr>
          <w:rFonts w:ascii="Times New Roman" w:hAnsi="Times New Roman" w:cs="Times New Roman"/>
          <w:color w:val="0D0D0D" w:themeColor="text1" w:themeTint="F2"/>
          <w:sz w:val="20"/>
          <w:szCs w:val="20"/>
        </w:rPr>
        <w:t xml:space="preserve"> with STEMI presenting to National heart institute (NHI) </w:t>
      </w:r>
      <w:r w:rsidR="00DF1A51" w:rsidRPr="009F0699">
        <w:rPr>
          <w:rFonts w:ascii="Times New Roman" w:hAnsi="Times New Roman" w:cs="Times New Roman"/>
          <w:color w:val="0D0D0D" w:themeColor="text1" w:themeTint="F2"/>
          <w:sz w:val="20"/>
          <w:szCs w:val="20"/>
        </w:rPr>
        <w:t xml:space="preserve">from </w:t>
      </w:r>
      <w:r w:rsidR="00FD16B1" w:rsidRPr="009F0699">
        <w:rPr>
          <w:rFonts w:ascii="Times New Roman" w:hAnsi="Times New Roman" w:cs="Times New Roman"/>
          <w:color w:val="0D0D0D" w:themeColor="text1" w:themeTint="F2"/>
          <w:sz w:val="20"/>
          <w:szCs w:val="20"/>
        </w:rPr>
        <w:t>February</w:t>
      </w:r>
      <w:r w:rsidRPr="009F0699">
        <w:rPr>
          <w:rFonts w:ascii="Times New Roman" w:hAnsi="Times New Roman" w:cs="Times New Roman"/>
          <w:color w:val="0D0D0D" w:themeColor="text1" w:themeTint="F2"/>
          <w:sz w:val="20"/>
          <w:szCs w:val="20"/>
        </w:rPr>
        <w:t xml:space="preserve"> 2017 to </w:t>
      </w:r>
      <w:r w:rsidR="00FD16B1" w:rsidRPr="009F0699">
        <w:rPr>
          <w:rFonts w:ascii="Times New Roman" w:hAnsi="Times New Roman" w:cs="Times New Roman"/>
          <w:color w:val="0D0D0D" w:themeColor="text1" w:themeTint="F2"/>
          <w:sz w:val="20"/>
          <w:szCs w:val="20"/>
        </w:rPr>
        <w:t>April 2018</w:t>
      </w:r>
      <w:r w:rsidR="00DF1A51" w:rsidRPr="009F0699">
        <w:rPr>
          <w:rFonts w:ascii="Times New Roman" w:hAnsi="Times New Roman" w:cs="Times New Roman"/>
          <w:color w:val="0D0D0D" w:themeColor="text1" w:themeTint="F2"/>
          <w:sz w:val="20"/>
          <w:szCs w:val="20"/>
        </w:rPr>
        <w:t xml:space="preserve">. Patients with </w:t>
      </w:r>
      <w:r w:rsidRPr="009F0699">
        <w:rPr>
          <w:rFonts w:ascii="Times New Roman" w:hAnsi="Times New Roman" w:cs="Times New Roman"/>
          <w:color w:val="0D0D0D" w:themeColor="text1" w:themeTint="F2"/>
          <w:sz w:val="20"/>
          <w:szCs w:val="20"/>
        </w:rPr>
        <w:t xml:space="preserve">STEMI eligible for PPCI according to </w:t>
      </w:r>
      <w:r w:rsidR="00DF1A51" w:rsidRPr="009F0699">
        <w:rPr>
          <w:rFonts w:ascii="Times New Roman" w:hAnsi="Times New Roman" w:cs="Times New Roman"/>
          <w:color w:val="0D0D0D" w:themeColor="text1" w:themeTint="F2"/>
          <w:sz w:val="20"/>
          <w:szCs w:val="20"/>
        </w:rPr>
        <w:t xml:space="preserve">European </w:t>
      </w:r>
      <w:r w:rsidRPr="009F0699">
        <w:rPr>
          <w:rFonts w:ascii="Times New Roman" w:hAnsi="Times New Roman" w:cs="Times New Roman"/>
          <w:color w:val="0D0D0D" w:themeColor="text1" w:themeTint="F2"/>
          <w:sz w:val="20"/>
          <w:szCs w:val="20"/>
        </w:rPr>
        <w:t>Society of C</w:t>
      </w:r>
      <w:r w:rsidR="00DF1A51" w:rsidRPr="009F0699">
        <w:rPr>
          <w:rFonts w:ascii="Times New Roman" w:hAnsi="Times New Roman" w:cs="Times New Roman"/>
          <w:color w:val="0D0D0D" w:themeColor="text1" w:themeTint="F2"/>
          <w:sz w:val="20"/>
          <w:szCs w:val="20"/>
        </w:rPr>
        <w:t xml:space="preserve">ardiology (ESC) guidelines were </w:t>
      </w:r>
      <w:r w:rsidRPr="009F0699">
        <w:rPr>
          <w:rFonts w:ascii="Times New Roman" w:hAnsi="Times New Roman" w:cs="Times New Roman"/>
          <w:color w:val="0D0D0D" w:themeColor="text1" w:themeTint="F2"/>
          <w:sz w:val="20"/>
          <w:szCs w:val="20"/>
        </w:rPr>
        <w:t xml:space="preserve">included. </w:t>
      </w:r>
      <w:r w:rsidR="00FD16B1" w:rsidRPr="009F0699">
        <w:rPr>
          <w:rFonts w:ascii="Times New Roman" w:hAnsi="Times New Roman" w:cs="Times New Roman"/>
          <w:color w:val="0D0D0D" w:themeColor="text1" w:themeTint="F2"/>
          <w:sz w:val="20"/>
          <w:szCs w:val="20"/>
        </w:rPr>
        <w:t xml:space="preserve">While the excluded Patients </w:t>
      </w:r>
      <w:r w:rsidRPr="009F0699">
        <w:rPr>
          <w:rFonts w:ascii="Times New Roman" w:hAnsi="Times New Roman" w:cs="Times New Roman"/>
          <w:color w:val="0D0D0D" w:themeColor="text1" w:themeTint="F2"/>
          <w:sz w:val="20"/>
          <w:szCs w:val="20"/>
        </w:rPr>
        <w:t>were</w:t>
      </w:r>
      <w:r w:rsidR="00DF1A51" w:rsidRPr="009F0699">
        <w:rPr>
          <w:rFonts w:ascii="Times New Roman" w:hAnsi="Times New Roman" w:cs="Times New Roman"/>
          <w:color w:val="0D0D0D" w:themeColor="text1" w:themeTint="F2"/>
          <w:sz w:val="20"/>
          <w:szCs w:val="20"/>
        </w:rPr>
        <w:t xml:space="preserve"> those </w:t>
      </w:r>
      <w:r w:rsidR="00FD16B1" w:rsidRPr="009F0699">
        <w:rPr>
          <w:rFonts w:ascii="Times New Roman" w:hAnsi="Times New Roman" w:cs="Times New Roman"/>
          <w:color w:val="0D0D0D" w:themeColor="text1" w:themeTint="F2"/>
          <w:sz w:val="20"/>
          <w:szCs w:val="20"/>
        </w:rPr>
        <w:t>were</w:t>
      </w:r>
      <w:r w:rsidRPr="009F0699">
        <w:rPr>
          <w:rFonts w:ascii="Times New Roman" w:hAnsi="Times New Roman" w:cs="Times New Roman"/>
          <w:color w:val="0D0D0D" w:themeColor="text1" w:themeTint="F2"/>
          <w:sz w:val="20"/>
          <w:szCs w:val="20"/>
        </w:rPr>
        <w:t xml:space="preserve"> not treat</w:t>
      </w:r>
      <w:r w:rsidR="00DF1A51" w:rsidRPr="009F0699">
        <w:rPr>
          <w:rFonts w:ascii="Times New Roman" w:hAnsi="Times New Roman" w:cs="Times New Roman"/>
          <w:color w:val="0D0D0D" w:themeColor="text1" w:themeTint="F2"/>
          <w:sz w:val="20"/>
          <w:szCs w:val="20"/>
        </w:rPr>
        <w:t xml:space="preserve">ed with PPCI, patients who were </w:t>
      </w:r>
      <w:r w:rsidRPr="009F0699">
        <w:rPr>
          <w:rFonts w:ascii="Times New Roman" w:hAnsi="Times New Roman" w:cs="Times New Roman"/>
          <w:color w:val="0D0D0D" w:themeColor="text1" w:themeTint="F2"/>
          <w:sz w:val="20"/>
          <w:szCs w:val="20"/>
        </w:rPr>
        <w:t>treated by thr</w:t>
      </w:r>
      <w:r w:rsidR="00DF1A51" w:rsidRPr="009F0699">
        <w:rPr>
          <w:rFonts w:ascii="Times New Roman" w:hAnsi="Times New Roman" w:cs="Times New Roman"/>
          <w:color w:val="0D0D0D" w:themeColor="text1" w:themeTint="F2"/>
          <w:sz w:val="20"/>
          <w:szCs w:val="20"/>
        </w:rPr>
        <w:t xml:space="preserve">ombolytic therapy, patients who </w:t>
      </w:r>
      <w:r w:rsidRPr="009F0699">
        <w:rPr>
          <w:rFonts w:ascii="Times New Roman" w:hAnsi="Times New Roman" w:cs="Times New Roman"/>
          <w:color w:val="0D0D0D" w:themeColor="text1" w:themeTint="F2"/>
          <w:sz w:val="20"/>
          <w:szCs w:val="20"/>
        </w:rPr>
        <w:t>presented more than</w:t>
      </w:r>
      <w:r w:rsidR="00FD16B1" w:rsidRPr="009F0699">
        <w:rPr>
          <w:rFonts w:ascii="Times New Roman" w:hAnsi="Times New Roman" w:cs="Times New Roman"/>
          <w:color w:val="0D0D0D" w:themeColor="text1" w:themeTint="F2"/>
          <w:sz w:val="20"/>
          <w:szCs w:val="20"/>
        </w:rPr>
        <w:t xml:space="preserve"> </w:t>
      </w:r>
      <w:r w:rsidR="00DD07FD" w:rsidRPr="009F0699">
        <w:rPr>
          <w:rFonts w:ascii="Times New Roman" w:hAnsi="Times New Roman" w:cs="Times New Roman"/>
          <w:color w:val="0D0D0D" w:themeColor="text1" w:themeTint="F2"/>
          <w:sz w:val="20"/>
          <w:szCs w:val="20"/>
        </w:rPr>
        <w:t xml:space="preserve">12 hours after symptoms onset </w:t>
      </w:r>
      <w:r w:rsidRPr="009F0699">
        <w:rPr>
          <w:rFonts w:ascii="Times New Roman" w:hAnsi="Times New Roman" w:cs="Times New Roman"/>
          <w:color w:val="0D0D0D" w:themeColor="text1" w:themeTint="F2"/>
          <w:sz w:val="20"/>
          <w:szCs w:val="20"/>
        </w:rPr>
        <w:t>and patients with ch</w:t>
      </w:r>
      <w:r w:rsidR="00DD07FD" w:rsidRPr="009F0699">
        <w:rPr>
          <w:rFonts w:ascii="Times New Roman" w:hAnsi="Times New Roman" w:cs="Times New Roman"/>
          <w:color w:val="0D0D0D" w:themeColor="text1" w:themeTint="F2"/>
          <w:sz w:val="20"/>
          <w:szCs w:val="20"/>
        </w:rPr>
        <w:t xml:space="preserve">ronic kidney disease on medical </w:t>
      </w:r>
      <w:r w:rsidRPr="009F0699">
        <w:rPr>
          <w:rFonts w:ascii="Times New Roman" w:hAnsi="Times New Roman" w:cs="Times New Roman"/>
          <w:color w:val="0D0D0D" w:themeColor="text1" w:themeTint="F2"/>
          <w:sz w:val="20"/>
          <w:szCs w:val="20"/>
        </w:rPr>
        <w:t>treatment or in dialysis</w:t>
      </w:r>
      <w:r w:rsidR="00FD16B1" w:rsidRPr="009F0699">
        <w:rPr>
          <w:rFonts w:ascii="Times New Roman" w:hAnsi="Times New Roman" w:cs="Times New Roman"/>
          <w:color w:val="0D0D0D" w:themeColor="text1" w:themeTint="F2"/>
          <w:sz w:val="20"/>
          <w:szCs w:val="20"/>
        </w:rPr>
        <w:t xml:space="preserve"> or those with Malignancy, bleeding d</w:t>
      </w:r>
      <w:r w:rsidR="004B5A81" w:rsidRPr="009F0699">
        <w:rPr>
          <w:rFonts w:ascii="Times New Roman" w:hAnsi="Times New Roman" w:cs="Times New Roman"/>
          <w:color w:val="0D0D0D" w:themeColor="text1" w:themeTint="F2"/>
          <w:sz w:val="20"/>
          <w:szCs w:val="20"/>
        </w:rPr>
        <w:t>iathesis, Hematological disease or</w:t>
      </w:r>
      <w:r w:rsidR="00FD16B1" w:rsidRPr="009F0699">
        <w:rPr>
          <w:rFonts w:ascii="Times New Roman" w:hAnsi="Times New Roman" w:cs="Times New Roman"/>
          <w:color w:val="0D0D0D" w:themeColor="text1" w:themeTint="F2"/>
          <w:sz w:val="20"/>
          <w:szCs w:val="20"/>
        </w:rPr>
        <w:t xml:space="preserve"> severe liver disorder</w:t>
      </w:r>
      <w:r w:rsidR="00320B97" w:rsidRPr="009F0699">
        <w:rPr>
          <w:rFonts w:ascii="Times New Roman" w:hAnsi="Times New Roman" w:cs="Times New Roman"/>
          <w:color w:val="0D0D0D" w:themeColor="text1" w:themeTint="F2"/>
          <w:sz w:val="20"/>
          <w:szCs w:val="20"/>
        </w:rPr>
        <w:t>.</w:t>
      </w:r>
      <w:r w:rsidR="00DD07FD" w:rsidRPr="009F0699">
        <w:rPr>
          <w:rFonts w:ascii="Times New Roman" w:hAnsi="Times New Roman" w:cs="Times New Roman"/>
          <w:color w:val="000000"/>
          <w:sz w:val="20"/>
          <w:szCs w:val="20"/>
        </w:rPr>
        <w:t xml:space="preserve"> </w:t>
      </w:r>
      <w:r w:rsidR="00320B97" w:rsidRPr="009F0699">
        <w:rPr>
          <w:rFonts w:ascii="Times New Roman" w:hAnsi="Times New Roman" w:cs="Times New Roman"/>
          <w:color w:val="0D0D0D" w:themeColor="text1" w:themeTint="F2"/>
          <w:sz w:val="20"/>
          <w:szCs w:val="20"/>
        </w:rPr>
        <w:t>Every pati</w:t>
      </w:r>
      <w:r w:rsidR="00DD07FD" w:rsidRPr="009F0699">
        <w:rPr>
          <w:rFonts w:ascii="Times New Roman" w:hAnsi="Times New Roman" w:cs="Times New Roman"/>
          <w:color w:val="0D0D0D" w:themeColor="text1" w:themeTint="F2"/>
          <w:sz w:val="20"/>
          <w:szCs w:val="20"/>
        </w:rPr>
        <w:t xml:space="preserve">ent's record included: Informed </w:t>
      </w:r>
      <w:r w:rsidR="00320B97" w:rsidRPr="009F0699">
        <w:rPr>
          <w:rFonts w:ascii="Times New Roman" w:hAnsi="Times New Roman" w:cs="Times New Roman"/>
          <w:color w:val="0D0D0D" w:themeColor="text1" w:themeTint="F2"/>
          <w:sz w:val="20"/>
          <w:szCs w:val="20"/>
        </w:rPr>
        <w:t>consent taken from p</w:t>
      </w:r>
      <w:r w:rsidR="00DD07FD" w:rsidRPr="009F0699">
        <w:rPr>
          <w:rFonts w:ascii="Times New Roman" w:hAnsi="Times New Roman" w:cs="Times New Roman"/>
          <w:color w:val="0D0D0D" w:themeColor="text1" w:themeTint="F2"/>
          <w:sz w:val="20"/>
          <w:szCs w:val="20"/>
        </w:rPr>
        <w:t xml:space="preserve">atients. In case of incompetent </w:t>
      </w:r>
      <w:r w:rsidR="00320B97" w:rsidRPr="009F0699">
        <w:rPr>
          <w:rFonts w:ascii="Times New Roman" w:hAnsi="Times New Roman" w:cs="Times New Roman"/>
          <w:color w:val="0D0D0D" w:themeColor="text1" w:themeTint="F2"/>
          <w:sz w:val="20"/>
          <w:szCs w:val="20"/>
        </w:rPr>
        <w:t>patients, the info</w:t>
      </w:r>
      <w:r w:rsidR="00DD07FD" w:rsidRPr="009F0699">
        <w:rPr>
          <w:rFonts w:ascii="Times New Roman" w:hAnsi="Times New Roman" w:cs="Times New Roman"/>
          <w:color w:val="0D0D0D" w:themeColor="text1" w:themeTint="F2"/>
          <w:sz w:val="20"/>
          <w:szCs w:val="20"/>
        </w:rPr>
        <w:t xml:space="preserve">rmed consent was taken from the </w:t>
      </w:r>
      <w:r w:rsidR="00320B97" w:rsidRPr="009F0699">
        <w:rPr>
          <w:rFonts w:ascii="Times New Roman" w:hAnsi="Times New Roman" w:cs="Times New Roman"/>
          <w:color w:val="0D0D0D" w:themeColor="text1" w:themeTint="F2"/>
          <w:sz w:val="20"/>
          <w:szCs w:val="20"/>
        </w:rPr>
        <w:t>guardians. Thoro</w:t>
      </w:r>
      <w:r w:rsidR="00DD07FD" w:rsidRPr="009F0699">
        <w:rPr>
          <w:rFonts w:ascii="Times New Roman" w:hAnsi="Times New Roman" w:cs="Times New Roman"/>
          <w:color w:val="0D0D0D" w:themeColor="text1" w:themeTint="F2"/>
          <w:sz w:val="20"/>
          <w:szCs w:val="20"/>
        </w:rPr>
        <w:t xml:space="preserve">ugh history taking with special </w:t>
      </w:r>
      <w:r w:rsidR="00320B97" w:rsidRPr="009F0699">
        <w:rPr>
          <w:rFonts w:ascii="Times New Roman" w:hAnsi="Times New Roman" w:cs="Times New Roman"/>
          <w:color w:val="0D0D0D" w:themeColor="text1" w:themeTint="F2"/>
          <w:sz w:val="20"/>
          <w:szCs w:val="20"/>
        </w:rPr>
        <w:t>emphasis on: Risk factors (Age, gend</w:t>
      </w:r>
      <w:r w:rsidR="00DD07FD" w:rsidRPr="009F0699">
        <w:rPr>
          <w:rFonts w:ascii="Times New Roman" w:hAnsi="Times New Roman" w:cs="Times New Roman"/>
          <w:color w:val="0D0D0D" w:themeColor="text1" w:themeTint="F2"/>
          <w:sz w:val="20"/>
          <w:szCs w:val="20"/>
        </w:rPr>
        <w:t xml:space="preserve">er, diabetes, </w:t>
      </w:r>
      <w:r w:rsidR="00320B97" w:rsidRPr="009F0699">
        <w:rPr>
          <w:rFonts w:ascii="Times New Roman" w:hAnsi="Times New Roman" w:cs="Times New Roman"/>
          <w:color w:val="0D0D0D" w:themeColor="text1" w:themeTint="F2"/>
          <w:sz w:val="20"/>
          <w:szCs w:val="20"/>
        </w:rPr>
        <w:t>hypertension, smoking,</w:t>
      </w:r>
      <w:r w:rsidR="00DD07FD" w:rsidRPr="009F0699">
        <w:rPr>
          <w:rFonts w:ascii="Times New Roman" w:hAnsi="Times New Roman" w:cs="Times New Roman"/>
          <w:color w:val="0D0D0D" w:themeColor="text1" w:themeTint="F2"/>
          <w:sz w:val="20"/>
          <w:szCs w:val="20"/>
        </w:rPr>
        <w:t xml:space="preserve"> </w:t>
      </w:r>
      <w:proofErr w:type="spellStart"/>
      <w:r w:rsidR="00DD07FD" w:rsidRPr="009F0699">
        <w:rPr>
          <w:rFonts w:ascii="Times New Roman" w:hAnsi="Times New Roman" w:cs="Times New Roman"/>
          <w:color w:val="0D0D0D" w:themeColor="text1" w:themeTint="F2"/>
          <w:sz w:val="20"/>
          <w:szCs w:val="20"/>
        </w:rPr>
        <w:t>dyslipidemia</w:t>
      </w:r>
      <w:proofErr w:type="spellEnd"/>
      <w:r w:rsidR="00DD07FD" w:rsidRPr="009F0699">
        <w:rPr>
          <w:rFonts w:ascii="Times New Roman" w:hAnsi="Times New Roman" w:cs="Times New Roman"/>
          <w:color w:val="0D0D0D" w:themeColor="text1" w:themeTint="F2"/>
          <w:sz w:val="20"/>
          <w:szCs w:val="20"/>
        </w:rPr>
        <w:t xml:space="preserve">, family history). </w:t>
      </w:r>
      <w:r w:rsidR="00320B97" w:rsidRPr="009F0699">
        <w:rPr>
          <w:rFonts w:ascii="Times New Roman" w:hAnsi="Times New Roman" w:cs="Times New Roman"/>
          <w:color w:val="0D0D0D" w:themeColor="text1" w:themeTint="F2"/>
          <w:sz w:val="20"/>
          <w:szCs w:val="20"/>
        </w:rPr>
        <w:t>History of acu</w:t>
      </w:r>
      <w:r w:rsidR="00DD07FD" w:rsidRPr="009F0699">
        <w:rPr>
          <w:rFonts w:ascii="Times New Roman" w:hAnsi="Times New Roman" w:cs="Times New Roman"/>
          <w:color w:val="0D0D0D" w:themeColor="text1" w:themeTint="F2"/>
          <w:sz w:val="20"/>
          <w:szCs w:val="20"/>
        </w:rPr>
        <w:t xml:space="preserve">te coronary syndromes (ACS) and </w:t>
      </w:r>
      <w:r w:rsidR="00320B97" w:rsidRPr="009F0699">
        <w:rPr>
          <w:rFonts w:ascii="Times New Roman" w:hAnsi="Times New Roman" w:cs="Times New Roman"/>
          <w:color w:val="0D0D0D" w:themeColor="text1" w:themeTint="F2"/>
          <w:sz w:val="20"/>
          <w:szCs w:val="20"/>
        </w:rPr>
        <w:t>revascularization, comp</w:t>
      </w:r>
      <w:r w:rsidR="00DD07FD" w:rsidRPr="009F0699">
        <w:rPr>
          <w:rFonts w:ascii="Times New Roman" w:hAnsi="Times New Roman" w:cs="Times New Roman"/>
          <w:color w:val="0D0D0D" w:themeColor="text1" w:themeTint="F2"/>
          <w:sz w:val="20"/>
          <w:szCs w:val="20"/>
        </w:rPr>
        <w:t xml:space="preserve">lete clinical examination, with </w:t>
      </w:r>
      <w:r w:rsidR="00320B97" w:rsidRPr="009F0699">
        <w:rPr>
          <w:rFonts w:ascii="Times New Roman" w:hAnsi="Times New Roman" w:cs="Times New Roman"/>
          <w:color w:val="0D0D0D" w:themeColor="text1" w:themeTint="F2"/>
          <w:sz w:val="20"/>
          <w:szCs w:val="20"/>
        </w:rPr>
        <w:t>demonstration of admis</w:t>
      </w:r>
      <w:r w:rsidR="00DD07FD" w:rsidRPr="009F0699">
        <w:rPr>
          <w:rFonts w:ascii="Times New Roman" w:hAnsi="Times New Roman" w:cs="Times New Roman"/>
          <w:color w:val="0D0D0D" w:themeColor="text1" w:themeTint="F2"/>
          <w:sz w:val="20"/>
          <w:szCs w:val="20"/>
        </w:rPr>
        <w:t xml:space="preserve">sion blood pressure, pulse, and </w:t>
      </w:r>
      <w:proofErr w:type="spellStart"/>
      <w:r w:rsidR="00320B97" w:rsidRPr="009F0699">
        <w:rPr>
          <w:rFonts w:ascii="Times New Roman" w:hAnsi="Times New Roman" w:cs="Times New Roman"/>
          <w:color w:val="0D0D0D" w:themeColor="text1" w:themeTint="F2"/>
          <w:sz w:val="20"/>
          <w:szCs w:val="20"/>
        </w:rPr>
        <w:t>killip</w:t>
      </w:r>
      <w:proofErr w:type="spellEnd"/>
      <w:r w:rsidR="00320B97" w:rsidRPr="009F0699">
        <w:rPr>
          <w:rFonts w:ascii="Times New Roman" w:hAnsi="Times New Roman" w:cs="Times New Roman"/>
          <w:color w:val="0D0D0D" w:themeColor="text1" w:themeTint="F2"/>
          <w:sz w:val="20"/>
          <w:szCs w:val="20"/>
        </w:rPr>
        <w:t xml:space="preserve"> class. </w:t>
      </w:r>
      <w:proofErr w:type="spellStart"/>
      <w:r w:rsidR="00320B97" w:rsidRPr="009F0699">
        <w:rPr>
          <w:rFonts w:ascii="Times New Roman" w:hAnsi="Times New Roman" w:cs="Times New Roman"/>
          <w:color w:val="0D0D0D" w:themeColor="text1" w:themeTint="F2"/>
          <w:sz w:val="20"/>
          <w:szCs w:val="20"/>
        </w:rPr>
        <w:t>Creatinine</w:t>
      </w:r>
      <w:proofErr w:type="spellEnd"/>
      <w:r w:rsidR="00320B97" w:rsidRPr="009F0699">
        <w:rPr>
          <w:rFonts w:ascii="Times New Roman" w:hAnsi="Times New Roman" w:cs="Times New Roman"/>
          <w:color w:val="0D0D0D" w:themeColor="text1" w:themeTint="F2"/>
          <w:sz w:val="20"/>
          <w:szCs w:val="20"/>
        </w:rPr>
        <w:t xml:space="preserve"> level </w:t>
      </w:r>
      <w:r w:rsidR="004D4E9F" w:rsidRPr="009F0699">
        <w:rPr>
          <w:rFonts w:ascii="Times New Roman" w:hAnsi="Times New Roman" w:cs="Times New Roman"/>
          <w:color w:val="0D0D0D" w:themeColor="text1" w:themeTint="F2"/>
          <w:sz w:val="20"/>
          <w:szCs w:val="20"/>
        </w:rPr>
        <w:t>an</w:t>
      </w:r>
      <w:r w:rsidR="00DD07FD" w:rsidRPr="009F0699">
        <w:rPr>
          <w:rFonts w:ascii="Times New Roman" w:hAnsi="Times New Roman" w:cs="Times New Roman"/>
          <w:color w:val="0D0D0D" w:themeColor="text1" w:themeTint="F2"/>
          <w:sz w:val="20"/>
          <w:szCs w:val="20"/>
        </w:rPr>
        <w:t xml:space="preserve">d CKMB level were </w:t>
      </w:r>
      <w:r w:rsidR="004D4E9F" w:rsidRPr="009F0699">
        <w:rPr>
          <w:rFonts w:ascii="Times New Roman" w:hAnsi="Times New Roman" w:cs="Times New Roman"/>
          <w:color w:val="0D0D0D" w:themeColor="text1" w:themeTint="F2"/>
          <w:sz w:val="20"/>
          <w:szCs w:val="20"/>
        </w:rPr>
        <w:t xml:space="preserve">measured on </w:t>
      </w:r>
      <w:r w:rsidR="00320B97" w:rsidRPr="009F0699">
        <w:rPr>
          <w:rFonts w:ascii="Times New Roman" w:hAnsi="Times New Roman" w:cs="Times New Roman"/>
          <w:color w:val="0D0D0D" w:themeColor="text1" w:themeTint="F2"/>
          <w:sz w:val="20"/>
          <w:szCs w:val="20"/>
        </w:rPr>
        <w:t>admission.</w:t>
      </w:r>
      <w:r w:rsidR="004D4E9F" w:rsidRPr="009F0699">
        <w:rPr>
          <w:rFonts w:ascii="Times New Roman" w:hAnsi="Times New Roman" w:cs="Times New Roman"/>
          <w:color w:val="0D0D0D" w:themeColor="text1" w:themeTint="F2"/>
          <w:sz w:val="20"/>
          <w:szCs w:val="20"/>
        </w:rPr>
        <w:t xml:space="preserve"> Standard 12 lead electrocardiogram (ECG) was performed an</w:t>
      </w:r>
      <w:r w:rsidR="00DD07FD" w:rsidRPr="009F0699">
        <w:rPr>
          <w:rFonts w:ascii="Times New Roman" w:hAnsi="Times New Roman" w:cs="Times New Roman"/>
          <w:color w:val="0D0D0D" w:themeColor="text1" w:themeTint="F2"/>
          <w:sz w:val="20"/>
          <w:szCs w:val="20"/>
        </w:rPr>
        <w:t xml:space="preserve">d </w:t>
      </w:r>
      <w:proofErr w:type="spellStart"/>
      <w:r w:rsidR="00DD07FD" w:rsidRPr="009F0699">
        <w:rPr>
          <w:rFonts w:ascii="Times New Roman" w:hAnsi="Times New Roman" w:cs="Times New Roman"/>
          <w:color w:val="0D0D0D" w:themeColor="text1" w:themeTint="F2"/>
          <w:sz w:val="20"/>
          <w:szCs w:val="20"/>
        </w:rPr>
        <w:t>transthoracic</w:t>
      </w:r>
      <w:proofErr w:type="spellEnd"/>
      <w:r w:rsidR="00DD07FD" w:rsidRPr="009F0699">
        <w:rPr>
          <w:rFonts w:ascii="Times New Roman" w:hAnsi="Times New Roman" w:cs="Times New Roman"/>
          <w:color w:val="0D0D0D" w:themeColor="text1" w:themeTint="F2"/>
          <w:sz w:val="20"/>
          <w:szCs w:val="20"/>
        </w:rPr>
        <w:t xml:space="preserve"> two dimensional </w:t>
      </w:r>
      <w:r w:rsidR="004D4E9F" w:rsidRPr="009F0699">
        <w:rPr>
          <w:rFonts w:ascii="Times New Roman" w:hAnsi="Times New Roman" w:cs="Times New Roman"/>
          <w:color w:val="0D0D0D" w:themeColor="text1" w:themeTint="F2"/>
          <w:sz w:val="20"/>
          <w:szCs w:val="20"/>
        </w:rPr>
        <w:t>echocardiography was performed upon admission to CCU.</w:t>
      </w:r>
      <w:r w:rsidR="00DD07FD" w:rsidRPr="009F0699">
        <w:rPr>
          <w:rFonts w:ascii="Times New Roman" w:hAnsi="Times New Roman" w:cs="Times New Roman"/>
          <w:sz w:val="20"/>
          <w:szCs w:val="20"/>
        </w:rPr>
        <w:t xml:space="preserve"> </w:t>
      </w:r>
      <w:r w:rsidR="004B5A81" w:rsidRPr="009F0699">
        <w:rPr>
          <w:rFonts w:ascii="Times New Roman" w:hAnsi="Times New Roman" w:cs="Times New Roman"/>
          <w:color w:val="0D0D0D" w:themeColor="text1" w:themeTint="F2"/>
          <w:sz w:val="20"/>
          <w:szCs w:val="20"/>
        </w:rPr>
        <w:t xml:space="preserve">Cardiac risk scores were </w:t>
      </w:r>
      <w:r w:rsidR="00DD07FD" w:rsidRPr="009F0699">
        <w:rPr>
          <w:rFonts w:ascii="Times New Roman" w:hAnsi="Times New Roman" w:cs="Times New Roman"/>
          <w:color w:val="0D0D0D" w:themeColor="text1" w:themeTint="F2"/>
          <w:sz w:val="20"/>
          <w:szCs w:val="20"/>
        </w:rPr>
        <w:t xml:space="preserve">calculated for all patients, </w:t>
      </w:r>
      <w:proofErr w:type="spellStart"/>
      <w:r w:rsidR="00991150" w:rsidRPr="009F0699">
        <w:rPr>
          <w:rFonts w:ascii="Times New Roman" w:hAnsi="Times New Roman" w:cs="Times New Roman"/>
          <w:color w:val="0D0D0D" w:themeColor="text1" w:themeTint="F2"/>
          <w:sz w:val="20"/>
          <w:szCs w:val="20"/>
        </w:rPr>
        <w:t>Thrombolysis</w:t>
      </w:r>
      <w:proofErr w:type="spellEnd"/>
      <w:r w:rsidR="00991150" w:rsidRPr="009F0699">
        <w:rPr>
          <w:rFonts w:ascii="Times New Roman" w:hAnsi="Times New Roman" w:cs="Times New Roman"/>
          <w:color w:val="0D0D0D" w:themeColor="text1" w:themeTint="F2"/>
          <w:sz w:val="20"/>
          <w:szCs w:val="20"/>
        </w:rPr>
        <w:t xml:space="preserve"> in myocardial infarction (TIMI) risk score (TRS)</w:t>
      </w:r>
      <w:r w:rsidR="00991150" w:rsidRPr="009F0699">
        <w:rPr>
          <w:rFonts w:ascii="Times New Roman" w:hAnsi="Times New Roman" w:cs="Times New Roman"/>
          <w:b/>
          <w:bCs/>
          <w:color w:val="0D0D0D" w:themeColor="text1" w:themeTint="F2"/>
          <w:sz w:val="20"/>
          <w:szCs w:val="20"/>
        </w:rPr>
        <w:t xml:space="preserve"> </w:t>
      </w:r>
      <w:r w:rsidR="00991150" w:rsidRPr="009F0699">
        <w:rPr>
          <w:rFonts w:ascii="Times New Roman" w:hAnsi="Times New Roman" w:cs="Times New Roman"/>
          <w:color w:val="0D0D0D" w:themeColor="text1" w:themeTint="F2"/>
          <w:sz w:val="20"/>
          <w:szCs w:val="20"/>
        </w:rPr>
        <w:t xml:space="preserve">according to age, diabetes mellitus (DM), hypertension (HTN) or angina, heart rate of </w:t>
      </w:r>
      <w:r w:rsidR="004B5A81" w:rsidRPr="009F0699">
        <w:rPr>
          <w:rFonts w:ascii="Times New Roman" w:hAnsi="Times New Roman" w:cs="Times New Roman"/>
          <w:color w:val="0D0D0D" w:themeColor="text1" w:themeTint="F2"/>
          <w:sz w:val="20"/>
          <w:szCs w:val="20"/>
        </w:rPr>
        <w:t>more</w:t>
      </w:r>
      <w:r w:rsidR="00991150" w:rsidRPr="009F0699">
        <w:rPr>
          <w:rFonts w:ascii="Times New Roman" w:hAnsi="Times New Roman" w:cs="Times New Roman"/>
          <w:color w:val="0D0D0D" w:themeColor="text1" w:themeTint="F2"/>
          <w:sz w:val="20"/>
          <w:szCs w:val="20"/>
        </w:rPr>
        <w:t xml:space="preserve"> than 100 </w:t>
      </w:r>
      <w:proofErr w:type="spellStart"/>
      <w:r w:rsidR="00991150" w:rsidRPr="009F0699">
        <w:rPr>
          <w:rFonts w:ascii="Times New Roman" w:hAnsi="Times New Roman" w:cs="Times New Roman"/>
          <w:color w:val="0D0D0D" w:themeColor="text1" w:themeTint="F2"/>
          <w:sz w:val="20"/>
          <w:szCs w:val="20"/>
        </w:rPr>
        <w:t>bpm</w:t>
      </w:r>
      <w:proofErr w:type="spellEnd"/>
      <w:r w:rsidR="00991150" w:rsidRPr="009F0699">
        <w:rPr>
          <w:rFonts w:ascii="Times New Roman" w:hAnsi="Times New Roman" w:cs="Times New Roman"/>
          <w:color w:val="0D0D0D" w:themeColor="text1" w:themeTint="F2"/>
          <w:sz w:val="20"/>
          <w:szCs w:val="20"/>
        </w:rPr>
        <w:t xml:space="preserve">, systolic blood pressure (SBP) of less than 100 mmHg, </w:t>
      </w:r>
      <w:proofErr w:type="spellStart"/>
      <w:r w:rsidR="00991150" w:rsidRPr="009F0699">
        <w:rPr>
          <w:rFonts w:ascii="Times New Roman" w:hAnsi="Times New Roman" w:cs="Times New Roman"/>
          <w:color w:val="0D0D0D" w:themeColor="text1" w:themeTint="F2"/>
          <w:sz w:val="20"/>
          <w:szCs w:val="20"/>
        </w:rPr>
        <w:t>Killip</w:t>
      </w:r>
      <w:proofErr w:type="spellEnd"/>
      <w:r w:rsidR="00991150" w:rsidRPr="009F0699">
        <w:rPr>
          <w:rFonts w:ascii="Times New Roman" w:hAnsi="Times New Roman" w:cs="Times New Roman"/>
          <w:color w:val="0D0D0D" w:themeColor="text1" w:themeTint="F2"/>
          <w:sz w:val="20"/>
          <w:szCs w:val="20"/>
        </w:rPr>
        <w:t xml:space="preserve"> class II-IV, weight of less than 67 kg, anterior MI or LBBB presentation, and latency of more than 4</w:t>
      </w:r>
      <w:r w:rsidR="004B5A81" w:rsidRPr="009F0699">
        <w:rPr>
          <w:rFonts w:ascii="Times New Roman" w:hAnsi="Times New Roman" w:cs="Times New Roman"/>
          <w:color w:val="0D0D0D" w:themeColor="text1" w:themeTint="F2"/>
          <w:sz w:val="20"/>
          <w:szCs w:val="20"/>
        </w:rPr>
        <w:t xml:space="preserve"> </w:t>
      </w:r>
      <w:r w:rsidR="00991150" w:rsidRPr="009F0699">
        <w:rPr>
          <w:rFonts w:ascii="Times New Roman" w:hAnsi="Times New Roman" w:cs="Times New Roman"/>
          <w:color w:val="0D0D0D" w:themeColor="text1" w:themeTint="F2"/>
          <w:sz w:val="20"/>
          <w:szCs w:val="20"/>
        </w:rPr>
        <w:t>hour</w:t>
      </w:r>
      <w:r w:rsidR="004B5A81" w:rsidRPr="009F0699">
        <w:rPr>
          <w:rFonts w:ascii="Times New Roman" w:hAnsi="Times New Roman" w:cs="Times New Roman"/>
          <w:color w:val="0D0D0D" w:themeColor="text1" w:themeTint="F2"/>
          <w:sz w:val="20"/>
          <w:szCs w:val="20"/>
        </w:rPr>
        <w:t>s</w:t>
      </w:r>
      <w:r w:rsidR="00991150" w:rsidRPr="009F0699">
        <w:rPr>
          <w:rFonts w:ascii="Times New Roman" w:hAnsi="Times New Roman" w:cs="Times New Roman"/>
          <w:color w:val="0D0D0D" w:themeColor="text1" w:themeTint="F2"/>
          <w:sz w:val="20"/>
          <w:szCs w:val="20"/>
        </w:rPr>
        <w:t xml:space="preserve"> were recorded </w:t>
      </w:r>
      <w:r w:rsidR="00A63564" w:rsidRPr="009F0699">
        <w:rPr>
          <w:rFonts w:ascii="Times New Roman" w:hAnsi="Times New Roman" w:cs="Times New Roman"/>
          <w:b/>
          <w:bCs/>
          <w:color w:val="0D0D0D" w:themeColor="text1" w:themeTint="F2"/>
          <w:sz w:val="20"/>
          <w:szCs w:val="20"/>
        </w:rPr>
        <w:t>(6</w:t>
      </w:r>
      <w:r w:rsidR="00991150" w:rsidRPr="009F0699">
        <w:rPr>
          <w:rFonts w:ascii="Times New Roman" w:hAnsi="Times New Roman" w:cs="Times New Roman"/>
          <w:b/>
          <w:bCs/>
          <w:color w:val="0D0D0D" w:themeColor="text1" w:themeTint="F2"/>
          <w:sz w:val="20"/>
          <w:szCs w:val="20"/>
        </w:rPr>
        <w:t xml:space="preserve">). </w:t>
      </w:r>
      <w:r w:rsidR="00991150" w:rsidRPr="009F0699">
        <w:rPr>
          <w:rFonts w:ascii="Times New Roman" w:hAnsi="Times New Roman" w:cs="Times New Roman"/>
          <w:color w:val="0D0D0D" w:themeColor="text1" w:themeTint="F2"/>
          <w:sz w:val="20"/>
          <w:szCs w:val="20"/>
        </w:rPr>
        <w:t>Calculation of the TRS was per</w:t>
      </w:r>
      <w:r w:rsidR="006F6B01" w:rsidRPr="009F0699">
        <w:rPr>
          <w:rFonts w:ascii="Times New Roman" w:hAnsi="Times New Roman" w:cs="Times New Roman"/>
          <w:color w:val="0D0D0D" w:themeColor="text1" w:themeTint="F2"/>
          <w:sz w:val="20"/>
          <w:szCs w:val="20"/>
        </w:rPr>
        <w:t xml:space="preserve">formed </w:t>
      </w:r>
      <w:r w:rsidR="00DD07FD" w:rsidRPr="009F0699">
        <w:rPr>
          <w:rFonts w:ascii="Times New Roman" w:hAnsi="Times New Roman" w:cs="Times New Roman"/>
          <w:color w:val="0D0D0D" w:themeColor="text1" w:themeTint="F2"/>
          <w:sz w:val="20"/>
          <w:szCs w:val="20"/>
        </w:rPr>
        <w:t xml:space="preserve">using a computer program </w:t>
      </w:r>
      <w:r w:rsidR="00991150" w:rsidRPr="009F0699">
        <w:rPr>
          <w:rFonts w:ascii="Times New Roman" w:hAnsi="Times New Roman" w:cs="Times New Roman"/>
          <w:color w:val="0D0D0D" w:themeColor="text1" w:themeTint="F2"/>
          <w:sz w:val="20"/>
          <w:szCs w:val="20"/>
        </w:rPr>
        <w:t>(</w:t>
      </w:r>
      <w:hyperlink r:id="rId13" w:history="1">
        <w:r w:rsidR="00DD07FD" w:rsidRPr="009F0699">
          <w:rPr>
            <w:rStyle w:val="Hyperlink"/>
            <w:rFonts w:ascii="Times New Roman" w:hAnsi="Times New Roman" w:cs="Times New Roman"/>
            <w:sz w:val="20"/>
            <w:szCs w:val="20"/>
          </w:rPr>
          <w:t>https://www.mdcalc.com/timi-risk-score-stemi</w:t>
        </w:r>
      </w:hyperlink>
      <w:r w:rsidR="00991150" w:rsidRPr="009F0699">
        <w:rPr>
          <w:rFonts w:ascii="Times New Roman" w:hAnsi="Times New Roman" w:cs="Times New Roman"/>
          <w:color w:val="0D0D0D" w:themeColor="text1" w:themeTint="F2"/>
          <w:sz w:val="20"/>
          <w:szCs w:val="20"/>
        </w:rPr>
        <w:t>).Global registry of acute coronary events (GRACE) risk score (GRS)</w:t>
      </w:r>
      <w:r w:rsidR="00991150" w:rsidRPr="009F0699">
        <w:rPr>
          <w:rFonts w:ascii="Times New Roman" w:hAnsi="Times New Roman" w:cs="Times New Roman"/>
          <w:b/>
          <w:bCs/>
          <w:color w:val="0D0D0D" w:themeColor="text1" w:themeTint="F2"/>
          <w:sz w:val="20"/>
          <w:szCs w:val="20"/>
        </w:rPr>
        <w:t xml:space="preserve"> </w:t>
      </w:r>
      <w:r w:rsidR="00991150" w:rsidRPr="009F0699">
        <w:rPr>
          <w:rFonts w:ascii="Times New Roman" w:hAnsi="Times New Roman" w:cs="Times New Roman"/>
          <w:color w:val="0D0D0D" w:themeColor="text1" w:themeTint="F2"/>
          <w:sz w:val="20"/>
          <w:szCs w:val="20"/>
        </w:rPr>
        <w:t>also was determined for all patients</w:t>
      </w:r>
      <w:r w:rsidR="00CC3693" w:rsidRPr="009F0699">
        <w:rPr>
          <w:rFonts w:ascii="Times New Roman" w:hAnsi="Times New Roman" w:cs="Times New Roman"/>
          <w:color w:val="0D0D0D" w:themeColor="text1" w:themeTint="F2"/>
          <w:sz w:val="20"/>
          <w:szCs w:val="20"/>
        </w:rPr>
        <w:t xml:space="preserve"> </w:t>
      </w:r>
      <w:r w:rsidR="00991150" w:rsidRPr="009F0699">
        <w:rPr>
          <w:rFonts w:ascii="Times New Roman" w:hAnsi="Times New Roman" w:cs="Times New Roman"/>
          <w:color w:val="0D0D0D" w:themeColor="text1" w:themeTint="F2"/>
          <w:sz w:val="20"/>
          <w:szCs w:val="20"/>
        </w:rPr>
        <w:t xml:space="preserve">including age, </w:t>
      </w:r>
      <w:proofErr w:type="spellStart"/>
      <w:r w:rsidR="00991150" w:rsidRPr="009F0699">
        <w:rPr>
          <w:rFonts w:ascii="Times New Roman" w:hAnsi="Times New Roman" w:cs="Times New Roman"/>
          <w:color w:val="0D0D0D" w:themeColor="text1" w:themeTint="F2"/>
          <w:sz w:val="20"/>
          <w:szCs w:val="20"/>
        </w:rPr>
        <w:t>creatinine</w:t>
      </w:r>
      <w:proofErr w:type="spellEnd"/>
      <w:r w:rsidR="00991150" w:rsidRPr="009F0699">
        <w:rPr>
          <w:rFonts w:ascii="Times New Roman" w:hAnsi="Times New Roman" w:cs="Times New Roman"/>
          <w:color w:val="0D0D0D" w:themeColor="text1" w:themeTint="F2"/>
          <w:sz w:val="20"/>
          <w:szCs w:val="20"/>
        </w:rPr>
        <w:t>, heart rate,</w:t>
      </w:r>
      <w:r w:rsidR="00DD07FD" w:rsidRPr="009F0699">
        <w:rPr>
          <w:rFonts w:ascii="Times New Roman" w:hAnsi="Times New Roman" w:cs="Times New Roman"/>
          <w:color w:val="0D0D0D" w:themeColor="text1" w:themeTint="F2"/>
          <w:sz w:val="20"/>
          <w:szCs w:val="20"/>
        </w:rPr>
        <w:t xml:space="preserve"> </w:t>
      </w:r>
      <w:r w:rsidR="00991150" w:rsidRPr="009F0699">
        <w:rPr>
          <w:rFonts w:ascii="Times New Roman" w:hAnsi="Times New Roman" w:cs="Times New Roman"/>
          <w:color w:val="0D0D0D" w:themeColor="text1" w:themeTint="F2"/>
          <w:sz w:val="20"/>
          <w:szCs w:val="20"/>
        </w:rPr>
        <w:t xml:space="preserve">SBP, </w:t>
      </w:r>
      <w:proofErr w:type="spellStart"/>
      <w:r w:rsidR="00991150" w:rsidRPr="009F0699">
        <w:rPr>
          <w:rFonts w:ascii="Times New Roman" w:hAnsi="Times New Roman" w:cs="Times New Roman"/>
          <w:color w:val="0D0D0D" w:themeColor="text1" w:themeTint="F2"/>
          <w:sz w:val="20"/>
          <w:szCs w:val="20"/>
        </w:rPr>
        <w:t>Killip</w:t>
      </w:r>
      <w:proofErr w:type="spellEnd"/>
      <w:r w:rsidR="00991150" w:rsidRPr="009F0699">
        <w:rPr>
          <w:rFonts w:ascii="Times New Roman" w:hAnsi="Times New Roman" w:cs="Times New Roman"/>
          <w:color w:val="0D0D0D" w:themeColor="text1" w:themeTint="F2"/>
          <w:sz w:val="20"/>
          <w:szCs w:val="20"/>
        </w:rPr>
        <w:t xml:space="preserve"> class, cardiac arrest</w:t>
      </w:r>
      <w:r w:rsidR="00DD07FD" w:rsidRPr="009F0699">
        <w:rPr>
          <w:rFonts w:ascii="Times New Roman" w:hAnsi="Times New Roman" w:cs="Times New Roman"/>
          <w:color w:val="0D0D0D" w:themeColor="text1" w:themeTint="F2"/>
          <w:sz w:val="20"/>
          <w:szCs w:val="20"/>
        </w:rPr>
        <w:t xml:space="preserve"> on admission, elevated cardiac </w:t>
      </w:r>
      <w:r w:rsidR="00991150" w:rsidRPr="009F0699">
        <w:rPr>
          <w:rFonts w:ascii="Times New Roman" w:hAnsi="Times New Roman" w:cs="Times New Roman"/>
          <w:color w:val="0D0D0D" w:themeColor="text1" w:themeTint="F2"/>
          <w:sz w:val="20"/>
          <w:szCs w:val="20"/>
        </w:rPr>
        <w:t xml:space="preserve">markers, and ST-segment deviation were recorded </w:t>
      </w:r>
      <w:r w:rsidR="00A63564" w:rsidRPr="009F0699">
        <w:rPr>
          <w:rFonts w:ascii="Times New Roman" w:hAnsi="Times New Roman" w:cs="Times New Roman"/>
          <w:b/>
          <w:bCs/>
          <w:color w:val="0D0D0D" w:themeColor="text1" w:themeTint="F2"/>
          <w:sz w:val="20"/>
          <w:szCs w:val="20"/>
        </w:rPr>
        <w:t>(7</w:t>
      </w:r>
      <w:r w:rsidR="00991150" w:rsidRPr="009F0699">
        <w:rPr>
          <w:rFonts w:ascii="Times New Roman" w:hAnsi="Times New Roman" w:cs="Times New Roman"/>
          <w:b/>
          <w:bCs/>
          <w:color w:val="0D0D0D" w:themeColor="text1" w:themeTint="F2"/>
          <w:sz w:val="20"/>
          <w:szCs w:val="20"/>
        </w:rPr>
        <w:t>)</w:t>
      </w:r>
      <w:r w:rsidR="00DD07FD" w:rsidRPr="009F0699">
        <w:rPr>
          <w:rFonts w:ascii="Times New Roman" w:hAnsi="Times New Roman" w:cs="Times New Roman"/>
          <w:color w:val="0D0D0D" w:themeColor="text1" w:themeTint="F2"/>
          <w:sz w:val="20"/>
          <w:szCs w:val="20"/>
        </w:rPr>
        <w:t xml:space="preserve">. </w:t>
      </w:r>
      <w:r w:rsidR="00991150" w:rsidRPr="009F0699">
        <w:rPr>
          <w:rFonts w:ascii="Times New Roman" w:hAnsi="Times New Roman" w:cs="Times New Roman"/>
          <w:color w:val="0D0D0D" w:themeColor="text1" w:themeTint="F2"/>
          <w:sz w:val="20"/>
          <w:szCs w:val="20"/>
        </w:rPr>
        <w:t>Calculation of the GRS was performed using a computer program (</w:t>
      </w:r>
      <w:hyperlink r:id="rId14" w:history="1">
        <w:r w:rsidR="003D10C6" w:rsidRPr="009F0699">
          <w:rPr>
            <w:rStyle w:val="Hyperlink"/>
            <w:rFonts w:ascii="Times New Roman" w:hAnsi="Times New Roman" w:cs="Times New Roman"/>
            <w:sz w:val="20"/>
            <w:szCs w:val="20"/>
          </w:rPr>
          <w:t>https://www.mdcalc.com.grace-acs-mortality-calculator</w:t>
        </w:r>
      </w:hyperlink>
      <w:r w:rsidR="00991150" w:rsidRPr="009F0699">
        <w:rPr>
          <w:rFonts w:ascii="Times New Roman" w:hAnsi="Times New Roman" w:cs="Times New Roman"/>
          <w:color w:val="0D0D0D" w:themeColor="text1" w:themeTint="F2"/>
          <w:sz w:val="20"/>
          <w:szCs w:val="20"/>
        </w:rPr>
        <w:t>).</w:t>
      </w:r>
      <w:r w:rsidR="00506E20" w:rsidRPr="009F0699">
        <w:rPr>
          <w:rFonts w:ascii="Times New Roman" w:hAnsi="Times New Roman" w:cs="Times New Roman"/>
          <w:color w:val="0D0D0D" w:themeColor="text1" w:themeTint="F2"/>
          <w:sz w:val="20"/>
          <w:szCs w:val="20"/>
        </w:rPr>
        <w:t xml:space="preserve"> </w:t>
      </w:r>
      <w:proofErr w:type="spellStart"/>
      <w:r w:rsidR="00991150" w:rsidRPr="009F0699">
        <w:rPr>
          <w:rFonts w:ascii="Times New Roman" w:hAnsi="Times New Roman" w:cs="Times New Roman"/>
          <w:color w:val="0D0D0D" w:themeColor="text1" w:themeTint="F2"/>
          <w:sz w:val="20"/>
          <w:szCs w:val="20"/>
        </w:rPr>
        <w:t>Thrombolysis</w:t>
      </w:r>
      <w:proofErr w:type="spellEnd"/>
      <w:r w:rsidR="00991150" w:rsidRPr="009F0699">
        <w:rPr>
          <w:rFonts w:ascii="Times New Roman" w:hAnsi="Times New Roman" w:cs="Times New Roman"/>
          <w:color w:val="0D0D0D" w:themeColor="text1" w:themeTint="F2"/>
          <w:sz w:val="20"/>
          <w:szCs w:val="20"/>
        </w:rPr>
        <w:t xml:space="preserve"> i</w:t>
      </w:r>
      <w:r w:rsidR="003D10C6" w:rsidRPr="009F0699">
        <w:rPr>
          <w:rFonts w:ascii="Times New Roman" w:hAnsi="Times New Roman" w:cs="Times New Roman"/>
          <w:color w:val="0D0D0D" w:themeColor="text1" w:themeTint="F2"/>
          <w:sz w:val="20"/>
          <w:szCs w:val="20"/>
        </w:rPr>
        <w:t>n myocardial infarction (TIMI) risk</w:t>
      </w:r>
      <w:r w:rsidR="00991150" w:rsidRPr="009F0699">
        <w:rPr>
          <w:rFonts w:ascii="Times New Roman" w:hAnsi="Times New Roman" w:cs="Times New Roman"/>
          <w:color w:val="0D0D0D" w:themeColor="text1" w:themeTint="F2"/>
          <w:sz w:val="20"/>
          <w:szCs w:val="20"/>
        </w:rPr>
        <w:t xml:space="preserve"> Index (TRI) of patients </w:t>
      </w:r>
      <w:r w:rsidR="004E635A" w:rsidRPr="009F0699">
        <w:rPr>
          <w:rFonts w:ascii="Times New Roman" w:hAnsi="Times New Roman" w:cs="Times New Roman"/>
          <w:color w:val="0D0D0D" w:themeColor="text1" w:themeTint="F2"/>
          <w:sz w:val="20"/>
          <w:szCs w:val="20"/>
        </w:rPr>
        <w:t>was calculated</w:t>
      </w:r>
      <w:r w:rsidR="00991150" w:rsidRPr="009F0699">
        <w:rPr>
          <w:rFonts w:ascii="Times New Roman" w:hAnsi="Times New Roman" w:cs="Times New Roman"/>
          <w:color w:val="0D0D0D" w:themeColor="text1" w:themeTint="F2"/>
          <w:sz w:val="20"/>
          <w:szCs w:val="20"/>
        </w:rPr>
        <w:t xml:space="preserve"> for all patients by the formula</w:t>
      </w:r>
      <w:r w:rsidR="00506E20" w:rsidRPr="009F0699">
        <w:rPr>
          <w:rFonts w:ascii="Times New Roman" w:hAnsi="Times New Roman" w:cs="Times New Roman"/>
          <w:color w:val="0D0D0D" w:themeColor="text1" w:themeTint="F2"/>
          <w:sz w:val="20"/>
          <w:szCs w:val="20"/>
        </w:rPr>
        <w:t>:</w:t>
      </w:r>
      <w:r w:rsidR="00D009F8" w:rsidRPr="009F0699">
        <w:rPr>
          <w:rFonts w:ascii="Times New Roman" w:hAnsi="Times New Roman" w:cs="Times New Roman" w:hint="eastAsia"/>
          <w:color w:val="0D0D0D" w:themeColor="text1" w:themeTint="F2"/>
          <w:sz w:val="20"/>
          <w:szCs w:val="20"/>
          <w:lang w:eastAsia="zh-CN"/>
        </w:rPr>
        <w:t xml:space="preserve"> </w:t>
      </w:r>
    </w:p>
    <w:p w:rsidR="00DD07FD" w:rsidRPr="009F0699" w:rsidRDefault="00991150" w:rsidP="00D009F8">
      <w:pPr>
        <w:pStyle w:val="ListParagraph"/>
        <w:snapToGrid w:val="0"/>
        <w:spacing w:after="0" w:line="240" w:lineRule="auto"/>
        <w:ind w:left="0" w:firstLine="425"/>
        <w:jc w:val="both"/>
        <w:rPr>
          <w:rFonts w:ascii="Times New Roman" w:hAnsi="Times New Roman" w:cs="Times New Roman"/>
          <w:b/>
          <w:bCs/>
          <w:color w:val="0D0D0D" w:themeColor="text1" w:themeTint="F2"/>
          <w:sz w:val="20"/>
          <w:szCs w:val="20"/>
          <w:u w:val="single"/>
        </w:rPr>
      </w:pPr>
      <w:r w:rsidRPr="009F0699">
        <w:rPr>
          <w:rFonts w:ascii="Times New Roman" w:hAnsi="Times New Roman" w:cs="Times New Roman"/>
          <w:color w:val="0D0D0D" w:themeColor="text1" w:themeTint="F2"/>
          <w:sz w:val="20"/>
          <w:szCs w:val="20"/>
        </w:rPr>
        <w:t>{Heart rate × (age÷10)</w:t>
      </w:r>
      <w:r w:rsidRPr="009F0699">
        <w:rPr>
          <w:rFonts w:ascii="Times New Roman" w:hAnsi="Times New Roman" w:cs="Times New Roman"/>
          <w:color w:val="0D0D0D" w:themeColor="text1" w:themeTint="F2"/>
          <w:sz w:val="20"/>
          <w:szCs w:val="20"/>
          <w:vertAlign w:val="superscript"/>
        </w:rPr>
        <w:t>2</w:t>
      </w:r>
      <w:r w:rsidRPr="009F0699">
        <w:rPr>
          <w:rFonts w:ascii="Times New Roman" w:hAnsi="Times New Roman" w:cs="Times New Roman"/>
          <w:color w:val="0D0D0D" w:themeColor="text1" w:themeTint="F2"/>
          <w:sz w:val="20"/>
          <w:szCs w:val="20"/>
        </w:rPr>
        <w:t xml:space="preserve">} / SBP </w:t>
      </w:r>
      <w:r w:rsidRPr="009F0699">
        <w:rPr>
          <w:rFonts w:ascii="Times New Roman" w:hAnsi="Times New Roman" w:cs="Times New Roman"/>
          <w:b/>
          <w:bCs/>
          <w:color w:val="0D0D0D" w:themeColor="text1" w:themeTint="F2"/>
          <w:sz w:val="20"/>
          <w:szCs w:val="20"/>
        </w:rPr>
        <w:t>(</w:t>
      </w:r>
      <w:r w:rsidR="00A63564" w:rsidRPr="009F0699">
        <w:rPr>
          <w:rFonts w:ascii="Times New Roman" w:hAnsi="Times New Roman" w:cs="Times New Roman"/>
          <w:b/>
          <w:bCs/>
          <w:color w:val="0D0D0D" w:themeColor="text1" w:themeTint="F2"/>
          <w:sz w:val="20"/>
          <w:szCs w:val="20"/>
        </w:rPr>
        <w:t>8</w:t>
      </w:r>
      <w:r w:rsidRPr="009F0699">
        <w:rPr>
          <w:rFonts w:ascii="Times New Roman" w:hAnsi="Times New Roman" w:cs="Times New Roman"/>
          <w:b/>
          <w:bCs/>
          <w:color w:val="0D0D0D" w:themeColor="text1" w:themeTint="F2"/>
          <w:sz w:val="20"/>
          <w:szCs w:val="20"/>
        </w:rPr>
        <w:t>).</w:t>
      </w:r>
    </w:p>
    <w:p w:rsidR="00C91A7C" w:rsidRDefault="00991150" w:rsidP="00D009F8">
      <w:pPr>
        <w:pStyle w:val="ListParagraph"/>
        <w:snapToGrid w:val="0"/>
        <w:spacing w:after="0" w:line="240" w:lineRule="auto"/>
        <w:ind w:left="0" w:firstLine="425"/>
        <w:jc w:val="both"/>
        <w:rPr>
          <w:rFonts w:ascii="Times New Roman" w:hAnsi="Times New Roman" w:cs="Times New Roman" w:hint="eastAsia"/>
          <w:color w:val="0D0D0D" w:themeColor="text1" w:themeTint="F2"/>
          <w:sz w:val="20"/>
          <w:szCs w:val="20"/>
          <w:lang w:eastAsia="zh-CN"/>
        </w:rPr>
      </w:pPr>
      <w:r w:rsidRPr="009F0699">
        <w:rPr>
          <w:rFonts w:ascii="Times New Roman" w:hAnsi="Times New Roman" w:cs="Times New Roman"/>
          <w:color w:val="0D0D0D" w:themeColor="text1" w:themeTint="F2"/>
          <w:sz w:val="20"/>
          <w:szCs w:val="20"/>
        </w:rPr>
        <w:t>All patients underwent</w:t>
      </w:r>
      <w:r w:rsidR="00DD07FD" w:rsidRPr="009F0699">
        <w:rPr>
          <w:rFonts w:ascii="Times New Roman" w:hAnsi="Times New Roman" w:cs="Times New Roman"/>
          <w:color w:val="0D0D0D" w:themeColor="text1" w:themeTint="F2"/>
          <w:sz w:val="20"/>
          <w:szCs w:val="20"/>
        </w:rPr>
        <w:t xml:space="preserve"> selective coronary angiography </w:t>
      </w:r>
      <w:r w:rsidRPr="009F0699">
        <w:rPr>
          <w:rFonts w:ascii="Times New Roman" w:hAnsi="Times New Roman" w:cs="Times New Roman"/>
          <w:color w:val="0D0D0D" w:themeColor="text1" w:themeTint="F2"/>
          <w:sz w:val="20"/>
          <w:szCs w:val="20"/>
        </w:rPr>
        <w:t>using</w:t>
      </w:r>
      <w:r w:rsidR="00CC3693"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 xml:space="preserve">the </w:t>
      </w:r>
      <w:proofErr w:type="spellStart"/>
      <w:r w:rsidRPr="009F0699">
        <w:rPr>
          <w:rFonts w:ascii="Times New Roman" w:hAnsi="Times New Roman" w:cs="Times New Roman"/>
          <w:color w:val="0D0D0D" w:themeColor="text1" w:themeTint="F2"/>
          <w:sz w:val="20"/>
          <w:szCs w:val="20"/>
        </w:rPr>
        <w:t>Judkins</w:t>
      </w:r>
      <w:proofErr w:type="spellEnd"/>
      <w:r w:rsidR="00DD07FD" w:rsidRPr="009F0699">
        <w:rPr>
          <w:rFonts w:ascii="Times New Roman" w:hAnsi="Times New Roman" w:cs="Times New Roman"/>
          <w:color w:val="0D0D0D" w:themeColor="text1" w:themeTint="F2"/>
          <w:sz w:val="20"/>
          <w:szCs w:val="20"/>
        </w:rPr>
        <w:t xml:space="preserve"> technique. PCI procedures were </w:t>
      </w:r>
      <w:r w:rsidRPr="009F0699">
        <w:rPr>
          <w:rFonts w:ascii="Times New Roman" w:hAnsi="Times New Roman" w:cs="Times New Roman"/>
          <w:color w:val="0D0D0D" w:themeColor="text1" w:themeTint="F2"/>
          <w:sz w:val="20"/>
          <w:szCs w:val="20"/>
        </w:rPr>
        <w:t>performed with a stan</w:t>
      </w:r>
      <w:r w:rsidR="00DD07FD" w:rsidRPr="009F0699">
        <w:rPr>
          <w:rFonts w:ascii="Times New Roman" w:hAnsi="Times New Roman" w:cs="Times New Roman"/>
          <w:color w:val="0D0D0D" w:themeColor="text1" w:themeTint="F2"/>
          <w:sz w:val="20"/>
          <w:szCs w:val="20"/>
        </w:rPr>
        <w:t xml:space="preserve">dard femoral </w:t>
      </w:r>
      <w:r w:rsidR="00DD07FD" w:rsidRPr="009F0699">
        <w:rPr>
          <w:rFonts w:ascii="Times New Roman" w:hAnsi="Times New Roman" w:cs="Times New Roman"/>
          <w:color w:val="0D0D0D" w:themeColor="text1" w:themeTint="F2"/>
          <w:sz w:val="20"/>
          <w:szCs w:val="20"/>
        </w:rPr>
        <w:lastRenderedPageBreak/>
        <w:t xml:space="preserve">approach using a 7 </w:t>
      </w:r>
      <w:r w:rsidRPr="009F0699">
        <w:rPr>
          <w:rFonts w:ascii="Times New Roman" w:hAnsi="Times New Roman" w:cs="Times New Roman"/>
          <w:color w:val="0D0D0D" w:themeColor="text1" w:themeTint="F2"/>
          <w:sz w:val="20"/>
          <w:szCs w:val="20"/>
        </w:rPr>
        <w:t>Fr</w:t>
      </w:r>
      <w:r w:rsidR="004E635A" w:rsidRPr="009F0699">
        <w:rPr>
          <w:rFonts w:ascii="Times New Roman" w:hAnsi="Times New Roman" w:cs="Times New Roman"/>
          <w:color w:val="0D0D0D" w:themeColor="text1" w:themeTint="F2"/>
          <w:sz w:val="20"/>
          <w:szCs w:val="20"/>
        </w:rPr>
        <w:t>.</w:t>
      </w:r>
      <w:r w:rsidRPr="009F0699">
        <w:rPr>
          <w:rFonts w:ascii="Times New Roman" w:hAnsi="Times New Roman" w:cs="Times New Roman"/>
          <w:color w:val="0D0D0D" w:themeColor="text1" w:themeTint="F2"/>
          <w:sz w:val="20"/>
          <w:szCs w:val="20"/>
        </w:rPr>
        <w:t xml:space="preserve"> guiding catheter. Coronary blood flow patterns after</w:t>
      </w:r>
      <w:r w:rsidRPr="009F0699">
        <w:rPr>
          <w:rFonts w:ascii="Times New Roman" w:hAnsi="Times New Roman" w:cs="Times New Roman"/>
          <w:color w:val="000000"/>
          <w:sz w:val="20"/>
          <w:szCs w:val="20"/>
        </w:rPr>
        <w:t xml:space="preserve"> </w:t>
      </w:r>
      <w:r w:rsidRPr="009F0699">
        <w:rPr>
          <w:rFonts w:ascii="Times New Roman" w:hAnsi="Times New Roman" w:cs="Times New Roman"/>
          <w:color w:val="0D0D0D" w:themeColor="text1" w:themeTint="F2"/>
          <w:sz w:val="20"/>
          <w:szCs w:val="20"/>
        </w:rPr>
        <w:t>p-PCI were</w:t>
      </w:r>
      <w:r w:rsidR="00DD07FD" w:rsidRPr="009F0699">
        <w:rPr>
          <w:rFonts w:ascii="Times New Roman" w:hAnsi="Times New Roman" w:cs="Times New Roman"/>
          <w:color w:val="0D0D0D" w:themeColor="text1" w:themeTint="F2"/>
          <w:sz w:val="20"/>
          <w:szCs w:val="20"/>
        </w:rPr>
        <w:t xml:space="preserve"> subject to a </w:t>
      </w:r>
      <w:r w:rsidRPr="009F0699">
        <w:rPr>
          <w:rFonts w:ascii="Times New Roman" w:hAnsi="Times New Roman" w:cs="Times New Roman"/>
          <w:color w:val="0D0D0D" w:themeColor="text1" w:themeTint="F2"/>
          <w:sz w:val="20"/>
          <w:szCs w:val="20"/>
        </w:rPr>
        <w:t>t</w:t>
      </w:r>
      <w:r w:rsidR="00DD07FD" w:rsidRPr="009F0699">
        <w:rPr>
          <w:rFonts w:ascii="Times New Roman" w:hAnsi="Times New Roman" w:cs="Times New Roman"/>
          <w:color w:val="0D0D0D" w:themeColor="text1" w:themeTint="F2"/>
          <w:sz w:val="20"/>
          <w:szCs w:val="20"/>
        </w:rPr>
        <w:t xml:space="preserve">horough evaluation on the basis </w:t>
      </w:r>
      <w:r w:rsidRPr="009F0699">
        <w:rPr>
          <w:rFonts w:ascii="Times New Roman" w:hAnsi="Times New Roman" w:cs="Times New Roman"/>
          <w:color w:val="0D0D0D" w:themeColor="text1" w:themeTint="F2"/>
          <w:sz w:val="20"/>
          <w:szCs w:val="20"/>
        </w:rPr>
        <w:t xml:space="preserve">of TIMI </w:t>
      </w:r>
      <w:r w:rsidR="007562F7" w:rsidRPr="009F0699">
        <w:rPr>
          <w:rFonts w:ascii="Times New Roman" w:hAnsi="Times New Roman" w:cs="Times New Roman"/>
          <w:color w:val="0D0D0D" w:themeColor="text1" w:themeTint="F2"/>
          <w:sz w:val="20"/>
          <w:szCs w:val="20"/>
        </w:rPr>
        <w:t>f</w:t>
      </w:r>
      <w:r w:rsidRPr="009F0699">
        <w:rPr>
          <w:rFonts w:ascii="Times New Roman" w:hAnsi="Times New Roman" w:cs="Times New Roman"/>
          <w:color w:val="0D0D0D" w:themeColor="text1" w:themeTint="F2"/>
          <w:sz w:val="20"/>
          <w:szCs w:val="20"/>
        </w:rPr>
        <w:t>low grade, using grades 0, 1, 2, and 3 (</w:t>
      </w:r>
      <w:r w:rsidR="005F44E8" w:rsidRPr="009F0699">
        <w:rPr>
          <w:rFonts w:ascii="Times New Roman" w:hAnsi="Times New Roman" w:cs="Times New Roman"/>
          <w:b/>
          <w:bCs/>
          <w:color w:val="0D0D0D" w:themeColor="text1" w:themeTint="F2"/>
          <w:sz w:val="20"/>
          <w:szCs w:val="20"/>
        </w:rPr>
        <w:t>9</w:t>
      </w:r>
      <w:r w:rsidRPr="009F0699">
        <w:rPr>
          <w:rFonts w:ascii="Times New Roman" w:hAnsi="Times New Roman" w:cs="Times New Roman"/>
          <w:color w:val="0D0D0D" w:themeColor="text1" w:themeTint="F2"/>
          <w:sz w:val="20"/>
          <w:szCs w:val="20"/>
        </w:rPr>
        <w:t>). T</w:t>
      </w:r>
      <w:r w:rsidR="00DD07FD" w:rsidRPr="009F0699">
        <w:rPr>
          <w:rFonts w:ascii="Times New Roman" w:hAnsi="Times New Roman" w:cs="Times New Roman"/>
          <w:color w:val="0D0D0D" w:themeColor="text1" w:themeTint="F2"/>
          <w:sz w:val="20"/>
          <w:szCs w:val="20"/>
        </w:rPr>
        <w:t xml:space="preserve">he </w:t>
      </w:r>
      <w:r w:rsidRPr="009F0699">
        <w:rPr>
          <w:rFonts w:ascii="Times New Roman" w:hAnsi="Times New Roman" w:cs="Times New Roman"/>
          <w:color w:val="0D0D0D" w:themeColor="text1" w:themeTint="F2"/>
          <w:sz w:val="20"/>
          <w:szCs w:val="20"/>
        </w:rPr>
        <w:t xml:space="preserve">final TIMI </w:t>
      </w:r>
      <w:r w:rsidR="003D10C6" w:rsidRPr="009F0699">
        <w:rPr>
          <w:rFonts w:ascii="Times New Roman" w:hAnsi="Times New Roman" w:cs="Times New Roman"/>
          <w:color w:val="0D0D0D" w:themeColor="text1" w:themeTint="F2"/>
          <w:sz w:val="20"/>
          <w:szCs w:val="20"/>
        </w:rPr>
        <w:t>f</w:t>
      </w:r>
      <w:r w:rsidRPr="009F0699">
        <w:rPr>
          <w:rFonts w:ascii="Times New Roman" w:hAnsi="Times New Roman" w:cs="Times New Roman"/>
          <w:color w:val="0D0D0D" w:themeColor="text1" w:themeTint="F2"/>
          <w:sz w:val="20"/>
          <w:szCs w:val="20"/>
        </w:rPr>
        <w:t>low gr</w:t>
      </w:r>
      <w:r w:rsidR="003D10C6" w:rsidRPr="009F0699">
        <w:rPr>
          <w:rFonts w:ascii="Times New Roman" w:hAnsi="Times New Roman" w:cs="Times New Roman"/>
          <w:color w:val="0D0D0D" w:themeColor="text1" w:themeTint="F2"/>
          <w:sz w:val="20"/>
          <w:szCs w:val="20"/>
        </w:rPr>
        <w:t xml:space="preserve">ade </w:t>
      </w:r>
      <w:r w:rsidR="0023314D" w:rsidRPr="009F0699">
        <w:rPr>
          <w:rFonts w:ascii="Times New Roman" w:hAnsi="Times New Roman" w:cs="Times New Roman"/>
          <w:color w:val="0D0D0D" w:themeColor="text1" w:themeTint="F2"/>
          <w:sz w:val="20"/>
          <w:szCs w:val="20"/>
        </w:rPr>
        <w:t>and MBG</w:t>
      </w:r>
      <w:r w:rsidR="003D10C6" w:rsidRPr="009F0699">
        <w:rPr>
          <w:rFonts w:ascii="Times New Roman" w:hAnsi="Times New Roman" w:cs="Times New Roman"/>
          <w:color w:val="0D0D0D" w:themeColor="text1" w:themeTint="F2"/>
          <w:sz w:val="20"/>
          <w:szCs w:val="20"/>
        </w:rPr>
        <w:t xml:space="preserve"> </w:t>
      </w:r>
      <w:r w:rsidR="00DD07FD" w:rsidRPr="009F0699">
        <w:rPr>
          <w:rFonts w:ascii="Times New Roman" w:hAnsi="Times New Roman" w:cs="Times New Roman"/>
          <w:color w:val="0D0D0D" w:themeColor="text1" w:themeTint="F2"/>
          <w:sz w:val="20"/>
          <w:szCs w:val="20"/>
        </w:rPr>
        <w:t xml:space="preserve">were assessed using </w:t>
      </w:r>
      <w:r w:rsidRPr="009F0699">
        <w:rPr>
          <w:rFonts w:ascii="Times New Roman" w:hAnsi="Times New Roman" w:cs="Times New Roman"/>
          <w:color w:val="0D0D0D" w:themeColor="text1" w:themeTint="F2"/>
          <w:sz w:val="20"/>
          <w:szCs w:val="20"/>
        </w:rPr>
        <w:t>standard methods.</w:t>
      </w:r>
      <w:r w:rsidR="00894DCD" w:rsidRPr="009F0699">
        <w:rPr>
          <w:rFonts w:ascii="Times New Roman" w:hAnsi="Times New Roman" w:cs="Times New Roman"/>
          <w:color w:val="0D0D0D" w:themeColor="text1" w:themeTint="F2"/>
          <w:sz w:val="20"/>
          <w:szCs w:val="20"/>
        </w:rPr>
        <w:t xml:space="preserve"> We defined </w:t>
      </w:r>
      <w:r w:rsidR="003D10C6" w:rsidRPr="009F0699">
        <w:rPr>
          <w:rFonts w:ascii="Times New Roman" w:hAnsi="Times New Roman" w:cs="Times New Roman"/>
          <w:color w:val="0D0D0D" w:themeColor="text1" w:themeTint="F2"/>
          <w:sz w:val="20"/>
          <w:szCs w:val="20"/>
        </w:rPr>
        <w:t xml:space="preserve">the </w:t>
      </w:r>
      <w:r w:rsidR="00DD07FD" w:rsidRPr="009F0699">
        <w:rPr>
          <w:rFonts w:ascii="Times New Roman" w:hAnsi="Times New Roman" w:cs="Times New Roman"/>
          <w:color w:val="0D0D0D" w:themeColor="text1" w:themeTint="F2"/>
          <w:sz w:val="20"/>
          <w:szCs w:val="20"/>
        </w:rPr>
        <w:t xml:space="preserve">angiographic </w:t>
      </w:r>
      <w:r w:rsidRPr="009F0699">
        <w:rPr>
          <w:rFonts w:ascii="Times New Roman" w:hAnsi="Times New Roman" w:cs="Times New Roman"/>
          <w:color w:val="0D0D0D" w:themeColor="text1" w:themeTint="F2"/>
          <w:sz w:val="20"/>
          <w:szCs w:val="20"/>
        </w:rPr>
        <w:t xml:space="preserve">NRF phenomenon as a coronary TIMI </w:t>
      </w:r>
      <w:r w:rsidR="00894DCD" w:rsidRPr="009F0699">
        <w:rPr>
          <w:rFonts w:ascii="Times New Roman" w:hAnsi="Times New Roman" w:cs="Times New Roman"/>
          <w:color w:val="0D0D0D" w:themeColor="text1" w:themeTint="F2"/>
          <w:sz w:val="20"/>
          <w:szCs w:val="20"/>
        </w:rPr>
        <w:t>flow grade</w:t>
      </w:r>
      <w:r w:rsidR="00DD07FD" w:rsidRPr="009F0699">
        <w:rPr>
          <w:rFonts w:ascii="Times New Roman" w:hAnsi="Times New Roman" w:cs="Times New Roman"/>
          <w:color w:val="0D0D0D" w:themeColor="text1" w:themeTint="F2"/>
          <w:sz w:val="20"/>
          <w:szCs w:val="20"/>
        </w:rPr>
        <w:t xml:space="preserve"> of </w:t>
      </w:r>
      <w:r w:rsidRPr="009F0699">
        <w:rPr>
          <w:rFonts w:ascii="Times New Roman" w:hAnsi="Times New Roman" w:cs="Times New Roman"/>
          <w:color w:val="0D0D0D" w:themeColor="text1" w:themeTint="F2"/>
          <w:sz w:val="20"/>
          <w:szCs w:val="20"/>
        </w:rPr>
        <w:t xml:space="preserve">≤2 after the vessel was </w:t>
      </w:r>
      <w:proofErr w:type="spellStart"/>
      <w:r w:rsidRPr="009F0699">
        <w:rPr>
          <w:rFonts w:ascii="Times New Roman" w:hAnsi="Times New Roman" w:cs="Times New Roman"/>
          <w:color w:val="0D0D0D" w:themeColor="text1" w:themeTint="F2"/>
          <w:sz w:val="20"/>
          <w:szCs w:val="20"/>
        </w:rPr>
        <w:t>recanalized</w:t>
      </w:r>
      <w:proofErr w:type="spellEnd"/>
      <w:r w:rsidRPr="009F0699">
        <w:rPr>
          <w:rFonts w:ascii="Times New Roman" w:hAnsi="Times New Roman" w:cs="Times New Roman"/>
          <w:color w:val="0D0D0D" w:themeColor="text1" w:themeTint="F2"/>
          <w:sz w:val="20"/>
          <w:szCs w:val="20"/>
        </w:rPr>
        <w:t xml:space="preserve"> or TIMI f</w:t>
      </w:r>
      <w:r w:rsidR="00894DCD" w:rsidRPr="009F0699">
        <w:rPr>
          <w:rFonts w:ascii="Times New Roman" w:hAnsi="Times New Roman" w:cs="Times New Roman"/>
          <w:color w:val="0D0D0D" w:themeColor="text1" w:themeTint="F2"/>
          <w:sz w:val="20"/>
          <w:szCs w:val="20"/>
        </w:rPr>
        <w:t xml:space="preserve">low </w:t>
      </w:r>
      <w:r w:rsidR="00DD07FD" w:rsidRPr="009F0699">
        <w:rPr>
          <w:rFonts w:ascii="Times New Roman" w:hAnsi="Times New Roman" w:cs="Times New Roman"/>
          <w:color w:val="0D0D0D" w:themeColor="text1" w:themeTint="F2"/>
          <w:sz w:val="20"/>
          <w:szCs w:val="20"/>
        </w:rPr>
        <w:t xml:space="preserve">grade </w:t>
      </w:r>
      <w:r w:rsidRPr="009F0699">
        <w:rPr>
          <w:rFonts w:ascii="Times New Roman" w:hAnsi="Times New Roman" w:cs="Times New Roman"/>
          <w:color w:val="0D0D0D" w:themeColor="text1" w:themeTint="F2"/>
          <w:sz w:val="20"/>
          <w:szCs w:val="20"/>
        </w:rPr>
        <w:t>3 together with a fina</w:t>
      </w:r>
      <w:r w:rsidR="001632E0" w:rsidRPr="009F0699">
        <w:rPr>
          <w:rFonts w:ascii="Times New Roman" w:hAnsi="Times New Roman" w:cs="Times New Roman"/>
          <w:color w:val="0D0D0D" w:themeColor="text1" w:themeTint="F2"/>
          <w:sz w:val="20"/>
          <w:szCs w:val="20"/>
        </w:rPr>
        <w:t xml:space="preserve">l MBG of &lt;2, in the same </w:t>
      </w:r>
      <w:r w:rsidR="00894DCD" w:rsidRPr="009F0699">
        <w:rPr>
          <w:rFonts w:ascii="Times New Roman" w:hAnsi="Times New Roman" w:cs="Times New Roman"/>
          <w:color w:val="0D0D0D" w:themeColor="text1" w:themeTint="F2"/>
          <w:sz w:val="20"/>
          <w:szCs w:val="20"/>
        </w:rPr>
        <w:t xml:space="preserve">manner </w:t>
      </w:r>
      <w:r w:rsidR="00DD07FD" w:rsidRPr="009F0699">
        <w:rPr>
          <w:rFonts w:ascii="Times New Roman" w:hAnsi="Times New Roman" w:cs="Times New Roman"/>
          <w:color w:val="0D0D0D" w:themeColor="text1" w:themeTint="F2"/>
          <w:sz w:val="20"/>
          <w:szCs w:val="20"/>
        </w:rPr>
        <w:t xml:space="preserve">as </w:t>
      </w:r>
      <w:r w:rsidRPr="009F0699">
        <w:rPr>
          <w:rFonts w:ascii="Times New Roman" w:hAnsi="Times New Roman" w:cs="Times New Roman"/>
          <w:color w:val="0D0D0D" w:themeColor="text1" w:themeTint="F2"/>
          <w:sz w:val="20"/>
          <w:szCs w:val="20"/>
        </w:rPr>
        <w:t>described in previous studies (</w:t>
      </w:r>
      <w:r w:rsidR="005F44E8" w:rsidRPr="009F0699">
        <w:rPr>
          <w:rFonts w:ascii="Times New Roman" w:hAnsi="Times New Roman" w:cs="Times New Roman"/>
          <w:b/>
          <w:bCs/>
          <w:color w:val="0D0D0D" w:themeColor="text1" w:themeTint="F2"/>
          <w:sz w:val="20"/>
          <w:szCs w:val="20"/>
        </w:rPr>
        <w:t>10</w:t>
      </w:r>
      <w:r w:rsidRPr="009F0699">
        <w:rPr>
          <w:rFonts w:ascii="Times New Roman" w:hAnsi="Times New Roman" w:cs="Times New Roman"/>
          <w:color w:val="0D0D0D" w:themeColor="text1" w:themeTint="F2"/>
          <w:sz w:val="20"/>
          <w:szCs w:val="20"/>
        </w:rPr>
        <w:t>,</w:t>
      </w:r>
      <w:r w:rsidR="005F44E8" w:rsidRPr="009F0699">
        <w:rPr>
          <w:rFonts w:ascii="Times New Roman" w:hAnsi="Times New Roman" w:cs="Times New Roman"/>
          <w:b/>
          <w:bCs/>
          <w:color w:val="0D0D0D" w:themeColor="text1" w:themeTint="F2"/>
          <w:sz w:val="20"/>
          <w:szCs w:val="20"/>
        </w:rPr>
        <w:t>11</w:t>
      </w:r>
      <w:r w:rsidR="00DD07FD" w:rsidRPr="009F0699">
        <w:rPr>
          <w:rFonts w:ascii="Times New Roman" w:hAnsi="Times New Roman" w:cs="Times New Roman"/>
          <w:color w:val="0D0D0D" w:themeColor="text1" w:themeTint="F2"/>
          <w:sz w:val="20"/>
          <w:szCs w:val="20"/>
        </w:rPr>
        <w:t xml:space="preserve">). For all </w:t>
      </w:r>
      <w:r w:rsidR="001632E0" w:rsidRPr="009F0699">
        <w:rPr>
          <w:rFonts w:ascii="Times New Roman" w:hAnsi="Times New Roman" w:cs="Times New Roman"/>
          <w:color w:val="0D0D0D" w:themeColor="text1" w:themeTint="F2"/>
          <w:sz w:val="20"/>
          <w:szCs w:val="20"/>
        </w:rPr>
        <w:t>study,</w:t>
      </w:r>
      <w:r w:rsidR="00894DCD" w:rsidRPr="009F0699">
        <w:rPr>
          <w:rFonts w:ascii="Times New Roman" w:hAnsi="Times New Roman" w:cs="Times New Roman"/>
          <w:color w:val="0D0D0D" w:themeColor="text1" w:themeTint="F2"/>
          <w:sz w:val="20"/>
          <w:szCs w:val="20"/>
        </w:rPr>
        <w:t xml:space="preserve"> </w:t>
      </w:r>
      <w:r w:rsidRPr="009F0699">
        <w:rPr>
          <w:rFonts w:ascii="Times New Roman" w:hAnsi="Times New Roman" w:cs="Times New Roman"/>
          <w:color w:val="0D0D0D" w:themeColor="text1" w:themeTint="F2"/>
          <w:sz w:val="20"/>
          <w:szCs w:val="20"/>
        </w:rPr>
        <w:t>only one ar</w:t>
      </w:r>
      <w:r w:rsidR="00DD07FD" w:rsidRPr="009F0699">
        <w:rPr>
          <w:rFonts w:ascii="Times New Roman" w:hAnsi="Times New Roman" w:cs="Times New Roman"/>
          <w:color w:val="0D0D0D" w:themeColor="text1" w:themeTint="F2"/>
          <w:sz w:val="20"/>
          <w:szCs w:val="20"/>
        </w:rPr>
        <w:t xml:space="preserve">tery was identified as the IRA. </w:t>
      </w:r>
      <w:r w:rsidRPr="009F0699">
        <w:rPr>
          <w:rFonts w:ascii="Times New Roman" w:hAnsi="Times New Roman" w:cs="Times New Roman"/>
          <w:color w:val="0D0D0D" w:themeColor="text1" w:themeTint="F2"/>
          <w:sz w:val="20"/>
          <w:szCs w:val="20"/>
        </w:rPr>
        <w:t xml:space="preserve">CAD was </w:t>
      </w:r>
      <w:r w:rsidR="00894DCD" w:rsidRPr="009F0699">
        <w:rPr>
          <w:rFonts w:ascii="Times New Roman" w:hAnsi="Times New Roman" w:cs="Times New Roman"/>
          <w:color w:val="0D0D0D" w:themeColor="text1" w:themeTint="F2"/>
          <w:sz w:val="20"/>
          <w:szCs w:val="20"/>
        </w:rPr>
        <w:t xml:space="preserve">defined </w:t>
      </w:r>
      <w:r w:rsidRPr="009F0699">
        <w:rPr>
          <w:rFonts w:ascii="Times New Roman" w:hAnsi="Times New Roman" w:cs="Times New Roman"/>
          <w:color w:val="0D0D0D" w:themeColor="text1" w:themeTint="F2"/>
          <w:sz w:val="20"/>
          <w:szCs w:val="20"/>
        </w:rPr>
        <w:t xml:space="preserve">as greater than 50% </w:t>
      </w:r>
      <w:proofErr w:type="spellStart"/>
      <w:r w:rsidRPr="009F0699">
        <w:rPr>
          <w:rFonts w:ascii="Times New Roman" w:hAnsi="Times New Roman" w:cs="Times New Roman"/>
          <w:color w:val="0D0D0D" w:themeColor="text1" w:themeTint="F2"/>
          <w:sz w:val="20"/>
          <w:szCs w:val="20"/>
        </w:rPr>
        <w:t>stenosi</w:t>
      </w:r>
      <w:r w:rsidR="00DD07FD" w:rsidRPr="009F0699">
        <w:rPr>
          <w:rFonts w:ascii="Times New Roman" w:hAnsi="Times New Roman" w:cs="Times New Roman"/>
          <w:color w:val="0D0D0D" w:themeColor="text1" w:themeTint="F2"/>
          <w:sz w:val="20"/>
          <w:szCs w:val="20"/>
        </w:rPr>
        <w:t>s</w:t>
      </w:r>
      <w:proofErr w:type="spellEnd"/>
      <w:r w:rsidR="00DD07FD" w:rsidRPr="009F0699">
        <w:rPr>
          <w:rFonts w:ascii="Times New Roman" w:hAnsi="Times New Roman" w:cs="Times New Roman"/>
          <w:color w:val="0D0D0D" w:themeColor="text1" w:themeTint="F2"/>
          <w:sz w:val="20"/>
          <w:szCs w:val="20"/>
        </w:rPr>
        <w:t xml:space="preserve"> in one of </w:t>
      </w:r>
      <w:r w:rsidR="00894DCD" w:rsidRPr="009F0699">
        <w:rPr>
          <w:rFonts w:ascii="Times New Roman" w:hAnsi="Times New Roman" w:cs="Times New Roman"/>
          <w:color w:val="0D0D0D" w:themeColor="text1" w:themeTint="F2"/>
          <w:sz w:val="20"/>
          <w:szCs w:val="20"/>
        </w:rPr>
        <w:t xml:space="preserve">the major coronary </w:t>
      </w:r>
      <w:r w:rsidRPr="009F0699">
        <w:rPr>
          <w:rFonts w:ascii="Times New Roman" w:hAnsi="Times New Roman" w:cs="Times New Roman"/>
          <w:color w:val="0D0D0D" w:themeColor="text1" w:themeTint="F2"/>
          <w:sz w:val="20"/>
          <w:szCs w:val="20"/>
        </w:rPr>
        <w:t>arteries.</w:t>
      </w:r>
      <w:r w:rsidR="005060EB" w:rsidRPr="009F0699">
        <w:rPr>
          <w:rFonts w:ascii="Times New Roman" w:eastAsia="Calibri" w:hAnsi="Times New Roman" w:cs="Times New Roman"/>
          <w:sz w:val="20"/>
          <w:szCs w:val="20"/>
        </w:rPr>
        <w:t xml:space="preserve"> </w:t>
      </w:r>
      <w:r w:rsidRPr="009F0699">
        <w:rPr>
          <w:rFonts w:ascii="Times New Roman" w:hAnsi="Times New Roman" w:cs="Times New Roman"/>
          <w:color w:val="0D0D0D" w:themeColor="text1" w:themeTint="F2"/>
          <w:sz w:val="20"/>
          <w:szCs w:val="20"/>
        </w:rPr>
        <w:t>During the in-hospital follow-up period</w:t>
      </w:r>
      <w:r w:rsidR="004E635A" w:rsidRPr="009F0699">
        <w:rPr>
          <w:rFonts w:ascii="Times New Roman" w:hAnsi="Times New Roman" w:cs="Times New Roman"/>
          <w:color w:val="0D0D0D" w:themeColor="text1" w:themeTint="F2"/>
          <w:sz w:val="20"/>
          <w:szCs w:val="20"/>
        </w:rPr>
        <w:t>,</w:t>
      </w:r>
      <w:r w:rsidR="00894DCD" w:rsidRPr="009F0699">
        <w:rPr>
          <w:rFonts w:ascii="Times New Roman" w:hAnsi="Times New Roman" w:cs="Times New Roman"/>
          <w:color w:val="0D0D0D" w:themeColor="text1" w:themeTint="F2"/>
          <w:sz w:val="20"/>
          <w:szCs w:val="20"/>
        </w:rPr>
        <w:t xml:space="preserve"> patients </w:t>
      </w:r>
      <w:r w:rsidR="00C91A7C" w:rsidRPr="009F0699">
        <w:rPr>
          <w:rFonts w:ascii="Times New Roman" w:hAnsi="Times New Roman" w:cs="Times New Roman"/>
          <w:color w:val="0D0D0D" w:themeColor="text1" w:themeTint="F2"/>
          <w:sz w:val="20"/>
          <w:szCs w:val="20"/>
        </w:rPr>
        <w:t>were monitored</w:t>
      </w:r>
      <w:r w:rsidRPr="009F0699">
        <w:rPr>
          <w:rFonts w:ascii="Times New Roman" w:hAnsi="Times New Roman" w:cs="Times New Roman"/>
          <w:color w:val="0D0D0D" w:themeColor="text1" w:themeTint="F2"/>
          <w:sz w:val="20"/>
          <w:szCs w:val="20"/>
        </w:rPr>
        <w:t xml:space="preserve"> for major adverse cardiac events (</w:t>
      </w:r>
      <w:proofErr w:type="spellStart"/>
      <w:r w:rsidRPr="009F0699">
        <w:rPr>
          <w:rFonts w:ascii="Times New Roman" w:hAnsi="Times New Roman" w:cs="Times New Roman"/>
          <w:color w:val="0D0D0D" w:themeColor="text1" w:themeTint="F2"/>
          <w:sz w:val="20"/>
          <w:szCs w:val="20"/>
        </w:rPr>
        <w:t>MACEs</w:t>
      </w:r>
      <w:proofErr w:type="spellEnd"/>
      <w:r w:rsidRPr="009F0699">
        <w:rPr>
          <w:rFonts w:ascii="Times New Roman" w:hAnsi="Times New Roman" w:cs="Times New Roman"/>
          <w:color w:val="0D0D0D" w:themeColor="text1" w:themeTint="F2"/>
          <w:sz w:val="20"/>
          <w:szCs w:val="20"/>
        </w:rPr>
        <w:t>).</w:t>
      </w:r>
      <w:r w:rsidR="00CC3693" w:rsidRPr="009F0699">
        <w:rPr>
          <w:rFonts w:ascii="Times New Roman" w:hAnsi="Times New Roman" w:cs="Times New Roman"/>
          <w:color w:val="0D0D0D" w:themeColor="text1" w:themeTint="F2"/>
          <w:sz w:val="20"/>
          <w:szCs w:val="20"/>
        </w:rPr>
        <w:t xml:space="preserve"> </w:t>
      </w:r>
      <w:proofErr w:type="spellStart"/>
      <w:r w:rsidR="00C91A7C" w:rsidRPr="009F0699">
        <w:rPr>
          <w:rFonts w:ascii="Times New Roman" w:hAnsi="Times New Roman" w:cs="Times New Roman"/>
          <w:color w:val="0D0D0D" w:themeColor="text1" w:themeTint="F2"/>
          <w:sz w:val="20"/>
          <w:szCs w:val="20"/>
        </w:rPr>
        <w:t>Cardiogenic</w:t>
      </w:r>
      <w:proofErr w:type="spellEnd"/>
      <w:r w:rsidR="00C91A7C" w:rsidRPr="009F0699">
        <w:rPr>
          <w:rFonts w:ascii="Times New Roman" w:hAnsi="Times New Roman" w:cs="Times New Roman"/>
          <w:color w:val="0D0D0D" w:themeColor="text1" w:themeTint="F2"/>
          <w:sz w:val="20"/>
          <w:szCs w:val="20"/>
        </w:rPr>
        <w:t xml:space="preserve"> shock, </w:t>
      </w:r>
      <w:r w:rsidRPr="009F0699">
        <w:rPr>
          <w:rFonts w:ascii="Times New Roman" w:hAnsi="Times New Roman" w:cs="Times New Roman"/>
          <w:color w:val="0D0D0D" w:themeColor="text1" w:themeTint="F2"/>
          <w:sz w:val="20"/>
          <w:szCs w:val="20"/>
        </w:rPr>
        <w:t>new ad</w:t>
      </w:r>
      <w:r w:rsidR="00C91A7C" w:rsidRPr="009F0699">
        <w:rPr>
          <w:rFonts w:ascii="Times New Roman" w:hAnsi="Times New Roman" w:cs="Times New Roman"/>
          <w:color w:val="0D0D0D" w:themeColor="text1" w:themeTint="F2"/>
          <w:sz w:val="20"/>
          <w:szCs w:val="20"/>
        </w:rPr>
        <w:t xml:space="preserve">vanced heart failure, pulmonary </w:t>
      </w:r>
      <w:r w:rsidRPr="009F0699">
        <w:rPr>
          <w:rFonts w:ascii="Times New Roman" w:hAnsi="Times New Roman" w:cs="Times New Roman"/>
          <w:color w:val="0D0D0D" w:themeColor="text1" w:themeTint="F2"/>
          <w:sz w:val="20"/>
          <w:szCs w:val="20"/>
        </w:rPr>
        <w:t xml:space="preserve">edema, complete </w:t>
      </w:r>
      <w:proofErr w:type="spellStart"/>
      <w:r w:rsidRPr="009F0699">
        <w:rPr>
          <w:rFonts w:ascii="Times New Roman" w:hAnsi="Times New Roman" w:cs="Times New Roman"/>
          <w:color w:val="0D0D0D" w:themeColor="text1" w:themeTint="F2"/>
          <w:sz w:val="20"/>
          <w:szCs w:val="20"/>
        </w:rPr>
        <w:t>atrio</w:t>
      </w:r>
      <w:proofErr w:type="spellEnd"/>
      <w:r w:rsidRPr="009F0699">
        <w:rPr>
          <w:rFonts w:ascii="Times New Roman" w:hAnsi="Times New Roman" w:cs="Times New Roman"/>
          <w:color w:val="0D0D0D" w:themeColor="text1" w:themeTint="F2"/>
          <w:sz w:val="20"/>
          <w:szCs w:val="20"/>
        </w:rPr>
        <w:t xml:space="preserve">-ventricular block (AVB) requiring a temporary pacemaker, severe ventricular arrhythmia, and in-hospital mortality during the post-PCI follow-up period were regarded as </w:t>
      </w:r>
      <w:proofErr w:type="spellStart"/>
      <w:r w:rsidRPr="009F0699">
        <w:rPr>
          <w:rFonts w:ascii="Times New Roman" w:hAnsi="Times New Roman" w:cs="Times New Roman"/>
          <w:color w:val="0D0D0D" w:themeColor="text1" w:themeTint="F2"/>
          <w:sz w:val="20"/>
          <w:szCs w:val="20"/>
        </w:rPr>
        <w:t>MACEs</w:t>
      </w:r>
      <w:proofErr w:type="spellEnd"/>
      <w:r w:rsidRPr="009F0699">
        <w:rPr>
          <w:rFonts w:ascii="Times New Roman" w:hAnsi="Times New Roman" w:cs="Times New Roman"/>
          <w:color w:val="0D0D0D" w:themeColor="text1" w:themeTint="F2"/>
          <w:sz w:val="20"/>
          <w:szCs w:val="20"/>
        </w:rPr>
        <w:t>.</w:t>
      </w:r>
    </w:p>
    <w:p w:rsidR="009F0699" w:rsidRPr="009F0699" w:rsidRDefault="009F0699" w:rsidP="00D009F8">
      <w:pPr>
        <w:pStyle w:val="ListParagraph"/>
        <w:snapToGrid w:val="0"/>
        <w:spacing w:after="0" w:line="240" w:lineRule="auto"/>
        <w:ind w:left="0" w:firstLine="425"/>
        <w:jc w:val="both"/>
        <w:rPr>
          <w:rFonts w:ascii="Times New Roman" w:hAnsi="Times New Roman" w:cs="Times New Roman" w:hint="eastAsia"/>
          <w:color w:val="0D0D0D" w:themeColor="text1" w:themeTint="F2"/>
          <w:sz w:val="20"/>
          <w:szCs w:val="20"/>
          <w:lang w:eastAsia="zh-CN"/>
        </w:rPr>
      </w:pPr>
    </w:p>
    <w:p w:rsidR="00C91A7C" w:rsidRPr="009F0699" w:rsidRDefault="004E635A" w:rsidP="00D009F8">
      <w:pPr>
        <w:pStyle w:val="ListParagraph"/>
        <w:snapToGrid w:val="0"/>
        <w:spacing w:after="0" w:line="240" w:lineRule="auto"/>
        <w:ind w:left="0"/>
        <w:jc w:val="both"/>
        <w:rPr>
          <w:rFonts w:ascii="Times New Roman" w:hAnsi="Times New Roman" w:cs="Times New Roman"/>
          <w:b/>
          <w:bCs/>
          <w:color w:val="0D0D0D" w:themeColor="text1" w:themeTint="F2"/>
          <w:sz w:val="20"/>
          <w:szCs w:val="20"/>
          <w:u w:val="single"/>
        </w:rPr>
      </w:pPr>
      <w:r w:rsidRPr="009F0699">
        <w:rPr>
          <w:rFonts w:ascii="Times New Roman" w:hAnsi="Times New Roman" w:cs="Times New Roman"/>
          <w:b/>
          <w:bCs/>
          <w:color w:val="0D0D0D" w:themeColor="text1" w:themeTint="F2"/>
          <w:sz w:val="20"/>
          <w:szCs w:val="20"/>
        </w:rPr>
        <w:t>2.2</w:t>
      </w:r>
      <w:r w:rsidR="00FE1F84" w:rsidRPr="009F0699">
        <w:rPr>
          <w:rFonts w:ascii="Times New Roman" w:hAnsi="Times New Roman" w:cs="Times New Roman"/>
          <w:b/>
          <w:bCs/>
          <w:color w:val="0D0D0D" w:themeColor="text1" w:themeTint="F2"/>
          <w:sz w:val="20"/>
          <w:szCs w:val="20"/>
        </w:rPr>
        <w:t>. Statistical</w:t>
      </w:r>
      <w:r w:rsidRPr="009F0699">
        <w:rPr>
          <w:rFonts w:ascii="Times New Roman" w:hAnsi="Times New Roman" w:cs="Times New Roman"/>
          <w:b/>
          <w:bCs/>
          <w:color w:val="0D0D0D" w:themeColor="text1" w:themeTint="F2"/>
          <w:sz w:val="20"/>
          <w:szCs w:val="20"/>
        </w:rPr>
        <w:t xml:space="preserve"> analysis</w:t>
      </w:r>
    </w:p>
    <w:p w:rsidR="00695D9E" w:rsidRPr="009F0699" w:rsidRDefault="004E635A"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 xml:space="preserve">Data were analyzed using Statistical Program for </w:t>
      </w:r>
      <w:r w:rsidR="00894DCD" w:rsidRPr="009F0699">
        <w:rPr>
          <w:rFonts w:ascii="Times New Roman" w:hAnsi="Times New Roman" w:cs="Times New Roman"/>
          <w:bCs/>
          <w:color w:val="0D0D0D" w:themeColor="text1" w:themeTint="F2"/>
          <w:sz w:val="20"/>
          <w:szCs w:val="20"/>
        </w:rPr>
        <w:t>Social Science</w:t>
      </w:r>
      <w:r w:rsidRPr="009F0699">
        <w:rPr>
          <w:rFonts w:ascii="Times New Roman" w:hAnsi="Times New Roman" w:cs="Times New Roman"/>
          <w:bCs/>
          <w:color w:val="0D0D0D" w:themeColor="text1" w:themeTint="F2"/>
          <w:sz w:val="20"/>
          <w:szCs w:val="20"/>
        </w:rPr>
        <w:t xml:space="preserve"> (SPSS) version 23 and </w:t>
      </w:r>
      <w:proofErr w:type="spellStart"/>
      <w:r w:rsidRPr="009F0699">
        <w:rPr>
          <w:rFonts w:ascii="Times New Roman" w:hAnsi="Times New Roman" w:cs="Times New Roman"/>
          <w:bCs/>
          <w:color w:val="0D0D0D" w:themeColor="text1" w:themeTint="F2"/>
          <w:sz w:val="20"/>
          <w:szCs w:val="20"/>
        </w:rPr>
        <w:t>MedCalc</w:t>
      </w:r>
      <w:proofErr w:type="spellEnd"/>
      <w:r w:rsidRPr="009F0699">
        <w:rPr>
          <w:rFonts w:ascii="Times New Roman" w:hAnsi="Times New Roman" w:cs="Times New Roman"/>
          <w:bCs/>
          <w:color w:val="0D0D0D" w:themeColor="text1" w:themeTint="F2"/>
          <w:sz w:val="20"/>
          <w:szCs w:val="20"/>
        </w:rPr>
        <w:t xml:space="preserve"> version 15.4. Quantitative data were expressed as mean ± standard deviation (SD). Qualitative data were expressed as frequency and </w:t>
      </w:r>
      <w:r w:rsidR="00FE1F84" w:rsidRPr="009F0699">
        <w:rPr>
          <w:rFonts w:ascii="Times New Roman" w:hAnsi="Times New Roman" w:cs="Times New Roman"/>
          <w:bCs/>
          <w:color w:val="0D0D0D" w:themeColor="text1" w:themeTint="F2"/>
          <w:sz w:val="20"/>
          <w:szCs w:val="20"/>
        </w:rPr>
        <w:t>percentage. The</w:t>
      </w:r>
      <w:r w:rsidRPr="009F0699">
        <w:rPr>
          <w:rFonts w:ascii="Times New Roman" w:hAnsi="Times New Roman" w:cs="Times New Roman"/>
          <w:bCs/>
          <w:color w:val="0D0D0D" w:themeColor="text1" w:themeTint="F2"/>
          <w:sz w:val="20"/>
          <w:szCs w:val="20"/>
        </w:rPr>
        <w:t xml:space="preserve"> </w:t>
      </w:r>
      <w:r w:rsidR="00FE1F84" w:rsidRPr="009F0699">
        <w:rPr>
          <w:rFonts w:ascii="Times New Roman" w:hAnsi="Times New Roman" w:cs="Times New Roman"/>
          <w:bCs/>
          <w:color w:val="0D0D0D" w:themeColor="text1" w:themeTint="F2"/>
          <w:sz w:val="20"/>
          <w:szCs w:val="20"/>
        </w:rPr>
        <w:t xml:space="preserve">tests were </w:t>
      </w:r>
      <w:r w:rsidRPr="009F0699">
        <w:rPr>
          <w:rFonts w:ascii="Times New Roman" w:hAnsi="Times New Roman" w:cs="Times New Roman"/>
          <w:bCs/>
          <w:color w:val="0D0D0D" w:themeColor="text1" w:themeTint="F2"/>
          <w:sz w:val="20"/>
          <w:szCs w:val="20"/>
        </w:rPr>
        <w:t>Independent-samples t-test of significance was used w</w:t>
      </w:r>
      <w:r w:rsidR="00FE1F84" w:rsidRPr="009F0699">
        <w:rPr>
          <w:rFonts w:ascii="Times New Roman" w:hAnsi="Times New Roman" w:cs="Times New Roman"/>
          <w:bCs/>
          <w:color w:val="0D0D0D" w:themeColor="text1" w:themeTint="F2"/>
          <w:sz w:val="20"/>
          <w:szCs w:val="20"/>
        </w:rPr>
        <w:t xml:space="preserve">hen comparing between two means, </w:t>
      </w:r>
      <w:r w:rsidRPr="009F0699">
        <w:rPr>
          <w:rFonts w:ascii="Times New Roman" w:hAnsi="Times New Roman" w:cs="Times New Roman"/>
          <w:bCs/>
          <w:color w:val="0D0D0D" w:themeColor="text1" w:themeTint="F2"/>
          <w:sz w:val="20"/>
          <w:szCs w:val="20"/>
        </w:rPr>
        <w:t>Mann Whitney U test was used when comparing two means o</w:t>
      </w:r>
      <w:r w:rsidR="00FE1F84" w:rsidRPr="009F0699">
        <w:rPr>
          <w:rFonts w:ascii="Times New Roman" w:hAnsi="Times New Roman" w:cs="Times New Roman"/>
          <w:bCs/>
          <w:color w:val="0D0D0D" w:themeColor="text1" w:themeTint="F2"/>
          <w:sz w:val="20"/>
          <w:szCs w:val="20"/>
        </w:rPr>
        <w:t xml:space="preserve">f not normally distributed data, </w:t>
      </w:r>
      <w:r w:rsidRPr="009F0699">
        <w:rPr>
          <w:rFonts w:ascii="Times New Roman" w:hAnsi="Times New Roman" w:cs="Times New Roman"/>
          <w:bCs/>
          <w:color w:val="0D0D0D" w:themeColor="text1" w:themeTint="F2"/>
          <w:sz w:val="20"/>
          <w:szCs w:val="20"/>
        </w:rPr>
        <w:t>Chi-square (X</w:t>
      </w:r>
      <w:r w:rsidRPr="009F0699">
        <w:rPr>
          <w:rFonts w:ascii="Times New Roman" w:hAnsi="Times New Roman" w:cs="Times New Roman"/>
          <w:bCs/>
          <w:color w:val="0D0D0D" w:themeColor="text1" w:themeTint="F2"/>
          <w:sz w:val="20"/>
          <w:szCs w:val="20"/>
          <w:vertAlign w:val="superscript"/>
        </w:rPr>
        <w:t>2</w:t>
      </w:r>
      <w:r w:rsidR="00894DCD" w:rsidRPr="009F0699">
        <w:rPr>
          <w:rFonts w:ascii="Times New Roman" w:hAnsi="Times New Roman" w:cs="Times New Roman"/>
          <w:bCs/>
          <w:color w:val="0D0D0D" w:themeColor="text1" w:themeTint="F2"/>
          <w:sz w:val="20"/>
          <w:szCs w:val="20"/>
        </w:rPr>
        <w:t>) test of significance</w:t>
      </w:r>
      <w:r w:rsidRPr="009F0699">
        <w:rPr>
          <w:rFonts w:ascii="Times New Roman" w:hAnsi="Times New Roman" w:cs="Times New Roman"/>
          <w:bCs/>
          <w:color w:val="0D0D0D" w:themeColor="text1" w:themeTint="F2"/>
          <w:sz w:val="20"/>
          <w:szCs w:val="20"/>
        </w:rPr>
        <w:t xml:space="preserve"> was used in order to compare proportions bet</w:t>
      </w:r>
      <w:r w:rsidR="00AD03B4" w:rsidRPr="009F0699">
        <w:rPr>
          <w:rFonts w:ascii="Times New Roman" w:hAnsi="Times New Roman" w:cs="Times New Roman"/>
          <w:bCs/>
          <w:color w:val="0D0D0D" w:themeColor="text1" w:themeTint="F2"/>
          <w:sz w:val="20"/>
          <w:szCs w:val="20"/>
        </w:rPr>
        <w:t xml:space="preserve">ween two qualitative parameters, and </w:t>
      </w:r>
      <w:r w:rsidRPr="009F0699">
        <w:rPr>
          <w:rFonts w:ascii="Times New Roman" w:hAnsi="Times New Roman" w:cs="Times New Roman"/>
          <w:bCs/>
          <w:color w:val="0D0D0D" w:themeColor="text1" w:themeTint="F2"/>
          <w:sz w:val="20"/>
          <w:szCs w:val="20"/>
        </w:rPr>
        <w:t xml:space="preserve">Fisher Exact test is a test of significance that is used in the place of chi square test in 2 by 2 tables, especially in cases of small </w:t>
      </w:r>
      <w:r w:rsidR="005060EB" w:rsidRPr="009F0699">
        <w:rPr>
          <w:rFonts w:ascii="Times New Roman" w:hAnsi="Times New Roman" w:cs="Times New Roman"/>
          <w:bCs/>
          <w:color w:val="0D0D0D" w:themeColor="text1" w:themeTint="F2"/>
          <w:sz w:val="20"/>
          <w:szCs w:val="20"/>
        </w:rPr>
        <w:t>samples. The</w:t>
      </w:r>
      <w:r w:rsidR="00695D9E" w:rsidRPr="009F0699">
        <w:rPr>
          <w:rFonts w:ascii="Times New Roman" w:hAnsi="Times New Roman" w:cs="Times New Roman"/>
          <w:bCs/>
          <w:color w:val="0D0D0D" w:themeColor="text1" w:themeTint="F2"/>
          <w:sz w:val="20"/>
          <w:szCs w:val="20"/>
        </w:rPr>
        <w:t xml:space="preserve"> following regarding ROC curves were done:</w:t>
      </w:r>
    </w:p>
    <w:p w:rsidR="004E635A" w:rsidRPr="009F0699" w:rsidRDefault="004E635A" w:rsidP="00D009F8">
      <w:pPr>
        <w:pStyle w:val="ListParagraph"/>
        <w:numPr>
          <w:ilvl w:val="0"/>
          <w:numId w:val="8"/>
        </w:numPr>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Receiver operating characteristic (ROC) curve analysis was used to identify optimal cut-off values. Area Under Curve (AUC) was also calculated, criteria to qualify for AUC were as follows: 0.90 – 1 = excellent, 0.80-0.90 = good, 0.70-0.80 = fair; 0.60-0.70 = poor; and 0.50-0.6 = fail. The optimal cutoff point was established at point of maximum accuracy.</w:t>
      </w:r>
    </w:p>
    <w:p w:rsidR="004E635A" w:rsidRPr="009F0699" w:rsidRDefault="004E635A" w:rsidP="00D009F8">
      <w:pPr>
        <w:pStyle w:val="ListParagraph"/>
        <w:numPr>
          <w:ilvl w:val="0"/>
          <w:numId w:val="8"/>
        </w:numPr>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Sensitivity: Probability that a test result will be positive when the disease is present (true positive rate, expressed as a percentage).</w:t>
      </w:r>
    </w:p>
    <w:p w:rsidR="004E635A" w:rsidRPr="009F0699" w:rsidRDefault="004E635A"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Sensitivity = (true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xml:space="preserve">)/ </w:t>
      </w:r>
      <w:r w:rsidR="00CC3693" w:rsidRPr="009F0699">
        <w:rPr>
          <w:rFonts w:ascii="Times New Roman" w:hAnsi="Times New Roman" w:cs="Times New Roman"/>
          <w:bCs/>
          <w:color w:val="0D0D0D" w:themeColor="text1" w:themeTint="F2"/>
          <w:sz w:val="20"/>
          <w:szCs w:val="20"/>
        </w:rPr>
        <w:t>[ (</w:t>
      </w:r>
      <w:r w:rsidRPr="009F0699">
        <w:rPr>
          <w:rFonts w:ascii="Times New Roman" w:hAnsi="Times New Roman" w:cs="Times New Roman"/>
          <w:bCs/>
          <w:color w:val="0D0D0D" w:themeColor="text1" w:themeTint="F2"/>
          <w:sz w:val="20"/>
          <w:szCs w:val="20"/>
        </w:rPr>
        <w:t>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(false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w:t>
      </w:r>
    </w:p>
    <w:p w:rsidR="004E635A" w:rsidRPr="009F0699" w:rsidRDefault="004E635A" w:rsidP="00D009F8">
      <w:pPr>
        <w:pStyle w:val="ListParagraph"/>
        <w:numPr>
          <w:ilvl w:val="0"/>
          <w:numId w:val="8"/>
        </w:numPr>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Specificity: Probability that a test result will be negative when the disease is not present (true negative rate, expressed as percentage).</w:t>
      </w:r>
    </w:p>
    <w:p w:rsidR="004E635A" w:rsidRPr="009F0699" w:rsidRDefault="004E635A"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Specificity = (true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xml:space="preserve">) / </w:t>
      </w:r>
      <w:r w:rsidR="00CC3693" w:rsidRPr="009F0699">
        <w:rPr>
          <w:rFonts w:ascii="Times New Roman" w:hAnsi="Times New Roman" w:cs="Times New Roman"/>
          <w:bCs/>
          <w:color w:val="0D0D0D" w:themeColor="text1" w:themeTint="F2"/>
          <w:sz w:val="20"/>
          <w:szCs w:val="20"/>
        </w:rPr>
        <w:t>[ (</w:t>
      </w:r>
      <w:r w:rsidRPr="009F0699">
        <w:rPr>
          <w:rFonts w:ascii="Times New Roman" w:hAnsi="Times New Roman" w:cs="Times New Roman"/>
          <w:bCs/>
          <w:color w:val="0D0D0D" w:themeColor="text1" w:themeTint="F2"/>
          <w:sz w:val="20"/>
          <w:szCs w:val="20"/>
        </w:rPr>
        <w:t>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(false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w:t>
      </w:r>
    </w:p>
    <w:p w:rsidR="004E635A" w:rsidRPr="009F0699" w:rsidRDefault="004E635A" w:rsidP="00D009F8">
      <w:pPr>
        <w:pStyle w:val="ListParagraph"/>
        <w:numPr>
          <w:ilvl w:val="0"/>
          <w:numId w:val="8"/>
        </w:numPr>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 xml:space="preserve">PPV (positive predictive value): probability that the disease is present when the test is positive </w:t>
      </w:r>
      <w:r w:rsidRPr="009F0699">
        <w:rPr>
          <w:rFonts w:ascii="Times New Roman" w:hAnsi="Times New Roman" w:cs="Times New Roman"/>
          <w:bCs/>
          <w:color w:val="0D0D0D" w:themeColor="text1" w:themeTint="F2"/>
          <w:sz w:val="20"/>
          <w:szCs w:val="20"/>
        </w:rPr>
        <w:lastRenderedPageBreak/>
        <w:t>(expressed as a percentage of true positive cases to all positive). PPV = (true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xml:space="preserve">) / </w:t>
      </w:r>
      <w:r w:rsidR="00CC3693" w:rsidRPr="009F0699">
        <w:rPr>
          <w:rFonts w:ascii="Times New Roman" w:hAnsi="Times New Roman" w:cs="Times New Roman"/>
          <w:bCs/>
          <w:color w:val="0D0D0D" w:themeColor="text1" w:themeTint="F2"/>
          <w:sz w:val="20"/>
          <w:szCs w:val="20"/>
        </w:rPr>
        <w:t>[ (</w:t>
      </w:r>
      <w:r w:rsidRPr="009F0699">
        <w:rPr>
          <w:rFonts w:ascii="Times New Roman" w:hAnsi="Times New Roman" w:cs="Times New Roman"/>
          <w:bCs/>
          <w:color w:val="0D0D0D" w:themeColor="text1" w:themeTint="F2"/>
          <w:sz w:val="20"/>
          <w:szCs w:val="20"/>
        </w:rPr>
        <w:t>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(false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w:t>
      </w:r>
    </w:p>
    <w:p w:rsidR="0075355E" w:rsidRPr="009F0699" w:rsidRDefault="004E635A" w:rsidP="00D009F8">
      <w:pPr>
        <w:pStyle w:val="ListParagraph"/>
        <w:numPr>
          <w:ilvl w:val="0"/>
          <w:numId w:val="8"/>
        </w:numPr>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NPV (negative predictive value): probability that the disease is not present when the test is negative (expressed as a percentage of true negative subjects to all negative). NPV = (true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xml:space="preserve">)/ </w:t>
      </w:r>
      <w:r w:rsidR="00CC3693" w:rsidRPr="009F0699">
        <w:rPr>
          <w:rFonts w:ascii="Times New Roman" w:hAnsi="Times New Roman" w:cs="Times New Roman"/>
          <w:bCs/>
          <w:color w:val="0D0D0D" w:themeColor="text1" w:themeTint="F2"/>
          <w:sz w:val="20"/>
          <w:szCs w:val="20"/>
        </w:rPr>
        <w:t>[ (</w:t>
      </w:r>
      <w:r w:rsidRPr="009F0699">
        <w:rPr>
          <w:rFonts w:ascii="Times New Roman" w:hAnsi="Times New Roman" w:cs="Times New Roman"/>
          <w:bCs/>
          <w:color w:val="0D0D0D" w:themeColor="text1" w:themeTint="F2"/>
          <w:sz w:val="20"/>
          <w:szCs w:val="20"/>
        </w:rPr>
        <w:t>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(false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w:t>
      </w:r>
    </w:p>
    <w:p w:rsidR="00695D9E" w:rsidRPr="009F0699" w:rsidRDefault="004E635A" w:rsidP="00D009F8">
      <w:pPr>
        <w:pStyle w:val="ListParagraph"/>
        <w:numPr>
          <w:ilvl w:val="0"/>
          <w:numId w:val="8"/>
        </w:numPr>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lastRenderedPageBreak/>
        <w:t xml:space="preserve">Accuracy = </w:t>
      </w:r>
      <w:r w:rsidR="00CC3693" w:rsidRPr="009F0699">
        <w:rPr>
          <w:rFonts w:ascii="Times New Roman" w:hAnsi="Times New Roman" w:cs="Times New Roman"/>
          <w:bCs/>
          <w:color w:val="0D0D0D" w:themeColor="text1" w:themeTint="F2"/>
          <w:sz w:val="20"/>
          <w:szCs w:val="20"/>
        </w:rPr>
        <w:t>[ (</w:t>
      </w:r>
      <w:r w:rsidRPr="009F0699">
        <w:rPr>
          <w:rFonts w:ascii="Times New Roman" w:hAnsi="Times New Roman" w:cs="Times New Roman"/>
          <w:bCs/>
          <w:color w:val="0D0D0D" w:themeColor="text1" w:themeTint="F2"/>
          <w:sz w:val="20"/>
          <w:szCs w:val="20"/>
        </w:rPr>
        <w:t>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(false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xml:space="preserve">)] / </w:t>
      </w:r>
      <w:r w:rsidR="00CC3693" w:rsidRPr="009F0699">
        <w:rPr>
          <w:rFonts w:ascii="Times New Roman" w:hAnsi="Times New Roman" w:cs="Times New Roman"/>
          <w:bCs/>
          <w:color w:val="0D0D0D" w:themeColor="text1" w:themeTint="F2"/>
          <w:sz w:val="20"/>
          <w:szCs w:val="20"/>
        </w:rPr>
        <w:t>[ (</w:t>
      </w:r>
      <w:r w:rsidRPr="009F0699">
        <w:rPr>
          <w:rFonts w:ascii="Times New Roman" w:hAnsi="Times New Roman" w:cs="Times New Roman"/>
          <w:bCs/>
          <w:color w:val="0D0D0D" w:themeColor="text1" w:themeTint="F2"/>
          <w:sz w:val="20"/>
          <w:szCs w:val="20"/>
        </w:rPr>
        <w:t>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w:t>
      </w:r>
      <w:r w:rsidR="0075355E" w:rsidRPr="009F0699">
        <w:rPr>
          <w:rFonts w:ascii="Times New Roman" w:hAnsi="Times New Roman" w:cs="Times New Roman"/>
          <w:bCs/>
          <w:color w:val="0D0D0D" w:themeColor="text1" w:themeTint="F2"/>
          <w:sz w:val="20"/>
          <w:szCs w:val="20"/>
        </w:rPr>
        <w:t>false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(true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 + (false –</w:t>
      </w:r>
      <w:proofErr w:type="spellStart"/>
      <w:r w:rsidRPr="009F0699">
        <w:rPr>
          <w:rFonts w:ascii="Times New Roman" w:hAnsi="Times New Roman" w:cs="Times New Roman"/>
          <w:bCs/>
          <w:color w:val="0D0D0D" w:themeColor="text1" w:themeTint="F2"/>
          <w:sz w:val="20"/>
          <w:szCs w:val="20"/>
        </w:rPr>
        <w:t>ve</w:t>
      </w:r>
      <w:proofErr w:type="spellEnd"/>
      <w:r w:rsidRPr="009F0699">
        <w:rPr>
          <w:rFonts w:ascii="Times New Roman" w:hAnsi="Times New Roman" w:cs="Times New Roman"/>
          <w:bCs/>
          <w:color w:val="0D0D0D" w:themeColor="text1" w:themeTint="F2"/>
          <w:sz w:val="20"/>
          <w:szCs w:val="20"/>
        </w:rPr>
        <w:t>)].</w:t>
      </w:r>
    </w:p>
    <w:p w:rsidR="003D5540" w:rsidRPr="009F0699" w:rsidRDefault="004E635A" w:rsidP="00D009F8">
      <w:pPr>
        <w:pStyle w:val="ListParagraph"/>
        <w:numPr>
          <w:ilvl w:val="0"/>
          <w:numId w:val="8"/>
        </w:numPr>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 xml:space="preserve">Probability (P-value): P-value </w:t>
      </w:r>
      <w:r w:rsidRPr="009F0699">
        <w:rPr>
          <w:rFonts w:ascii="Times New Roman" w:hAnsi="Times New Roman" w:cs="Times New Roman"/>
          <w:bCs/>
          <w:color w:val="0D0D0D" w:themeColor="text1" w:themeTint="F2"/>
          <w:sz w:val="20"/>
          <w:szCs w:val="20"/>
          <w:u w:val="single"/>
        </w:rPr>
        <w:t>&lt;</w:t>
      </w:r>
      <w:r w:rsidRPr="009F0699">
        <w:rPr>
          <w:rFonts w:ascii="Times New Roman" w:hAnsi="Times New Roman" w:cs="Times New Roman"/>
          <w:bCs/>
          <w:color w:val="0D0D0D" w:themeColor="text1" w:themeTint="F2"/>
          <w:sz w:val="20"/>
          <w:szCs w:val="20"/>
        </w:rPr>
        <w:t xml:space="preserve">0.05 was considered significant, P-value </w:t>
      </w:r>
      <w:r w:rsidRPr="009F0699">
        <w:rPr>
          <w:rFonts w:ascii="Times New Roman" w:hAnsi="Times New Roman" w:cs="Times New Roman"/>
          <w:bCs/>
          <w:color w:val="0D0D0D" w:themeColor="text1" w:themeTint="F2"/>
          <w:sz w:val="20"/>
          <w:szCs w:val="20"/>
          <w:u w:val="single"/>
        </w:rPr>
        <w:t>&lt;</w:t>
      </w:r>
      <w:r w:rsidRPr="009F0699">
        <w:rPr>
          <w:rFonts w:ascii="Times New Roman" w:hAnsi="Times New Roman" w:cs="Times New Roman"/>
          <w:bCs/>
          <w:color w:val="0D0D0D" w:themeColor="text1" w:themeTint="F2"/>
          <w:sz w:val="20"/>
          <w:szCs w:val="20"/>
        </w:rPr>
        <w:t>0.001 was considered as highly significant and P-value &gt;0.05 was considered insignificant.</w:t>
      </w:r>
    </w:p>
    <w:p w:rsidR="00D009F8" w:rsidRPr="009F0699" w:rsidRDefault="00D009F8"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lang w:eastAsia="zh-CN"/>
        </w:rPr>
        <w:sectPr w:rsidR="00D009F8" w:rsidRPr="009F0699" w:rsidSect="00D009F8">
          <w:type w:val="continuous"/>
          <w:pgSz w:w="12242" w:h="15842" w:code="1"/>
          <w:pgMar w:top="1440" w:right="1440" w:bottom="1440" w:left="1440" w:header="720" w:footer="720" w:gutter="0"/>
          <w:cols w:num="2" w:space="550"/>
          <w:docGrid w:linePitch="360"/>
        </w:sectPr>
      </w:pPr>
    </w:p>
    <w:p w:rsidR="00D009F8" w:rsidRPr="009F0699" w:rsidRDefault="00D009F8"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D009F8" w:rsidRPr="009F0699" w:rsidRDefault="00D009F8" w:rsidP="00D009F8">
      <w:pPr>
        <w:widowControl w:val="0"/>
        <w:snapToGrid w:val="0"/>
        <w:spacing w:after="0" w:line="240" w:lineRule="auto"/>
        <w:jc w:val="center"/>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Table (1): </w:t>
      </w:r>
      <w:r w:rsidRPr="009F0699">
        <w:rPr>
          <w:rFonts w:ascii="Times New Roman" w:eastAsia="Times New Roman" w:hAnsi="Times New Roman" w:cs="Times New Roman"/>
          <w:snapToGrid w:val="0"/>
          <w:color w:val="000000"/>
          <w:sz w:val="20"/>
          <w:szCs w:val="20"/>
          <w:lang w:eastAsia="ar-SA"/>
        </w:rPr>
        <w:t>Comparison between the studied groups regarding the demographic data.</w:t>
      </w:r>
    </w:p>
    <w:tbl>
      <w:tblPr>
        <w:tblStyle w:val="GridTable3-Accent11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CellMar>
          <w:left w:w="57" w:type="dxa"/>
          <w:right w:w="57" w:type="dxa"/>
        </w:tblCellMar>
        <w:tblLook w:val="0000"/>
      </w:tblPr>
      <w:tblGrid>
        <w:gridCol w:w="2947"/>
        <w:gridCol w:w="1719"/>
        <w:gridCol w:w="1927"/>
        <w:gridCol w:w="1160"/>
        <w:gridCol w:w="1723"/>
      </w:tblGrid>
      <w:tr w:rsidR="00D009F8" w:rsidRPr="009F0699" w:rsidTr="00D07B67">
        <w:trPr>
          <w:cnfStyle w:val="000000100000"/>
          <w:jc w:val="center"/>
        </w:trPr>
        <w:tc>
          <w:tcPr>
            <w:cnfStyle w:val="000010000000"/>
            <w:tcW w:w="1555" w:type="pct"/>
            <w:tcBorders>
              <w:top w:val="single" w:sz="18" w:space="0" w:color="000000"/>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Demographic data</w:t>
            </w:r>
          </w:p>
        </w:tc>
        <w:tc>
          <w:tcPr>
            <w:tcW w:w="907" w:type="pct"/>
            <w:tcBorders>
              <w:top w:val="single" w:sz="18" w:space="0" w:color="000000"/>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Group A</w:t>
            </w:r>
          </w:p>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(Reflow)</w:t>
            </w:r>
          </w:p>
        </w:tc>
        <w:tc>
          <w:tcPr>
            <w:cnfStyle w:val="000010000000"/>
            <w:tcW w:w="1017" w:type="pct"/>
            <w:tcBorders>
              <w:top w:val="single" w:sz="18" w:space="0" w:color="000000"/>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Group B</w:t>
            </w:r>
          </w:p>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(No-reflow)</w:t>
            </w:r>
          </w:p>
        </w:tc>
        <w:tc>
          <w:tcPr>
            <w:tcW w:w="612" w:type="pct"/>
            <w:vMerge w:val="restart"/>
            <w:tcBorders>
              <w:top w:val="single" w:sz="18" w:space="0" w:color="000000"/>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Test</w:t>
            </w:r>
          </w:p>
        </w:tc>
        <w:tc>
          <w:tcPr>
            <w:cnfStyle w:val="000010000000"/>
            <w:tcW w:w="909" w:type="pct"/>
            <w:vMerge w:val="restart"/>
            <w:tcBorders>
              <w:top w:val="single" w:sz="18" w:space="0" w:color="000000"/>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P-value</w:t>
            </w:r>
          </w:p>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(Sig.)</w:t>
            </w:r>
          </w:p>
        </w:tc>
      </w:tr>
      <w:tr w:rsidR="00D009F8" w:rsidRPr="009F0699" w:rsidTr="00D07B67">
        <w:trPr>
          <w:jc w:val="center"/>
        </w:trPr>
        <w:tc>
          <w:tcPr>
            <w:cnfStyle w:val="000010000000"/>
            <w:tcW w:w="1555" w:type="pct"/>
            <w:tcBorders>
              <w:left w:val="single" w:sz="18" w:space="0" w:color="000000"/>
              <w:bottom w:val="double" w:sz="6" w:space="0" w:color="auto"/>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Count (%)</w:t>
            </w:r>
          </w:p>
        </w:tc>
        <w:tc>
          <w:tcPr>
            <w:tcW w:w="907" w:type="pct"/>
            <w:tcBorders>
              <w:left w:val="double" w:sz="4" w:space="0" w:color="auto"/>
              <w:bottom w:val="double" w:sz="6"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249 (78.1%)</w:t>
            </w:r>
          </w:p>
        </w:tc>
        <w:tc>
          <w:tcPr>
            <w:cnfStyle w:val="000010000000"/>
            <w:tcW w:w="1017" w:type="pct"/>
            <w:tcBorders>
              <w:left w:val="single" w:sz="4" w:space="0" w:color="auto"/>
              <w:bottom w:val="double" w:sz="6"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70 (21.9%)</w:t>
            </w:r>
          </w:p>
        </w:tc>
        <w:tc>
          <w:tcPr>
            <w:tcW w:w="612" w:type="pct"/>
            <w:vMerge/>
            <w:tcBorders>
              <w:left w:val="double" w:sz="4" w:space="0" w:color="auto"/>
              <w:bottom w:val="double" w:sz="6"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909" w:type="pct"/>
            <w:vMerge/>
            <w:tcBorders>
              <w:bottom w:val="double" w:sz="6" w:space="0" w:color="auto"/>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D009F8" w:rsidRPr="009F0699" w:rsidTr="00D07B67">
        <w:trPr>
          <w:cnfStyle w:val="000000100000"/>
          <w:jc w:val="center"/>
        </w:trPr>
        <w:tc>
          <w:tcPr>
            <w:cnfStyle w:val="000010000000"/>
            <w:tcW w:w="1555" w:type="pct"/>
            <w:tcBorders>
              <w:top w:val="double" w:sz="6" w:space="0" w:color="auto"/>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Age (years)</w:t>
            </w:r>
          </w:p>
        </w:tc>
        <w:tc>
          <w:tcPr>
            <w:tcW w:w="3445" w:type="pct"/>
            <w:gridSpan w:val="4"/>
            <w:tcBorders>
              <w:top w:val="double" w:sz="6" w:space="0" w:color="auto"/>
              <w:left w:val="double" w:sz="4" w:space="0" w:color="auto"/>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D009F8" w:rsidRPr="009F0699" w:rsidTr="00D07B67">
        <w:trPr>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55.7 ± 10.5</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61.3 ± 9.3</w:t>
            </w:r>
          </w:p>
        </w:tc>
        <w:tc>
          <w:tcPr>
            <w:tcW w:w="612" w:type="pct"/>
            <w:vMerge w:val="restar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-4.696 </w:t>
            </w:r>
            <w:r w:rsidRPr="009F0699">
              <w:rPr>
                <w:rFonts w:ascii="Times New Roman" w:hAnsi="Times New Roman" w:cs="Times New Roman"/>
                <w:color w:val="000000"/>
                <w:sz w:val="20"/>
                <w:szCs w:val="20"/>
                <w:lang w:bidi="ar-EG"/>
              </w:rPr>
              <w:t>•</w:t>
            </w:r>
          </w:p>
        </w:tc>
        <w:tc>
          <w:tcPr>
            <w:cnfStyle w:val="000010000000"/>
            <w:tcW w:w="909" w:type="pct"/>
            <w:vMerge w:val="restar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D009F8" w:rsidRPr="009F0699" w:rsidTr="00D07B67">
        <w:trPr>
          <w:cnfStyle w:val="000000100000"/>
          <w:jc w:val="center"/>
        </w:trPr>
        <w:tc>
          <w:tcPr>
            <w:cnfStyle w:val="000010000000"/>
            <w:tcW w:w="1555" w:type="pct"/>
            <w:tcBorders>
              <w:left w:val="single" w:sz="18" w:space="0" w:color="000000"/>
              <w:bottom w:val="single" w:sz="12"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907" w:type="pct"/>
            <w:tcBorders>
              <w:left w:val="double" w:sz="4" w:space="0" w:color="auto"/>
              <w:bottom w:val="single" w:sz="12" w:space="0" w:color="000000"/>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55 (28 – 81)</w:t>
            </w:r>
          </w:p>
        </w:tc>
        <w:tc>
          <w:tcPr>
            <w:cnfStyle w:val="000010000000"/>
            <w:tcW w:w="1017" w:type="pct"/>
            <w:tcBorders>
              <w:left w:val="single" w:sz="4" w:space="0" w:color="auto"/>
              <w:bottom w:val="single" w:sz="12" w:space="0" w:color="000000"/>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64.5 (34 – 76)</w:t>
            </w:r>
          </w:p>
        </w:tc>
        <w:tc>
          <w:tcPr>
            <w:tcW w:w="612" w:type="pct"/>
            <w:vMerge/>
            <w:tcBorders>
              <w:left w:val="double" w:sz="4" w:space="0" w:color="auto"/>
              <w:bottom w:val="single" w:sz="12"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909" w:type="pct"/>
            <w:vMerge/>
            <w:tcBorders>
              <w:bottom w:val="single" w:sz="12" w:space="0" w:color="000000"/>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D009F8" w:rsidRPr="009F0699" w:rsidTr="00D07B67">
        <w:trPr>
          <w:jc w:val="center"/>
        </w:trPr>
        <w:tc>
          <w:tcPr>
            <w:cnfStyle w:val="000010000000"/>
            <w:tcW w:w="1555" w:type="pct"/>
            <w:tcBorders>
              <w:top w:val="single" w:sz="12" w:space="0" w:color="000000"/>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Gender</w:t>
            </w:r>
          </w:p>
        </w:tc>
        <w:tc>
          <w:tcPr>
            <w:tcW w:w="3445" w:type="pct"/>
            <w:gridSpan w:val="4"/>
            <w:tcBorders>
              <w:top w:val="single" w:sz="12" w:space="0" w:color="000000"/>
              <w:left w:val="double" w:sz="4" w:space="0" w:color="auto"/>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r>
      <w:tr w:rsidR="00D009F8" w:rsidRPr="009F0699" w:rsidTr="00D07B67">
        <w:trPr>
          <w:cnfStyle w:val="000000100000"/>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Male</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189 (75.9%)</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63 (90%)</w:t>
            </w:r>
          </w:p>
        </w:tc>
        <w:tc>
          <w:tcPr>
            <w:tcW w:w="612" w:type="pct"/>
            <w:vMerge w:val="restar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6.544 </w:t>
            </w:r>
            <w:r w:rsidRPr="009F0699">
              <w:rPr>
                <w:rFonts w:ascii="Times New Roman" w:hAnsi="Times New Roman" w:cs="Times New Roman"/>
                <w:snapToGrid w:val="0"/>
                <w:sz w:val="20"/>
                <w:szCs w:val="20"/>
                <w:lang w:eastAsia="ar-SA"/>
              </w:rPr>
              <w:t>‡</w:t>
            </w:r>
          </w:p>
        </w:tc>
        <w:tc>
          <w:tcPr>
            <w:cnfStyle w:val="000010000000"/>
            <w:tcW w:w="909" w:type="pct"/>
            <w:vMerge w:val="restar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0.011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(S)</w:t>
            </w:r>
          </w:p>
        </w:tc>
      </w:tr>
      <w:tr w:rsidR="00D009F8" w:rsidRPr="009F0699" w:rsidTr="00D07B67">
        <w:trPr>
          <w:jc w:val="center"/>
        </w:trPr>
        <w:tc>
          <w:tcPr>
            <w:cnfStyle w:val="000010000000"/>
            <w:tcW w:w="1555" w:type="pct"/>
            <w:tcBorders>
              <w:left w:val="single" w:sz="18" w:space="0" w:color="000000"/>
              <w:bottom w:val="single" w:sz="12"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Female</w:t>
            </w:r>
          </w:p>
        </w:tc>
        <w:tc>
          <w:tcPr>
            <w:tcW w:w="907" w:type="pct"/>
            <w:tcBorders>
              <w:left w:val="double" w:sz="4" w:space="0" w:color="auto"/>
              <w:bottom w:val="single" w:sz="12" w:space="0" w:color="000000"/>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60 (24.1%)</w:t>
            </w:r>
          </w:p>
        </w:tc>
        <w:tc>
          <w:tcPr>
            <w:cnfStyle w:val="000010000000"/>
            <w:tcW w:w="1017" w:type="pct"/>
            <w:tcBorders>
              <w:left w:val="single" w:sz="4" w:space="0" w:color="auto"/>
              <w:bottom w:val="single" w:sz="12" w:space="0" w:color="000000"/>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 (10%)</w:t>
            </w:r>
          </w:p>
        </w:tc>
        <w:tc>
          <w:tcPr>
            <w:tcW w:w="612" w:type="pct"/>
            <w:vMerge/>
            <w:tcBorders>
              <w:left w:val="double" w:sz="4" w:space="0" w:color="auto"/>
              <w:bottom w:val="single" w:sz="12"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909" w:type="pct"/>
            <w:vMerge/>
            <w:tcBorders>
              <w:bottom w:val="single" w:sz="12" w:space="0" w:color="000000"/>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D009F8" w:rsidRPr="009F0699" w:rsidTr="00D07B67">
        <w:trPr>
          <w:cnfStyle w:val="000000100000"/>
          <w:jc w:val="center"/>
        </w:trPr>
        <w:tc>
          <w:tcPr>
            <w:cnfStyle w:val="000010000000"/>
            <w:tcW w:w="1555" w:type="pct"/>
            <w:tcBorders>
              <w:top w:val="single" w:sz="12" w:space="0" w:color="000000"/>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Risk factors</w:t>
            </w:r>
          </w:p>
        </w:tc>
        <w:tc>
          <w:tcPr>
            <w:tcW w:w="3445" w:type="pct"/>
            <w:gridSpan w:val="4"/>
            <w:tcBorders>
              <w:top w:val="single" w:sz="12" w:space="0" w:color="000000"/>
              <w:left w:val="double" w:sz="4" w:space="0" w:color="auto"/>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D009F8" w:rsidRPr="009F0699" w:rsidTr="00D07B67">
        <w:trPr>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HTN</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101 (40.6%)</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34 (48.6%)</w:t>
            </w:r>
          </w:p>
        </w:tc>
        <w:tc>
          <w:tcPr>
            <w:tcW w:w="612" w:type="pc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1.436 </w:t>
            </w:r>
            <w:r w:rsidRPr="009F0699">
              <w:rPr>
                <w:rFonts w:ascii="Times New Roman" w:hAnsi="Times New Roman" w:cs="Times New Roman"/>
                <w:snapToGrid w:val="0"/>
                <w:sz w:val="20"/>
                <w:szCs w:val="20"/>
                <w:lang w:eastAsia="ar-SA"/>
              </w:rPr>
              <w:t>‡</w:t>
            </w:r>
          </w:p>
        </w:tc>
        <w:tc>
          <w:tcPr>
            <w:cnfStyle w:val="000010000000"/>
            <w:tcW w:w="909" w:type="pc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0.231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D009F8" w:rsidRPr="009F0699" w:rsidTr="00D07B67">
        <w:trPr>
          <w:cnfStyle w:val="000000100000"/>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DM</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78 (31.3%)</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 (34.3%)</w:t>
            </w:r>
          </w:p>
        </w:tc>
        <w:tc>
          <w:tcPr>
            <w:tcW w:w="612" w:type="pc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0.220 </w:t>
            </w:r>
            <w:r w:rsidRPr="009F0699">
              <w:rPr>
                <w:rFonts w:ascii="Times New Roman" w:hAnsi="Times New Roman" w:cs="Times New Roman"/>
                <w:snapToGrid w:val="0"/>
                <w:sz w:val="20"/>
                <w:szCs w:val="20"/>
                <w:lang w:eastAsia="ar-SA"/>
              </w:rPr>
              <w:t>‡</w:t>
            </w:r>
          </w:p>
        </w:tc>
        <w:tc>
          <w:tcPr>
            <w:cnfStyle w:val="000010000000"/>
            <w:tcW w:w="909" w:type="pc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0.639</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D009F8" w:rsidRPr="009F0699" w:rsidTr="00D07B67">
        <w:trPr>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Smoking</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91 (36.5%)</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25 (35.7%)</w:t>
            </w:r>
          </w:p>
        </w:tc>
        <w:tc>
          <w:tcPr>
            <w:tcW w:w="612" w:type="pc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0.016 </w:t>
            </w:r>
            <w:r w:rsidRPr="009F0699">
              <w:rPr>
                <w:rFonts w:ascii="Times New Roman" w:hAnsi="Times New Roman" w:cs="Times New Roman"/>
                <w:snapToGrid w:val="0"/>
                <w:sz w:val="20"/>
                <w:szCs w:val="20"/>
                <w:lang w:eastAsia="ar-SA"/>
              </w:rPr>
              <w:t>‡</w:t>
            </w:r>
          </w:p>
        </w:tc>
        <w:tc>
          <w:tcPr>
            <w:cnfStyle w:val="000010000000"/>
            <w:tcW w:w="909" w:type="pc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0.898</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D009F8" w:rsidRPr="009F0699" w:rsidTr="00D07B67">
        <w:trPr>
          <w:cnfStyle w:val="000000100000"/>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proofErr w:type="spellStart"/>
            <w:r w:rsidRPr="009F0699">
              <w:rPr>
                <w:rFonts w:ascii="Times New Roman" w:eastAsia="Times New Roman" w:hAnsi="Times New Roman" w:cs="Times New Roman"/>
                <w:snapToGrid w:val="0"/>
                <w:color w:val="000000"/>
                <w:sz w:val="20"/>
                <w:szCs w:val="20"/>
                <w:lang w:eastAsia="ar-SA"/>
              </w:rPr>
              <w:t>Dyslipidemia</w:t>
            </w:r>
            <w:proofErr w:type="spellEnd"/>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120 (48.2%)</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33 (47.1%)</w:t>
            </w:r>
          </w:p>
        </w:tc>
        <w:tc>
          <w:tcPr>
            <w:tcW w:w="612" w:type="pc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0.024 </w:t>
            </w:r>
            <w:r w:rsidRPr="009F0699">
              <w:rPr>
                <w:rFonts w:ascii="Times New Roman" w:hAnsi="Times New Roman" w:cs="Times New Roman"/>
                <w:snapToGrid w:val="0"/>
                <w:sz w:val="20"/>
                <w:szCs w:val="20"/>
                <w:lang w:eastAsia="ar-SA"/>
              </w:rPr>
              <w:t>‡</w:t>
            </w:r>
          </w:p>
        </w:tc>
        <w:tc>
          <w:tcPr>
            <w:cnfStyle w:val="000010000000"/>
            <w:tcW w:w="909" w:type="pc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0.877</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D009F8" w:rsidRPr="009F0699" w:rsidTr="00D07B67">
        <w:trPr>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Family history of IHD</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107 (43%)</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25 (35.7%)</w:t>
            </w:r>
          </w:p>
        </w:tc>
        <w:tc>
          <w:tcPr>
            <w:tcW w:w="612" w:type="pc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1.186 </w:t>
            </w:r>
            <w:r w:rsidRPr="009F0699">
              <w:rPr>
                <w:rFonts w:ascii="Times New Roman" w:hAnsi="Times New Roman" w:cs="Times New Roman"/>
                <w:snapToGrid w:val="0"/>
                <w:sz w:val="20"/>
                <w:szCs w:val="20"/>
                <w:lang w:eastAsia="ar-SA"/>
              </w:rPr>
              <w:t>‡</w:t>
            </w:r>
          </w:p>
        </w:tc>
        <w:tc>
          <w:tcPr>
            <w:cnfStyle w:val="000010000000"/>
            <w:tcW w:w="909" w:type="pc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0.276</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D009F8" w:rsidRPr="009F0699" w:rsidTr="00D07B67">
        <w:trPr>
          <w:cnfStyle w:val="000000100000"/>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History of CAD</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63 (25.3%)</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17 (24.3%)</w:t>
            </w:r>
          </w:p>
        </w:tc>
        <w:tc>
          <w:tcPr>
            <w:tcW w:w="612" w:type="pc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0.030 </w:t>
            </w:r>
            <w:r w:rsidRPr="009F0699">
              <w:rPr>
                <w:rFonts w:ascii="Times New Roman" w:hAnsi="Times New Roman" w:cs="Times New Roman"/>
                <w:snapToGrid w:val="0"/>
                <w:sz w:val="20"/>
                <w:szCs w:val="20"/>
                <w:lang w:eastAsia="ar-SA"/>
              </w:rPr>
              <w:t>‡</w:t>
            </w:r>
          </w:p>
        </w:tc>
        <w:tc>
          <w:tcPr>
            <w:cnfStyle w:val="000010000000"/>
            <w:tcW w:w="909" w:type="pc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0.863</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D009F8" w:rsidRPr="009F0699" w:rsidTr="00D07B67">
        <w:trPr>
          <w:jc w:val="center"/>
        </w:trPr>
        <w:tc>
          <w:tcPr>
            <w:cnfStyle w:val="000010000000"/>
            <w:tcW w:w="1555" w:type="pct"/>
            <w:tcBorders>
              <w:left w:val="single" w:sz="18" w:space="0" w:color="000000"/>
              <w:righ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History of PCI</w:t>
            </w:r>
          </w:p>
        </w:tc>
        <w:tc>
          <w:tcPr>
            <w:tcW w:w="907" w:type="pct"/>
            <w:tcBorders>
              <w:left w:val="doub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34 (13.7%)</w:t>
            </w:r>
          </w:p>
        </w:tc>
        <w:tc>
          <w:tcPr>
            <w:cnfStyle w:val="000010000000"/>
            <w:tcW w:w="1017" w:type="pct"/>
            <w:tcBorders>
              <w:left w:val="single" w:sz="4" w:space="0" w:color="auto"/>
              <w:right w:val="sing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 (8.6%)</w:t>
            </w:r>
          </w:p>
        </w:tc>
        <w:tc>
          <w:tcPr>
            <w:tcW w:w="612" w:type="pct"/>
            <w:tcBorders>
              <w:left w:val="double" w:sz="4" w:space="0" w:color="auto"/>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1.287 </w:t>
            </w:r>
            <w:r w:rsidRPr="009F0699">
              <w:rPr>
                <w:rFonts w:ascii="Times New Roman" w:hAnsi="Times New Roman" w:cs="Times New Roman"/>
                <w:snapToGrid w:val="0"/>
                <w:sz w:val="20"/>
                <w:szCs w:val="20"/>
                <w:lang w:eastAsia="ar-SA"/>
              </w:rPr>
              <w:t>‡</w:t>
            </w:r>
          </w:p>
        </w:tc>
        <w:tc>
          <w:tcPr>
            <w:cnfStyle w:val="000010000000"/>
            <w:tcW w:w="909" w:type="pct"/>
            <w:tcBorders>
              <w:right w:val="single" w:sz="18" w:space="0" w:color="000000"/>
            </w:tcBorders>
            <w:shd w:val="clear" w:color="auto" w:fill="FFFFFF" w:themeFill="background1"/>
            <w:vAlign w:val="center"/>
          </w:tcPr>
          <w:p w:rsidR="00D009F8" w:rsidRPr="009F0699" w:rsidRDefault="00D009F8" w:rsidP="00D07B67">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0.257</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bl>
    <w:p w:rsidR="00D009F8" w:rsidRPr="009F0699" w:rsidRDefault="00D009F8" w:rsidP="00D009F8">
      <w:pPr>
        <w:snapToGrid w:val="0"/>
        <w:spacing w:after="0" w:line="240" w:lineRule="auto"/>
        <w:jc w:val="both"/>
        <w:rPr>
          <w:rFonts w:ascii="Times New Roman" w:hAnsi="Times New Roman" w:cs="Times New Roman"/>
          <w:color w:val="000000"/>
          <w:sz w:val="20"/>
          <w:szCs w:val="20"/>
          <w:lang w:bidi="ar-EG"/>
        </w:rPr>
      </w:pPr>
      <w:r w:rsidRPr="009F0699">
        <w:rPr>
          <w:rFonts w:ascii="Times New Roman" w:hAnsi="Times New Roman" w:cs="Times New Roman"/>
          <w:color w:val="000000"/>
          <w:sz w:val="20"/>
          <w:szCs w:val="20"/>
          <w:lang w:bidi="ar-EG"/>
        </w:rPr>
        <w:t>• Mann Whitney U test.,</w:t>
      </w:r>
      <w:r w:rsidRPr="009F0699">
        <w:rPr>
          <w:rFonts w:ascii="Times New Roman" w:hAnsi="Times New Roman" w:cs="Times New Roman"/>
          <w:snapToGrid w:val="0"/>
          <w:sz w:val="20"/>
          <w:szCs w:val="20"/>
          <w:lang w:eastAsia="ar-SA"/>
        </w:rPr>
        <w:t xml:space="preserve"> ‡ </w:t>
      </w:r>
      <w:r w:rsidRPr="009F0699">
        <w:rPr>
          <w:rFonts w:ascii="Times New Roman" w:hAnsi="Times New Roman" w:cs="Times New Roman"/>
          <w:snapToGrid w:val="0"/>
          <w:sz w:val="20"/>
          <w:szCs w:val="20"/>
          <w:lang w:eastAsia="ar-SA" w:bidi="ar-EG"/>
        </w:rPr>
        <w:t>Chi-square test.</w:t>
      </w:r>
      <w:r w:rsidRPr="009F0699">
        <w:rPr>
          <w:rFonts w:ascii="Times New Roman" w:hAnsi="Times New Roman" w:cs="Times New Roman"/>
          <w:color w:val="000000"/>
          <w:sz w:val="20"/>
          <w:szCs w:val="20"/>
          <w:lang w:bidi="ar-EG"/>
        </w:rPr>
        <w:t>,</w:t>
      </w:r>
      <w:r w:rsidRPr="009F0699">
        <w:rPr>
          <w:rFonts w:ascii="Times New Roman" w:eastAsia="Times New Roman" w:hAnsi="Times New Roman" w:cs="Times New Roman"/>
          <w:snapToGrid w:val="0"/>
          <w:color w:val="000000"/>
          <w:sz w:val="20"/>
          <w:szCs w:val="20"/>
          <w:lang w:eastAsia="ar-SA" w:bidi="ar-EG"/>
        </w:rPr>
        <w:t xml:space="preserve"> p&lt; 0.05 is significant.</w:t>
      </w:r>
      <w:r w:rsidRPr="009F0699">
        <w:rPr>
          <w:rFonts w:ascii="Times New Roman" w:hAnsi="Times New Roman" w:cs="Times New Roman"/>
          <w:color w:val="000000"/>
          <w:sz w:val="20"/>
          <w:szCs w:val="20"/>
          <w:lang w:bidi="ar-EG"/>
        </w:rPr>
        <w:t>,</w:t>
      </w:r>
      <w:r w:rsidRPr="009F0699">
        <w:rPr>
          <w:rFonts w:ascii="Times New Roman" w:eastAsia="Times New Roman" w:hAnsi="Times New Roman" w:cs="Times New Roman"/>
          <w:snapToGrid w:val="0"/>
          <w:color w:val="000000"/>
          <w:sz w:val="20"/>
          <w:szCs w:val="20"/>
          <w:lang w:eastAsia="ar-SA" w:bidi="ar-EG"/>
        </w:rPr>
        <w:t xml:space="preserve"> Sig.: significance.</w:t>
      </w:r>
    </w:p>
    <w:p w:rsidR="00D009F8" w:rsidRDefault="00D009F8" w:rsidP="00D009F8">
      <w:pPr>
        <w:pStyle w:val="ListParagraph"/>
        <w:snapToGrid w:val="0"/>
        <w:spacing w:after="0" w:line="240" w:lineRule="auto"/>
        <w:ind w:left="0" w:firstLine="425"/>
        <w:jc w:val="both"/>
        <w:rPr>
          <w:rFonts w:ascii="Times New Roman" w:hAnsi="Times New Roman" w:cs="Times New Roman" w:hint="eastAsia"/>
          <w:bCs/>
          <w:color w:val="0D0D0D" w:themeColor="text1" w:themeTint="F2"/>
          <w:sz w:val="20"/>
          <w:szCs w:val="20"/>
          <w:lang w:eastAsia="zh-CN"/>
        </w:rPr>
      </w:pPr>
    </w:p>
    <w:p w:rsidR="009F0699" w:rsidRPr="009F0699" w:rsidRDefault="009F0699"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lang w:eastAsia="zh-CN"/>
        </w:rPr>
      </w:pPr>
    </w:p>
    <w:p w:rsidR="00D009F8" w:rsidRPr="009F0699" w:rsidRDefault="00D009F8"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lang w:eastAsia="zh-CN"/>
        </w:rPr>
        <w:sectPr w:rsidR="00D009F8" w:rsidRPr="009F0699" w:rsidSect="00D009F8">
          <w:type w:val="continuous"/>
          <w:pgSz w:w="12242" w:h="15842" w:code="1"/>
          <w:pgMar w:top="1440" w:right="1440" w:bottom="1440" w:left="1440" w:header="720" w:footer="720" w:gutter="0"/>
          <w:cols w:space="550"/>
          <w:docGrid w:linePitch="360"/>
        </w:sectPr>
      </w:pPr>
    </w:p>
    <w:p w:rsidR="00E35F56" w:rsidRPr="009F0699" w:rsidRDefault="00A63564" w:rsidP="00D009F8">
      <w:pPr>
        <w:pStyle w:val="ListParagraph"/>
        <w:snapToGrid w:val="0"/>
        <w:spacing w:after="0" w:line="240" w:lineRule="auto"/>
        <w:ind w:left="0"/>
        <w:jc w:val="both"/>
        <w:rPr>
          <w:rFonts w:ascii="Times New Roman" w:hAnsi="Times New Roman" w:cs="Times New Roman"/>
          <w:bCs/>
          <w:color w:val="0D0D0D" w:themeColor="text1" w:themeTint="F2"/>
          <w:sz w:val="20"/>
          <w:szCs w:val="20"/>
        </w:rPr>
      </w:pPr>
      <w:r w:rsidRPr="009F0699">
        <w:rPr>
          <w:rFonts w:ascii="Times New Roman" w:hAnsi="Times New Roman" w:cs="Times New Roman"/>
          <w:b/>
          <w:color w:val="0D0D0D" w:themeColor="text1" w:themeTint="F2"/>
          <w:sz w:val="20"/>
          <w:szCs w:val="20"/>
        </w:rPr>
        <w:lastRenderedPageBreak/>
        <w:t>3. Results</w:t>
      </w:r>
    </w:p>
    <w:p w:rsidR="00312769" w:rsidRPr="009F0699" w:rsidRDefault="00312769" w:rsidP="00D009F8">
      <w:pPr>
        <w:pStyle w:val="ListParagraph"/>
        <w:snapToGrid w:val="0"/>
        <w:spacing w:after="0" w:line="240" w:lineRule="auto"/>
        <w:ind w:left="0" w:firstLine="425"/>
        <w:jc w:val="both"/>
        <w:rPr>
          <w:rFonts w:ascii="Times New Roman" w:hAnsi="Times New Roman" w:cs="Times New Roman"/>
          <w:bCs/>
          <w:color w:val="0D0D0D" w:themeColor="text1" w:themeTint="F2"/>
          <w:sz w:val="20"/>
          <w:szCs w:val="20"/>
        </w:rPr>
      </w:pPr>
      <w:r w:rsidRPr="009F0699">
        <w:rPr>
          <w:rFonts w:ascii="Times New Roman" w:hAnsi="Times New Roman" w:cs="Times New Roman"/>
          <w:bCs/>
          <w:color w:val="0D0D0D" w:themeColor="text1" w:themeTint="F2"/>
          <w:sz w:val="20"/>
          <w:szCs w:val="20"/>
        </w:rPr>
        <w:t>A total of 319 patients were included in the data analysis.</w:t>
      </w:r>
    </w:p>
    <w:p w:rsidR="00EA62F0" w:rsidRPr="009F0699" w:rsidRDefault="00312769" w:rsidP="00D009F8">
      <w:pPr>
        <w:pStyle w:val="ListParagraph"/>
        <w:snapToGrid w:val="0"/>
        <w:spacing w:after="0" w:line="240" w:lineRule="auto"/>
        <w:ind w:left="0" w:firstLine="425"/>
        <w:jc w:val="both"/>
        <w:rPr>
          <w:rFonts w:ascii="Times New Roman" w:hAnsi="Times New Roman" w:cs="Times New Roman"/>
          <w:color w:val="000000"/>
          <w:sz w:val="20"/>
          <w:szCs w:val="20"/>
        </w:rPr>
      </w:pPr>
      <w:r w:rsidRPr="009F0699">
        <w:rPr>
          <w:rFonts w:ascii="Times New Roman" w:hAnsi="Times New Roman" w:cs="Times New Roman"/>
          <w:bCs/>
          <w:color w:val="0D0D0D" w:themeColor="text1" w:themeTint="F2"/>
          <w:sz w:val="20"/>
          <w:szCs w:val="20"/>
        </w:rPr>
        <w:t>Of all the study participants, 70 patients (</w:t>
      </w:r>
      <w:r w:rsidR="005060EB" w:rsidRPr="009F0699">
        <w:rPr>
          <w:rFonts w:ascii="Times New Roman" w:hAnsi="Times New Roman" w:cs="Times New Roman"/>
          <w:bCs/>
          <w:color w:val="0D0D0D" w:themeColor="text1" w:themeTint="F2"/>
          <w:sz w:val="20"/>
          <w:szCs w:val="20"/>
        </w:rPr>
        <w:t>21.9</w:t>
      </w:r>
      <w:r w:rsidRPr="009F0699">
        <w:rPr>
          <w:rFonts w:ascii="Times New Roman" w:hAnsi="Times New Roman" w:cs="Times New Roman"/>
          <w:bCs/>
          <w:color w:val="0D0D0D" w:themeColor="text1" w:themeTint="F2"/>
          <w:sz w:val="20"/>
          <w:szCs w:val="20"/>
        </w:rPr>
        <w:t xml:space="preserve">%) according to MBG flow were in the NRF </w:t>
      </w:r>
      <w:r w:rsidR="001632E0" w:rsidRPr="009F0699">
        <w:rPr>
          <w:rFonts w:ascii="Times New Roman" w:hAnsi="Times New Roman" w:cs="Times New Roman"/>
          <w:bCs/>
          <w:color w:val="0D0D0D" w:themeColor="text1" w:themeTint="F2"/>
          <w:sz w:val="20"/>
          <w:szCs w:val="20"/>
        </w:rPr>
        <w:t>group (group B)</w:t>
      </w:r>
      <w:r w:rsidRPr="009F0699">
        <w:rPr>
          <w:rFonts w:ascii="Times New Roman" w:hAnsi="Times New Roman" w:cs="Times New Roman"/>
          <w:bCs/>
          <w:color w:val="0D0D0D" w:themeColor="text1" w:themeTint="F2"/>
          <w:sz w:val="20"/>
          <w:szCs w:val="20"/>
        </w:rPr>
        <w:t xml:space="preserve">, while the </w:t>
      </w:r>
      <w:r w:rsidR="001632E0" w:rsidRPr="009F0699">
        <w:rPr>
          <w:rFonts w:ascii="Times New Roman" w:hAnsi="Times New Roman" w:cs="Times New Roman"/>
          <w:bCs/>
          <w:color w:val="0D0D0D" w:themeColor="text1" w:themeTint="F2"/>
          <w:sz w:val="20"/>
          <w:szCs w:val="20"/>
        </w:rPr>
        <w:t>remaining (group A)</w:t>
      </w:r>
      <w:r w:rsidRPr="009F0699">
        <w:rPr>
          <w:rFonts w:ascii="Times New Roman" w:hAnsi="Times New Roman" w:cs="Times New Roman"/>
          <w:bCs/>
          <w:color w:val="0D0D0D" w:themeColor="text1" w:themeTint="F2"/>
          <w:sz w:val="20"/>
          <w:szCs w:val="20"/>
        </w:rPr>
        <w:t xml:space="preserve"> were stratified into the reflow group.</w:t>
      </w:r>
      <w:r w:rsidRPr="009F0699">
        <w:rPr>
          <w:rFonts w:ascii="Times New Roman" w:hAnsi="Times New Roman" w:cs="Times New Roman"/>
          <w:color w:val="000000"/>
          <w:sz w:val="20"/>
          <w:szCs w:val="20"/>
        </w:rPr>
        <w:t xml:space="preserve"> </w:t>
      </w:r>
      <w:r w:rsidRPr="009F0699">
        <w:rPr>
          <w:rFonts w:ascii="Times New Roman" w:hAnsi="Times New Roman" w:cs="Times New Roman"/>
          <w:bCs/>
          <w:color w:val="0D0D0D" w:themeColor="text1" w:themeTint="F2"/>
          <w:sz w:val="20"/>
          <w:szCs w:val="20"/>
        </w:rPr>
        <w:t xml:space="preserve">Baseline demographic </w:t>
      </w:r>
      <w:r w:rsidR="003F626C" w:rsidRPr="009F0699">
        <w:rPr>
          <w:rFonts w:ascii="Times New Roman" w:hAnsi="Times New Roman" w:cs="Times New Roman"/>
          <w:bCs/>
          <w:color w:val="0D0D0D" w:themeColor="text1" w:themeTint="F2"/>
          <w:sz w:val="20"/>
          <w:szCs w:val="20"/>
        </w:rPr>
        <w:t>characteristics, clinical, laboratory finding</w:t>
      </w:r>
      <w:r w:rsidRPr="009F0699">
        <w:rPr>
          <w:rFonts w:ascii="Times New Roman" w:hAnsi="Times New Roman" w:cs="Times New Roman"/>
          <w:bCs/>
          <w:color w:val="0D0D0D" w:themeColor="text1" w:themeTint="F2"/>
          <w:sz w:val="20"/>
          <w:szCs w:val="20"/>
        </w:rPr>
        <w:t xml:space="preserve"> and cardiac risk scores on admission of </w:t>
      </w:r>
      <w:r w:rsidR="003F626C" w:rsidRPr="009F0699">
        <w:rPr>
          <w:rFonts w:ascii="Times New Roman" w:hAnsi="Times New Roman" w:cs="Times New Roman"/>
          <w:bCs/>
          <w:color w:val="0D0D0D" w:themeColor="text1" w:themeTint="F2"/>
          <w:sz w:val="20"/>
          <w:szCs w:val="20"/>
        </w:rPr>
        <w:t xml:space="preserve">patients </w:t>
      </w:r>
      <w:r w:rsidR="0033663A" w:rsidRPr="009F0699">
        <w:rPr>
          <w:rFonts w:ascii="Times New Roman" w:hAnsi="Times New Roman" w:cs="Times New Roman"/>
          <w:bCs/>
          <w:color w:val="0D0D0D" w:themeColor="text1" w:themeTint="F2"/>
          <w:sz w:val="20"/>
          <w:szCs w:val="20"/>
        </w:rPr>
        <w:t>after</w:t>
      </w:r>
      <w:r w:rsidRPr="009F0699">
        <w:rPr>
          <w:rFonts w:ascii="Times New Roman" w:hAnsi="Times New Roman" w:cs="Times New Roman"/>
          <w:bCs/>
          <w:color w:val="0D0D0D" w:themeColor="text1" w:themeTint="F2"/>
          <w:sz w:val="20"/>
          <w:szCs w:val="20"/>
        </w:rPr>
        <w:t xml:space="preserve"> p-PCI results organized according to </w:t>
      </w:r>
      <w:r w:rsidR="0033663A" w:rsidRPr="009F0699">
        <w:rPr>
          <w:rFonts w:ascii="Times New Roman" w:hAnsi="Times New Roman" w:cs="Times New Roman"/>
          <w:bCs/>
          <w:color w:val="0D0D0D" w:themeColor="text1" w:themeTint="F2"/>
          <w:sz w:val="20"/>
          <w:szCs w:val="20"/>
        </w:rPr>
        <w:t>reflow</w:t>
      </w:r>
      <w:r w:rsidRPr="009F0699">
        <w:rPr>
          <w:rFonts w:ascii="Times New Roman" w:hAnsi="Times New Roman" w:cs="Times New Roman"/>
          <w:bCs/>
          <w:color w:val="0D0D0D" w:themeColor="text1" w:themeTint="F2"/>
          <w:sz w:val="20"/>
          <w:szCs w:val="20"/>
        </w:rPr>
        <w:t xml:space="preserve"> grouping are shown in </w:t>
      </w:r>
      <w:r w:rsidR="00EE1DDD" w:rsidRPr="009F0699">
        <w:rPr>
          <w:rFonts w:ascii="Times New Roman" w:hAnsi="Times New Roman" w:cs="Times New Roman"/>
          <w:bCs/>
          <w:color w:val="0D0D0D" w:themeColor="text1" w:themeTint="F2"/>
          <w:sz w:val="20"/>
          <w:szCs w:val="20"/>
        </w:rPr>
        <w:t>Tables 1,</w:t>
      </w:r>
      <w:r w:rsidRPr="009F0699">
        <w:rPr>
          <w:rFonts w:ascii="Times New Roman" w:hAnsi="Times New Roman" w:cs="Times New Roman"/>
          <w:bCs/>
          <w:color w:val="0D0D0D" w:themeColor="text1" w:themeTint="F2"/>
          <w:sz w:val="20"/>
          <w:szCs w:val="20"/>
        </w:rPr>
        <w:t>2</w:t>
      </w:r>
      <w:r w:rsidR="00EE1DDD" w:rsidRPr="009F0699">
        <w:rPr>
          <w:rFonts w:ascii="Times New Roman" w:hAnsi="Times New Roman" w:cs="Times New Roman"/>
          <w:bCs/>
          <w:color w:val="0D0D0D" w:themeColor="text1" w:themeTint="F2"/>
          <w:sz w:val="20"/>
          <w:szCs w:val="20"/>
        </w:rPr>
        <w:t>,3,4 and 5</w:t>
      </w:r>
      <w:r w:rsidRPr="009F0699">
        <w:rPr>
          <w:rFonts w:ascii="Times New Roman" w:hAnsi="Times New Roman" w:cs="Times New Roman"/>
          <w:bCs/>
          <w:color w:val="0D0D0D" w:themeColor="text1" w:themeTint="F2"/>
          <w:sz w:val="20"/>
          <w:szCs w:val="20"/>
        </w:rPr>
        <w:t>.</w:t>
      </w:r>
      <w:r w:rsidR="0033663A" w:rsidRPr="009F0699">
        <w:rPr>
          <w:rFonts w:ascii="Times New Roman" w:hAnsi="Times New Roman" w:cs="Times New Roman"/>
          <w:sz w:val="20"/>
          <w:szCs w:val="20"/>
        </w:rPr>
        <w:t xml:space="preserve"> </w:t>
      </w:r>
      <w:r w:rsidR="0033663A" w:rsidRPr="009F0699">
        <w:rPr>
          <w:rFonts w:ascii="Times New Roman" w:hAnsi="Times New Roman" w:cs="Times New Roman"/>
          <w:color w:val="000000"/>
          <w:sz w:val="20"/>
          <w:szCs w:val="20"/>
        </w:rPr>
        <w:t xml:space="preserve">NRF patients were older than </w:t>
      </w:r>
      <w:r w:rsidR="008228E2" w:rsidRPr="009F0699">
        <w:rPr>
          <w:rFonts w:ascii="Times New Roman" w:hAnsi="Times New Roman" w:cs="Times New Roman"/>
          <w:color w:val="000000"/>
          <w:sz w:val="20"/>
          <w:szCs w:val="20"/>
        </w:rPr>
        <w:t>reflow patients</w:t>
      </w:r>
      <w:r w:rsidR="001632E0" w:rsidRPr="009F0699">
        <w:rPr>
          <w:rFonts w:ascii="Times New Roman" w:hAnsi="Times New Roman" w:cs="Times New Roman"/>
          <w:color w:val="000000"/>
          <w:sz w:val="20"/>
          <w:szCs w:val="20"/>
        </w:rPr>
        <w:t>.</w:t>
      </w:r>
      <w:r w:rsidR="001632E0" w:rsidRPr="009F0699">
        <w:rPr>
          <w:rFonts w:ascii="Times New Roman" w:eastAsia="Calibri" w:hAnsi="Times New Roman" w:cs="Times New Roman"/>
          <w:sz w:val="20"/>
          <w:szCs w:val="20"/>
        </w:rPr>
        <w:t xml:space="preserve"> </w:t>
      </w:r>
      <w:r w:rsidR="003F626C" w:rsidRPr="009F0699">
        <w:rPr>
          <w:rFonts w:ascii="Times New Roman" w:hAnsi="Times New Roman" w:cs="Times New Roman"/>
          <w:color w:val="000000"/>
          <w:sz w:val="20"/>
          <w:szCs w:val="20"/>
        </w:rPr>
        <w:t>There</w:t>
      </w:r>
      <w:r w:rsidR="001632E0" w:rsidRPr="009F0699">
        <w:rPr>
          <w:rFonts w:ascii="Times New Roman" w:hAnsi="Times New Roman" w:cs="Times New Roman"/>
          <w:color w:val="000000"/>
          <w:sz w:val="20"/>
          <w:szCs w:val="20"/>
        </w:rPr>
        <w:t xml:space="preserve"> was a significant difference regarding gender in both groups with statistically significant p value (0.011), </w:t>
      </w:r>
      <w:r w:rsidR="0033663A" w:rsidRPr="009F0699">
        <w:rPr>
          <w:rFonts w:ascii="Times New Roman" w:hAnsi="Times New Roman" w:cs="Times New Roman"/>
          <w:color w:val="000000"/>
          <w:sz w:val="20"/>
          <w:szCs w:val="20"/>
        </w:rPr>
        <w:t xml:space="preserve">with no significant difference regarding other </w:t>
      </w:r>
      <w:proofErr w:type="spellStart"/>
      <w:r w:rsidR="0033663A" w:rsidRPr="009F0699">
        <w:rPr>
          <w:rFonts w:ascii="Times New Roman" w:hAnsi="Times New Roman" w:cs="Times New Roman"/>
          <w:color w:val="000000"/>
          <w:sz w:val="20"/>
          <w:szCs w:val="20"/>
        </w:rPr>
        <w:t>atherogenic</w:t>
      </w:r>
      <w:proofErr w:type="spellEnd"/>
      <w:r w:rsidR="0033663A" w:rsidRPr="009F0699">
        <w:rPr>
          <w:rFonts w:ascii="Times New Roman" w:hAnsi="Times New Roman" w:cs="Times New Roman"/>
          <w:color w:val="000000"/>
          <w:sz w:val="20"/>
          <w:szCs w:val="20"/>
        </w:rPr>
        <w:t xml:space="preserve"> risk factors. </w:t>
      </w:r>
      <w:proofErr w:type="spellStart"/>
      <w:r w:rsidR="0033663A" w:rsidRPr="009F0699">
        <w:rPr>
          <w:rFonts w:ascii="Times New Roman" w:hAnsi="Times New Roman" w:cs="Times New Roman"/>
          <w:color w:val="000000"/>
          <w:sz w:val="20"/>
          <w:szCs w:val="20"/>
        </w:rPr>
        <w:t>Killip</w:t>
      </w:r>
      <w:proofErr w:type="spellEnd"/>
      <w:r w:rsidR="0033663A" w:rsidRPr="009F0699">
        <w:rPr>
          <w:rFonts w:ascii="Times New Roman" w:hAnsi="Times New Roman" w:cs="Times New Roman"/>
          <w:color w:val="000000"/>
          <w:sz w:val="20"/>
          <w:szCs w:val="20"/>
        </w:rPr>
        <w:t xml:space="preserve"> class III-IV designations were more common in NRF patients</w:t>
      </w:r>
      <w:r w:rsidR="00EA62F0" w:rsidRPr="009F0699">
        <w:rPr>
          <w:rFonts w:ascii="Times New Roman" w:eastAsia="Times New Roman" w:hAnsi="Times New Roman" w:cs="Times New Roman"/>
          <w:snapToGrid w:val="0"/>
          <w:color w:val="000000"/>
          <w:sz w:val="20"/>
          <w:szCs w:val="20"/>
          <w:lang w:eastAsia="ar-SA"/>
        </w:rPr>
        <w:t xml:space="preserve"> (</w:t>
      </w:r>
      <w:r w:rsidR="00EA62F0" w:rsidRPr="009F0699">
        <w:rPr>
          <w:rFonts w:ascii="Times New Roman" w:hAnsi="Times New Roman" w:cs="Times New Roman"/>
          <w:color w:val="000000"/>
          <w:sz w:val="20"/>
          <w:szCs w:val="20"/>
        </w:rPr>
        <w:t xml:space="preserve">P-value &lt;0.001). </w:t>
      </w:r>
      <w:r w:rsidR="00EA62F0" w:rsidRPr="009F0699">
        <w:rPr>
          <w:rFonts w:ascii="Times New Roman" w:hAnsi="Times New Roman" w:cs="Times New Roman"/>
          <w:color w:val="000000"/>
          <w:sz w:val="20"/>
          <w:szCs w:val="20"/>
          <w:lang w:val="en-GB"/>
        </w:rPr>
        <w:t>In this study, there is a significant difference between group A and group B regarding SBP (</w:t>
      </w:r>
      <w:r w:rsidR="00EA62F0" w:rsidRPr="009F0699">
        <w:rPr>
          <w:rFonts w:ascii="Times New Roman" w:hAnsi="Times New Roman" w:cs="Times New Roman"/>
          <w:color w:val="000000"/>
          <w:sz w:val="20"/>
          <w:szCs w:val="20"/>
        </w:rPr>
        <w:t>110.8 ± 18.7</w:t>
      </w:r>
      <w:r w:rsidR="00EA62F0" w:rsidRPr="009F0699">
        <w:rPr>
          <w:rFonts w:ascii="Times New Roman" w:hAnsi="Times New Roman" w:cs="Times New Roman"/>
          <w:color w:val="000000"/>
          <w:sz w:val="20"/>
          <w:szCs w:val="20"/>
          <w:lang w:val="en-GB"/>
        </w:rPr>
        <w:t xml:space="preserve">mmHg vs. </w:t>
      </w:r>
      <w:r w:rsidR="00EA62F0" w:rsidRPr="009F0699">
        <w:rPr>
          <w:rFonts w:ascii="Times New Roman" w:hAnsi="Times New Roman" w:cs="Times New Roman"/>
          <w:color w:val="000000"/>
          <w:sz w:val="20"/>
          <w:szCs w:val="20"/>
        </w:rPr>
        <w:t>95.9 ± 11.4</w:t>
      </w:r>
      <w:r w:rsidR="00EA62F0" w:rsidRPr="009F0699">
        <w:rPr>
          <w:rFonts w:ascii="Times New Roman" w:hAnsi="Times New Roman" w:cs="Times New Roman"/>
          <w:color w:val="000000"/>
          <w:sz w:val="20"/>
          <w:szCs w:val="20"/>
          <w:lang w:val="en-GB"/>
        </w:rPr>
        <w:t>mmHg respectively), and pulse rate (</w:t>
      </w:r>
      <w:r w:rsidR="00EA62F0" w:rsidRPr="009F0699">
        <w:rPr>
          <w:rFonts w:ascii="Times New Roman" w:hAnsi="Times New Roman" w:cs="Times New Roman"/>
          <w:color w:val="000000"/>
          <w:sz w:val="20"/>
          <w:szCs w:val="20"/>
        </w:rPr>
        <w:t>88.8 ± 17.5</w:t>
      </w:r>
      <w:proofErr w:type="spellStart"/>
      <w:r w:rsidR="00EA62F0" w:rsidRPr="009F0699">
        <w:rPr>
          <w:rFonts w:ascii="Times New Roman" w:hAnsi="Times New Roman" w:cs="Times New Roman"/>
          <w:color w:val="000000"/>
          <w:sz w:val="20"/>
          <w:szCs w:val="20"/>
          <w:lang w:val="en-GB"/>
        </w:rPr>
        <w:t>bpm</w:t>
      </w:r>
      <w:proofErr w:type="spellEnd"/>
      <w:r w:rsidR="00EA62F0" w:rsidRPr="009F0699">
        <w:rPr>
          <w:rFonts w:ascii="Times New Roman" w:hAnsi="Times New Roman" w:cs="Times New Roman"/>
          <w:color w:val="000000"/>
          <w:sz w:val="20"/>
          <w:szCs w:val="20"/>
          <w:lang w:val="en-GB"/>
        </w:rPr>
        <w:t xml:space="preserve"> vs. </w:t>
      </w:r>
      <w:r w:rsidR="00EA62F0" w:rsidRPr="009F0699">
        <w:rPr>
          <w:rFonts w:ascii="Times New Roman" w:hAnsi="Times New Roman" w:cs="Times New Roman"/>
          <w:color w:val="000000"/>
          <w:sz w:val="20"/>
          <w:szCs w:val="20"/>
        </w:rPr>
        <w:t>96.0 ± 17.8</w:t>
      </w:r>
      <w:r w:rsidR="00EA62F0" w:rsidRPr="009F0699">
        <w:rPr>
          <w:rFonts w:ascii="Times New Roman" w:hAnsi="Times New Roman" w:cs="Times New Roman"/>
          <w:color w:val="000000"/>
          <w:sz w:val="20"/>
          <w:szCs w:val="20"/>
          <w:lang w:val="en-GB"/>
        </w:rPr>
        <w:t xml:space="preserve"> </w:t>
      </w:r>
      <w:proofErr w:type="spellStart"/>
      <w:r w:rsidR="00EA62F0" w:rsidRPr="009F0699">
        <w:rPr>
          <w:rFonts w:ascii="Times New Roman" w:hAnsi="Times New Roman" w:cs="Times New Roman"/>
          <w:color w:val="000000"/>
          <w:sz w:val="20"/>
          <w:szCs w:val="20"/>
          <w:lang w:val="en-GB"/>
        </w:rPr>
        <w:t>bpm</w:t>
      </w:r>
      <w:proofErr w:type="spellEnd"/>
      <w:r w:rsidR="00EA62F0" w:rsidRPr="009F0699">
        <w:rPr>
          <w:rFonts w:ascii="Times New Roman" w:hAnsi="Times New Roman" w:cs="Times New Roman"/>
          <w:color w:val="000000"/>
          <w:sz w:val="20"/>
          <w:szCs w:val="20"/>
          <w:lang w:val="en-GB"/>
        </w:rPr>
        <w:t xml:space="preserve"> respectively), As regards the ECG, there was a significant difference between group A and B in the location of MI (anterior </w:t>
      </w:r>
      <w:r w:rsidR="00EA62F0" w:rsidRPr="009F0699">
        <w:rPr>
          <w:rFonts w:ascii="Times New Roman" w:hAnsi="Times New Roman" w:cs="Times New Roman"/>
          <w:color w:val="000000"/>
          <w:sz w:val="20"/>
          <w:szCs w:val="20"/>
        </w:rPr>
        <w:t>69.5</w:t>
      </w:r>
      <w:r w:rsidR="00EA62F0" w:rsidRPr="009F0699">
        <w:rPr>
          <w:rFonts w:ascii="Times New Roman" w:hAnsi="Times New Roman" w:cs="Times New Roman"/>
          <w:color w:val="000000"/>
          <w:sz w:val="20"/>
          <w:szCs w:val="20"/>
          <w:lang w:val="en-GB"/>
        </w:rPr>
        <w:t xml:space="preserve">% vs. </w:t>
      </w:r>
      <w:r w:rsidR="00EA62F0" w:rsidRPr="009F0699">
        <w:rPr>
          <w:rFonts w:ascii="Times New Roman" w:hAnsi="Times New Roman" w:cs="Times New Roman"/>
          <w:color w:val="000000"/>
          <w:sz w:val="20"/>
          <w:szCs w:val="20"/>
        </w:rPr>
        <w:t>30.5</w:t>
      </w:r>
      <w:r w:rsidR="00EA62F0" w:rsidRPr="009F0699">
        <w:rPr>
          <w:rFonts w:ascii="Times New Roman" w:hAnsi="Times New Roman" w:cs="Times New Roman"/>
          <w:color w:val="000000"/>
          <w:sz w:val="20"/>
          <w:szCs w:val="20"/>
          <w:lang w:val="en-GB"/>
        </w:rPr>
        <w:t xml:space="preserve">%, non-anterior, </w:t>
      </w:r>
      <w:r w:rsidR="00EA62F0" w:rsidRPr="009F0699">
        <w:rPr>
          <w:rFonts w:ascii="Times New Roman" w:hAnsi="Times New Roman" w:cs="Times New Roman"/>
          <w:color w:val="000000"/>
          <w:sz w:val="20"/>
          <w:szCs w:val="20"/>
        </w:rPr>
        <w:t>88.6</w:t>
      </w:r>
      <w:r w:rsidR="00EA62F0" w:rsidRPr="009F0699">
        <w:rPr>
          <w:rFonts w:ascii="Times New Roman" w:hAnsi="Times New Roman" w:cs="Times New Roman"/>
          <w:color w:val="000000"/>
          <w:sz w:val="20"/>
          <w:szCs w:val="20"/>
          <w:lang w:val="en-GB"/>
        </w:rPr>
        <w:t xml:space="preserve">% vs. </w:t>
      </w:r>
      <w:r w:rsidR="00EA62F0" w:rsidRPr="009F0699">
        <w:rPr>
          <w:rFonts w:ascii="Times New Roman" w:hAnsi="Times New Roman" w:cs="Times New Roman"/>
          <w:color w:val="000000"/>
          <w:sz w:val="20"/>
          <w:szCs w:val="20"/>
        </w:rPr>
        <w:t>11.4</w:t>
      </w:r>
      <w:r w:rsidR="00EA62F0" w:rsidRPr="009F0699">
        <w:rPr>
          <w:rFonts w:ascii="Times New Roman" w:hAnsi="Times New Roman" w:cs="Times New Roman"/>
          <w:color w:val="000000"/>
          <w:sz w:val="20"/>
          <w:szCs w:val="20"/>
          <w:lang w:val="en-GB"/>
        </w:rPr>
        <w:t xml:space="preserve">% </w:t>
      </w:r>
      <w:r w:rsidR="00EA62F0" w:rsidRPr="009F0699">
        <w:rPr>
          <w:rFonts w:ascii="Times New Roman" w:hAnsi="Times New Roman" w:cs="Times New Roman"/>
          <w:color w:val="000000"/>
          <w:sz w:val="20"/>
          <w:szCs w:val="20"/>
          <w:lang w:val="en-GB"/>
        </w:rPr>
        <w:lastRenderedPageBreak/>
        <w:t>respectively).</w:t>
      </w:r>
      <w:r w:rsidR="00EA62F0" w:rsidRPr="009F0699">
        <w:rPr>
          <w:rFonts w:ascii="Times New Roman" w:eastAsia="Calibri" w:hAnsi="Times New Roman" w:cs="Times New Roman"/>
          <w:sz w:val="20"/>
          <w:szCs w:val="20"/>
        </w:rPr>
        <w:t xml:space="preserve"> </w:t>
      </w:r>
      <w:r w:rsidR="00EA62F0" w:rsidRPr="009F0699">
        <w:rPr>
          <w:rFonts w:ascii="Times New Roman" w:hAnsi="Times New Roman" w:cs="Times New Roman"/>
          <w:color w:val="000000"/>
          <w:sz w:val="20"/>
          <w:szCs w:val="20"/>
        </w:rPr>
        <w:t xml:space="preserve">In </w:t>
      </w:r>
      <w:r w:rsidR="003F626C" w:rsidRPr="009F0699">
        <w:rPr>
          <w:rFonts w:ascii="Times New Roman" w:hAnsi="Times New Roman" w:cs="Times New Roman"/>
          <w:color w:val="000000"/>
          <w:sz w:val="20"/>
          <w:szCs w:val="20"/>
        </w:rPr>
        <w:t>our</w:t>
      </w:r>
      <w:r w:rsidR="00EA62F0" w:rsidRPr="009F0699">
        <w:rPr>
          <w:rFonts w:ascii="Times New Roman" w:hAnsi="Times New Roman" w:cs="Times New Roman"/>
          <w:color w:val="000000"/>
          <w:sz w:val="20"/>
          <w:szCs w:val="20"/>
        </w:rPr>
        <w:t xml:space="preserve"> study, the time from onset of symptoms to presentation was relatively longer in group B than in group A (mean 4.5 ± 2.5hours vs. 5.0 ± 2.4hours) but with no significant P value 0.072.</w:t>
      </w:r>
    </w:p>
    <w:p w:rsidR="00EA62F0" w:rsidRPr="009F0699" w:rsidRDefault="003F626C" w:rsidP="00D009F8">
      <w:pPr>
        <w:pStyle w:val="ListParagraph"/>
        <w:snapToGrid w:val="0"/>
        <w:spacing w:after="0" w:line="240" w:lineRule="auto"/>
        <w:ind w:left="0" w:firstLine="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In this</w:t>
      </w:r>
      <w:r w:rsidR="00EA62F0" w:rsidRPr="009F0699">
        <w:rPr>
          <w:rFonts w:ascii="Times New Roman" w:hAnsi="Times New Roman" w:cs="Times New Roman"/>
          <w:color w:val="000000"/>
          <w:sz w:val="20"/>
          <w:szCs w:val="20"/>
        </w:rPr>
        <w:t xml:space="preserve"> study</w:t>
      </w:r>
      <w:r w:rsidRPr="009F0699">
        <w:rPr>
          <w:rFonts w:ascii="Times New Roman" w:hAnsi="Times New Roman" w:cs="Times New Roman"/>
          <w:color w:val="000000"/>
          <w:sz w:val="20"/>
          <w:szCs w:val="20"/>
        </w:rPr>
        <w:t>,</w:t>
      </w:r>
      <w:r w:rsidR="00EA62F0" w:rsidRPr="009F0699">
        <w:rPr>
          <w:rFonts w:ascii="Times New Roman" w:hAnsi="Times New Roman" w:cs="Times New Roman"/>
          <w:color w:val="000000"/>
          <w:sz w:val="20"/>
          <w:szCs w:val="20"/>
        </w:rPr>
        <w:t xml:space="preserve"> we showed that increased TIMI risk index (TRI), TIMI risk score (TRS), and GRACE score (GRS) on admission were significantly associated with the development of angiographic no reflow phenomenon, Moreover, </w:t>
      </w:r>
      <w:proofErr w:type="spellStart"/>
      <w:r w:rsidR="00EA62F0" w:rsidRPr="009F0699">
        <w:rPr>
          <w:rFonts w:ascii="Times New Roman" w:hAnsi="Times New Roman" w:cs="Times New Roman"/>
          <w:color w:val="000000"/>
          <w:sz w:val="20"/>
          <w:szCs w:val="20"/>
        </w:rPr>
        <w:t>MACEs</w:t>
      </w:r>
      <w:proofErr w:type="spellEnd"/>
      <w:r w:rsidR="00EA62F0" w:rsidRPr="009F0699">
        <w:rPr>
          <w:rFonts w:ascii="Times New Roman" w:hAnsi="Times New Roman" w:cs="Times New Roman"/>
          <w:color w:val="000000"/>
          <w:sz w:val="20"/>
          <w:szCs w:val="20"/>
        </w:rPr>
        <w:t>, and increase in hospital duration.</w:t>
      </w:r>
    </w:p>
    <w:p w:rsidR="002D6A32" w:rsidRPr="009F0699" w:rsidRDefault="00EA62F0" w:rsidP="00D009F8">
      <w:pPr>
        <w:pStyle w:val="ListParagraph"/>
        <w:snapToGrid w:val="0"/>
        <w:spacing w:after="0" w:line="240" w:lineRule="auto"/>
        <w:ind w:left="0" w:firstLine="425"/>
        <w:jc w:val="both"/>
        <w:rPr>
          <w:rFonts w:ascii="Times New Roman" w:hAnsi="Times New Roman" w:cs="Times New Roman"/>
          <w:color w:val="000000"/>
          <w:sz w:val="20"/>
          <w:szCs w:val="20"/>
          <w:lang w:val="en-GB" w:eastAsia="zh-CN"/>
        </w:rPr>
      </w:pPr>
      <w:r w:rsidRPr="009F0699">
        <w:rPr>
          <w:rFonts w:ascii="Times New Roman" w:hAnsi="Times New Roman" w:cs="Times New Roman"/>
          <w:color w:val="000000"/>
          <w:sz w:val="20"/>
          <w:szCs w:val="20"/>
        </w:rPr>
        <w:t>The mean results of TIMI risk score, GRACE score, and TIMI risk index are higher in group B (6.4 ± 2.5, 131.3 ± 23.2, 40 ± 15.0 respectively) than in group A (4.1 ± 2.6, 113.6 ± 23.9, 26.8 ± 12.7 respectively). There was statistically significant difference between the two groups with the P value &lt; 0.001.</w:t>
      </w:r>
      <w:r w:rsidR="0026510F" w:rsidRPr="009F0699">
        <w:rPr>
          <w:rFonts w:ascii="Times New Roman" w:eastAsia="Times New Roman" w:hAnsi="Times New Roman" w:cs="Times New Roman"/>
          <w:sz w:val="20"/>
          <w:szCs w:val="20"/>
        </w:rPr>
        <w:t xml:space="preserve"> </w:t>
      </w:r>
      <w:r w:rsidR="0026510F" w:rsidRPr="009F0699">
        <w:rPr>
          <w:rFonts w:ascii="Times New Roman" w:hAnsi="Times New Roman" w:cs="Times New Roman"/>
          <w:color w:val="000000"/>
          <w:sz w:val="20"/>
          <w:szCs w:val="20"/>
        </w:rPr>
        <w:t xml:space="preserve">In </w:t>
      </w:r>
      <w:r w:rsidR="003F626C" w:rsidRPr="009F0699">
        <w:rPr>
          <w:rFonts w:ascii="Times New Roman" w:hAnsi="Times New Roman" w:cs="Times New Roman"/>
          <w:color w:val="000000"/>
          <w:sz w:val="20"/>
          <w:szCs w:val="20"/>
        </w:rPr>
        <w:t>our</w:t>
      </w:r>
      <w:r w:rsidR="0026510F" w:rsidRPr="009F0699">
        <w:rPr>
          <w:rFonts w:ascii="Times New Roman" w:hAnsi="Times New Roman" w:cs="Times New Roman"/>
          <w:color w:val="000000"/>
          <w:sz w:val="20"/>
          <w:szCs w:val="20"/>
        </w:rPr>
        <w:t xml:space="preserve"> study, </w:t>
      </w:r>
      <w:r w:rsidR="0026510F" w:rsidRPr="009F0699">
        <w:rPr>
          <w:rFonts w:ascii="Times New Roman" w:hAnsi="Times New Roman" w:cs="Times New Roman"/>
          <w:color w:val="000000"/>
          <w:sz w:val="20"/>
          <w:szCs w:val="20"/>
          <w:lang w:val="en-GB"/>
        </w:rPr>
        <w:t>there was a significant difference between groups A and B regarding IRA (</w:t>
      </w:r>
      <w:r w:rsidR="0026510F" w:rsidRPr="009F0699">
        <w:rPr>
          <w:rFonts w:ascii="Times New Roman" w:hAnsi="Times New Roman" w:cs="Times New Roman"/>
          <w:b/>
          <w:bCs/>
          <w:color w:val="000000"/>
          <w:sz w:val="20"/>
          <w:szCs w:val="20"/>
          <w:lang w:val="en-GB"/>
        </w:rPr>
        <w:t>LAD</w:t>
      </w:r>
      <w:r w:rsidR="0026510F" w:rsidRPr="009F0699">
        <w:rPr>
          <w:rFonts w:ascii="Times New Roman" w:hAnsi="Times New Roman" w:cs="Times New Roman"/>
          <w:color w:val="000000"/>
          <w:sz w:val="20"/>
          <w:szCs w:val="20"/>
        </w:rPr>
        <w:t xml:space="preserve"> 69.1</w:t>
      </w:r>
      <w:r w:rsidR="0026510F" w:rsidRPr="009F0699">
        <w:rPr>
          <w:rFonts w:ascii="Times New Roman" w:hAnsi="Times New Roman" w:cs="Times New Roman"/>
          <w:color w:val="000000"/>
          <w:sz w:val="20"/>
          <w:szCs w:val="20"/>
          <w:lang w:val="en-GB"/>
        </w:rPr>
        <w:t xml:space="preserve">% vs. </w:t>
      </w:r>
      <w:r w:rsidR="0026510F" w:rsidRPr="009F0699">
        <w:rPr>
          <w:rFonts w:ascii="Times New Roman" w:hAnsi="Times New Roman" w:cs="Times New Roman"/>
          <w:color w:val="000000"/>
          <w:sz w:val="20"/>
          <w:szCs w:val="20"/>
        </w:rPr>
        <w:t>84.3</w:t>
      </w:r>
      <w:r w:rsidR="0026510F" w:rsidRPr="009F0699">
        <w:rPr>
          <w:rFonts w:ascii="Times New Roman" w:hAnsi="Times New Roman" w:cs="Times New Roman"/>
          <w:color w:val="000000"/>
          <w:sz w:val="20"/>
          <w:szCs w:val="20"/>
          <w:lang w:val="en-GB"/>
        </w:rPr>
        <w:t xml:space="preserve">%, </w:t>
      </w:r>
      <w:r w:rsidR="0026510F" w:rsidRPr="009F0699">
        <w:rPr>
          <w:rFonts w:ascii="Times New Roman" w:hAnsi="Times New Roman" w:cs="Times New Roman"/>
          <w:b/>
          <w:bCs/>
          <w:color w:val="000000"/>
          <w:sz w:val="20"/>
          <w:szCs w:val="20"/>
          <w:lang w:val="en-GB"/>
        </w:rPr>
        <w:t xml:space="preserve">LCX </w:t>
      </w:r>
      <w:r w:rsidR="0026510F" w:rsidRPr="009F0699">
        <w:rPr>
          <w:rFonts w:ascii="Times New Roman" w:hAnsi="Times New Roman" w:cs="Times New Roman"/>
          <w:color w:val="000000"/>
          <w:sz w:val="20"/>
          <w:szCs w:val="20"/>
        </w:rPr>
        <w:t>9.6</w:t>
      </w:r>
      <w:r w:rsidR="0026510F" w:rsidRPr="009F0699">
        <w:rPr>
          <w:rFonts w:ascii="Times New Roman" w:hAnsi="Times New Roman" w:cs="Times New Roman"/>
          <w:color w:val="000000"/>
          <w:sz w:val="20"/>
          <w:szCs w:val="20"/>
          <w:lang w:val="en-GB"/>
        </w:rPr>
        <w:t xml:space="preserve">% vs. </w:t>
      </w:r>
      <w:r w:rsidR="0026510F" w:rsidRPr="009F0699">
        <w:rPr>
          <w:rFonts w:ascii="Times New Roman" w:hAnsi="Times New Roman" w:cs="Times New Roman"/>
          <w:color w:val="000000"/>
          <w:sz w:val="20"/>
          <w:szCs w:val="20"/>
        </w:rPr>
        <w:t>4.2</w:t>
      </w:r>
      <w:r w:rsidR="0026510F" w:rsidRPr="009F0699">
        <w:rPr>
          <w:rFonts w:ascii="Times New Roman" w:hAnsi="Times New Roman" w:cs="Times New Roman"/>
          <w:color w:val="000000"/>
          <w:sz w:val="20"/>
          <w:szCs w:val="20"/>
          <w:lang w:val="en-GB"/>
        </w:rPr>
        <w:t>%, and</w:t>
      </w:r>
      <w:r w:rsidR="0026510F" w:rsidRPr="009F0699">
        <w:rPr>
          <w:rFonts w:ascii="Times New Roman" w:hAnsi="Times New Roman" w:cs="Times New Roman"/>
          <w:b/>
          <w:bCs/>
          <w:color w:val="000000"/>
          <w:sz w:val="20"/>
          <w:szCs w:val="20"/>
          <w:lang w:val="en-GB"/>
        </w:rPr>
        <w:t xml:space="preserve"> RCA </w:t>
      </w:r>
      <w:r w:rsidR="0026510F" w:rsidRPr="009F0699">
        <w:rPr>
          <w:rFonts w:ascii="Times New Roman" w:hAnsi="Times New Roman" w:cs="Times New Roman"/>
          <w:color w:val="000000"/>
          <w:sz w:val="20"/>
          <w:szCs w:val="20"/>
        </w:rPr>
        <w:t>21.3</w:t>
      </w:r>
      <w:r w:rsidR="0026510F" w:rsidRPr="009F0699">
        <w:rPr>
          <w:rFonts w:ascii="Times New Roman" w:hAnsi="Times New Roman" w:cs="Times New Roman"/>
          <w:color w:val="000000"/>
          <w:sz w:val="20"/>
          <w:szCs w:val="20"/>
          <w:lang w:val="en-GB"/>
        </w:rPr>
        <w:t xml:space="preserve">% vs. </w:t>
      </w:r>
      <w:r w:rsidR="0026510F" w:rsidRPr="009F0699">
        <w:rPr>
          <w:rFonts w:ascii="Times New Roman" w:hAnsi="Times New Roman" w:cs="Times New Roman"/>
          <w:color w:val="000000"/>
          <w:sz w:val="20"/>
          <w:szCs w:val="20"/>
        </w:rPr>
        <w:t>11.4</w:t>
      </w:r>
      <w:r w:rsidR="0026510F" w:rsidRPr="009F0699">
        <w:rPr>
          <w:rFonts w:ascii="Times New Roman" w:hAnsi="Times New Roman" w:cs="Times New Roman"/>
          <w:color w:val="000000"/>
          <w:sz w:val="20"/>
          <w:szCs w:val="20"/>
          <w:lang w:val="en-GB"/>
        </w:rPr>
        <w:t>% respectively). No significant difference was present between the two groups regarding the number of vessels occluded.</w:t>
      </w:r>
      <w:r w:rsidR="0026510F" w:rsidRPr="009F0699">
        <w:rPr>
          <w:rFonts w:ascii="Times New Roman" w:eastAsia="Times New Roman" w:hAnsi="Times New Roman" w:cs="Times New Roman"/>
          <w:sz w:val="20"/>
          <w:szCs w:val="20"/>
        </w:rPr>
        <w:t xml:space="preserve"> </w:t>
      </w:r>
      <w:r w:rsidR="0026510F" w:rsidRPr="009F0699">
        <w:rPr>
          <w:rFonts w:ascii="Times New Roman" w:hAnsi="Times New Roman" w:cs="Times New Roman"/>
          <w:color w:val="000000"/>
          <w:sz w:val="20"/>
          <w:szCs w:val="20"/>
        </w:rPr>
        <w:t xml:space="preserve">In this study, in-hospital MACE, In-hospital mortality, </w:t>
      </w:r>
      <w:proofErr w:type="spellStart"/>
      <w:r w:rsidR="0026510F" w:rsidRPr="009F0699">
        <w:rPr>
          <w:rFonts w:ascii="Times New Roman" w:hAnsi="Times New Roman" w:cs="Times New Roman"/>
          <w:color w:val="000000"/>
          <w:sz w:val="20"/>
          <w:szCs w:val="20"/>
        </w:rPr>
        <w:t>cardiogenic</w:t>
      </w:r>
      <w:proofErr w:type="spellEnd"/>
      <w:r w:rsidR="0026510F" w:rsidRPr="009F0699">
        <w:rPr>
          <w:rFonts w:ascii="Times New Roman" w:hAnsi="Times New Roman" w:cs="Times New Roman"/>
          <w:color w:val="000000"/>
          <w:sz w:val="20"/>
          <w:szCs w:val="20"/>
        </w:rPr>
        <w:t xml:space="preserve"> shock, severe ventricular arrhythmia, and cardiopulmonary </w:t>
      </w:r>
      <w:r w:rsidR="0026510F" w:rsidRPr="009F0699">
        <w:rPr>
          <w:rFonts w:ascii="Times New Roman" w:hAnsi="Times New Roman" w:cs="Times New Roman"/>
          <w:color w:val="000000"/>
          <w:sz w:val="20"/>
          <w:szCs w:val="20"/>
        </w:rPr>
        <w:lastRenderedPageBreak/>
        <w:t>resuscitat</w:t>
      </w:r>
      <w:r w:rsidR="003F626C" w:rsidRPr="009F0699">
        <w:rPr>
          <w:rFonts w:ascii="Times New Roman" w:hAnsi="Times New Roman" w:cs="Times New Roman"/>
          <w:color w:val="000000"/>
          <w:sz w:val="20"/>
          <w:szCs w:val="20"/>
        </w:rPr>
        <w:t>ions were more common in the no-</w:t>
      </w:r>
      <w:r w:rsidR="0026510F" w:rsidRPr="009F0699">
        <w:rPr>
          <w:rFonts w:ascii="Times New Roman" w:hAnsi="Times New Roman" w:cs="Times New Roman"/>
          <w:color w:val="000000"/>
          <w:sz w:val="20"/>
          <w:szCs w:val="20"/>
        </w:rPr>
        <w:t>reflow group; cardiac mortality occurred in 1.2% in reflow group vs. 8.6% in no reflow group,</w:t>
      </w:r>
      <w:r w:rsidR="0026510F" w:rsidRPr="009F0699">
        <w:rPr>
          <w:rFonts w:ascii="Times New Roman" w:hAnsi="Times New Roman" w:cs="Times New Roman" w:hint="cs"/>
          <w:color w:val="000000"/>
          <w:sz w:val="20"/>
          <w:szCs w:val="20"/>
          <w:lang w:val="en-GB"/>
        </w:rPr>
        <w:t xml:space="preserve"> </w:t>
      </w:r>
      <w:r w:rsidR="0026510F" w:rsidRPr="009F0699">
        <w:rPr>
          <w:rFonts w:ascii="Times New Roman" w:hAnsi="Times New Roman" w:cs="Times New Roman"/>
          <w:color w:val="000000"/>
          <w:sz w:val="20"/>
          <w:szCs w:val="20"/>
        </w:rPr>
        <w:t xml:space="preserve">in reflow group 4.8% patients developed pulmonary edema vs. 18.6% in no reflow group. 0.4% of patients developed </w:t>
      </w:r>
      <w:proofErr w:type="spellStart"/>
      <w:r w:rsidR="0026510F" w:rsidRPr="009F0699">
        <w:rPr>
          <w:rFonts w:ascii="Times New Roman" w:hAnsi="Times New Roman" w:cs="Times New Roman"/>
          <w:color w:val="000000"/>
          <w:sz w:val="20"/>
          <w:szCs w:val="20"/>
        </w:rPr>
        <w:t>cardiogenic</w:t>
      </w:r>
      <w:proofErr w:type="spellEnd"/>
      <w:r w:rsidR="0026510F" w:rsidRPr="009F0699">
        <w:rPr>
          <w:rFonts w:ascii="Times New Roman" w:hAnsi="Times New Roman" w:cs="Times New Roman"/>
          <w:color w:val="000000"/>
          <w:sz w:val="20"/>
          <w:szCs w:val="20"/>
        </w:rPr>
        <w:t xml:space="preserve"> shock in group </w:t>
      </w:r>
      <w:r w:rsidR="0026510F" w:rsidRPr="009F0699">
        <w:rPr>
          <w:rFonts w:ascii="Times New Roman" w:hAnsi="Times New Roman" w:cs="Times New Roman"/>
          <w:b/>
          <w:bCs/>
          <w:color w:val="000000"/>
          <w:sz w:val="20"/>
          <w:szCs w:val="20"/>
        </w:rPr>
        <w:t>A</w:t>
      </w:r>
      <w:r w:rsidR="0026510F" w:rsidRPr="009F0699">
        <w:rPr>
          <w:rFonts w:ascii="Times New Roman" w:hAnsi="Times New Roman" w:cs="Times New Roman"/>
          <w:color w:val="000000"/>
          <w:sz w:val="20"/>
          <w:szCs w:val="20"/>
        </w:rPr>
        <w:t xml:space="preserve"> (reflow group), vs. 17.1% of patients in group B (no reflow group). 3.2% of patients developed complete AV block in group A (reflow group), vs. 8.6% of patients in group B (no reflow group)</w:t>
      </w:r>
      <w:r w:rsidR="00CC3693" w:rsidRPr="009F0699">
        <w:rPr>
          <w:rFonts w:ascii="Times New Roman" w:hAnsi="Times New Roman" w:cs="Times New Roman"/>
          <w:color w:val="000000"/>
          <w:sz w:val="20"/>
          <w:szCs w:val="20"/>
        </w:rPr>
        <w:t>,</w:t>
      </w:r>
      <w:r w:rsidR="0026510F" w:rsidRPr="009F0699">
        <w:rPr>
          <w:rFonts w:ascii="Times New Roman" w:hAnsi="Times New Roman" w:cs="Times New Roman"/>
          <w:color w:val="000000"/>
          <w:sz w:val="20"/>
          <w:szCs w:val="20"/>
        </w:rPr>
        <w:t xml:space="preserve"> In group A 3.6% patients had CPR at hospital stay, while in group B</w:t>
      </w:r>
      <w:r w:rsidR="003F626C" w:rsidRPr="009F0699">
        <w:rPr>
          <w:rFonts w:ascii="Times New Roman" w:hAnsi="Times New Roman" w:cs="Times New Roman"/>
          <w:color w:val="000000"/>
          <w:sz w:val="20"/>
          <w:szCs w:val="20"/>
        </w:rPr>
        <w:t>,</w:t>
      </w:r>
      <w:r w:rsidR="0026510F" w:rsidRPr="009F0699">
        <w:rPr>
          <w:rFonts w:ascii="Times New Roman" w:hAnsi="Times New Roman" w:cs="Times New Roman"/>
          <w:color w:val="000000"/>
          <w:sz w:val="20"/>
          <w:szCs w:val="20"/>
        </w:rPr>
        <w:t xml:space="preserve"> 10% of patients had cardiopulmonary</w:t>
      </w:r>
      <w:r w:rsidR="0026510F" w:rsidRPr="009F0699">
        <w:rPr>
          <w:rFonts w:ascii="Times New Roman" w:hAnsi="Times New Roman" w:cs="Times New Roman" w:hint="cs"/>
          <w:color w:val="000000"/>
          <w:sz w:val="20"/>
          <w:szCs w:val="20"/>
          <w:lang w:val="en-GB"/>
        </w:rPr>
        <w:t xml:space="preserve"> </w:t>
      </w:r>
      <w:r w:rsidR="0026510F" w:rsidRPr="009F0699">
        <w:rPr>
          <w:rFonts w:ascii="Times New Roman" w:hAnsi="Times New Roman" w:cs="Times New Roman"/>
          <w:color w:val="000000"/>
          <w:sz w:val="20"/>
          <w:szCs w:val="20"/>
        </w:rPr>
        <w:t xml:space="preserve">resuscitation. </w:t>
      </w:r>
      <w:r w:rsidR="0026510F" w:rsidRPr="009F0699">
        <w:rPr>
          <w:rFonts w:ascii="Times New Roman" w:hAnsi="Times New Roman" w:cs="Times New Roman"/>
          <w:color w:val="000000"/>
          <w:sz w:val="20"/>
          <w:szCs w:val="20"/>
          <w:lang w:val="en-GB"/>
        </w:rPr>
        <w:t xml:space="preserve">TRI significantly related to in-hospital </w:t>
      </w:r>
      <w:proofErr w:type="spellStart"/>
      <w:r w:rsidR="0026510F" w:rsidRPr="009F0699">
        <w:rPr>
          <w:rFonts w:ascii="Times New Roman" w:hAnsi="Times New Roman" w:cs="Times New Roman"/>
          <w:color w:val="000000"/>
          <w:sz w:val="20"/>
          <w:szCs w:val="20"/>
          <w:lang w:val="en-GB"/>
        </w:rPr>
        <w:t>MACEs</w:t>
      </w:r>
      <w:proofErr w:type="spellEnd"/>
      <w:r w:rsidR="0026510F" w:rsidRPr="009F0699">
        <w:rPr>
          <w:rFonts w:ascii="Times New Roman" w:hAnsi="Times New Roman" w:cs="Times New Roman"/>
          <w:color w:val="000000"/>
          <w:sz w:val="20"/>
          <w:szCs w:val="20"/>
          <w:lang w:val="en-GB"/>
        </w:rPr>
        <w:t xml:space="preserve"> and in-hospital mortality. TRI uses simple and inexpensive methods for evaluating patients with STEMI. In addition, high TRI may be helpful in identifying high-risk patients and determining appropriate treatment strategies. TRI can be</w:t>
      </w:r>
      <w:r w:rsidR="009E750D" w:rsidRPr="009F0699">
        <w:rPr>
          <w:rFonts w:ascii="Times New Roman" w:hAnsi="Times New Roman" w:cs="Times New Roman"/>
          <w:color w:val="000000"/>
          <w:sz w:val="20"/>
          <w:szCs w:val="20"/>
          <w:lang w:val="en-GB"/>
        </w:rPr>
        <w:t xml:space="preserve"> </w:t>
      </w:r>
      <w:r w:rsidR="0026510F" w:rsidRPr="009F0699">
        <w:rPr>
          <w:rFonts w:ascii="Times New Roman" w:hAnsi="Times New Roman" w:cs="Times New Roman"/>
          <w:color w:val="000000"/>
          <w:sz w:val="20"/>
          <w:szCs w:val="20"/>
          <w:lang w:val="en-GB"/>
        </w:rPr>
        <w:t>readily calculated at point of care, thereby facilitating short- and long-term risk prediction for STEMI patients</w:t>
      </w:r>
      <w:r w:rsidR="009E750D" w:rsidRPr="009F0699">
        <w:rPr>
          <w:rFonts w:ascii="Times New Roman" w:hAnsi="Times New Roman" w:cs="Times New Roman"/>
          <w:color w:val="000000"/>
          <w:sz w:val="20"/>
          <w:szCs w:val="20"/>
          <w:lang w:val="en-GB"/>
        </w:rPr>
        <w:t xml:space="preserve">, </w:t>
      </w:r>
      <w:r w:rsidR="0026510F" w:rsidRPr="009F0699">
        <w:rPr>
          <w:rFonts w:ascii="Times New Roman" w:hAnsi="Times New Roman" w:cs="Times New Roman"/>
          <w:color w:val="000000"/>
          <w:sz w:val="20"/>
          <w:szCs w:val="20"/>
          <w:lang w:val="en-GB"/>
        </w:rPr>
        <w:t>even prior to revascularization</w:t>
      </w:r>
      <w:r w:rsidR="002D6A32" w:rsidRPr="009F0699">
        <w:rPr>
          <w:rFonts w:ascii="Times New Roman" w:hAnsi="Times New Roman" w:cs="Times New Roman"/>
          <w:color w:val="000000"/>
          <w:sz w:val="20"/>
          <w:szCs w:val="20"/>
          <w:lang w:val="en-GB"/>
        </w:rPr>
        <w:t>.</w:t>
      </w:r>
    </w:p>
    <w:p w:rsidR="00D009F8" w:rsidRPr="009F0699" w:rsidRDefault="00D009F8" w:rsidP="00D009F8">
      <w:pPr>
        <w:pStyle w:val="ListParagraph"/>
        <w:snapToGrid w:val="0"/>
        <w:spacing w:after="0" w:line="240" w:lineRule="auto"/>
        <w:ind w:left="0" w:firstLine="425"/>
        <w:jc w:val="both"/>
        <w:rPr>
          <w:rFonts w:ascii="Times New Roman" w:hAnsi="Times New Roman" w:cs="Times New Roman"/>
          <w:color w:val="000000"/>
          <w:sz w:val="20"/>
          <w:szCs w:val="20"/>
          <w:lang w:val="en-GB" w:eastAsia="zh-CN"/>
        </w:rPr>
      </w:pPr>
    </w:p>
    <w:p w:rsidR="00C11736" w:rsidRPr="009F0699" w:rsidRDefault="00C11736" w:rsidP="00D009F8">
      <w:pPr>
        <w:pStyle w:val="ListParagraph"/>
        <w:snapToGrid w:val="0"/>
        <w:spacing w:after="0" w:line="240" w:lineRule="auto"/>
        <w:ind w:left="0"/>
        <w:jc w:val="both"/>
        <w:rPr>
          <w:rFonts w:ascii="Times New Roman" w:hAnsi="Times New Roman" w:cs="Times New Roman"/>
          <w:b/>
          <w:bCs/>
          <w:color w:val="000000"/>
          <w:sz w:val="20"/>
          <w:szCs w:val="20"/>
        </w:rPr>
      </w:pPr>
      <w:r w:rsidRPr="009F0699">
        <w:rPr>
          <w:rFonts w:ascii="Times New Roman" w:hAnsi="Times New Roman" w:cs="Times New Roman"/>
          <w:b/>
          <w:bCs/>
          <w:color w:val="000000"/>
          <w:sz w:val="20"/>
          <w:szCs w:val="20"/>
        </w:rPr>
        <w:t>4. Discussion</w:t>
      </w:r>
    </w:p>
    <w:p w:rsidR="00C11736" w:rsidRPr="009F0699" w:rsidRDefault="00C11736" w:rsidP="00D009F8">
      <w:pPr>
        <w:pStyle w:val="ListParagraph"/>
        <w:snapToGrid w:val="0"/>
        <w:spacing w:after="0" w:line="240" w:lineRule="auto"/>
        <w:ind w:left="0" w:firstLine="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In the present study w</w:t>
      </w:r>
      <w:r w:rsidR="00BB2D34" w:rsidRPr="009F0699">
        <w:rPr>
          <w:rFonts w:ascii="Times New Roman" w:hAnsi="Times New Roman" w:cs="Times New Roman"/>
          <w:color w:val="000000"/>
          <w:sz w:val="20"/>
          <w:szCs w:val="20"/>
        </w:rPr>
        <w:t>e showed that increased TRI, TR,</w:t>
      </w:r>
      <w:r w:rsidRPr="009F0699">
        <w:rPr>
          <w:rFonts w:ascii="Times New Roman" w:hAnsi="Times New Roman" w:cs="Times New Roman"/>
          <w:color w:val="000000"/>
          <w:sz w:val="20"/>
          <w:szCs w:val="20"/>
        </w:rPr>
        <w:t xml:space="preserve"> and GRS on admission were significantly associated with the development of angiographic NRF phenomenon in patients w</w:t>
      </w:r>
      <w:r w:rsidR="00BB2D34" w:rsidRPr="009F0699">
        <w:rPr>
          <w:rFonts w:ascii="Times New Roman" w:hAnsi="Times New Roman" w:cs="Times New Roman"/>
          <w:color w:val="000000"/>
          <w:sz w:val="20"/>
          <w:szCs w:val="20"/>
        </w:rPr>
        <w:t xml:space="preserve">ith acute STEMI who underwent p </w:t>
      </w:r>
      <w:r w:rsidRPr="009F0699">
        <w:rPr>
          <w:rFonts w:ascii="Times New Roman" w:hAnsi="Times New Roman" w:cs="Times New Roman"/>
          <w:color w:val="000000"/>
          <w:sz w:val="20"/>
          <w:szCs w:val="20"/>
        </w:rPr>
        <w:t>PCI</w:t>
      </w:r>
      <w:r w:rsidR="00D009F8" w:rsidRPr="009F0699">
        <w:rPr>
          <w:rFonts w:ascii="Times New Roman" w:hAnsi="Times New Roman" w:cs="Times New Roman"/>
          <w:color w:val="000000"/>
          <w:sz w:val="20"/>
          <w:szCs w:val="20"/>
          <w:lang w:val="en-GB" w:bidi="ar-EG"/>
        </w:rPr>
        <w:t xml:space="preserve">. </w:t>
      </w:r>
      <w:r w:rsidR="00D009F8" w:rsidRPr="009F0699">
        <w:rPr>
          <w:rFonts w:ascii="Times New Roman" w:hAnsi="Times New Roman" w:cs="Times New Roman"/>
          <w:color w:val="000000"/>
          <w:sz w:val="20"/>
          <w:szCs w:val="20"/>
        </w:rPr>
        <w:t>M</w:t>
      </w:r>
      <w:r w:rsidRPr="009F0699">
        <w:rPr>
          <w:rFonts w:ascii="Times New Roman" w:hAnsi="Times New Roman" w:cs="Times New Roman"/>
          <w:color w:val="000000"/>
          <w:sz w:val="20"/>
          <w:szCs w:val="20"/>
        </w:rPr>
        <w:t>oreover, TRI was a significant and independent predictor of NRF.</w:t>
      </w:r>
      <w:r w:rsidR="00BB2D34"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 xml:space="preserve">Primary PCI is the </w:t>
      </w:r>
      <w:r w:rsidRPr="009F0699">
        <w:rPr>
          <w:rFonts w:ascii="Times New Roman" w:hAnsi="Times New Roman" w:cs="Times New Roman"/>
          <w:color w:val="000000"/>
          <w:sz w:val="20"/>
          <w:szCs w:val="20"/>
        </w:rPr>
        <w:lastRenderedPageBreak/>
        <w:t>recommended treatment for patients with acute STEMI. In 2008 the Stent for Life</w:t>
      </w:r>
      <w:r w:rsidRPr="009F0699">
        <w:rPr>
          <w:rFonts w:ascii="Times New Roman" w:hAnsi="Times New Roman" w:cs="Times New Roman" w:hint="cs"/>
          <w:color w:val="000000"/>
          <w:sz w:val="20"/>
          <w:szCs w:val="20"/>
          <w:lang w:val="en-GB" w:bidi="ar-EG"/>
        </w:rPr>
        <w:t xml:space="preserve"> </w:t>
      </w:r>
      <w:r w:rsidRPr="009F0699">
        <w:rPr>
          <w:rFonts w:ascii="Times New Roman" w:hAnsi="Times New Roman" w:cs="Times New Roman"/>
          <w:color w:val="000000"/>
          <w:sz w:val="20"/>
          <w:szCs w:val="20"/>
        </w:rPr>
        <w:t xml:space="preserve">(SFL) initiative was launched by the European Association of </w:t>
      </w:r>
      <w:proofErr w:type="spellStart"/>
      <w:r w:rsidRPr="009F0699">
        <w:rPr>
          <w:rFonts w:ascii="Times New Roman" w:hAnsi="Times New Roman" w:cs="Times New Roman"/>
          <w:color w:val="000000"/>
          <w:sz w:val="20"/>
          <w:szCs w:val="20"/>
        </w:rPr>
        <w:t>Percutaneous</w:t>
      </w:r>
      <w:proofErr w:type="spellEnd"/>
      <w:r w:rsidRPr="009F0699">
        <w:rPr>
          <w:rFonts w:ascii="Times New Roman" w:hAnsi="Times New Roman" w:cs="Times New Roman"/>
          <w:color w:val="000000"/>
          <w:sz w:val="20"/>
          <w:szCs w:val="20"/>
        </w:rPr>
        <w:t xml:space="preserve"> Cardiovascular Interventions and </w:t>
      </w:r>
      <w:proofErr w:type="spellStart"/>
      <w:r w:rsidRPr="009F0699">
        <w:rPr>
          <w:rFonts w:ascii="Times New Roman" w:hAnsi="Times New Roman" w:cs="Times New Roman"/>
          <w:color w:val="000000"/>
          <w:sz w:val="20"/>
          <w:szCs w:val="20"/>
        </w:rPr>
        <w:t>EuroPCR</w:t>
      </w:r>
      <w:proofErr w:type="spellEnd"/>
      <w:r w:rsidRPr="009F0699">
        <w:rPr>
          <w:rFonts w:ascii="Times New Roman" w:hAnsi="Times New Roman" w:cs="Times New Roman"/>
          <w:color w:val="000000"/>
          <w:sz w:val="20"/>
          <w:szCs w:val="20"/>
        </w:rPr>
        <w:t xml:space="preserve"> in partnership with the European Society of Cardiology Working Group on Acute Cardiac Care and country-specific national cardiac societies. The aim was to promote the prioritization of PCI treatment for those who will benefit most, namely STEMI patients. </w:t>
      </w:r>
    </w:p>
    <w:p w:rsidR="00C11736" w:rsidRPr="009F0699" w:rsidRDefault="00C11736" w:rsidP="00D009F8">
      <w:pPr>
        <w:pStyle w:val="ListParagraph"/>
        <w:snapToGrid w:val="0"/>
        <w:spacing w:after="0" w:line="240" w:lineRule="auto"/>
        <w:ind w:left="0" w:firstLine="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The following countries are currently participating: Bulgaria, France, Greece, Italy, Portugal, Romania, Serbia</w:t>
      </w:r>
      <w:r w:rsidRPr="009F0699">
        <w:rPr>
          <w:rFonts w:ascii="Times New Roman" w:hAnsi="Times New Roman" w:cs="Times New Roman"/>
          <w:color w:val="000000"/>
          <w:sz w:val="20"/>
          <w:szCs w:val="20"/>
          <w:lang w:val="en-GB" w:bidi="ar-EG"/>
        </w:rPr>
        <w:t>,</w:t>
      </w:r>
      <w:r w:rsidRPr="009F0699">
        <w:rPr>
          <w:rFonts w:ascii="Times New Roman" w:hAnsi="Times New Roman" w:cs="Times New Roman"/>
          <w:color w:val="000000"/>
          <w:sz w:val="20"/>
          <w:szCs w:val="20"/>
        </w:rPr>
        <w:t xml:space="preserve"> Spain, and Turkey and Egypt </w:t>
      </w:r>
      <w:r w:rsidRPr="009F0699">
        <w:rPr>
          <w:rFonts w:ascii="Times New Roman" w:hAnsi="Times New Roman" w:cs="Times New Roman"/>
          <w:b/>
          <w:bCs/>
          <w:color w:val="000000"/>
          <w:sz w:val="20"/>
          <w:szCs w:val="20"/>
        </w:rPr>
        <w:t>(12)</w:t>
      </w:r>
      <w:r w:rsidRPr="009F0699">
        <w:rPr>
          <w:rFonts w:ascii="Times New Roman" w:hAnsi="Times New Roman" w:cs="Times New Roman"/>
          <w:color w:val="000000"/>
          <w:sz w:val="20"/>
          <w:szCs w:val="20"/>
        </w:rPr>
        <w:t>. Preliminary reports suggest that major increases have been seen in the numbers of p-PCI treatments performed, with some countries reporting very significant increases in p-PCI use between 2008 and 2010</w:t>
      </w:r>
      <w:r w:rsidRPr="009F0699">
        <w:rPr>
          <w:rFonts w:ascii="Times New Roman" w:hAnsi="Times New Roman" w:cs="Times New Roman"/>
          <w:color w:val="000000"/>
          <w:sz w:val="20"/>
          <w:szCs w:val="20"/>
          <w:lang w:val="en-GB" w:bidi="ar-EG"/>
        </w:rPr>
        <w:t>.</w:t>
      </w:r>
      <w:r w:rsidRPr="009F0699">
        <w:rPr>
          <w:rFonts w:ascii="Times New Roman" w:hAnsi="Times New Roman" w:cs="Times New Roman"/>
          <w:color w:val="000000"/>
          <w:sz w:val="20"/>
          <w:szCs w:val="20"/>
        </w:rPr>
        <w:t xml:space="preserve"> Improvements in STEMI mortality rates have also been observed. The number of p-PCI treatments performed in Europe has steadily increased over the past decade</w:t>
      </w:r>
      <w:r w:rsidRPr="009F0699">
        <w:rPr>
          <w:rFonts w:ascii="Times New Roman" w:hAnsi="Times New Roman" w:cs="Times New Roman"/>
          <w:color w:val="000000"/>
          <w:sz w:val="20"/>
          <w:szCs w:val="20"/>
          <w:lang w:val="en-GB" w:bidi="ar-EG"/>
        </w:rPr>
        <w:t>.</w:t>
      </w:r>
      <w:r w:rsidRPr="009F0699">
        <w:rPr>
          <w:rFonts w:ascii="Times New Roman" w:hAnsi="Times New Roman" w:cs="Times New Roman"/>
          <w:color w:val="000000"/>
          <w:sz w:val="20"/>
          <w:szCs w:val="20"/>
        </w:rPr>
        <w:t xml:space="preserve"> However, a European survey from 2007 reported that only 40%–45% of European STEMI patients were treated with p-PCI, with large variations in treatment availability between countries </w:t>
      </w:r>
      <w:r w:rsidRPr="009F0699">
        <w:rPr>
          <w:rFonts w:ascii="Times New Roman" w:hAnsi="Times New Roman" w:cs="Times New Roman"/>
          <w:b/>
          <w:bCs/>
          <w:color w:val="000000"/>
          <w:sz w:val="20"/>
          <w:szCs w:val="20"/>
        </w:rPr>
        <w:t>(13).</w:t>
      </w:r>
      <w:r w:rsidR="00BB2D34"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 xml:space="preserve">The challenges of introducing new technologies into clinical practice can be substantial and include a complex mix of medical, </w:t>
      </w:r>
      <w:r w:rsidR="00BB2D34" w:rsidRPr="009F0699">
        <w:rPr>
          <w:rFonts w:ascii="Times New Roman" w:hAnsi="Times New Roman" w:cs="Times New Roman"/>
          <w:color w:val="000000"/>
          <w:sz w:val="20"/>
          <w:szCs w:val="20"/>
        </w:rPr>
        <w:t>organizational</w:t>
      </w:r>
      <w:r w:rsidR="00BB2D34" w:rsidRPr="009F0699">
        <w:rPr>
          <w:rFonts w:ascii="Times New Roman" w:hAnsi="Times New Roman" w:cs="Times New Roman"/>
          <w:color w:val="000000"/>
          <w:sz w:val="20"/>
          <w:szCs w:val="20"/>
          <w:lang w:bidi="ar-EG"/>
        </w:rPr>
        <w:t>,</w:t>
      </w:r>
      <w:r w:rsidR="00BB2D34" w:rsidRPr="009F0699">
        <w:rPr>
          <w:rFonts w:ascii="Times New Roman" w:hAnsi="Times New Roman" w:cs="Times New Roman"/>
          <w:color w:val="000000"/>
          <w:sz w:val="20"/>
          <w:szCs w:val="20"/>
        </w:rPr>
        <w:t xml:space="preserve"> patient</w:t>
      </w:r>
      <w:r w:rsidRPr="009F0699">
        <w:rPr>
          <w:rFonts w:ascii="Times New Roman" w:hAnsi="Times New Roman" w:cs="Times New Roman"/>
          <w:color w:val="000000"/>
          <w:sz w:val="20"/>
          <w:szCs w:val="20"/>
        </w:rPr>
        <w:t xml:space="preserve">-related, regulatory, and economic factors </w:t>
      </w:r>
      <w:r w:rsidRPr="009F0699">
        <w:rPr>
          <w:rFonts w:ascii="Times New Roman" w:hAnsi="Times New Roman" w:cs="Times New Roman"/>
          <w:b/>
          <w:bCs/>
          <w:color w:val="000000"/>
          <w:sz w:val="20"/>
          <w:szCs w:val="20"/>
        </w:rPr>
        <w:t>(14</w:t>
      </w:r>
      <w:r w:rsidR="00D009F8" w:rsidRPr="009F0699">
        <w:rPr>
          <w:rFonts w:ascii="Times New Roman" w:hAnsi="Times New Roman" w:cs="Times New Roman" w:hint="eastAsia"/>
          <w:b/>
          <w:bCs/>
          <w:color w:val="000000"/>
          <w:sz w:val="20"/>
          <w:szCs w:val="20"/>
          <w:lang w:val="en-GB" w:eastAsia="zh-CN" w:bidi="ar-EG"/>
        </w:rPr>
        <w:t>)</w:t>
      </w:r>
      <w:r w:rsidRPr="009F0699">
        <w:rPr>
          <w:rFonts w:ascii="Times New Roman" w:hAnsi="Times New Roman" w:cs="Times New Roman"/>
          <w:b/>
          <w:bCs/>
          <w:color w:val="000000"/>
          <w:sz w:val="20"/>
          <w:szCs w:val="20"/>
        </w:rPr>
        <w:t>.</w:t>
      </w:r>
    </w:p>
    <w:p w:rsidR="00D009F8" w:rsidRPr="009F0699" w:rsidRDefault="00D009F8" w:rsidP="00D009F8">
      <w:pPr>
        <w:pStyle w:val="ListParagraph"/>
        <w:snapToGrid w:val="0"/>
        <w:spacing w:after="0" w:line="240" w:lineRule="auto"/>
        <w:ind w:left="0" w:firstLine="425"/>
        <w:jc w:val="both"/>
        <w:rPr>
          <w:rFonts w:ascii="Times New Roman" w:hAnsi="Times New Roman" w:cs="Times New Roman"/>
          <w:color w:val="000000"/>
          <w:sz w:val="20"/>
          <w:szCs w:val="20"/>
        </w:rPr>
        <w:sectPr w:rsidR="00D009F8" w:rsidRPr="009F0699" w:rsidSect="00D009F8">
          <w:type w:val="continuous"/>
          <w:pgSz w:w="12242" w:h="15842" w:code="1"/>
          <w:pgMar w:top="1440" w:right="1440" w:bottom="1440" w:left="1440" w:header="720" w:footer="720" w:gutter="0"/>
          <w:cols w:num="2" w:space="550"/>
          <w:docGrid w:linePitch="360"/>
        </w:sectPr>
      </w:pPr>
    </w:p>
    <w:p w:rsidR="00144560" w:rsidRPr="009F0699" w:rsidRDefault="00144560" w:rsidP="00D009F8">
      <w:pPr>
        <w:widowControl w:val="0"/>
        <w:snapToGrid w:val="0"/>
        <w:spacing w:after="0" w:line="240" w:lineRule="auto"/>
        <w:jc w:val="center"/>
        <w:rPr>
          <w:rFonts w:ascii="Times New Roman" w:eastAsia="Times New Roman" w:hAnsi="Times New Roman" w:cs="Times New Roman"/>
          <w:b/>
          <w:bCs/>
          <w:snapToGrid w:val="0"/>
          <w:color w:val="000000"/>
          <w:sz w:val="20"/>
          <w:szCs w:val="20"/>
          <w:lang w:eastAsia="ar-SA"/>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144560" w:rsidRPr="009F0699" w:rsidRDefault="00144560" w:rsidP="00D009F8">
      <w:pPr>
        <w:widowControl w:val="0"/>
        <w:snapToGrid w:val="0"/>
        <w:spacing w:after="0" w:line="240" w:lineRule="auto"/>
        <w:jc w:val="center"/>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Table (</w:t>
      </w:r>
      <w:r w:rsidR="002E3AF9" w:rsidRPr="009F0699">
        <w:rPr>
          <w:rFonts w:ascii="Times New Roman" w:eastAsia="Times New Roman" w:hAnsi="Times New Roman" w:cs="Times New Roman"/>
          <w:b/>
          <w:bCs/>
          <w:snapToGrid w:val="0"/>
          <w:color w:val="000000"/>
          <w:sz w:val="20"/>
          <w:szCs w:val="20"/>
          <w:lang w:eastAsia="ar-SA"/>
        </w:rPr>
        <w:t>2</w:t>
      </w:r>
      <w:r w:rsidRPr="009F0699">
        <w:rPr>
          <w:rFonts w:ascii="Times New Roman" w:eastAsia="Times New Roman" w:hAnsi="Times New Roman" w:cs="Times New Roman"/>
          <w:b/>
          <w:b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Comparison between the studied groups regarding the cardiac risk scores.</w:t>
      </w:r>
    </w:p>
    <w:tbl>
      <w:tblPr>
        <w:tblStyle w:val="GridTable3-Accent11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CellMar>
          <w:left w:w="57" w:type="dxa"/>
          <w:right w:w="57" w:type="dxa"/>
        </w:tblCellMar>
        <w:tblLook w:val="0000"/>
      </w:tblPr>
      <w:tblGrid>
        <w:gridCol w:w="3091"/>
        <w:gridCol w:w="1844"/>
        <w:gridCol w:w="1844"/>
        <w:gridCol w:w="1111"/>
        <w:gridCol w:w="1586"/>
      </w:tblGrid>
      <w:tr w:rsidR="00CC3693" w:rsidRPr="009F0699" w:rsidTr="00CC3693">
        <w:trPr>
          <w:cnfStyle w:val="000000100000"/>
          <w:jc w:val="center"/>
        </w:trPr>
        <w:tc>
          <w:tcPr>
            <w:cnfStyle w:val="000010000000"/>
            <w:tcW w:w="1631" w:type="pct"/>
            <w:tcBorders>
              <w:top w:val="single" w:sz="18" w:space="0" w:color="000000"/>
              <w:left w:val="single" w:sz="18"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Cardiac risk scores</w:t>
            </w:r>
          </w:p>
        </w:tc>
        <w:tc>
          <w:tcPr>
            <w:tcW w:w="973" w:type="pct"/>
            <w:tcBorders>
              <w:top w:val="single" w:sz="18" w:space="0" w:color="000000"/>
              <w:left w:val="doub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A </w:t>
            </w:r>
          </w:p>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(Reflow)</w:t>
            </w:r>
          </w:p>
        </w:tc>
        <w:tc>
          <w:tcPr>
            <w:cnfStyle w:val="000010000000"/>
            <w:tcW w:w="973" w:type="pct"/>
            <w:tcBorders>
              <w:top w:val="single" w:sz="18" w:space="0" w:color="000000"/>
              <w:left w:val="sing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B </w:t>
            </w:r>
          </w:p>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(No-reflow)</w:t>
            </w:r>
          </w:p>
        </w:tc>
        <w:tc>
          <w:tcPr>
            <w:tcW w:w="586" w:type="pct"/>
            <w:vMerge w:val="restart"/>
            <w:tcBorders>
              <w:top w:val="single" w:sz="18" w:space="0" w:color="000000"/>
              <w:lef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Test</w:t>
            </w:r>
          </w:p>
        </w:tc>
        <w:tc>
          <w:tcPr>
            <w:cnfStyle w:val="000010000000"/>
            <w:tcW w:w="837" w:type="pct"/>
            <w:vMerge w:val="restart"/>
            <w:tcBorders>
              <w:top w:val="single" w:sz="18" w:space="0" w:color="000000"/>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P-value</w:t>
            </w:r>
          </w:p>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(Sig.)</w:t>
            </w:r>
          </w:p>
        </w:tc>
      </w:tr>
      <w:tr w:rsidR="00CC3693" w:rsidRPr="009F0699" w:rsidTr="00CC3693">
        <w:trPr>
          <w:jc w:val="center"/>
        </w:trPr>
        <w:tc>
          <w:tcPr>
            <w:cnfStyle w:val="000010000000"/>
            <w:tcW w:w="1631" w:type="pct"/>
            <w:tcBorders>
              <w:left w:val="single" w:sz="18" w:space="0" w:color="000000"/>
              <w:bottom w:val="double" w:sz="6" w:space="0" w:color="auto"/>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Count (%)</w:t>
            </w:r>
          </w:p>
        </w:tc>
        <w:tc>
          <w:tcPr>
            <w:tcW w:w="973" w:type="pct"/>
            <w:tcBorders>
              <w:left w:val="double" w:sz="4" w:space="0" w:color="auto"/>
              <w:bottom w:val="double" w:sz="6"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249 (78.1%)</w:t>
            </w:r>
          </w:p>
        </w:tc>
        <w:tc>
          <w:tcPr>
            <w:cnfStyle w:val="000010000000"/>
            <w:tcW w:w="973" w:type="pct"/>
            <w:tcBorders>
              <w:left w:val="single" w:sz="4" w:space="0" w:color="auto"/>
              <w:bottom w:val="double" w:sz="6"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70 (21.9%)</w:t>
            </w:r>
          </w:p>
        </w:tc>
        <w:tc>
          <w:tcPr>
            <w:tcW w:w="586" w:type="pct"/>
            <w:vMerge/>
            <w:tcBorders>
              <w:left w:val="double" w:sz="4" w:space="0" w:color="auto"/>
              <w:bottom w:val="double" w:sz="6"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837" w:type="pct"/>
            <w:vMerge/>
            <w:tcBorders>
              <w:bottom w:val="double" w:sz="6" w:space="0" w:color="auto"/>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144560" w:rsidRPr="009F0699" w:rsidTr="00CC3693">
        <w:trPr>
          <w:cnfStyle w:val="000000100000"/>
          <w:jc w:val="center"/>
        </w:trPr>
        <w:tc>
          <w:tcPr>
            <w:cnfStyle w:val="000010000000"/>
            <w:tcW w:w="1631" w:type="pct"/>
            <w:tcBorders>
              <w:top w:val="double" w:sz="6" w:space="0" w:color="auto"/>
              <w:left w:val="single" w:sz="18"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TIMI risk score (points)</w:t>
            </w:r>
          </w:p>
        </w:tc>
        <w:tc>
          <w:tcPr>
            <w:tcW w:w="3369" w:type="pct"/>
            <w:gridSpan w:val="4"/>
            <w:tcBorders>
              <w:top w:val="double" w:sz="6" w:space="0" w:color="auto"/>
              <w:left w:val="double" w:sz="4" w:space="0" w:color="auto"/>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1631" w:type="pct"/>
            <w:tcBorders>
              <w:left w:val="single" w:sz="18"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973" w:type="pct"/>
            <w:tcBorders>
              <w:left w:val="doub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4.1 ± 2.6</w:t>
            </w:r>
          </w:p>
        </w:tc>
        <w:tc>
          <w:tcPr>
            <w:cnfStyle w:val="000010000000"/>
            <w:tcW w:w="973" w:type="pct"/>
            <w:tcBorders>
              <w:left w:val="sing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6.4 ± 2.5</w:t>
            </w:r>
          </w:p>
        </w:tc>
        <w:tc>
          <w:tcPr>
            <w:tcW w:w="586" w:type="pct"/>
            <w:vMerge w:val="restart"/>
            <w:tcBorders>
              <w:lef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-5.982 </w:t>
            </w:r>
            <w:r w:rsidRPr="009F0699">
              <w:rPr>
                <w:rFonts w:ascii="Times New Roman" w:hAnsi="Times New Roman" w:cs="Times New Roman"/>
                <w:color w:val="000000"/>
                <w:sz w:val="20"/>
                <w:szCs w:val="20"/>
                <w:lang w:bidi="ar-EG"/>
              </w:rPr>
              <w:t>•</w:t>
            </w:r>
          </w:p>
        </w:tc>
        <w:tc>
          <w:tcPr>
            <w:cnfStyle w:val="000010000000"/>
            <w:tcW w:w="837" w:type="pct"/>
            <w:vMerge w:val="restart"/>
            <w:tcBorders>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cnfStyle w:val="000000100000"/>
          <w:jc w:val="center"/>
        </w:trPr>
        <w:tc>
          <w:tcPr>
            <w:cnfStyle w:val="000010000000"/>
            <w:tcW w:w="1631" w:type="pct"/>
            <w:tcBorders>
              <w:left w:val="single" w:sz="18" w:space="0" w:color="000000"/>
              <w:bottom w:val="single" w:sz="12"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973" w:type="pct"/>
            <w:tcBorders>
              <w:left w:val="double" w:sz="4" w:space="0" w:color="auto"/>
              <w:bottom w:val="single" w:sz="12" w:space="0" w:color="000000"/>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4.0 (0 – 11)</w:t>
            </w:r>
          </w:p>
        </w:tc>
        <w:tc>
          <w:tcPr>
            <w:cnfStyle w:val="000010000000"/>
            <w:tcW w:w="973" w:type="pct"/>
            <w:tcBorders>
              <w:left w:val="single" w:sz="4" w:space="0" w:color="auto"/>
              <w:bottom w:val="single" w:sz="12" w:space="0" w:color="000000"/>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6.5 (1 – 11)</w:t>
            </w:r>
          </w:p>
        </w:tc>
        <w:tc>
          <w:tcPr>
            <w:tcW w:w="586" w:type="pct"/>
            <w:vMerge/>
            <w:tcBorders>
              <w:left w:val="double" w:sz="4" w:space="0" w:color="auto"/>
              <w:bottom w:val="single" w:sz="12"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837" w:type="pct"/>
            <w:vMerge/>
            <w:tcBorders>
              <w:bottom w:val="single" w:sz="12" w:space="0" w:color="000000"/>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144560" w:rsidRPr="009F0699" w:rsidTr="00CC3693">
        <w:trPr>
          <w:jc w:val="center"/>
        </w:trPr>
        <w:tc>
          <w:tcPr>
            <w:cnfStyle w:val="000010000000"/>
            <w:tcW w:w="1631" w:type="pct"/>
            <w:tcBorders>
              <w:top w:val="single" w:sz="12" w:space="0" w:color="000000"/>
              <w:left w:val="single" w:sz="18"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GRACE score (points)</w:t>
            </w:r>
          </w:p>
        </w:tc>
        <w:tc>
          <w:tcPr>
            <w:tcW w:w="3369" w:type="pct"/>
            <w:gridSpan w:val="4"/>
            <w:tcBorders>
              <w:top w:val="single" w:sz="12" w:space="0" w:color="000000"/>
              <w:left w:val="double" w:sz="4" w:space="0" w:color="auto"/>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r>
      <w:tr w:rsidR="00CC3693" w:rsidRPr="009F0699" w:rsidTr="00CC3693">
        <w:trPr>
          <w:cnfStyle w:val="000000100000"/>
          <w:jc w:val="center"/>
        </w:trPr>
        <w:tc>
          <w:tcPr>
            <w:cnfStyle w:val="000010000000"/>
            <w:tcW w:w="1631" w:type="pct"/>
            <w:tcBorders>
              <w:left w:val="single" w:sz="18"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973" w:type="pct"/>
            <w:tcBorders>
              <w:left w:val="doub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113.6 ± 23.9</w:t>
            </w:r>
          </w:p>
        </w:tc>
        <w:tc>
          <w:tcPr>
            <w:cnfStyle w:val="000010000000"/>
            <w:tcW w:w="973" w:type="pct"/>
            <w:tcBorders>
              <w:left w:val="sing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131.3 ± 23.2</w:t>
            </w:r>
          </w:p>
        </w:tc>
        <w:tc>
          <w:tcPr>
            <w:tcW w:w="586" w:type="pct"/>
            <w:vMerge w:val="restart"/>
            <w:tcBorders>
              <w:lef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-5.501 </w:t>
            </w:r>
            <w:r w:rsidRPr="009F0699">
              <w:rPr>
                <w:rFonts w:ascii="Times New Roman" w:hAnsi="Times New Roman" w:cs="Times New Roman"/>
                <w:snapToGrid w:val="0"/>
                <w:color w:val="000000"/>
                <w:sz w:val="20"/>
                <w:szCs w:val="20"/>
                <w:lang w:eastAsia="ar-SA"/>
              </w:rPr>
              <w:t>*</w:t>
            </w:r>
          </w:p>
        </w:tc>
        <w:tc>
          <w:tcPr>
            <w:cnfStyle w:val="000010000000"/>
            <w:tcW w:w="837" w:type="pct"/>
            <w:vMerge w:val="restart"/>
            <w:tcBorders>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jc w:val="center"/>
        </w:trPr>
        <w:tc>
          <w:tcPr>
            <w:cnfStyle w:val="000010000000"/>
            <w:tcW w:w="1631" w:type="pct"/>
            <w:tcBorders>
              <w:left w:val="single" w:sz="18" w:space="0" w:color="000000"/>
              <w:bottom w:val="single" w:sz="12"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973" w:type="pct"/>
            <w:tcBorders>
              <w:left w:val="double" w:sz="4" w:space="0" w:color="auto"/>
              <w:bottom w:val="single" w:sz="12" w:space="0" w:color="000000"/>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112 (62 – 191)</w:t>
            </w:r>
          </w:p>
        </w:tc>
        <w:tc>
          <w:tcPr>
            <w:cnfStyle w:val="000010000000"/>
            <w:tcW w:w="973" w:type="pct"/>
            <w:tcBorders>
              <w:left w:val="single" w:sz="4" w:space="0" w:color="auto"/>
              <w:bottom w:val="single" w:sz="12" w:space="0" w:color="000000"/>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136 (73 – 184)</w:t>
            </w:r>
          </w:p>
        </w:tc>
        <w:tc>
          <w:tcPr>
            <w:tcW w:w="586" w:type="pct"/>
            <w:vMerge/>
            <w:tcBorders>
              <w:left w:val="double" w:sz="4" w:space="0" w:color="auto"/>
              <w:bottom w:val="single" w:sz="12"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837" w:type="pct"/>
            <w:vMerge/>
            <w:tcBorders>
              <w:bottom w:val="single" w:sz="12" w:space="0" w:color="000000"/>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144560" w:rsidRPr="009F0699" w:rsidTr="00CC3693">
        <w:trPr>
          <w:cnfStyle w:val="000000100000"/>
          <w:jc w:val="center"/>
        </w:trPr>
        <w:tc>
          <w:tcPr>
            <w:cnfStyle w:val="000010000000"/>
            <w:tcW w:w="1631" w:type="pct"/>
            <w:tcBorders>
              <w:top w:val="single" w:sz="12" w:space="0" w:color="000000"/>
              <w:left w:val="single" w:sz="18"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TIMI risk index</w:t>
            </w:r>
          </w:p>
        </w:tc>
        <w:tc>
          <w:tcPr>
            <w:tcW w:w="3369" w:type="pct"/>
            <w:gridSpan w:val="4"/>
            <w:tcBorders>
              <w:top w:val="single" w:sz="12" w:space="0" w:color="000000"/>
              <w:left w:val="double" w:sz="4" w:space="0" w:color="auto"/>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1631" w:type="pct"/>
            <w:tcBorders>
              <w:left w:val="single" w:sz="18"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973" w:type="pct"/>
            <w:tcBorders>
              <w:left w:val="doub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26.8 ± 12.7</w:t>
            </w:r>
          </w:p>
        </w:tc>
        <w:tc>
          <w:tcPr>
            <w:cnfStyle w:val="000010000000"/>
            <w:tcW w:w="973" w:type="pct"/>
            <w:tcBorders>
              <w:left w:val="single" w:sz="4" w:space="0" w:color="auto"/>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40 ± 15.0</w:t>
            </w:r>
          </w:p>
        </w:tc>
        <w:tc>
          <w:tcPr>
            <w:tcW w:w="586" w:type="pct"/>
            <w:vMerge w:val="restart"/>
            <w:tcBorders>
              <w:lef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-6.480 </w:t>
            </w:r>
            <w:r w:rsidRPr="009F0699">
              <w:rPr>
                <w:rFonts w:ascii="Times New Roman" w:hAnsi="Times New Roman" w:cs="Times New Roman"/>
                <w:color w:val="000000"/>
                <w:sz w:val="20"/>
                <w:szCs w:val="20"/>
                <w:lang w:bidi="ar-EG"/>
              </w:rPr>
              <w:t>•</w:t>
            </w:r>
          </w:p>
        </w:tc>
        <w:tc>
          <w:tcPr>
            <w:cnfStyle w:val="000010000000"/>
            <w:tcW w:w="837" w:type="pct"/>
            <w:vMerge w:val="restart"/>
            <w:tcBorders>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cnfStyle w:val="000000100000"/>
          <w:jc w:val="center"/>
        </w:trPr>
        <w:tc>
          <w:tcPr>
            <w:cnfStyle w:val="000010000000"/>
            <w:tcW w:w="1631" w:type="pct"/>
            <w:tcBorders>
              <w:left w:val="single" w:sz="18" w:space="0" w:color="000000"/>
              <w:bottom w:val="single" w:sz="12" w:space="0" w:color="000000"/>
              <w:right w:val="doub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973" w:type="pct"/>
            <w:tcBorders>
              <w:left w:val="double" w:sz="4" w:space="0" w:color="auto"/>
              <w:bottom w:val="single" w:sz="12" w:space="0" w:color="000000"/>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 (5 – 66)</w:t>
            </w:r>
          </w:p>
        </w:tc>
        <w:tc>
          <w:tcPr>
            <w:cnfStyle w:val="000010000000"/>
            <w:tcW w:w="973" w:type="pct"/>
            <w:tcBorders>
              <w:left w:val="single" w:sz="4" w:space="0" w:color="auto"/>
              <w:bottom w:val="single" w:sz="12" w:space="0" w:color="000000"/>
              <w:right w:val="single" w:sz="4" w:space="0" w:color="auto"/>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43 (8 – 71)</w:t>
            </w:r>
          </w:p>
        </w:tc>
        <w:tc>
          <w:tcPr>
            <w:tcW w:w="586" w:type="pct"/>
            <w:vMerge/>
            <w:tcBorders>
              <w:left w:val="double" w:sz="4" w:space="0" w:color="auto"/>
              <w:bottom w:val="single" w:sz="12"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837" w:type="pct"/>
            <w:vMerge/>
            <w:tcBorders>
              <w:bottom w:val="single" w:sz="12" w:space="0" w:color="000000"/>
              <w:right w:val="single" w:sz="18" w:space="0" w:color="000000"/>
            </w:tcBorders>
            <w:shd w:val="clear" w:color="auto" w:fill="FFFFFF" w:themeFill="background1"/>
            <w:vAlign w:val="center"/>
          </w:tcPr>
          <w:p w:rsidR="00144560" w:rsidRPr="009F0699" w:rsidRDefault="00144560"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bl>
    <w:p w:rsidR="00144560" w:rsidRPr="009F0699" w:rsidRDefault="00144560" w:rsidP="00D009F8">
      <w:pPr>
        <w:snapToGrid w:val="0"/>
        <w:spacing w:after="0" w:line="240" w:lineRule="auto"/>
        <w:jc w:val="both"/>
        <w:rPr>
          <w:rFonts w:ascii="Times New Roman" w:hAnsi="Times New Roman" w:cs="Times New Roman"/>
          <w:color w:val="000000"/>
          <w:sz w:val="20"/>
          <w:szCs w:val="20"/>
          <w:lang w:bidi="ar-EG"/>
        </w:rPr>
      </w:pPr>
      <w:r w:rsidRPr="009F0699">
        <w:rPr>
          <w:rFonts w:ascii="Times New Roman" w:hAnsi="Times New Roman" w:cs="Times New Roman"/>
          <w:color w:val="000000"/>
          <w:sz w:val="20"/>
          <w:szCs w:val="20"/>
          <w:lang w:bidi="ar-EG"/>
        </w:rPr>
        <w:t>• Mann Whitney U test.</w:t>
      </w:r>
      <w:r w:rsidR="00CC3693" w:rsidRPr="009F0699">
        <w:rPr>
          <w:rFonts w:ascii="Times New Roman" w:hAnsi="Times New Roman" w:cs="Times New Roman"/>
          <w:color w:val="000000"/>
          <w:sz w:val="20"/>
          <w:szCs w:val="20"/>
          <w:lang w:bidi="ar-EG"/>
        </w:rPr>
        <w:t>,</w:t>
      </w:r>
      <w:r w:rsidRPr="009F0699">
        <w:rPr>
          <w:rFonts w:ascii="Times New Roman" w:hAnsi="Times New Roman" w:cs="Times New Roman"/>
          <w:snapToGrid w:val="0"/>
          <w:color w:val="000000"/>
          <w:sz w:val="20"/>
          <w:szCs w:val="20"/>
          <w:lang w:eastAsia="ar-SA"/>
        </w:rPr>
        <w:t>* Independent samples Student's t-test.</w:t>
      </w:r>
      <w:r w:rsidR="00CC3693" w:rsidRPr="009F0699">
        <w:rPr>
          <w:rFonts w:ascii="Times New Roman" w:hAnsi="Times New Roman" w:cs="Times New Roman"/>
          <w:color w:val="000000"/>
          <w:sz w:val="20"/>
          <w:szCs w:val="20"/>
          <w:lang w:bidi="ar-EG"/>
        </w:rPr>
        <w:t>,</w:t>
      </w:r>
      <w:r w:rsidRPr="009F0699">
        <w:rPr>
          <w:rFonts w:ascii="Times New Roman" w:eastAsia="Times New Roman" w:hAnsi="Times New Roman" w:cs="Times New Roman"/>
          <w:snapToGrid w:val="0"/>
          <w:color w:val="000000"/>
          <w:sz w:val="20"/>
          <w:szCs w:val="20"/>
          <w:lang w:eastAsia="ar-SA" w:bidi="ar-EG"/>
        </w:rPr>
        <w:t xml:space="preserve"> p&lt; 0.05 is significant.</w:t>
      </w:r>
      <w:r w:rsidR="00CC3693" w:rsidRPr="009F0699">
        <w:rPr>
          <w:rFonts w:ascii="Times New Roman" w:hAnsi="Times New Roman" w:cs="Times New Roman"/>
          <w:color w:val="000000"/>
          <w:sz w:val="20"/>
          <w:szCs w:val="20"/>
          <w:lang w:bidi="ar-EG"/>
        </w:rPr>
        <w:t>,</w:t>
      </w:r>
      <w:r w:rsidRPr="009F0699">
        <w:rPr>
          <w:rFonts w:ascii="Times New Roman" w:eastAsia="Times New Roman" w:hAnsi="Times New Roman" w:cs="Times New Roman"/>
          <w:snapToGrid w:val="0"/>
          <w:color w:val="000000"/>
          <w:sz w:val="20"/>
          <w:szCs w:val="20"/>
          <w:lang w:eastAsia="ar-SA" w:bidi="ar-EG"/>
        </w:rPr>
        <w:t xml:space="preserve"> Sig.: significance.</w:t>
      </w:r>
    </w:p>
    <w:p w:rsidR="00D009F8" w:rsidRDefault="00CC3693" w:rsidP="00D009F8">
      <w:pPr>
        <w:widowControl w:val="0"/>
        <w:snapToGrid w:val="0"/>
        <w:spacing w:after="0" w:line="240" w:lineRule="auto"/>
        <w:ind w:firstLine="425"/>
        <w:jc w:val="both"/>
        <w:rPr>
          <w:rFonts w:ascii="Times New Roman" w:hAnsi="Times New Roman" w:cs="Times New Roman" w:hint="eastAsia"/>
          <w:color w:val="000000"/>
          <w:sz w:val="20"/>
          <w:szCs w:val="20"/>
          <w:lang w:eastAsia="zh-CN"/>
        </w:rPr>
      </w:pPr>
      <w:r w:rsidRPr="009F0699">
        <w:rPr>
          <w:rFonts w:ascii="Times New Roman" w:hAnsi="Times New Roman" w:cs="Times New Roman"/>
          <w:color w:val="000000"/>
          <w:sz w:val="20"/>
          <w:szCs w:val="20"/>
        </w:rPr>
        <w:cr/>
      </w:r>
    </w:p>
    <w:p w:rsidR="009F0699" w:rsidRDefault="009F0699" w:rsidP="00D009F8">
      <w:pPr>
        <w:widowControl w:val="0"/>
        <w:snapToGrid w:val="0"/>
        <w:spacing w:after="0" w:line="240" w:lineRule="auto"/>
        <w:ind w:firstLine="425"/>
        <w:jc w:val="both"/>
        <w:rPr>
          <w:rFonts w:ascii="Times New Roman" w:hAnsi="Times New Roman" w:cs="Times New Roman" w:hint="eastAsia"/>
          <w:color w:val="000000"/>
          <w:sz w:val="20"/>
          <w:szCs w:val="20"/>
          <w:lang w:eastAsia="zh-CN"/>
        </w:rPr>
      </w:pPr>
    </w:p>
    <w:p w:rsidR="009F0699" w:rsidRPr="009F0699" w:rsidRDefault="009F0699" w:rsidP="00D009F8">
      <w:pPr>
        <w:widowControl w:val="0"/>
        <w:snapToGrid w:val="0"/>
        <w:spacing w:after="0" w:line="240" w:lineRule="auto"/>
        <w:ind w:firstLine="425"/>
        <w:jc w:val="both"/>
        <w:rPr>
          <w:rFonts w:ascii="Times New Roman" w:hAnsi="Times New Roman" w:cs="Times New Roman" w:hint="eastAsia"/>
          <w:color w:val="000000"/>
          <w:sz w:val="20"/>
          <w:szCs w:val="20"/>
          <w:lang w:eastAsia="zh-CN"/>
        </w:rPr>
        <w:sectPr w:rsidR="009F0699" w:rsidRPr="009F0699" w:rsidSect="00CC3693">
          <w:type w:val="continuous"/>
          <w:pgSz w:w="12242" w:h="15842" w:code="1"/>
          <w:pgMar w:top="1440" w:right="1440" w:bottom="1440" w:left="1440" w:header="720" w:footer="720" w:gutter="0"/>
          <w:cols w:space="720"/>
          <w:docGrid w:linePitch="360"/>
        </w:sectPr>
      </w:pPr>
    </w:p>
    <w:p w:rsidR="00CC3693" w:rsidRPr="009F0699" w:rsidRDefault="00144560" w:rsidP="00D009F8">
      <w:pPr>
        <w:widowControl w:val="0"/>
        <w:snapToGrid w:val="0"/>
        <w:spacing w:after="0" w:line="240" w:lineRule="auto"/>
        <w:ind w:firstLine="425"/>
        <w:jc w:val="both"/>
        <w:rPr>
          <w:rFonts w:ascii="Times New Roman" w:eastAsia="Times New Roman" w:hAnsi="Times New Roman" w:cs="Times New Roman"/>
          <w:b/>
          <w:bCs/>
          <w:snapToGrid w:val="0"/>
          <w:color w:val="000000"/>
          <w:sz w:val="20"/>
          <w:szCs w:val="20"/>
          <w:lang w:eastAsia="zh-CN"/>
        </w:rPr>
      </w:pPr>
      <w:r w:rsidRPr="009F0699">
        <w:rPr>
          <w:rFonts w:ascii="Times New Roman" w:hAnsi="Times New Roman" w:cs="Times New Roman"/>
          <w:color w:val="000000"/>
          <w:sz w:val="20"/>
          <w:szCs w:val="20"/>
        </w:rPr>
        <w:lastRenderedPageBreak/>
        <w:t xml:space="preserve">Rapid restoration of coronary flow to the jeopardized myocardium has become an essential part of therapy after STEMI. P-PCI has also been found to significantly improve the survival of these patients </w:t>
      </w:r>
      <w:r w:rsidRPr="009F0699">
        <w:rPr>
          <w:rFonts w:ascii="Times New Roman" w:hAnsi="Times New Roman" w:cs="Times New Roman"/>
          <w:b/>
          <w:bCs/>
          <w:color w:val="000000"/>
          <w:sz w:val="20"/>
          <w:szCs w:val="20"/>
        </w:rPr>
        <w:t>(15).</w:t>
      </w:r>
      <w:r w:rsidRPr="009F0699">
        <w:rPr>
          <w:rFonts w:ascii="Times New Roman" w:hAnsi="Times New Roman" w:cs="Times New Roman"/>
          <w:color w:val="000000"/>
          <w:sz w:val="20"/>
          <w:szCs w:val="20"/>
        </w:rPr>
        <w:t xml:space="preserve"> Despite an open IRA, breakdown of obstruction to the coronary microvasculature can markedly decrease blood flow to the infarct zone. This effect is known as the NRF phenomeno</w:t>
      </w:r>
      <w:r w:rsidRPr="009F0699">
        <w:rPr>
          <w:rFonts w:ascii="Times New Roman" w:hAnsi="Times New Roman" w:cs="Times New Roman"/>
          <w:color w:val="000000"/>
          <w:sz w:val="20"/>
          <w:szCs w:val="20"/>
          <w:lang w:bidi="ar-EG"/>
        </w:rPr>
        <w:t>n (</w:t>
      </w:r>
      <w:r w:rsidRPr="009F0699">
        <w:rPr>
          <w:rFonts w:ascii="Times New Roman" w:hAnsi="Times New Roman" w:cs="Times New Roman"/>
          <w:b/>
          <w:bCs/>
          <w:color w:val="000000"/>
          <w:sz w:val="20"/>
          <w:szCs w:val="20"/>
          <w:lang w:bidi="ar-EG"/>
        </w:rPr>
        <w:t>16,</w:t>
      </w:r>
      <w:r w:rsidRPr="009F0699">
        <w:rPr>
          <w:rFonts w:ascii="Times New Roman" w:hAnsi="Times New Roman" w:cs="Times New Roman"/>
          <w:color w:val="000000"/>
          <w:sz w:val="20"/>
          <w:szCs w:val="20"/>
          <w:lang w:bidi="ar-EG"/>
        </w:rPr>
        <w:t xml:space="preserve"> </w:t>
      </w:r>
      <w:r w:rsidRPr="009F0699">
        <w:rPr>
          <w:rFonts w:ascii="Times New Roman" w:hAnsi="Times New Roman" w:cs="Times New Roman"/>
          <w:b/>
          <w:bCs/>
          <w:color w:val="000000"/>
          <w:sz w:val="20"/>
          <w:szCs w:val="20"/>
          <w:lang w:bidi="ar-EG"/>
        </w:rPr>
        <w:t>17</w:t>
      </w:r>
      <w:r w:rsidRPr="009F0699">
        <w:rPr>
          <w:rFonts w:ascii="Times New Roman" w:hAnsi="Times New Roman" w:cs="Times New Roman"/>
          <w:color w:val="000000"/>
          <w:sz w:val="20"/>
          <w:szCs w:val="20"/>
          <w:lang w:bidi="ar-EG"/>
        </w:rPr>
        <w:t>).</w:t>
      </w:r>
      <w:r w:rsidRPr="009F0699">
        <w:rPr>
          <w:rFonts w:ascii="Times New Roman" w:hAnsi="Times New Roman" w:cs="Times New Roman"/>
          <w:color w:val="000000"/>
          <w:sz w:val="20"/>
          <w:szCs w:val="20"/>
        </w:rPr>
        <w:t xml:space="preserve"> Coronary </w:t>
      </w:r>
      <w:r w:rsidRPr="009F0699">
        <w:rPr>
          <w:rFonts w:ascii="Times New Roman" w:hAnsi="Times New Roman" w:cs="Times New Roman"/>
          <w:color w:val="000000"/>
          <w:sz w:val="20"/>
          <w:szCs w:val="20"/>
        </w:rPr>
        <w:lastRenderedPageBreak/>
        <w:t>flow decreases in elderly patients</w:t>
      </w:r>
      <w:r w:rsidR="00A439C0" w:rsidRPr="009F0699">
        <w:rPr>
          <w:rFonts w:ascii="Times New Roman" w:hAnsi="Times New Roman" w:cs="Times New Roman"/>
          <w:color w:val="000000"/>
          <w:sz w:val="20"/>
          <w:szCs w:val="20"/>
          <w:lang w:bidi="ar-EG"/>
        </w:rPr>
        <w:t xml:space="preserve">, </w:t>
      </w:r>
      <w:r w:rsidRPr="009F0699">
        <w:rPr>
          <w:rFonts w:ascii="Times New Roman" w:hAnsi="Times New Roman" w:cs="Times New Roman"/>
          <w:color w:val="000000"/>
          <w:sz w:val="20"/>
          <w:szCs w:val="20"/>
        </w:rPr>
        <w:t>menopausal women, and patients with coronary risk factors (</w:t>
      </w:r>
      <w:r w:rsidRPr="009F0699">
        <w:rPr>
          <w:rFonts w:ascii="Times New Roman" w:hAnsi="Times New Roman" w:cs="Times New Roman"/>
          <w:b/>
          <w:bCs/>
          <w:color w:val="000000"/>
          <w:sz w:val="20"/>
          <w:szCs w:val="20"/>
        </w:rPr>
        <w:t>18</w:t>
      </w:r>
      <w:r w:rsidR="00A439C0" w:rsidRPr="009F0699">
        <w:rPr>
          <w:rFonts w:ascii="Times New Roman" w:hAnsi="Times New Roman" w:cs="Times New Roman"/>
          <w:color w:val="000000"/>
          <w:sz w:val="20"/>
          <w:szCs w:val="20"/>
        </w:rPr>
        <w:t>)</w:t>
      </w:r>
      <w:r w:rsidR="00D009F8" w:rsidRPr="009F0699">
        <w:rPr>
          <w:rFonts w:ascii="Times New Roman" w:hAnsi="Times New Roman" w:cs="Times New Roman"/>
          <w:color w:val="000000"/>
          <w:sz w:val="20"/>
          <w:szCs w:val="20"/>
        </w:rPr>
        <w:t>. T</w:t>
      </w:r>
      <w:r w:rsidRPr="009F0699">
        <w:rPr>
          <w:rFonts w:ascii="Times New Roman" w:hAnsi="Times New Roman" w:cs="Times New Roman"/>
          <w:color w:val="000000"/>
          <w:sz w:val="20"/>
          <w:szCs w:val="20"/>
        </w:rPr>
        <w:t xml:space="preserve">his phenomenon is strongly correlated with short and long-term morbidity and mortality in the settings of STEMI </w:t>
      </w:r>
      <w:r w:rsidR="00B06D5E" w:rsidRPr="009F0699">
        <w:rPr>
          <w:rFonts w:ascii="Times New Roman" w:hAnsi="Times New Roman" w:cs="Times New Roman"/>
          <w:b/>
          <w:bCs/>
          <w:color w:val="000000"/>
          <w:sz w:val="20"/>
          <w:szCs w:val="20"/>
        </w:rPr>
        <w:t>(19</w:t>
      </w:r>
      <w:r w:rsidR="00D009F8" w:rsidRPr="009F0699">
        <w:rPr>
          <w:rFonts w:ascii="Times New Roman" w:hAnsi="Times New Roman" w:cs="Times New Roman" w:hint="eastAsia"/>
          <w:b/>
          <w:bCs/>
          <w:color w:val="000000"/>
          <w:sz w:val="20"/>
          <w:szCs w:val="20"/>
          <w:lang w:eastAsia="zh-CN"/>
        </w:rPr>
        <w:t>)</w:t>
      </w:r>
    </w:p>
    <w:p w:rsidR="00D009F8" w:rsidRPr="009F0699" w:rsidRDefault="00D009F8" w:rsidP="00D009F8">
      <w:pPr>
        <w:widowControl w:val="0"/>
        <w:snapToGrid w:val="0"/>
        <w:spacing w:after="0" w:line="240" w:lineRule="auto"/>
        <w:ind w:firstLine="425"/>
        <w:jc w:val="both"/>
        <w:rPr>
          <w:rFonts w:ascii="Times New Roman" w:hAnsi="Times New Roman" w:cs="Times New Roman"/>
          <w:b/>
          <w:bCs/>
          <w:snapToGrid w:val="0"/>
          <w:color w:val="000000"/>
          <w:sz w:val="20"/>
          <w:szCs w:val="20"/>
          <w:lang w:eastAsia="zh-CN"/>
        </w:rPr>
      </w:pPr>
      <w:r w:rsidRPr="009F0699">
        <w:rPr>
          <w:rFonts w:ascii="Times New Roman" w:hAnsi="Times New Roman" w:cs="Times New Roman"/>
          <w:color w:val="000000"/>
          <w:sz w:val="20"/>
          <w:szCs w:val="20"/>
        </w:rPr>
        <w:t xml:space="preserve">In our study, we showed that NRF was significantly related to in-hospital mortality and </w:t>
      </w:r>
      <w:proofErr w:type="spellStart"/>
      <w:r w:rsidRPr="009F0699">
        <w:rPr>
          <w:rFonts w:ascii="Times New Roman" w:hAnsi="Times New Roman" w:cs="Times New Roman"/>
          <w:color w:val="000000"/>
          <w:sz w:val="20"/>
          <w:szCs w:val="20"/>
        </w:rPr>
        <w:t>MACEs</w:t>
      </w:r>
      <w:proofErr w:type="spellEnd"/>
      <w:r w:rsidRPr="009F0699">
        <w:rPr>
          <w:rFonts w:ascii="Times New Roman" w:hAnsi="Times New Roman" w:cs="Times New Roman"/>
          <w:color w:val="000000"/>
          <w:sz w:val="20"/>
          <w:szCs w:val="20"/>
          <w:lang w:bidi="ar-EG"/>
        </w:rPr>
        <w:t xml:space="preserve">. </w:t>
      </w:r>
      <w:r w:rsidRPr="009F0699">
        <w:rPr>
          <w:rFonts w:ascii="Times New Roman" w:hAnsi="Times New Roman" w:cs="Times New Roman"/>
          <w:color w:val="000000"/>
          <w:sz w:val="20"/>
          <w:szCs w:val="20"/>
        </w:rPr>
        <w:t xml:space="preserve">Factors associated with increased primary </w:t>
      </w:r>
      <w:r w:rsidRPr="009F0699">
        <w:rPr>
          <w:rFonts w:ascii="Times New Roman" w:hAnsi="Times New Roman" w:cs="Times New Roman"/>
          <w:color w:val="000000"/>
          <w:sz w:val="20"/>
          <w:szCs w:val="20"/>
        </w:rPr>
        <w:lastRenderedPageBreak/>
        <w:t xml:space="preserve">PCI complication rates include advanced age, diabetes, CKD, congestive heart failure, and </w:t>
      </w:r>
      <w:proofErr w:type="spellStart"/>
      <w:r w:rsidRPr="009F0699">
        <w:rPr>
          <w:rFonts w:ascii="Times New Roman" w:hAnsi="Times New Roman" w:cs="Times New Roman"/>
          <w:color w:val="000000"/>
          <w:sz w:val="20"/>
          <w:szCs w:val="20"/>
        </w:rPr>
        <w:t>multivessel</w:t>
      </w:r>
      <w:proofErr w:type="spellEnd"/>
      <w:r w:rsidRPr="009F0699">
        <w:rPr>
          <w:rFonts w:ascii="Times New Roman" w:hAnsi="Times New Roman" w:cs="Times New Roman"/>
          <w:color w:val="000000"/>
          <w:sz w:val="20"/>
          <w:szCs w:val="20"/>
        </w:rPr>
        <w:t xml:space="preserve"> CAD.</w:t>
      </w:r>
      <w:r w:rsidRPr="009F0699">
        <w:rPr>
          <w:rFonts w:ascii="Times New Roman" w:eastAsia="Times New Roman" w:hAnsi="Times New Roman" w:cs="Times New Roman"/>
          <w:sz w:val="20"/>
          <w:szCs w:val="20"/>
        </w:rPr>
        <w:t xml:space="preserve"> </w:t>
      </w:r>
      <w:r w:rsidRPr="009F0699">
        <w:rPr>
          <w:rFonts w:ascii="Times New Roman" w:hAnsi="Times New Roman" w:cs="Times New Roman"/>
          <w:color w:val="000000"/>
          <w:sz w:val="20"/>
          <w:szCs w:val="20"/>
        </w:rPr>
        <w:t xml:space="preserve">The </w:t>
      </w:r>
      <w:proofErr w:type="spellStart"/>
      <w:r w:rsidRPr="009F0699">
        <w:rPr>
          <w:rFonts w:ascii="Times New Roman" w:hAnsi="Times New Roman" w:cs="Times New Roman"/>
          <w:color w:val="000000"/>
          <w:sz w:val="20"/>
          <w:szCs w:val="20"/>
        </w:rPr>
        <w:t>pathophysiology</w:t>
      </w:r>
      <w:proofErr w:type="spellEnd"/>
      <w:r w:rsidRPr="009F0699">
        <w:rPr>
          <w:rFonts w:ascii="Times New Roman" w:hAnsi="Times New Roman" w:cs="Times New Roman"/>
          <w:color w:val="000000"/>
          <w:sz w:val="20"/>
          <w:szCs w:val="20"/>
        </w:rPr>
        <w:t xml:space="preserve"> of the NRF phenomenon has not been fully clarified and its etiology appears to be </w:t>
      </w:r>
      <w:proofErr w:type="spellStart"/>
      <w:r w:rsidRPr="009F0699">
        <w:rPr>
          <w:rFonts w:ascii="Times New Roman" w:hAnsi="Times New Roman" w:cs="Times New Roman"/>
          <w:color w:val="000000"/>
          <w:sz w:val="20"/>
          <w:szCs w:val="20"/>
        </w:rPr>
        <w:t>multifactorial</w:t>
      </w:r>
      <w:proofErr w:type="spellEnd"/>
      <w:r w:rsidRPr="009F0699">
        <w:rPr>
          <w:rFonts w:ascii="Times New Roman" w:hAnsi="Times New Roman" w:cs="Times New Roman"/>
          <w:color w:val="000000"/>
          <w:sz w:val="20"/>
          <w:szCs w:val="20"/>
          <w:lang w:bidi="ar-EG"/>
        </w:rPr>
        <w:t>.</w:t>
      </w:r>
      <w:r w:rsidRPr="009F0699">
        <w:rPr>
          <w:rFonts w:ascii="Times New Roman" w:hAnsi="Times New Roman" w:cs="Times New Roman"/>
          <w:color w:val="000000"/>
          <w:sz w:val="20"/>
          <w:szCs w:val="20"/>
        </w:rPr>
        <w:t xml:space="preserve"> Some of the contributing factors in the occurrence of NRF are distal </w:t>
      </w:r>
      <w:proofErr w:type="spellStart"/>
      <w:r w:rsidRPr="009F0699">
        <w:rPr>
          <w:rFonts w:ascii="Times New Roman" w:hAnsi="Times New Roman" w:cs="Times New Roman"/>
          <w:color w:val="000000"/>
          <w:sz w:val="20"/>
          <w:szCs w:val="20"/>
        </w:rPr>
        <w:t>atherothrombotic</w:t>
      </w:r>
      <w:proofErr w:type="spellEnd"/>
      <w:r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embolization</w:t>
      </w:r>
      <w:proofErr w:type="spellEnd"/>
      <w:r w:rsidRPr="009F0699">
        <w:rPr>
          <w:rFonts w:ascii="Times New Roman" w:hAnsi="Times New Roman" w:cs="Times New Roman"/>
          <w:color w:val="000000"/>
          <w:sz w:val="20"/>
          <w:szCs w:val="20"/>
        </w:rPr>
        <w:t>, mechanical micro vascular leukocytes; platelet plugs in situ thrombosis</w:t>
      </w:r>
      <w:r w:rsidRPr="009F0699">
        <w:rPr>
          <w:rFonts w:ascii="Times New Roman" w:hAnsi="Times New Roman" w:cs="Times New Roman"/>
          <w:color w:val="000000"/>
          <w:sz w:val="20"/>
          <w:szCs w:val="20"/>
          <w:lang w:bidi="ar-EG"/>
        </w:rPr>
        <w:t xml:space="preserve">, </w:t>
      </w:r>
      <w:r w:rsidRPr="009F0699">
        <w:rPr>
          <w:rFonts w:ascii="Times New Roman" w:hAnsi="Times New Roman" w:cs="Times New Roman"/>
          <w:color w:val="000000"/>
          <w:sz w:val="20"/>
          <w:szCs w:val="20"/>
        </w:rPr>
        <w:t>Ischemic endothelial edema and damage, vasospasm</w:t>
      </w:r>
      <w:r w:rsidRPr="009F0699">
        <w:rPr>
          <w:rFonts w:ascii="Times New Roman" w:hAnsi="Times New Roman" w:cs="Times New Roman"/>
          <w:color w:val="000000"/>
          <w:sz w:val="20"/>
          <w:szCs w:val="20"/>
          <w:lang w:bidi="ar-EG"/>
        </w:rPr>
        <w:t xml:space="preserve">, </w:t>
      </w:r>
      <w:r w:rsidRPr="009F0699">
        <w:rPr>
          <w:rFonts w:ascii="Times New Roman" w:hAnsi="Times New Roman" w:cs="Times New Roman"/>
          <w:color w:val="000000"/>
          <w:sz w:val="20"/>
          <w:szCs w:val="20"/>
        </w:rPr>
        <w:t>free oxygen radicals, and susceptibility of the coronary microcirculation to injury (</w:t>
      </w:r>
      <w:r w:rsidRPr="009F0699">
        <w:rPr>
          <w:rFonts w:ascii="Times New Roman" w:hAnsi="Times New Roman" w:cs="Times New Roman"/>
          <w:b/>
          <w:bCs/>
          <w:color w:val="000000"/>
          <w:sz w:val="20"/>
          <w:szCs w:val="20"/>
        </w:rPr>
        <w:t>20</w:t>
      </w:r>
      <w:r w:rsidRPr="009F0699">
        <w:rPr>
          <w:rFonts w:ascii="Times New Roman" w:hAnsi="Times New Roman" w:cs="Times New Roman"/>
          <w:color w:val="000000"/>
          <w:sz w:val="20"/>
          <w:szCs w:val="20"/>
        </w:rPr>
        <w:t xml:space="preserve">, </w:t>
      </w:r>
      <w:r w:rsidRPr="009F0699">
        <w:rPr>
          <w:rFonts w:ascii="Times New Roman" w:hAnsi="Times New Roman" w:cs="Times New Roman"/>
          <w:b/>
          <w:bCs/>
          <w:color w:val="000000"/>
          <w:sz w:val="20"/>
          <w:szCs w:val="20"/>
        </w:rPr>
        <w:t>21</w:t>
      </w:r>
      <w:r w:rsidRPr="009F0699">
        <w:rPr>
          <w:rFonts w:ascii="Times New Roman" w:hAnsi="Times New Roman" w:cs="Times New Roman"/>
          <w:color w:val="000000"/>
          <w:sz w:val="20"/>
          <w:szCs w:val="20"/>
        </w:rPr>
        <w:t xml:space="preserve">). The close interplay between inflammation, coagulation, and atherosclerosis progression has become a field of intensive research. An increased inflammatory activity in the setting of STEMI may be one of the underlying NRF mechanisms. In fact, an elevated leukocyte–platelet interaction at the site of the plaque rupture </w:t>
      </w:r>
      <w:r w:rsidRPr="009F0699">
        <w:rPr>
          <w:rFonts w:ascii="Times New Roman" w:hAnsi="Times New Roman" w:cs="Times New Roman"/>
          <w:color w:val="000000"/>
          <w:sz w:val="20"/>
          <w:szCs w:val="20"/>
        </w:rPr>
        <w:lastRenderedPageBreak/>
        <w:t xml:space="preserve">may play a negative role in distal myocardial reperfusion by activating further inflammation. </w:t>
      </w:r>
      <w:proofErr w:type="spellStart"/>
      <w:r w:rsidRPr="009F0699">
        <w:rPr>
          <w:rFonts w:ascii="Times New Roman" w:hAnsi="Times New Roman" w:cs="Times New Roman"/>
          <w:color w:val="000000"/>
          <w:sz w:val="20"/>
          <w:szCs w:val="20"/>
        </w:rPr>
        <w:t>Botto</w:t>
      </w:r>
      <w:proofErr w:type="spellEnd"/>
      <w:r w:rsidRPr="009F0699">
        <w:rPr>
          <w:rFonts w:ascii="Times New Roman" w:hAnsi="Times New Roman" w:cs="Times New Roman"/>
          <w:color w:val="000000"/>
          <w:sz w:val="20"/>
          <w:szCs w:val="20"/>
        </w:rPr>
        <w:t xml:space="preserve"> et al. (</w:t>
      </w:r>
      <w:r w:rsidRPr="009F0699">
        <w:rPr>
          <w:rFonts w:ascii="Times New Roman" w:hAnsi="Times New Roman" w:cs="Times New Roman"/>
          <w:b/>
          <w:bCs/>
          <w:color w:val="000000"/>
          <w:sz w:val="20"/>
          <w:szCs w:val="20"/>
        </w:rPr>
        <w:t>22</w:t>
      </w:r>
      <w:r w:rsidRPr="009F0699">
        <w:rPr>
          <w:rFonts w:ascii="Times New Roman" w:hAnsi="Times New Roman" w:cs="Times New Roman"/>
          <w:color w:val="000000"/>
          <w:sz w:val="20"/>
          <w:szCs w:val="20"/>
        </w:rPr>
        <w:t xml:space="preserve">) showed an increased leukocyte–platelet functional interaction in STEMI at the site of plaque rupture relative to the systemic circulation, which may be one of the pathogenic mechanisms liable for NRF phenomenon. Thus, both locally increased inflammatory markers and leukocyte–platelet </w:t>
      </w:r>
      <w:proofErr w:type="spellStart"/>
      <w:r w:rsidRPr="009F0699">
        <w:rPr>
          <w:rFonts w:ascii="Times New Roman" w:hAnsi="Times New Roman" w:cs="Times New Roman"/>
          <w:color w:val="000000"/>
          <w:sz w:val="20"/>
          <w:szCs w:val="20"/>
        </w:rPr>
        <w:t>coaggregates</w:t>
      </w:r>
      <w:proofErr w:type="spellEnd"/>
      <w:r w:rsidRPr="009F0699">
        <w:rPr>
          <w:rFonts w:ascii="Times New Roman" w:hAnsi="Times New Roman" w:cs="Times New Roman"/>
          <w:color w:val="000000"/>
          <w:sz w:val="20"/>
          <w:szCs w:val="20"/>
        </w:rPr>
        <w:t xml:space="preserve"> at the site of the plaque rupture may be pathogenic mechanisms responsible for the angiographic NRF phenomenon after p-PCI in STEMI patients. Effective risk stratification is integral to the management of patients with ACS (</w:t>
      </w:r>
      <w:r w:rsidRPr="009F0699">
        <w:rPr>
          <w:rFonts w:ascii="Times New Roman" w:hAnsi="Times New Roman" w:cs="Times New Roman"/>
          <w:b/>
          <w:bCs/>
          <w:color w:val="000000"/>
          <w:sz w:val="20"/>
          <w:szCs w:val="20"/>
        </w:rPr>
        <w:t>23</w:t>
      </w:r>
      <w:r w:rsidRPr="009F0699">
        <w:rPr>
          <w:rFonts w:ascii="Times New Roman" w:hAnsi="Times New Roman" w:cs="Times New Roman"/>
          <w:color w:val="000000"/>
          <w:sz w:val="20"/>
          <w:szCs w:val="20"/>
        </w:rPr>
        <w:t>). Even among patients with STEMI for whom initial therapeutic options are well-defined, patient risk characteristics can affect early therapeutic decision making (</w:t>
      </w:r>
      <w:r w:rsidRPr="009F0699">
        <w:rPr>
          <w:rFonts w:ascii="Times New Roman" w:hAnsi="Times New Roman" w:cs="Times New Roman"/>
          <w:b/>
          <w:bCs/>
          <w:color w:val="000000"/>
          <w:sz w:val="20"/>
          <w:szCs w:val="20"/>
        </w:rPr>
        <w:t>24</w:t>
      </w:r>
      <w:r w:rsidRPr="009F0699">
        <w:rPr>
          <w:rFonts w:ascii="Times New Roman" w:hAnsi="Times New Roman" w:cs="Times New Roman"/>
          <w:color w:val="000000"/>
          <w:sz w:val="20"/>
          <w:szCs w:val="20"/>
        </w:rPr>
        <w:t>–</w:t>
      </w:r>
      <w:r w:rsidRPr="009F0699">
        <w:rPr>
          <w:rFonts w:ascii="Times New Roman" w:hAnsi="Times New Roman" w:cs="Times New Roman"/>
          <w:b/>
          <w:bCs/>
          <w:color w:val="000000"/>
          <w:sz w:val="20"/>
          <w:szCs w:val="20"/>
        </w:rPr>
        <w:t>26</w:t>
      </w:r>
      <w:r w:rsidRPr="009F0699">
        <w:rPr>
          <w:rFonts w:ascii="Times New Roman" w:hAnsi="Times New Roman" w:cs="Times New Roman"/>
          <w:color w:val="000000"/>
          <w:sz w:val="20"/>
          <w:szCs w:val="20"/>
        </w:rPr>
        <w:t>).</w:t>
      </w:r>
    </w:p>
    <w:p w:rsidR="00D009F8" w:rsidRPr="009F0699" w:rsidRDefault="00D009F8" w:rsidP="00D009F8">
      <w:pPr>
        <w:widowControl w:val="0"/>
        <w:snapToGrid w:val="0"/>
        <w:spacing w:after="0" w:line="240" w:lineRule="auto"/>
        <w:jc w:val="center"/>
        <w:rPr>
          <w:rFonts w:ascii="Times New Roman" w:hAnsi="Times New Roman" w:cs="Times New Roman"/>
          <w:b/>
          <w:bCs/>
          <w:snapToGrid w:val="0"/>
          <w:color w:val="000000"/>
          <w:sz w:val="20"/>
          <w:szCs w:val="20"/>
          <w:lang w:eastAsia="zh-CN"/>
        </w:rPr>
        <w:sectPr w:rsidR="00D009F8" w:rsidRPr="009F0699" w:rsidSect="00D009F8">
          <w:type w:val="continuous"/>
          <w:pgSz w:w="12242" w:h="15842" w:code="1"/>
          <w:pgMar w:top="1440" w:right="1440" w:bottom="1440" w:left="1440" w:header="720" w:footer="720" w:gutter="0"/>
          <w:cols w:num="2" w:space="550"/>
          <w:docGrid w:linePitch="360"/>
        </w:sectPr>
      </w:pPr>
    </w:p>
    <w:p w:rsidR="00CC3693" w:rsidRPr="009F0699" w:rsidRDefault="00CC3693" w:rsidP="00D009F8">
      <w:pPr>
        <w:widowControl w:val="0"/>
        <w:snapToGrid w:val="0"/>
        <w:spacing w:after="0" w:line="240" w:lineRule="auto"/>
        <w:jc w:val="center"/>
        <w:rPr>
          <w:rFonts w:ascii="Times New Roman" w:hAnsi="Times New Roman" w:cs="Times New Roman"/>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E750D" w:rsidRPr="009F0699" w:rsidRDefault="009E750D" w:rsidP="00D009F8">
      <w:pPr>
        <w:widowControl w:val="0"/>
        <w:snapToGrid w:val="0"/>
        <w:spacing w:after="0" w:line="240" w:lineRule="auto"/>
        <w:jc w:val="center"/>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Table (</w:t>
      </w:r>
      <w:r w:rsidR="002E3AF9" w:rsidRPr="009F0699">
        <w:rPr>
          <w:rFonts w:ascii="Times New Roman" w:eastAsia="Times New Roman" w:hAnsi="Times New Roman" w:cs="Times New Roman"/>
          <w:b/>
          <w:bCs/>
          <w:snapToGrid w:val="0"/>
          <w:color w:val="000000"/>
          <w:sz w:val="20"/>
          <w:szCs w:val="20"/>
          <w:lang w:eastAsia="ar-SA"/>
        </w:rPr>
        <w:t>3</w:t>
      </w:r>
      <w:r w:rsidRPr="009F0699">
        <w:rPr>
          <w:rFonts w:ascii="Times New Roman" w:eastAsia="Times New Roman" w:hAnsi="Times New Roman" w:cs="Times New Roman"/>
          <w:b/>
          <w:b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Comparison between the studied groups regarding the clinical, ECG and laboratory data.</w:t>
      </w:r>
    </w:p>
    <w:tbl>
      <w:tblPr>
        <w:tblStyle w:val="GridTable3-Accent11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CellMar>
          <w:left w:w="57" w:type="dxa"/>
          <w:right w:w="57" w:type="dxa"/>
        </w:tblCellMar>
        <w:tblLook w:val="0000"/>
      </w:tblPr>
      <w:tblGrid>
        <w:gridCol w:w="3833"/>
        <w:gridCol w:w="1619"/>
        <w:gridCol w:w="1619"/>
        <w:gridCol w:w="1014"/>
        <w:gridCol w:w="1391"/>
      </w:tblGrid>
      <w:tr w:rsidR="00CC3693" w:rsidRPr="009F0699" w:rsidTr="00CC3693">
        <w:trPr>
          <w:cnfStyle w:val="000000100000"/>
          <w:jc w:val="center"/>
        </w:trPr>
        <w:tc>
          <w:tcPr>
            <w:cnfStyle w:val="000010000000"/>
            <w:tcW w:w="2023" w:type="pct"/>
            <w:tcBorders>
              <w:top w:val="single" w:sz="18"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Clinical, ECG and laboratory data</w:t>
            </w:r>
          </w:p>
        </w:tc>
        <w:tc>
          <w:tcPr>
            <w:tcW w:w="854" w:type="pct"/>
            <w:tcBorders>
              <w:top w:val="single" w:sz="18" w:space="0" w:color="000000"/>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A </w:t>
            </w:r>
          </w:p>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(Reflow)</w:t>
            </w:r>
          </w:p>
        </w:tc>
        <w:tc>
          <w:tcPr>
            <w:cnfStyle w:val="000010000000"/>
            <w:tcW w:w="854" w:type="pct"/>
            <w:tcBorders>
              <w:top w:val="single" w:sz="18" w:space="0" w:color="000000"/>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B </w:t>
            </w:r>
          </w:p>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(No-reflow)</w:t>
            </w:r>
          </w:p>
        </w:tc>
        <w:tc>
          <w:tcPr>
            <w:tcW w:w="535" w:type="pct"/>
            <w:vMerge w:val="restart"/>
            <w:tcBorders>
              <w:top w:val="single" w:sz="18" w:space="0" w:color="000000"/>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Test</w:t>
            </w:r>
          </w:p>
        </w:tc>
        <w:tc>
          <w:tcPr>
            <w:cnfStyle w:val="000010000000"/>
            <w:tcW w:w="734" w:type="pct"/>
            <w:vMerge w:val="restart"/>
            <w:tcBorders>
              <w:top w:val="single" w:sz="18"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P-value</w:t>
            </w:r>
          </w:p>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(Sig.)</w:t>
            </w:r>
          </w:p>
        </w:tc>
      </w:tr>
      <w:tr w:rsidR="00CC3693" w:rsidRPr="009F0699" w:rsidTr="00CC3693">
        <w:trPr>
          <w:jc w:val="center"/>
        </w:trPr>
        <w:tc>
          <w:tcPr>
            <w:cnfStyle w:val="000010000000"/>
            <w:tcW w:w="2023" w:type="pct"/>
            <w:tcBorders>
              <w:left w:val="single" w:sz="18" w:space="0" w:color="000000"/>
              <w:bottom w:val="double" w:sz="6" w:space="0" w:color="auto"/>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Count (%)</w:t>
            </w:r>
          </w:p>
        </w:tc>
        <w:tc>
          <w:tcPr>
            <w:tcW w:w="854" w:type="pct"/>
            <w:tcBorders>
              <w:left w:val="double" w:sz="4" w:space="0" w:color="auto"/>
              <w:bottom w:val="double" w:sz="6"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249 (78.1%)</w:t>
            </w:r>
          </w:p>
        </w:tc>
        <w:tc>
          <w:tcPr>
            <w:cnfStyle w:val="000010000000"/>
            <w:tcW w:w="854" w:type="pct"/>
            <w:tcBorders>
              <w:left w:val="single" w:sz="4" w:space="0" w:color="auto"/>
              <w:bottom w:val="double" w:sz="6"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70 (21.9%)</w:t>
            </w:r>
          </w:p>
        </w:tc>
        <w:tc>
          <w:tcPr>
            <w:tcW w:w="535" w:type="pct"/>
            <w:vMerge/>
            <w:tcBorders>
              <w:left w:val="double" w:sz="4" w:space="0" w:color="auto"/>
              <w:bottom w:val="double" w:sz="6"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double" w:sz="6"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cnfStyle w:val="000000100000"/>
          <w:jc w:val="center"/>
        </w:trPr>
        <w:tc>
          <w:tcPr>
            <w:cnfStyle w:val="000010000000"/>
            <w:tcW w:w="2023" w:type="pct"/>
            <w:tcBorders>
              <w:top w:val="double" w:sz="6" w:space="0" w:color="auto"/>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proofErr w:type="spellStart"/>
            <w:r w:rsidRPr="009F0699">
              <w:rPr>
                <w:rFonts w:ascii="Times New Roman" w:eastAsia="Times New Roman" w:hAnsi="Times New Roman" w:cs="Times New Roman"/>
                <w:b/>
                <w:bCs/>
                <w:snapToGrid w:val="0"/>
                <w:color w:val="000000"/>
                <w:sz w:val="20"/>
                <w:szCs w:val="20"/>
                <w:lang w:eastAsia="ar-SA"/>
              </w:rPr>
              <w:t>Killip</w:t>
            </w:r>
            <w:proofErr w:type="spellEnd"/>
            <w:r w:rsidRPr="009F0699">
              <w:rPr>
                <w:rFonts w:ascii="Times New Roman" w:eastAsia="Times New Roman" w:hAnsi="Times New Roman" w:cs="Times New Roman"/>
                <w:b/>
                <w:bCs/>
                <w:snapToGrid w:val="0"/>
                <w:color w:val="000000"/>
                <w:sz w:val="20"/>
                <w:szCs w:val="20"/>
                <w:lang w:eastAsia="ar-SA"/>
              </w:rPr>
              <w:t xml:space="preserve"> class</w:t>
            </w:r>
          </w:p>
        </w:tc>
        <w:tc>
          <w:tcPr>
            <w:tcW w:w="2977" w:type="pct"/>
            <w:gridSpan w:val="4"/>
            <w:tcBorders>
              <w:top w:val="double" w:sz="6" w:space="0" w:color="auto"/>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2023"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Class I</w:t>
            </w:r>
            <w:r w:rsidR="00CC3693" w:rsidRPr="009F0699">
              <w:rPr>
                <w:rFonts w:ascii="Times New Roman" w:eastAsia="Times New Roman" w:hAnsi="Times New Roman" w:cs="Times New Roman"/>
                <w:snapToGrid w:val="0"/>
                <w:color w:val="000000"/>
                <w:sz w:val="20"/>
                <w:szCs w:val="20"/>
                <w:lang w:eastAsia="ar-SA"/>
              </w:rPr>
              <w:t xml:space="preserve"> &amp; </w:t>
            </w:r>
            <w:r w:rsidRPr="009F0699">
              <w:rPr>
                <w:rFonts w:ascii="Times New Roman" w:eastAsia="Times New Roman" w:hAnsi="Times New Roman" w:cs="Times New Roman"/>
                <w:snapToGrid w:val="0"/>
                <w:color w:val="000000"/>
                <w:sz w:val="20"/>
                <w:szCs w:val="20"/>
                <w:lang w:eastAsia="ar-SA"/>
              </w:rPr>
              <w:t>II</w:t>
            </w:r>
          </w:p>
        </w:tc>
        <w:tc>
          <w:tcPr>
            <w:tcW w:w="854"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212 (85.1%)</w:t>
            </w:r>
          </w:p>
        </w:tc>
        <w:tc>
          <w:tcPr>
            <w:cnfStyle w:val="000010000000"/>
            <w:tcW w:w="854"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28 (40%)</w:t>
            </w:r>
          </w:p>
        </w:tc>
        <w:tc>
          <w:tcPr>
            <w:tcW w:w="535"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59.756 </w:t>
            </w:r>
            <w:r w:rsidRPr="009F0699">
              <w:rPr>
                <w:rFonts w:ascii="Times New Roman" w:hAnsi="Times New Roman" w:cs="Times New Roman"/>
                <w:snapToGrid w:val="0"/>
                <w:sz w:val="20"/>
                <w:szCs w:val="20"/>
                <w:lang w:eastAsia="ar-SA"/>
              </w:rPr>
              <w:t>‡</w:t>
            </w:r>
          </w:p>
        </w:tc>
        <w:tc>
          <w:tcPr>
            <w:cnfStyle w:val="000010000000"/>
            <w:tcW w:w="734"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cnfStyle w:val="000000100000"/>
          <w:jc w:val="center"/>
        </w:trPr>
        <w:tc>
          <w:tcPr>
            <w:cnfStyle w:val="000010000000"/>
            <w:tcW w:w="2023"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Class III</w:t>
            </w:r>
            <w:r w:rsidR="00CC3693" w:rsidRPr="009F0699">
              <w:rPr>
                <w:rFonts w:ascii="Times New Roman" w:eastAsia="Times New Roman" w:hAnsi="Times New Roman" w:cs="Times New Roman"/>
                <w:snapToGrid w:val="0"/>
                <w:color w:val="000000"/>
                <w:sz w:val="20"/>
                <w:szCs w:val="20"/>
                <w:lang w:eastAsia="ar-SA"/>
              </w:rPr>
              <w:t xml:space="preserve"> &amp; </w:t>
            </w:r>
            <w:r w:rsidRPr="009F0699">
              <w:rPr>
                <w:rFonts w:ascii="Times New Roman" w:eastAsia="Times New Roman" w:hAnsi="Times New Roman" w:cs="Times New Roman"/>
                <w:snapToGrid w:val="0"/>
                <w:color w:val="000000"/>
                <w:sz w:val="20"/>
                <w:szCs w:val="20"/>
                <w:lang w:eastAsia="ar-SA"/>
              </w:rPr>
              <w:t>IV</w:t>
            </w:r>
          </w:p>
        </w:tc>
        <w:tc>
          <w:tcPr>
            <w:tcW w:w="854"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37 (14.9%)</w:t>
            </w:r>
          </w:p>
        </w:tc>
        <w:tc>
          <w:tcPr>
            <w:cnfStyle w:val="000010000000"/>
            <w:tcW w:w="854"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42 (60%)</w:t>
            </w:r>
          </w:p>
        </w:tc>
        <w:tc>
          <w:tcPr>
            <w:tcW w:w="535"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jc w:val="center"/>
        </w:trPr>
        <w:tc>
          <w:tcPr>
            <w:cnfStyle w:val="000010000000"/>
            <w:tcW w:w="2023"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SBP (mmHg)</w:t>
            </w:r>
          </w:p>
        </w:tc>
        <w:tc>
          <w:tcPr>
            <w:tcW w:w="2977"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r>
      <w:tr w:rsidR="00CC3693" w:rsidRPr="009F0699" w:rsidTr="00CC3693">
        <w:trPr>
          <w:cnfStyle w:val="000000100000"/>
          <w:jc w:val="center"/>
        </w:trPr>
        <w:tc>
          <w:tcPr>
            <w:cnfStyle w:val="000010000000"/>
            <w:tcW w:w="2023"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854"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110.8 ± 18.7</w:t>
            </w:r>
          </w:p>
        </w:tc>
        <w:tc>
          <w:tcPr>
            <w:cnfStyle w:val="000010000000"/>
            <w:tcW w:w="854"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95.9 ± 11.4</w:t>
            </w:r>
          </w:p>
        </w:tc>
        <w:tc>
          <w:tcPr>
            <w:tcW w:w="535"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5.946 </w:t>
            </w:r>
            <w:r w:rsidRPr="009F0699">
              <w:rPr>
                <w:rFonts w:ascii="Times New Roman" w:hAnsi="Times New Roman" w:cs="Times New Roman"/>
                <w:color w:val="000000"/>
                <w:sz w:val="20"/>
                <w:szCs w:val="20"/>
                <w:lang w:bidi="ar-EG"/>
              </w:rPr>
              <w:t>•</w:t>
            </w:r>
          </w:p>
        </w:tc>
        <w:tc>
          <w:tcPr>
            <w:cnfStyle w:val="000010000000"/>
            <w:tcW w:w="734"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jc w:val="center"/>
        </w:trPr>
        <w:tc>
          <w:tcPr>
            <w:cnfStyle w:val="000010000000"/>
            <w:tcW w:w="2023"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854"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110 (80 – 190)</w:t>
            </w:r>
          </w:p>
        </w:tc>
        <w:tc>
          <w:tcPr>
            <w:cnfStyle w:val="000010000000"/>
            <w:tcW w:w="854"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90 (80 – 140)</w:t>
            </w:r>
          </w:p>
        </w:tc>
        <w:tc>
          <w:tcPr>
            <w:tcW w:w="535"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cnfStyle w:val="000000100000"/>
          <w:jc w:val="center"/>
        </w:trPr>
        <w:tc>
          <w:tcPr>
            <w:cnfStyle w:val="000010000000"/>
            <w:tcW w:w="2023"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Pulse (beat/min)</w:t>
            </w:r>
          </w:p>
        </w:tc>
        <w:tc>
          <w:tcPr>
            <w:tcW w:w="2977"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2023"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854"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88.8 ± 17.5</w:t>
            </w:r>
          </w:p>
        </w:tc>
        <w:tc>
          <w:tcPr>
            <w:cnfStyle w:val="000010000000"/>
            <w:tcW w:w="854"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96.0 ± 17.8</w:t>
            </w:r>
          </w:p>
        </w:tc>
        <w:tc>
          <w:tcPr>
            <w:tcW w:w="535"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-3.916 </w:t>
            </w:r>
            <w:r w:rsidRPr="009F0699">
              <w:rPr>
                <w:rFonts w:ascii="Times New Roman" w:hAnsi="Times New Roman" w:cs="Times New Roman"/>
                <w:color w:val="000000"/>
                <w:sz w:val="20"/>
                <w:szCs w:val="20"/>
                <w:lang w:bidi="ar-EG"/>
              </w:rPr>
              <w:t>•</w:t>
            </w:r>
          </w:p>
        </w:tc>
        <w:tc>
          <w:tcPr>
            <w:cnfStyle w:val="000010000000"/>
            <w:tcW w:w="734"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cnfStyle w:val="000000100000"/>
          <w:jc w:val="center"/>
        </w:trPr>
        <w:tc>
          <w:tcPr>
            <w:cnfStyle w:val="000010000000"/>
            <w:tcW w:w="2023"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854"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90 (45 – 130)</w:t>
            </w:r>
          </w:p>
        </w:tc>
        <w:tc>
          <w:tcPr>
            <w:cnfStyle w:val="000010000000"/>
            <w:tcW w:w="854"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100 (44 – 120)</w:t>
            </w:r>
          </w:p>
        </w:tc>
        <w:tc>
          <w:tcPr>
            <w:tcW w:w="535"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jc w:val="center"/>
        </w:trPr>
        <w:tc>
          <w:tcPr>
            <w:cnfStyle w:val="000010000000"/>
            <w:tcW w:w="2023"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Chest pain duration (hours)</w:t>
            </w:r>
          </w:p>
        </w:tc>
        <w:tc>
          <w:tcPr>
            <w:tcW w:w="2977"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r>
      <w:tr w:rsidR="00CC3693" w:rsidRPr="009F0699" w:rsidTr="00CC3693">
        <w:trPr>
          <w:cnfStyle w:val="000000100000"/>
          <w:jc w:val="center"/>
        </w:trPr>
        <w:tc>
          <w:tcPr>
            <w:cnfStyle w:val="000010000000"/>
            <w:tcW w:w="2023"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854"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4.5 ± 2.5</w:t>
            </w:r>
          </w:p>
        </w:tc>
        <w:tc>
          <w:tcPr>
            <w:cnfStyle w:val="000010000000"/>
            <w:tcW w:w="854"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5.0 ± 2.4</w:t>
            </w:r>
          </w:p>
        </w:tc>
        <w:tc>
          <w:tcPr>
            <w:tcW w:w="535"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-1.800 </w:t>
            </w:r>
            <w:r w:rsidRPr="009F0699">
              <w:rPr>
                <w:rFonts w:ascii="Times New Roman" w:hAnsi="Times New Roman" w:cs="Times New Roman"/>
                <w:color w:val="000000"/>
                <w:sz w:val="20"/>
                <w:szCs w:val="20"/>
                <w:lang w:bidi="ar-EG"/>
              </w:rPr>
              <w:t>•</w:t>
            </w:r>
          </w:p>
        </w:tc>
        <w:tc>
          <w:tcPr>
            <w:cnfStyle w:val="000010000000"/>
            <w:tcW w:w="734"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0.072</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CC3693" w:rsidRPr="009F0699" w:rsidTr="00CC3693">
        <w:trPr>
          <w:jc w:val="center"/>
        </w:trPr>
        <w:tc>
          <w:tcPr>
            <w:cnfStyle w:val="000010000000"/>
            <w:tcW w:w="2023"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854"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 (1 – 10.5)</w:t>
            </w:r>
          </w:p>
        </w:tc>
        <w:tc>
          <w:tcPr>
            <w:cnfStyle w:val="000010000000"/>
            <w:tcW w:w="854"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5.5 (1 – 9)</w:t>
            </w:r>
          </w:p>
        </w:tc>
        <w:tc>
          <w:tcPr>
            <w:tcW w:w="535"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cnfStyle w:val="000000100000"/>
          <w:jc w:val="center"/>
        </w:trPr>
        <w:tc>
          <w:tcPr>
            <w:cnfStyle w:val="000010000000"/>
            <w:tcW w:w="2023"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ECG</w:t>
            </w:r>
          </w:p>
        </w:tc>
        <w:tc>
          <w:tcPr>
            <w:tcW w:w="2977"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2023"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Non-anterior STEMI</w:t>
            </w:r>
          </w:p>
        </w:tc>
        <w:tc>
          <w:tcPr>
            <w:tcW w:w="854"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76 (30.5%)</w:t>
            </w:r>
          </w:p>
        </w:tc>
        <w:tc>
          <w:tcPr>
            <w:cnfStyle w:val="000010000000"/>
            <w:tcW w:w="854"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8 (11.4%)</w:t>
            </w:r>
          </w:p>
        </w:tc>
        <w:tc>
          <w:tcPr>
            <w:tcW w:w="535"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10.269 </w:t>
            </w:r>
            <w:r w:rsidRPr="009F0699">
              <w:rPr>
                <w:rFonts w:ascii="Times New Roman" w:hAnsi="Times New Roman" w:cs="Times New Roman"/>
                <w:snapToGrid w:val="0"/>
                <w:sz w:val="20"/>
                <w:szCs w:val="20"/>
                <w:lang w:eastAsia="ar-SA"/>
              </w:rPr>
              <w:t>‡</w:t>
            </w:r>
          </w:p>
        </w:tc>
        <w:tc>
          <w:tcPr>
            <w:cnfStyle w:val="000010000000"/>
            <w:tcW w:w="734"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(S)</w:t>
            </w:r>
          </w:p>
        </w:tc>
      </w:tr>
      <w:tr w:rsidR="00CC3693" w:rsidRPr="009F0699" w:rsidTr="00CC3693">
        <w:trPr>
          <w:cnfStyle w:val="000000100000"/>
          <w:jc w:val="center"/>
        </w:trPr>
        <w:tc>
          <w:tcPr>
            <w:cnfStyle w:val="000010000000"/>
            <w:tcW w:w="2023"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Anterior STEMI</w:t>
            </w:r>
          </w:p>
        </w:tc>
        <w:tc>
          <w:tcPr>
            <w:tcW w:w="854"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173 (69.5%)</w:t>
            </w:r>
          </w:p>
        </w:tc>
        <w:tc>
          <w:tcPr>
            <w:cnfStyle w:val="000010000000"/>
            <w:tcW w:w="854"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62 (88.6%)</w:t>
            </w:r>
          </w:p>
        </w:tc>
        <w:tc>
          <w:tcPr>
            <w:tcW w:w="535"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jc w:val="center"/>
        </w:trPr>
        <w:tc>
          <w:tcPr>
            <w:cnfStyle w:val="000010000000"/>
            <w:tcW w:w="2023"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CK-MB (U/L)</w:t>
            </w:r>
          </w:p>
        </w:tc>
        <w:tc>
          <w:tcPr>
            <w:tcW w:w="2977"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r>
      <w:tr w:rsidR="00CC3693" w:rsidRPr="009F0699" w:rsidTr="00CC3693">
        <w:trPr>
          <w:cnfStyle w:val="000000100000"/>
          <w:jc w:val="center"/>
        </w:trPr>
        <w:tc>
          <w:tcPr>
            <w:cnfStyle w:val="000010000000"/>
            <w:tcW w:w="2023"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854"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72.4 ± 45.4</w:t>
            </w:r>
          </w:p>
        </w:tc>
        <w:tc>
          <w:tcPr>
            <w:cnfStyle w:val="000010000000"/>
            <w:tcW w:w="854"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87.2 ± 52.5</w:t>
            </w:r>
          </w:p>
        </w:tc>
        <w:tc>
          <w:tcPr>
            <w:tcW w:w="535"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-2.229 </w:t>
            </w:r>
            <w:r w:rsidRPr="009F0699">
              <w:rPr>
                <w:rFonts w:ascii="Times New Roman" w:hAnsi="Times New Roman" w:cs="Times New Roman"/>
                <w:color w:val="000000"/>
                <w:sz w:val="20"/>
                <w:szCs w:val="20"/>
                <w:lang w:bidi="ar-EG"/>
              </w:rPr>
              <w:t>•</w:t>
            </w:r>
          </w:p>
        </w:tc>
        <w:tc>
          <w:tcPr>
            <w:cnfStyle w:val="000010000000"/>
            <w:tcW w:w="734"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0.026</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(S)</w:t>
            </w:r>
          </w:p>
        </w:tc>
      </w:tr>
      <w:tr w:rsidR="00CC3693" w:rsidRPr="009F0699" w:rsidTr="00CC3693">
        <w:trPr>
          <w:jc w:val="center"/>
        </w:trPr>
        <w:tc>
          <w:tcPr>
            <w:cnfStyle w:val="000010000000"/>
            <w:tcW w:w="2023"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854"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60 (12 – 200)</w:t>
            </w:r>
          </w:p>
        </w:tc>
        <w:tc>
          <w:tcPr>
            <w:cnfStyle w:val="000010000000"/>
            <w:tcW w:w="854"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73 (24 – 200)</w:t>
            </w:r>
          </w:p>
        </w:tc>
        <w:tc>
          <w:tcPr>
            <w:tcW w:w="535"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cnfStyle w:val="000000100000"/>
          <w:jc w:val="center"/>
        </w:trPr>
        <w:tc>
          <w:tcPr>
            <w:cnfStyle w:val="000010000000"/>
            <w:tcW w:w="2023"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proofErr w:type="spellStart"/>
            <w:r w:rsidRPr="009F0699">
              <w:rPr>
                <w:rFonts w:ascii="Times New Roman" w:eastAsia="Times New Roman" w:hAnsi="Times New Roman" w:cs="Times New Roman"/>
                <w:b/>
                <w:bCs/>
                <w:snapToGrid w:val="0"/>
                <w:color w:val="000000"/>
                <w:sz w:val="20"/>
                <w:szCs w:val="20"/>
                <w:lang w:eastAsia="ar-SA"/>
              </w:rPr>
              <w:t>Creatinine</w:t>
            </w:r>
            <w:proofErr w:type="spellEnd"/>
            <w:r w:rsidRPr="009F0699">
              <w:rPr>
                <w:rFonts w:ascii="Times New Roman" w:eastAsia="Times New Roman" w:hAnsi="Times New Roman" w:cs="Times New Roman"/>
                <w:b/>
                <w:bCs/>
                <w:snapToGrid w:val="0"/>
                <w:color w:val="000000"/>
                <w:sz w:val="20"/>
                <w:szCs w:val="20"/>
                <w:lang w:eastAsia="ar-SA"/>
              </w:rPr>
              <w:t xml:space="preserve"> (mg/</w:t>
            </w:r>
            <w:proofErr w:type="spellStart"/>
            <w:r w:rsidRPr="009F0699">
              <w:rPr>
                <w:rFonts w:ascii="Times New Roman" w:eastAsia="Times New Roman" w:hAnsi="Times New Roman" w:cs="Times New Roman"/>
                <w:b/>
                <w:bCs/>
                <w:snapToGrid w:val="0"/>
                <w:color w:val="000000"/>
                <w:sz w:val="20"/>
                <w:szCs w:val="20"/>
                <w:lang w:eastAsia="ar-SA"/>
              </w:rPr>
              <w:t>dL</w:t>
            </w:r>
            <w:proofErr w:type="spellEnd"/>
            <w:r w:rsidRPr="009F0699">
              <w:rPr>
                <w:rFonts w:ascii="Times New Roman" w:eastAsia="Times New Roman" w:hAnsi="Times New Roman" w:cs="Times New Roman"/>
                <w:b/>
                <w:bCs/>
                <w:snapToGrid w:val="0"/>
                <w:color w:val="000000"/>
                <w:sz w:val="20"/>
                <w:szCs w:val="20"/>
                <w:lang w:eastAsia="ar-SA"/>
              </w:rPr>
              <w:t>)</w:t>
            </w:r>
          </w:p>
        </w:tc>
        <w:tc>
          <w:tcPr>
            <w:tcW w:w="2977"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2023"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854"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0.94 ± 0.21</w:t>
            </w:r>
          </w:p>
        </w:tc>
        <w:tc>
          <w:tcPr>
            <w:cnfStyle w:val="000010000000"/>
            <w:tcW w:w="854"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0.92 ± 0.20</w:t>
            </w:r>
          </w:p>
        </w:tc>
        <w:tc>
          <w:tcPr>
            <w:tcW w:w="535"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0.078 </w:t>
            </w:r>
            <w:r w:rsidRPr="009F0699">
              <w:rPr>
                <w:rFonts w:ascii="Times New Roman" w:hAnsi="Times New Roman" w:cs="Times New Roman"/>
                <w:color w:val="000000"/>
                <w:sz w:val="20"/>
                <w:szCs w:val="20"/>
                <w:lang w:bidi="ar-EG"/>
              </w:rPr>
              <w:t>•</w:t>
            </w:r>
          </w:p>
        </w:tc>
        <w:tc>
          <w:tcPr>
            <w:cnfStyle w:val="000010000000"/>
            <w:tcW w:w="734"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0.938</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CC3693" w:rsidRPr="009F0699" w:rsidTr="00CC3693">
        <w:trPr>
          <w:cnfStyle w:val="000000100000"/>
          <w:jc w:val="center"/>
        </w:trPr>
        <w:tc>
          <w:tcPr>
            <w:cnfStyle w:val="000010000000"/>
            <w:tcW w:w="2023" w:type="pct"/>
            <w:tcBorders>
              <w:left w:val="single" w:sz="18" w:space="0" w:color="000000"/>
              <w:bottom w:val="single" w:sz="4" w:space="0" w:color="auto"/>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854" w:type="pct"/>
            <w:tcBorders>
              <w:left w:val="double" w:sz="4" w:space="0" w:color="auto"/>
              <w:bottom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0.9 (0.4 – 1.6)</w:t>
            </w:r>
          </w:p>
        </w:tc>
        <w:tc>
          <w:tcPr>
            <w:cnfStyle w:val="000010000000"/>
            <w:tcW w:w="854" w:type="pct"/>
            <w:tcBorders>
              <w:left w:val="single" w:sz="4" w:space="0" w:color="auto"/>
              <w:bottom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0.9 (0.4 – 1.6)</w:t>
            </w:r>
          </w:p>
        </w:tc>
        <w:tc>
          <w:tcPr>
            <w:tcW w:w="535" w:type="pct"/>
            <w:vMerge/>
            <w:tcBorders>
              <w:left w:val="double" w:sz="4" w:space="0" w:color="auto"/>
              <w:bottom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bl>
    <w:p w:rsidR="009E750D" w:rsidRPr="009F0699" w:rsidRDefault="009E750D" w:rsidP="00D009F8">
      <w:pPr>
        <w:snapToGrid w:val="0"/>
        <w:spacing w:after="0" w:line="240" w:lineRule="auto"/>
        <w:jc w:val="both"/>
        <w:rPr>
          <w:rFonts w:ascii="Times New Roman" w:hAnsi="Times New Roman" w:cs="Times New Roman"/>
          <w:color w:val="000000"/>
          <w:sz w:val="20"/>
          <w:szCs w:val="20"/>
          <w:lang w:bidi="ar-EG"/>
        </w:rPr>
      </w:pPr>
      <w:r w:rsidRPr="009F0699">
        <w:rPr>
          <w:rFonts w:ascii="Times New Roman" w:hAnsi="Times New Roman" w:cs="Times New Roman"/>
          <w:color w:val="000000"/>
          <w:sz w:val="20"/>
          <w:szCs w:val="20"/>
          <w:lang w:bidi="ar-EG"/>
        </w:rPr>
        <w:t>• Mann Whitney U test.</w:t>
      </w:r>
      <w:r w:rsidR="00CC3693" w:rsidRPr="009F0699">
        <w:rPr>
          <w:rFonts w:ascii="Times New Roman" w:hAnsi="Times New Roman" w:cs="Times New Roman"/>
          <w:color w:val="000000"/>
          <w:sz w:val="20"/>
          <w:szCs w:val="20"/>
          <w:lang w:bidi="ar-EG"/>
        </w:rPr>
        <w:t>,</w:t>
      </w:r>
      <w:r w:rsidR="00193E52" w:rsidRPr="009F0699">
        <w:rPr>
          <w:rFonts w:ascii="Times New Roman" w:hAnsi="Times New Roman" w:cs="Times New Roman"/>
          <w:snapToGrid w:val="0"/>
          <w:sz w:val="20"/>
          <w:szCs w:val="20"/>
          <w:lang w:eastAsia="ar-SA"/>
        </w:rPr>
        <w:t xml:space="preserve"> ‡</w:t>
      </w:r>
      <w:r w:rsidRPr="009F0699">
        <w:rPr>
          <w:rFonts w:ascii="Times New Roman" w:hAnsi="Times New Roman" w:cs="Times New Roman"/>
          <w:snapToGrid w:val="0"/>
          <w:sz w:val="20"/>
          <w:szCs w:val="20"/>
          <w:lang w:eastAsia="ar-SA"/>
        </w:rPr>
        <w:t xml:space="preserve"> </w:t>
      </w:r>
      <w:r w:rsidRPr="009F0699">
        <w:rPr>
          <w:rFonts w:ascii="Times New Roman" w:hAnsi="Times New Roman" w:cs="Times New Roman"/>
          <w:snapToGrid w:val="0"/>
          <w:sz w:val="20"/>
          <w:szCs w:val="20"/>
          <w:lang w:eastAsia="ar-SA" w:bidi="ar-EG"/>
        </w:rPr>
        <w:t>Chi-square test.</w:t>
      </w:r>
      <w:r w:rsidR="00CC3693" w:rsidRPr="009F0699">
        <w:rPr>
          <w:rFonts w:ascii="Times New Roman" w:hAnsi="Times New Roman" w:cs="Times New Roman"/>
          <w:color w:val="000000"/>
          <w:sz w:val="20"/>
          <w:szCs w:val="20"/>
          <w:lang w:bidi="ar-EG"/>
        </w:rPr>
        <w:t>,</w:t>
      </w:r>
      <w:r w:rsidR="00193E52" w:rsidRPr="009F0699">
        <w:rPr>
          <w:rFonts w:ascii="Times New Roman" w:eastAsia="Times New Roman" w:hAnsi="Times New Roman" w:cs="Times New Roman"/>
          <w:snapToGrid w:val="0"/>
          <w:color w:val="000000"/>
          <w:sz w:val="20"/>
          <w:szCs w:val="20"/>
          <w:lang w:eastAsia="ar-SA" w:bidi="ar-EG"/>
        </w:rPr>
        <w:t xml:space="preserve"> p</w:t>
      </w:r>
      <w:r w:rsidRPr="009F0699">
        <w:rPr>
          <w:rFonts w:ascii="Times New Roman" w:eastAsia="Times New Roman" w:hAnsi="Times New Roman" w:cs="Times New Roman"/>
          <w:snapToGrid w:val="0"/>
          <w:color w:val="000000"/>
          <w:sz w:val="20"/>
          <w:szCs w:val="20"/>
          <w:lang w:eastAsia="ar-SA" w:bidi="ar-EG"/>
        </w:rPr>
        <w:t>&lt; 0.05 is significant.</w:t>
      </w:r>
      <w:r w:rsidR="00CC3693" w:rsidRPr="009F0699">
        <w:rPr>
          <w:rFonts w:ascii="Times New Roman" w:hAnsi="Times New Roman" w:cs="Times New Roman"/>
          <w:color w:val="000000"/>
          <w:sz w:val="20"/>
          <w:szCs w:val="20"/>
          <w:lang w:bidi="ar-EG"/>
        </w:rPr>
        <w:t>,</w:t>
      </w:r>
      <w:r w:rsidR="00193E52" w:rsidRPr="009F0699">
        <w:rPr>
          <w:rFonts w:ascii="Times New Roman" w:eastAsia="Times New Roman" w:hAnsi="Times New Roman" w:cs="Times New Roman"/>
          <w:snapToGrid w:val="0"/>
          <w:color w:val="000000"/>
          <w:sz w:val="20"/>
          <w:szCs w:val="20"/>
          <w:lang w:eastAsia="ar-SA" w:bidi="ar-EG"/>
        </w:rPr>
        <w:t xml:space="preserve"> Sig</w:t>
      </w:r>
      <w:r w:rsidRPr="009F0699">
        <w:rPr>
          <w:rFonts w:ascii="Times New Roman" w:eastAsia="Times New Roman" w:hAnsi="Times New Roman" w:cs="Times New Roman"/>
          <w:snapToGrid w:val="0"/>
          <w:color w:val="000000"/>
          <w:sz w:val="20"/>
          <w:szCs w:val="20"/>
          <w:lang w:eastAsia="ar-SA" w:bidi="ar-EG"/>
        </w:rPr>
        <w:t>.: significance.</w:t>
      </w:r>
    </w:p>
    <w:p w:rsidR="00CC3693" w:rsidRPr="009F0699" w:rsidRDefault="00CC3693" w:rsidP="00D009F8">
      <w:pPr>
        <w:snapToGrid w:val="0"/>
        <w:spacing w:after="0" w:line="240" w:lineRule="auto"/>
        <w:ind w:firstLine="425"/>
        <w:jc w:val="both"/>
        <w:rPr>
          <w:rFonts w:ascii="Times New Roman" w:hAnsi="Times New Roman" w:cs="Times New Roman"/>
          <w:color w:val="000000"/>
          <w:sz w:val="20"/>
          <w:szCs w:val="20"/>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E750D" w:rsidRPr="009F0699" w:rsidRDefault="009E750D" w:rsidP="00D009F8">
      <w:pPr>
        <w:widowControl w:val="0"/>
        <w:snapToGrid w:val="0"/>
        <w:spacing w:after="0" w:line="240" w:lineRule="auto"/>
        <w:jc w:val="center"/>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Table (</w:t>
      </w:r>
      <w:r w:rsidR="00EE1DDD" w:rsidRPr="009F0699">
        <w:rPr>
          <w:rFonts w:ascii="Times New Roman" w:eastAsia="Times New Roman" w:hAnsi="Times New Roman" w:cs="Times New Roman"/>
          <w:b/>
          <w:bCs/>
          <w:snapToGrid w:val="0"/>
          <w:color w:val="000000"/>
          <w:sz w:val="20"/>
          <w:szCs w:val="20"/>
          <w:lang w:eastAsia="ar-SA"/>
        </w:rPr>
        <w:t>4</w:t>
      </w:r>
      <w:r w:rsidRPr="009F0699">
        <w:rPr>
          <w:rFonts w:ascii="Times New Roman" w:eastAsia="Times New Roman" w:hAnsi="Times New Roman" w:cs="Times New Roman"/>
          <w:b/>
          <w:b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Comparison between the studied groups regarding the coronary angiographic data.</w:t>
      </w:r>
    </w:p>
    <w:tbl>
      <w:tblPr>
        <w:tblStyle w:val="GridTable3-Accent11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CellMar>
          <w:left w:w="57" w:type="dxa"/>
          <w:right w:w="57" w:type="dxa"/>
        </w:tblCellMar>
        <w:tblLook w:val="0000"/>
      </w:tblPr>
      <w:tblGrid>
        <w:gridCol w:w="3554"/>
        <w:gridCol w:w="1554"/>
        <w:gridCol w:w="1539"/>
        <w:gridCol w:w="1275"/>
        <w:gridCol w:w="1554"/>
      </w:tblGrid>
      <w:tr w:rsidR="00CC3693" w:rsidRPr="009F0699" w:rsidTr="00CC3693">
        <w:trPr>
          <w:cnfStyle w:val="000000100000"/>
          <w:jc w:val="center"/>
        </w:trPr>
        <w:tc>
          <w:tcPr>
            <w:cnfStyle w:val="000010000000"/>
            <w:tcW w:w="1875" w:type="pct"/>
            <w:tcBorders>
              <w:top w:val="single" w:sz="18"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Coronary angiographic data</w:t>
            </w:r>
          </w:p>
        </w:tc>
        <w:tc>
          <w:tcPr>
            <w:tcW w:w="820" w:type="pct"/>
            <w:tcBorders>
              <w:top w:val="single" w:sz="18" w:space="0" w:color="000000"/>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A </w:t>
            </w:r>
          </w:p>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(Reflow)</w:t>
            </w:r>
          </w:p>
        </w:tc>
        <w:tc>
          <w:tcPr>
            <w:cnfStyle w:val="000010000000"/>
            <w:tcW w:w="812" w:type="pct"/>
            <w:tcBorders>
              <w:top w:val="single" w:sz="18" w:space="0" w:color="000000"/>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B </w:t>
            </w:r>
          </w:p>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(No-reflow)</w:t>
            </w:r>
          </w:p>
        </w:tc>
        <w:tc>
          <w:tcPr>
            <w:tcW w:w="673" w:type="pct"/>
            <w:vMerge w:val="restart"/>
            <w:tcBorders>
              <w:top w:val="single" w:sz="18" w:space="0" w:color="000000"/>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Test</w:t>
            </w:r>
          </w:p>
        </w:tc>
        <w:tc>
          <w:tcPr>
            <w:cnfStyle w:val="000010000000"/>
            <w:tcW w:w="821" w:type="pct"/>
            <w:vMerge w:val="restart"/>
            <w:tcBorders>
              <w:top w:val="single" w:sz="18"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P-value</w:t>
            </w:r>
          </w:p>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(Sig.)</w:t>
            </w:r>
          </w:p>
        </w:tc>
      </w:tr>
      <w:tr w:rsidR="00CC3693" w:rsidRPr="009F0699" w:rsidTr="00CC3693">
        <w:trPr>
          <w:jc w:val="center"/>
        </w:trPr>
        <w:tc>
          <w:tcPr>
            <w:cnfStyle w:val="000010000000"/>
            <w:tcW w:w="1875" w:type="pct"/>
            <w:tcBorders>
              <w:left w:val="single" w:sz="18" w:space="0" w:color="000000"/>
              <w:bottom w:val="double" w:sz="6" w:space="0" w:color="auto"/>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Count (%)</w:t>
            </w:r>
          </w:p>
        </w:tc>
        <w:tc>
          <w:tcPr>
            <w:tcW w:w="820" w:type="pct"/>
            <w:tcBorders>
              <w:left w:val="double" w:sz="4" w:space="0" w:color="auto"/>
              <w:bottom w:val="double" w:sz="6"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249 (78.1%)</w:t>
            </w:r>
          </w:p>
        </w:tc>
        <w:tc>
          <w:tcPr>
            <w:cnfStyle w:val="000010000000"/>
            <w:tcW w:w="812" w:type="pct"/>
            <w:tcBorders>
              <w:left w:val="single" w:sz="4" w:space="0" w:color="auto"/>
              <w:bottom w:val="double" w:sz="6"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70 (21.9%)</w:t>
            </w:r>
          </w:p>
        </w:tc>
        <w:tc>
          <w:tcPr>
            <w:tcW w:w="673" w:type="pct"/>
            <w:vMerge/>
            <w:tcBorders>
              <w:left w:val="double" w:sz="4" w:space="0" w:color="auto"/>
              <w:bottom w:val="double" w:sz="6"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821" w:type="pct"/>
            <w:vMerge/>
            <w:tcBorders>
              <w:bottom w:val="double" w:sz="6"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cnfStyle w:val="000000100000"/>
          <w:jc w:val="center"/>
        </w:trPr>
        <w:tc>
          <w:tcPr>
            <w:cnfStyle w:val="000010000000"/>
            <w:tcW w:w="1875" w:type="pct"/>
            <w:tcBorders>
              <w:top w:val="double" w:sz="6" w:space="0" w:color="auto"/>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The culprit artery</w:t>
            </w:r>
          </w:p>
        </w:tc>
        <w:tc>
          <w:tcPr>
            <w:tcW w:w="3125" w:type="pct"/>
            <w:gridSpan w:val="4"/>
            <w:tcBorders>
              <w:top w:val="double" w:sz="6" w:space="0" w:color="auto"/>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1875"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LAD</w:t>
            </w:r>
          </w:p>
        </w:tc>
        <w:tc>
          <w:tcPr>
            <w:tcW w:w="820"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172 (69.1%)</w:t>
            </w:r>
          </w:p>
        </w:tc>
        <w:tc>
          <w:tcPr>
            <w:cnfStyle w:val="000010000000"/>
            <w:tcW w:w="812"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59 (84.3%)</w:t>
            </w:r>
          </w:p>
        </w:tc>
        <w:tc>
          <w:tcPr>
            <w:tcW w:w="673"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9.338 </w:t>
            </w:r>
            <w:r w:rsidRPr="009F0699">
              <w:rPr>
                <w:rFonts w:ascii="Times New Roman" w:eastAsia="Calibri" w:hAnsi="Times New Roman" w:cs="Times New Roman"/>
                <w:snapToGrid w:val="0"/>
                <w:sz w:val="20"/>
                <w:szCs w:val="20"/>
                <w:lang w:eastAsia="ar-SA"/>
              </w:rPr>
              <w:t>‡</w:t>
            </w:r>
          </w:p>
        </w:tc>
        <w:tc>
          <w:tcPr>
            <w:cnfStyle w:val="000010000000"/>
            <w:tcW w:w="821"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0.009</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(S)</w:t>
            </w:r>
          </w:p>
        </w:tc>
      </w:tr>
      <w:tr w:rsidR="00CC3693" w:rsidRPr="009F0699" w:rsidTr="00CC3693">
        <w:trPr>
          <w:cnfStyle w:val="000000100000"/>
          <w:jc w:val="center"/>
        </w:trPr>
        <w:tc>
          <w:tcPr>
            <w:cnfStyle w:val="000010000000"/>
            <w:tcW w:w="1875"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LCX</w:t>
            </w:r>
          </w:p>
        </w:tc>
        <w:tc>
          <w:tcPr>
            <w:tcW w:w="820"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 (9.6%)</w:t>
            </w:r>
          </w:p>
        </w:tc>
        <w:tc>
          <w:tcPr>
            <w:cnfStyle w:val="000010000000"/>
            <w:tcW w:w="812"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 (4.2%)</w:t>
            </w:r>
          </w:p>
        </w:tc>
        <w:tc>
          <w:tcPr>
            <w:tcW w:w="673" w:type="pct"/>
            <w:vMerge/>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c>
          <w:tcPr>
            <w:cnfStyle w:val="000010000000"/>
            <w:tcW w:w="821" w:type="pct"/>
            <w:vMerge/>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highlight w:val="yellow"/>
                <w:lang w:eastAsia="ar-SA"/>
              </w:rPr>
            </w:pPr>
          </w:p>
        </w:tc>
      </w:tr>
      <w:tr w:rsidR="00CC3693" w:rsidRPr="009F0699" w:rsidTr="00CC3693">
        <w:trPr>
          <w:jc w:val="center"/>
        </w:trPr>
        <w:tc>
          <w:tcPr>
            <w:cnfStyle w:val="000010000000"/>
            <w:tcW w:w="1875"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RCA</w:t>
            </w:r>
          </w:p>
        </w:tc>
        <w:tc>
          <w:tcPr>
            <w:tcW w:w="820"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53 (21.3%)</w:t>
            </w:r>
          </w:p>
        </w:tc>
        <w:tc>
          <w:tcPr>
            <w:cnfStyle w:val="000010000000"/>
            <w:tcW w:w="812"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8 (11.4%)</w:t>
            </w:r>
          </w:p>
        </w:tc>
        <w:tc>
          <w:tcPr>
            <w:tcW w:w="673"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821"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cnfStyle w:val="000000100000"/>
          <w:jc w:val="center"/>
        </w:trPr>
        <w:tc>
          <w:tcPr>
            <w:cnfStyle w:val="000010000000"/>
            <w:tcW w:w="1875"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Number of vessels </w:t>
            </w:r>
          </w:p>
        </w:tc>
        <w:tc>
          <w:tcPr>
            <w:tcW w:w="3125"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1875"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One vessel </w:t>
            </w:r>
          </w:p>
        </w:tc>
        <w:tc>
          <w:tcPr>
            <w:tcW w:w="820"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140 (56.2%)</w:t>
            </w:r>
          </w:p>
        </w:tc>
        <w:tc>
          <w:tcPr>
            <w:cnfStyle w:val="000010000000"/>
            <w:tcW w:w="812"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31 (44.3%)</w:t>
            </w:r>
          </w:p>
        </w:tc>
        <w:tc>
          <w:tcPr>
            <w:tcW w:w="673"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3.132 </w:t>
            </w:r>
            <w:r w:rsidRPr="009F0699">
              <w:rPr>
                <w:rFonts w:ascii="Times New Roman" w:eastAsia="Calibri" w:hAnsi="Times New Roman" w:cs="Times New Roman"/>
                <w:snapToGrid w:val="0"/>
                <w:sz w:val="20"/>
                <w:szCs w:val="20"/>
                <w:lang w:eastAsia="ar-SA"/>
              </w:rPr>
              <w:t>‡</w:t>
            </w:r>
          </w:p>
        </w:tc>
        <w:tc>
          <w:tcPr>
            <w:cnfStyle w:val="000010000000"/>
            <w:tcW w:w="821"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0.077</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CC3693" w:rsidRPr="009F0699" w:rsidTr="00CC3693">
        <w:trPr>
          <w:cnfStyle w:val="000000100000"/>
          <w:jc w:val="center"/>
        </w:trPr>
        <w:tc>
          <w:tcPr>
            <w:cnfStyle w:val="000010000000"/>
            <w:tcW w:w="1875"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More than one vessel</w:t>
            </w:r>
          </w:p>
        </w:tc>
        <w:tc>
          <w:tcPr>
            <w:tcW w:w="820"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109 (43.8%)</w:t>
            </w:r>
          </w:p>
        </w:tc>
        <w:tc>
          <w:tcPr>
            <w:cnfStyle w:val="000010000000"/>
            <w:tcW w:w="812"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39 (55.7%)</w:t>
            </w:r>
          </w:p>
        </w:tc>
        <w:tc>
          <w:tcPr>
            <w:tcW w:w="673"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821"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jc w:val="center"/>
        </w:trPr>
        <w:tc>
          <w:tcPr>
            <w:cnfStyle w:val="000010000000"/>
            <w:tcW w:w="1875"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TIMI flow</w:t>
            </w:r>
          </w:p>
        </w:tc>
        <w:tc>
          <w:tcPr>
            <w:tcW w:w="3125"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r>
      <w:tr w:rsidR="00CC3693" w:rsidRPr="009F0699" w:rsidTr="00CC3693">
        <w:trPr>
          <w:cnfStyle w:val="000000100000"/>
          <w:jc w:val="center"/>
        </w:trPr>
        <w:tc>
          <w:tcPr>
            <w:cnfStyle w:val="000010000000"/>
            <w:tcW w:w="1875"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w:t>
            </w:r>
          </w:p>
        </w:tc>
        <w:tc>
          <w:tcPr>
            <w:tcW w:w="820"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 (0%)</w:t>
            </w:r>
          </w:p>
        </w:tc>
        <w:tc>
          <w:tcPr>
            <w:cnfStyle w:val="000010000000"/>
            <w:tcW w:w="812"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9 (12.9%)</w:t>
            </w:r>
          </w:p>
        </w:tc>
        <w:tc>
          <w:tcPr>
            <w:tcW w:w="673"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168.877 </w:t>
            </w:r>
            <w:r w:rsidRPr="009F0699">
              <w:rPr>
                <w:rFonts w:ascii="Times New Roman" w:eastAsia="Calibri" w:hAnsi="Times New Roman" w:cs="Times New Roman"/>
                <w:snapToGrid w:val="0"/>
                <w:color w:val="FF0000"/>
                <w:sz w:val="20"/>
                <w:szCs w:val="20"/>
                <w:lang w:eastAsia="ar-SA"/>
              </w:rPr>
              <w:t>‡</w:t>
            </w:r>
          </w:p>
        </w:tc>
        <w:tc>
          <w:tcPr>
            <w:cnfStyle w:val="000010000000"/>
            <w:tcW w:w="821"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jc w:val="center"/>
        </w:trPr>
        <w:tc>
          <w:tcPr>
            <w:cnfStyle w:val="000010000000"/>
            <w:tcW w:w="1875"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2 </w:t>
            </w:r>
          </w:p>
        </w:tc>
        <w:tc>
          <w:tcPr>
            <w:tcW w:w="820"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 (0%)</w:t>
            </w:r>
          </w:p>
        </w:tc>
        <w:tc>
          <w:tcPr>
            <w:cnfStyle w:val="000010000000"/>
            <w:tcW w:w="812"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37 (52.9%)</w:t>
            </w:r>
          </w:p>
        </w:tc>
        <w:tc>
          <w:tcPr>
            <w:tcW w:w="673" w:type="pct"/>
            <w:vMerge/>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c>
          <w:tcPr>
            <w:cnfStyle w:val="000010000000"/>
            <w:tcW w:w="821" w:type="pct"/>
            <w:vMerge/>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highlight w:val="yellow"/>
                <w:lang w:eastAsia="ar-SA"/>
              </w:rPr>
            </w:pPr>
          </w:p>
        </w:tc>
      </w:tr>
      <w:tr w:rsidR="00CC3693" w:rsidRPr="009F0699" w:rsidTr="00CC3693">
        <w:trPr>
          <w:cnfStyle w:val="000000100000"/>
          <w:jc w:val="center"/>
        </w:trPr>
        <w:tc>
          <w:tcPr>
            <w:cnfStyle w:val="000010000000"/>
            <w:tcW w:w="1875"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w:t>
            </w:r>
          </w:p>
        </w:tc>
        <w:tc>
          <w:tcPr>
            <w:tcW w:w="820"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249 (100%)</w:t>
            </w:r>
          </w:p>
        </w:tc>
        <w:tc>
          <w:tcPr>
            <w:cnfStyle w:val="000010000000"/>
            <w:tcW w:w="812"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 (34.2%)</w:t>
            </w:r>
          </w:p>
        </w:tc>
        <w:tc>
          <w:tcPr>
            <w:tcW w:w="673"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821"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jc w:val="center"/>
        </w:trPr>
        <w:tc>
          <w:tcPr>
            <w:cnfStyle w:val="000010000000"/>
            <w:tcW w:w="1875"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MBG</w:t>
            </w:r>
          </w:p>
        </w:tc>
        <w:tc>
          <w:tcPr>
            <w:tcW w:w="3125"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C00000"/>
                <w:sz w:val="20"/>
                <w:szCs w:val="20"/>
                <w:lang w:eastAsia="ar-SA"/>
              </w:rPr>
            </w:pPr>
            <w:r w:rsidRPr="009F0699">
              <w:rPr>
                <w:rFonts w:ascii="Times New Roman" w:eastAsia="Times New Roman" w:hAnsi="Times New Roman" w:cs="Times New Roman"/>
                <w:i/>
                <w:iCs/>
                <w:snapToGrid w:val="0"/>
                <w:color w:val="C00000"/>
                <w:sz w:val="20"/>
                <w:szCs w:val="20"/>
                <w:lang w:eastAsia="ar-SA"/>
              </w:rPr>
              <w:t>Only patients with TIMI 3 flow (N=273)</w:t>
            </w:r>
          </w:p>
        </w:tc>
      </w:tr>
      <w:tr w:rsidR="00CC3693" w:rsidRPr="009F0699" w:rsidTr="00CC3693">
        <w:trPr>
          <w:cnfStyle w:val="000000100000"/>
          <w:jc w:val="center"/>
        </w:trPr>
        <w:tc>
          <w:tcPr>
            <w:cnfStyle w:val="000010000000"/>
            <w:tcW w:w="1875"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 and 1</w:t>
            </w:r>
          </w:p>
        </w:tc>
        <w:tc>
          <w:tcPr>
            <w:tcW w:w="820"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 (0%)</w:t>
            </w:r>
          </w:p>
        </w:tc>
        <w:tc>
          <w:tcPr>
            <w:cnfStyle w:val="000010000000"/>
            <w:tcW w:w="812"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 (100%)</w:t>
            </w:r>
          </w:p>
        </w:tc>
        <w:tc>
          <w:tcPr>
            <w:tcW w:w="673"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273.000 </w:t>
            </w:r>
            <w:r w:rsidRPr="009F0699">
              <w:rPr>
                <w:rFonts w:ascii="Times New Roman" w:eastAsia="Calibri" w:hAnsi="Times New Roman" w:cs="Times New Roman"/>
                <w:snapToGrid w:val="0"/>
                <w:color w:val="FF0000"/>
                <w:sz w:val="20"/>
                <w:szCs w:val="20"/>
                <w:lang w:eastAsia="ar-SA"/>
              </w:rPr>
              <w:t>‡</w:t>
            </w:r>
          </w:p>
        </w:tc>
        <w:tc>
          <w:tcPr>
            <w:cnfStyle w:val="000010000000"/>
            <w:tcW w:w="821"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jc w:val="center"/>
        </w:trPr>
        <w:tc>
          <w:tcPr>
            <w:cnfStyle w:val="000010000000"/>
            <w:tcW w:w="1875"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 and 3</w:t>
            </w:r>
          </w:p>
        </w:tc>
        <w:tc>
          <w:tcPr>
            <w:tcW w:w="820"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249 (100%)</w:t>
            </w:r>
          </w:p>
        </w:tc>
        <w:tc>
          <w:tcPr>
            <w:cnfStyle w:val="000010000000"/>
            <w:tcW w:w="812"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 (0%)</w:t>
            </w:r>
          </w:p>
        </w:tc>
        <w:tc>
          <w:tcPr>
            <w:tcW w:w="673"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821"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bl>
    <w:p w:rsidR="0023314D" w:rsidRPr="009F0699" w:rsidRDefault="009E750D" w:rsidP="00D009F8">
      <w:pPr>
        <w:widowControl w:val="0"/>
        <w:snapToGrid w:val="0"/>
        <w:spacing w:after="0" w:line="240" w:lineRule="auto"/>
        <w:jc w:val="both"/>
        <w:rPr>
          <w:rFonts w:ascii="Times New Roman" w:hAnsi="Times New Roman" w:cs="Times New Roman" w:hint="eastAsia"/>
          <w:snapToGrid w:val="0"/>
          <w:color w:val="000000"/>
          <w:sz w:val="20"/>
          <w:szCs w:val="20"/>
          <w:lang w:eastAsia="zh-CN" w:bidi="ar-EG"/>
        </w:rPr>
      </w:pPr>
      <w:r w:rsidRPr="009F0699">
        <w:rPr>
          <w:rFonts w:ascii="Times New Roman" w:eastAsia="Calibri" w:hAnsi="Times New Roman" w:cs="Times New Roman"/>
          <w:snapToGrid w:val="0"/>
          <w:sz w:val="20"/>
          <w:szCs w:val="20"/>
          <w:lang w:eastAsia="ar-SA"/>
        </w:rPr>
        <w:t xml:space="preserve">‡ </w:t>
      </w:r>
      <w:r w:rsidRPr="009F0699">
        <w:rPr>
          <w:rFonts w:ascii="Times New Roman" w:eastAsia="Calibri" w:hAnsi="Times New Roman" w:cs="Times New Roman"/>
          <w:snapToGrid w:val="0"/>
          <w:sz w:val="20"/>
          <w:szCs w:val="20"/>
          <w:lang w:eastAsia="ar-SA" w:bidi="ar-EG"/>
        </w:rPr>
        <w:t>Chi-square test.</w:t>
      </w:r>
      <w:r w:rsidR="00CC3693" w:rsidRPr="009F0699">
        <w:rPr>
          <w:rFonts w:ascii="Times New Roman" w:eastAsia="Calibri" w:hAnsi="Times New Roman" w:cs="Times New Roman"/>
          <w:snapToGrid w:val="0"/>
          <w:sz w:val="20"/>
          <w:szCs w:val="20"/>
          <w:lang w:eastAsia="ar-SA" w:bidi="ar-EG"/>
        </w:rPr>
        <w:t>,</w:t>
      </w:r>
      <w:r w:rsidR="006F6B01" w:rsidRPr="009F0699">
        <w:rPr>
          <w:rFonts w:ascii="Times New Roman" w:eastAsia="Calibri" w:hAnsi="Times New Roman" w:cs="Times New Roman"/>
          <w:snapToGrid w:val="0"/>
          <w:color w:val="FF0000"/>
          <w:sz w:val="20"/>
          <w:szCs w:val="20"/>
          <w:lang w:eastAsia="ar-SA"/>
        </w:rPr>
        <w:t xml:space="preserve"> ‡</w:t>
      </w:r>
      <w:r w:rsidRPr="009F0699">
        <w:rPr>
          <w:rFonts w:ascii="Times New Roman" w:eastAsia="Calibri" w:hAnsi="Times New Roman" w:cs="Times New Roman"/>
          <w:snapToGrid w:val="0"/>
          <w:color w:val="FF0000"/>
          <w:sz w:val="20"/>
          <w:szCs w:val="20"/>
          <w:lang w:eastAsia="ar-SA"/>
        </w:rPr>
        <w:t xml:space="preserve"> </w:t>
      </w:r>
      <w:r w:rsidRPr="009F0699">
        <w:rPr>
          <w:rFonts w:ascii="Times New Roman" w:eastAsia="Calibri" w:hAnsi="Times New Roman" w:cs="Times New Roman"/>
          <w:snapToGrid w:val="0"/>
          <w:sz w:val="20"/>
          <w:szCs w:val="20"/>
          <w:lang w:eastAsia="ar-SA" w:bidi="ar-EG"/>
        </w:rPr>
        <w:t>Chi-square test using Linear-by-Linear Association.</w:t>
      </w:r>
      <w:r w:rsidR="00CC3693" w:rsidRPr="009F0699">
        <w:rPr>
          <w:rFonts w:ascii="Times New Roman" w:eastAsia="Calibri" w:hAnsi="Times New Roman" w:cs="Times New Roman"/>
          <w:snapToGrid w:val="0"/>
          <w:sz w:val="20"/>
          <w:szCs w:val="20"/>
          <w:lang w:eastAsia="ar-SA" w:bidi="ar-EG"/>
        </w:rPr>
        <w:t>,</w:t>
      </w:r>
      <w:r w:rsidR="006F6B01" w:rsidRPr="009F0699">
        <w:rPr>
          <w:rFonts w:ascii="Times New Roman" w:eastAsia="Times New Roman" w:hAnsi="Times New Roman" w:cs="Times New Roman"/>
          <w:snapToGrid w:val="0"/>
          <w:color w:val="000000"/>
          <w:sz w:val="20"/>
          <w:szCs w:val="20"/>
          <w:lang w:eastAsia="ar-SA" w:bidi="ar-EG"/>
        </w:rPr>
        <w:t xml:space="preserve"> p</w:t>
      </w:r>
      <w:r w:rsidRPr="009F0699">
        <w:rPr>
          <w:rFonts w:ascii="Times New Roman" w:eastAsia="Times New Roman" w:hAnsi="Times New Roman" w:cs="Times New Roman"/>
          <w:snapToGrid w:val="0"/>
          <w:color w:val="000000"/>
          <w:sz w:val="20"/>
          <w:szCs w:val="20"/>
          <w:lang w:eastAsia="ar-SA" w:bidi="ar-EG"/>
        </w:rPr>
        <w:t>&lt; 0.05 is significant.</w:t>
      </w:r>
      <w:r w:rsidR="00CC3693" w:rsidRPr="009F0699">
        <w:rPr>
          <w:rFonts w:ascii="Times New Roman" w:eastAsia="Calibri" w:hAnsi="Times New Roman" w:cs="Times New Roman"/>
          <w:snapToGrid w:val="0"/>
          <w:sz w:val="20"/>
          <w:szCs w:val="20"/>
          <w:lang w:eastAsia="ar-SA" w:bidi="ar-EG"/>
        </w:rPr>
        <w:t>,</w:t>
      </w:r>
      <w:r w:rsidR="006F6B01" w:rsidRPr="009F0699">
        <w:rPr>
          <w:rFonts w:ascii="Times New Roman" w:eastAsia="Times New Roman" w:hAnsi="Times New Roman" w:cs="Times New Roman"/>
          <w:snapToGrid w:val="0"/>
          <w:color w:val="000000"/>
          <w:sz w:val="20"/>
          <w:szCs w:val="20"/>
          <w:lang w:eastAsia="ar-SA" w:bidi="ar-EG"/>
        </w:rPr>
        <w:t xml:space="preserve"> Sig</w:t>
      </w:r>
      <w:r w:rsidRPr="009F0699">
        <w:rPr>
          <w:rFonts w:ascii="Times New Roman" w:eastAsia="Times New Roman" w:hAnsi="Times New Roman" w:cs="Times New Roman"/>
          <w:snapToGrid w:val="0"/>
          <w:color w:val="000000"/>
          <w:sz w:val="20"/>
          <w:szCs w:val="20"/>
          <w:lang w:eastAsia="ar-SA" w:bidi="ar-EG"/>
        </w:rPr>
        <w:t>.: significance.</w:t>
      </w:r>
    </w:p>
    <w:p w:rsidR="009F0699" w:rsidRPr="009F0699" w:rsidRDefault="009F0699" w:rsidP="00D009F8">
      <w:pPr>
        <w:widowControl w:val="0"/>
        <w:snapToGrid w:val="0"/>
        <w:spacing w:after="0" w:line="240" w:lineRule="auto"/>
        <w:jc w:val="both"/>
        <w:rPr>
          <w:rFonts w:ascii="Times New Roman" w:hAnsi="Times New Roman" w:cs="Times New Roman" w:hint="eastAsia"/>
          <w:snapToGrid w:val="0"/>
          <w:sz w:val="20"/>
          <w:szCs w:val="20"/>
          <w:lang w:eastAsia="zh-CN" w:bidi="ar-EG"/>
        </w:rPr>
      </w:pPr>
    </w:p>
    <w:p w:rsidR="009F0699" w:rsidRDefault="009F0699" w:rsidP="00D009F8">
      <w:pPr>
        <w:widowControl w:val="0"/>
        <w:snapToGrid w:val="0"/>
        <w:spacing w:after="0" w:line="240" w:lineRule="auto"/>
        <w:jc w:val="center"/>
        <w:rPr>
          <w:rFonts w:ascii="Times New Roman" w:hAnsi="Times New Roman" w:cs="Times New Roman" w:hint="eastAsia"/>
          <w:b/>
          <w:bCs/>
          <w:snapToGrid w:val="0"/>
          <w:color w:val="000000"/>
          <w:sz w:val="20"/>
          <w:szCs w:val="20"/>
          <w:lang w:eastAsia="zh-CN"/>
        </w:rPr>
      </w:pPr>
    </w:p>
    <w:p w:rsidR="009E750D" w:rsidRPr="009F0699" w:rsidRDefault="009E750D" w:rsidP="00D009F8">
      <w:pPr>
        <w:widowControl w:val="0"/>
        <w:snapToGrid w:val="0"/>
        <w:spacing w:after="0" w:line="240" w:lineRule="auto"/>
        <w:jc w:val="center"/>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Table (</w:t>
      </w:r>
      <w:r w:rsidR="00EE1DDD" w:rsidRPr="009F0699">
        <w:rPr>
          <w:rFonts w:ascii="Times New Roman" w:eastAsia="Times New Roman" w:hAnsi="Times New Roman" w:cs="Times New Roman"/>
          <w:b/>
          <w:bCs/>
          <w:snapToGrid w:val="0"/>
          <w:color w:val="000000"/>
          <w:sz w:val="20"/>
          <w:szCs w:val="20"/>
          <w:lang w:eastAsia="ar-SA"/>
        </w:rPr>
        <w:t>5</w:t>
      </w:r>
      <w:r w:rsidRPr="009F0699">
        <w:rPr>
          <w:rFonts w:ascii="Times New Roman" w:eastAsia="Times New Roman" w:hAnsi="Times New Roman" w:cs="Times New Roman"/>
          <w:b/>
          <w:b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Comparison between the studied groups regarding the in-hospital course.</w:t>
      </w:r>
    </w:p>
    <w:tbl>
      <w:tblPr>
        <w:tblStyle w:val="GridTable3-Accent11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CellMar>
          <w:left w:w="57" w:type="dxa"/>
          <w:right w:w="57" w:type="dxa"/>
        </w:tblCellMar>
        <w:tblLook w:val="0000"/>
      </w:tblPr>
      <w:tblGrid>
        <w:gridCol w:w="3790"/>
        <w:gridCol w:w="1518"/>
        <w:gridCol w:w="1503"/>
        <w:gridCol w:w="1141"/>
        <w:gridCol w:w="1524"/>
      </w:tblGrid>
      <w:tr w:rsidR="00CC3693" w:rsidRPr="009F0699" w:rsidTr="00CC3693">
        <w:trPr>
          <w:cnfStyle w:val="000000100000"/>
          <w:jc w:val="center"/>
        </w:trPr>
        <w:tc>
          <w:tcPr>
            <w:cnfStyle w:val="000010000000"/>
            <w:tcW w:w="2000" w:type="pct"/>
            <w:tcBorders>
              <w:top w:val="single" w:sz="18"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In-hospital course</w:t>
            </w:r>
          </w:p>
        </w:tc>
        <w:tc>
          <w:tcPr>
            <w:tcW w:w="801" w:type="pct"/>
            <w:tcBorders>
              <w:top w:val="single" w:sz="18" w:space="0" w:color="000000"/>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A </w:t>
            </w:r>
          </w:p>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(Reflow)</w:t>
            </w:r>
          </w:p>
        </w:tc>
        <w:tc>
          <w:tcPr>
            <w:cnfStyle w:val="000010000000"/>
            <w:tcW w:w="793" w:type="pct"/>
            <w:tcBorders>
              <w:top w:val="single" w:sz="18" w:space="0" w:color="000000"/>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 xml:space="preserve">Group B </w:t>
            </w:r>
          </w:p>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(No-reflow)</w:t>
            </w:r>
          </w:p>
        </w:tc>
        <w:tc>
          <w:tcPr>
            <w:tcW w:w="602" w:type="pct"/>
            <w:vMerge w:val="restart"/>
            <w:tcBorders>
              <w:top w:val="single" w:sz="18" w:space="0" w:color="000000"/>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Test</w:t>
            </w:r>
          </w:p>
        </w:tc>
        <w:tc>
          <w:tcPr>
            <w:cnfStyle w:val="000010000000"/>
            <w:tcW w:w="803" w:type="pct"/>
            <w:vMerge w:val="restart"/>
            <w:tcBorders>
              <w:top w:val="single" w:sz="18"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P-value</w:t>
            </w:r>
          </w:p>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(Sig.)</w:t>
            </w:r>
          </w:p>
        </w:tc>
      </w:tr>
      <w:tr w:rsidR="00CC3693" w:rsidRPr="009F0699" w:rsidTr="00CC3693">
        <w:trPr>
          <w:jc w:val="center"/>
        </w:trPr>
        <w:tc>
          <w:tcPr>
            <w:cnfStyle w:val="000010000000"/>
            <w:tcW w:w="2000" w:type="pct"/>
            <w:tcBorders>
              <w:left w:val="single" w:sz="18" w:space="0" w:color="000000"/>
              <w:bottom w:val="double" w:sz="6" w:space="0" w:color="auto"/>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Count (%)</w:t>
            </w:r>
          </w:p>
        </w:tc>
        <w:tc>
          <w:tcPr>
            <w:tcW w:w="801" w:type="pct"/>
            <w:tcBorders>
              <w:left w:val="double" w:sz="4" w:space="0" w:color="auto"/>
              <w:bottom w:val="double" w:sz="6"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249 (78.1%)</w:t>
            </w:r>
          </w:p>
        </w:tc>
        <w:tc>
          <w:tcPr>
            <w:cnfStyle w:val="000010000000"/>
            <w:tcW w:w="793" w:type="pct"/>
            <w:tcBorders>
              <w:left w:val="single" w:sz="4" w:space="0" w:color="auto"/>
              <w:bottom w:val="double" w:sz="6"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70 (21.9%)</w:t>
            </w:r>
          </w:p>
        </w:tc>
        <w:tc>
          <w:tcPr>
            <w:tcW w:w="602" w:type="pct"/>
            <w:vMerge/>
            <w:tcBorders>
              <w:left w:val="double" w:sz="4" w:space="0" w:color="auto"/>
              <w:bottom w:val="double" w:sz="6"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p>
        </w:tc>
        <w:tc>
          <w:tcPr>
            <w:cnfStyle w:val="000010000000"/>
            <w:tcW w:w="803" w:type="pct"/>
            <w:vMerge/>
            <w:tcBorders>
              <w:bottom w:val="double" w:sz="6"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cnfStyle w:val="000000100000"/>
          <w:jc w:val="center"/>
        </w:trPr>
        <w:tc>
          <w:tcPr>
            <w:cnfStyle w:val="000010000000"/>
            <w:tcW w:w="2000" w:type="pct"/>
            <w:tcBorders>
              <w:top w:val="double" w:sz="6" w:space="0" w:color="auto"/>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Hospitalization duration (days)</w:t>
            </w:r>
          </w:p>
        </w:tc>
        <w:tc>
          <w:tcPr>
            <w:tcW w:w="3000" w:type="pct"/>
            <w:gridSpan w:val="4"/>
            <w:tcBorders>
              <w:top w:val="double" w:sz="6" w:space="0" w:color="auto"/>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p>
        </w:tc>
      </w:tr>
      <w:tr w:rsidR="00CC3693" w:rsidRPr="009F0699" w:rsidTr="00CC3693">
        <w:trPr>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Mean ± SD</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3.5 ± 1.3</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3.7 ± 1.3</w:t>
            </w:r>
          </w:p>
        </w:tc>
        <w:tc>
          <w:tcPr>
            <w:tcW w:w="602" w:type="pct"/>
            <w:vMerge w:val="restar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-1.496 </w:t>
            </w:r>
            <w:r w:rsidRPr="009F0699">
              <w:rPr>
                <w:rFonts w:ascii="Times New Roman" w:eastAsia="Calibri" w:hAnsi="Times New Roman" w:cs="Times New Roman"/>
                <w:color w:val="000000"/>
                <w:sz w:val="20"/>
                <w:szCs w:val="20"/>
                <w:lang w:bidi="ar-EG"/>
              </w:rPr>
              <w:t>•</w:t>
            </w:r>
          </w:p>
        </w:tc>
        <w:tc>
          <w:tcPr>
            <w:cnfStyle w:val="000010000000"/>
            <w:tcW w:w="803" w:type="pct"/>
            <w:vMerge w:val="restar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0.135</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CC3693" w:rsidRPr="009F0699" w:rsidTr="00CC3693">
        <w:trPr>
          <w:cnfStyle w:val="000000100000"/>
          <w:jc w:val="center"/>
        </w:trPr>
        <w:tc>
          <w:tcPr>
            <w:cnfStyle w:val="000010000000"/>
            <w:tcW w:w="2000" w:type="pct"/>
            <w:tcBorders>
              <w:left w:val="single" w:sz="18" w:space="0" w:color="000000"/>
              <w:bottom w:val="single" w:sz="12"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Median (Range)</w:t>
            </w:r>
          </w:p>
        </w:tc>
        <w:tc>
          <w:tcPr>
            <w:tcW w:w="801" w:type="pct"/>
            <w:tcBorders>
              <w:left w:val="doub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 (0 – 10)</w:t>
            </w:r>
          </w:p>
        </w:tc>
        <w:tc>
          <w:tcPr>
            <w:cnfStyle w:val="000010000000"/>
            <w:tcW w:w="793" w:type="pct"/>
            <w:tcBorders>
              <w:left w:val="single" w:sz="4" w:space="0" w:color="auto"/>
              <w:bottom w:val="single" w:sz="12" w:space="0" w:color="000000"/>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 (2.5 – 8)</w:t>
            </w:r>
          </w:p>
        </w:tc>
        <w:tc>
          <w:tcPr>
            <w:tcW w:w="602" w:type="pct"/>
            <w:vMerge/>
            <w:tcBorders>
              <w:left w:val="double" w:sz="4" w:space="0" w:color="auto"/>
              <w:bottom w:val="single" w:sz="12"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p>
        </w:tc>
        <w:tc>
          <w:tcPr>
            <w:cnfStyle w:val="000010000000"/>
            <w:tcW w:w="803" w:type="pct"/>
            <w:vMerge/>
            <w:tcBorders>
              <w:bottom w:val="single" w:sz="12" w:space="0" w:color="000000"/>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p>
        </w:tc>
      </w:tr>
      <w:tr w:rsidR="009E750D" w:rsidRPr="009F0699" w:rsidTr="00CC3693">
        <w:trPr>
          <w:jc w:val="center"/>
        </w:trPr>
        <w:tc>
          <w:tcPr>
            <w:cnfStyle w:val="000010000000"/>
            <w:tcW w:w="2000" w:type="pct"/>
            <w:tcBorders>
              <w:top w:val="single" w:sz="12" w:space="0" w:color="000000"/>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b/>
                <w:bCs/>
                <w:i/>
                <w:iCs/>
                <w:snapToGrid w:val="0"/>
                <w:color w:val="000000"/>
                <w:sz w:val="20"/>
                <w:szCs w:val="20"/>
                <w:lang w:eastAsia="ar-SA"/>
              </w:rPr>
            </w:pPr>
            <w:r w:rsidRPr="009F0699">
              <w:rPr>
                <w:rFonts w:ascii="Times New Roman" w:eastAsia="Times New Roman" w:hAnsi="Times New Roman" w:cs="Times New Roman"/>
                <w:b/>
                <w:bCs/>
                <w:snapToGrid w:val="0"/>
                <w:color w:val="000000"/>
                <w:sz w:val="20"/>
                <w:szCs w:val="20"/>
                <w:lang w:eastAsia="ar-SA"/>
              </w:rPr>
              <w:t>In-hospital MACE</w:t>
            </w:r>
          </w:p>
        </w:tc>
        <w:tc>
          <w:tcPr>
            <w:tcW w:w="3000" w:type="pct"/>
            <w:gridSpan w:val="4"/>
            <w:tcBorders>
              <w:top w:val="single" w:sz="12" w:space="0" w:color="000000"/>
              <w:left w:val="double" w:sz="4" w:space="0" w:color="auto"/>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p>
        </w:tc>
      </w:tr>
      <w:tr w:rsidR="00CC3693" w:rsidRPr="009F0699" w:rsidTr="00CC3693">
        <w:trPr>
          <w:cnfStyle w:val="000000100000"/>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Advanced HF</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 (1.2%)</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11 (15.7%)</w:t>
            </w:r>
          </w:p>
        </w:tc>
        <w:tc>
          <w:tcPr>
            <w:tcW w:w="602" w:type="pc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27.413 </w:t>
            </w:r>
            <w:r w:rsidRPr="009F0699">
              <w:rPr>
                <w:rFonts w:ascii="Times New Roman" w:eastAsia="Calibri" w:hAnsi="Times New Roman" w:cs="Times New Roman"/>
                <w:b/>
                <w:bCs/>
                <w:color w:val="FF0000"/>
                <w:sz w:val="20"/>
                <w:szCs w:val="20"/>
              </w:rPr>
              <w:t>F</w:t>
            </w:r>
          </w:p>
        </w:tc>
        <w:tc>
          <w:tcPr>
            <w:cnfStyle w:val="000010000000"/>
            <w:tcW w:w="803" w:type="pc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i/>
                <w:iCs/>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Pulmonary edema </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12 (4.8%)</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13 (18.6%)</w:t>
            </w:r>
          </w:p>
        </w:tc>
        <w:tc>
          <w:tcPr>
            <w:tcW w:w="602" w:type="pc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14.307 </w:t>
            </w:r>
            <w:r w:rsidRPr="009F0699">
              <w:rPr>
                <w:rFonts w:ascii="Times New Roman" w:eastAsia="Calibri" w:hAnsi="Times New Roman" w:cs="Times New Roman"/>
                <w:snapToGrid w:val="0"/>
                <w:sz w:val="20"/>
                <w:szCs w:val="20"/>
                <w:lang w:eastAsia="ar-SA"/>
              </w:rPr>
              <w:t>‡</w:t>
            </w:r>
          </w:p>
        </w:tc>
        <w:tc>
          <w:tcPr>
            <w:cnfStyle w:val="000010000000"/>
            <w:tcW w:w="803" w:type="pc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cnfStyle w:val="000000100000"/>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proofErr w:type="spellStart"/>
            <w:r w:rsidRPr="009F0699">
              <w:rPr>
                <w:rFonts w:ascii="Times New Roman" w:eastAsia="Times New Roman" w:hAnsi="Times New Roman" w:cs="Times New Roman"/>
                <w:snapToGrid w:val="0"/>
                <w:color w:val="000000"/>
                <w:sz w:val="20"/>
                <w:szCs w:val="20"/>
                <w:lang w:eastAsia="ar-SA"/>
              </w:rPr>
              <w:t>Cardiogenic</w:t>
            </w:r>
            <w:proofErr w:type="spellEnd"/>
            <w:r w:rsidRPr="009F0699">
              <w:rPr>
                <w:rFonts w:ascii="Times New Roman" w:eastAsia="Times New Roman" w:hAnsi="Times New Roman" w:cs="Times New Roman"/>
                <w:snapToGrid w:val="0"/>
                <w:color w:val="000000"/>
                <w:sz w:val="20"/>
                <w:szCs w:val="20"/>
                <w:lang w:eastAsia="ar-SA"/>
              </w:rPr>
              <w:t xml:space="preserve"> shock</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 (0.4%)</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12 (17.1%)</w:t>
            </w:r>
          </w:p>
        </w:tc>
        <w:tc>
          <w:tcPr>
            <w:tcW w:w="602" w:type="pc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39.174 </w:t>
            </w:r>
            <w:r w:rsidRPr="009F0699">
              <w:rPr>
                <w:rFonts w:ascii="Times New Roman" w:eastAsia="Calibri" w:hAnsi="Times New Roman" w:cs="Times New Roman"/>
                <w:b/>
                <w:bCs/>
                <w:color w:val="FF0000"/>
                <w:sz w:val="20"/>
                <w:szCs w:val="20"/>
              </w:rPr>
              <w:t>F</w:t>
            </w:r>
          </w:p>
        </w:tc>
        <w:tc>
          <w:tcPr>
            <w:cnfStyle w:val="000010000000"/>
            <w:tcW w:w="803" w:type="pc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&lt;0.001</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(HS)</w:t>
            </w:r>
          </w:p>
        </w:tc>
      </w:tr>
      <w:tr w:rsidR="00CC3693" w:rsidRPr="009F0699" w:rsidTr="00CC3693">
        <w:trPr>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Complete AV block</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8 (3.2%)</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 (8.6%)</w:t>
            </w:r>
          </w:p>
        </w:tc>
        <w:tc>
          <w:tcPr>
            <w:tcW w:w="602" w:type="pc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3.739 </w:t>
            </w:r>
            <w:r w:rsidRPr="009F0699">
              <w:rPr>
                <w:rFonts w:ascii="Times New Roman" w:eastAsia="Calibri" w:hAnsi="Times New Roman" w:cs="Times New Roman"/>
                <w:b/>
                <w:bCs/>
                <w:color w:val="FF0000"/>
                <w:sz w:val="20"/>
                <w:szCs w:val="20"/>
              </w:rPr>
              <w:t>F</w:t>
            </w:r>
          </w:p>
        </w:tc>
        <w:tc>
          <w:tcPr>
            <w:cnfStyle w:val="000010000000"/>
            <w:tcW w:w="803" w:type="pc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0.090</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CC3693" w:rsidRPr="009F0699" w:rsidTr="00CC3693">
        <w:trPr>
          <w:cnfStyle w:val="000000100000"/>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Ventricular arrhythmia</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14 (5.6%)</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4 (5.7%)</w:t>
            </w:r>
          </w:p>
        </w:tc>
        <w:tc>
          <w:tcPr>
            <w:tcW w:w="602" w:type="pc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0.001 </w:t>
            </w:r>
            <w:r w:rsidRPr="009F0699">
              <w:rPr>
                <w:rFonts w:ascii="Times New Roman" w:eastAsia="Calibri" w:hAnsi="Times New Roman" w:cs="Times New Roman"/>
                <w:b/>
                <w:bCs/>
                <w:color w:val="FF0000"/>
                <w:sz w:val="20"/>
                <w:szCs w:val="20"/>
              </w:rPr>
              <w:t>F</w:t>
            </w:r>
          </w:p>
        </w:tc>
        <w:tc>
          <w:tcPr>
            <w:cnfStyle w:val="000010000000"/>
            <w:tcW w:w="803" w:type="pc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1.00</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(NS)</w:t>
            </w:r>
          </w:p>
        </w:tc>
      </w:tr>
      <w:tr w:rsidR="00CC3693" w:rsidRPr="009F0699" w:rsidTr="00CC3693">
        <w:trPr>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CPR</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9 (3.6%)</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7 (10%)</w:t>
            </w:r>
          </w:p>
        </w:tc>
        <w:tc>
          <w:tcPr>
            <w:tcW w:w="602" w:type="pc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0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14.716 </w:t>
            </w:r>
            <w:r w:rsidRPr="009F0699">
              <w:rPr>
                <w:rFonts w:ascii="Times New Roman" w:eastAsia="Times New Roman" w:hAnsi="Times New Roman" w:cs="Times New Roman"/>
                <w:b/>
                <w:bCs/>
                <w:snapToGrid w:val="0"/>
                <w:color w:val="FF0000"/>
                <w:sz w:val="20"/>
                <w:szCs w:val="20"/>
                <w:lang w:eastAsia="ar-SA"/>
              </w:rPr>
              <w:t>F</w:t>
            </w:r>
          </w:p>
        </w:tc>
        <w:tc>
          <w:tcPr>
            <w:cnfStyle w:val="000010000000"/>
            <w:tcW w:w="803" w:type="pc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0.004</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(S)</w:t>
            </w:r>
          </w:p>
        </w:tc>
      </w:tr>
      <w:tr w:rsidR="00CC3693" w:rsidRPr="009F0699" w:rsidTr="00CC3693">
        <w:trPr>
          <w:cnfStyle w:val="000000100000"/>
          <w:jc w:val="center"/>
        </w:trPr>
        <w:tc>
          <w:tcPr>
            <w:cnfStyle w:val="000010000000"/>
            <w:tcW w:w="2000" w:type="pct"/>
            <w:tcBorders>
              <w:left w:val="single" w:sz="18" w:space="0" w:color="000000"/>
              <w:righ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Mortality </w:t>
            </w:r>
          </w:p>
        </w:tc>
        <w:tc>
          <w:tcPr>
            <w:tcW w:w="801" w:type="pct"/>
            <w:tcBorders>
              <w:left w:val="doub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3 (1.2%)</w:t>
            </w:r>
          </w:p>
        </w:tc>
        <w:tc>
          <w:tcPr>
            <w:cnfStyle w:val="000010000000"/>
            <w:tcW w:w="793" w:type="pct"/>
            <w:tcBorders>
              <w:left w:val="single" w:sz="4" w:space="0" w:color="auto"/>
              <w:right w:val="sing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6 (8.6%)</w:t>
            </w:r>
          </w:p>
        </w:tc>
        <w:tc>
          <w:tcPr>
            <w:tcW w:w="602" w:type="pct"/>
            <w:tcBorders>
              <w:left w:val="double" w:sz="4" w:space="0" w:color="auto"/>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cnfStyle w:val="000000100000"/>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lang w:eastAsia="ar-SA"/>
              </w:rPr>
              <w:t xml:space="preserve">10.815 </w:t>
            </w:r>
            <w:r w:rsidRPr="009F0699">
              <w:rPr>
                <w:rFonts w:ascii="Times New Roman" w:eastAsia="Calibri" w:hAnsi="Times New Roman" w:cs="Times New Roman"/>
                <w:b/>
                <w:bCs/>
                <w:color w:val="FF0000"/>
                <w:sz w:val="20"/>
                <w:szCs w:val="20"/>
              </w:rPr>
              <w:t>F</w:t>
            </w:r>
          </w:p>
        </w:tc>
        <w:tc>
          <w:tcPr>
            <w:cnfStyle w:val="000010000000"/>
            <w:tcW w:w="803" w:type="pct"/>
            <w:tcBorders>
              <w:right w:val="single" w:sz="18" w:space="0" w:color="000000"/>
            </w:tcBorders>
            <w:shd w:val="clear" w:color="auto" w:fill="FFFFFF" w:themeFill="background1"/>
            <w:vAlign w:val="center"/>
          </w:tcPr>
          <w:p w:rsidR="009E750D" w:rsidRPr="009F0699" w:rsidRDefault="009E750D" w:rsidP="00D009F8">
            <w:pPr>
              <w:widowControl w:val="0"/>
              <w:autoSpaceDE w:val="0"/>
              <w:autoSpaceDN w:val="0"/>
              <w:adjustRightInd w:val="0"/>
              <w:snapToGrid w:val="0"/>
              <w:jc w:val="both"/>
              <w:rPr>
                <w:rFonts w:ascii="Times New Roman" w:eastAsia="Times New Roman" w:hAnsi="Times New Roman" w:cs="Times New Roman"/>
                <w:snapToGrid w:val="0"/>
                <w:color w:val="000000"/>
                <w:sz w:val="20"/>
                <w:szCs w:val="20"/>
                <w:lang w:eastAsia="ar-SA"/>
              </w:rPr>
            </w:pPr>
            <w:r w:rsidRPr="009F0699">
              <w:rPr>
                <w:rFonts w:ascii="Times New Roman" w:eastAsia="Times New Roman" w:hAnsi="Times New Roman" w:cs="Times New Roman"/>
                <w:snapToGrid w:val="0"/>
                <w:color w:val="000000"/>
                <w:sz w:val="20"/>
                <w:szCs w:val="20"/>
                <w:highlight w:val="yellow"/>
                <w:lang w:eastAsia="ar-SA"/>
              </w:rPr>
              <w:t>0.004</w:t>
            </w:r>
            <w:r w:rsidRPr="009F0699">
              <w:rPr>
                <w:rFonts w:ascii="Times New Roman" w:eastAsia="Times New Roman" w:hAnsi="Times New Roman" w:cs="Times New Roman"/>
                <w:i/>
                <w:iCs/>
                <w:snapToGrid w:val="0"/>
                <w:color w:val="000000"/>
                <w:sz w:val="20"/>
                <w:szCs w:val="20"/>
                <w:lang w:eastAsia="ar-SA"/>
              </w:rPr>
              <w:t xml:space="preserve"> </w:t>
            </w:r>
            <w:r w:rsidRPr="009F0699">
              <w:rPr>
                <w:rFonts w:ascii="Times New Roman" w:eastAsia="Times New Roman" w:hAnsi="Times New Roman" w:cs="Times New Roman"/>
                <w:snapToGrid w:val="0"/>
                <w:color w:val="000000"/>
                <w:sz w:val="20"/>
                <w:szCs w:val="20"/>
                <w:lang w:eastAsia="ar-SA"/>
              </w:rPr>
              <w:t>(S)</w:t>
            </w:r>
          </w:p>
        </w:tc>
      </w:tr>
    </w:tbl>
    <w:p w:rsidR="009E750D" w:rsidRPr="009F0699" w:rsidRDefault="009E750D" w:rsidP="00D009F8">
      <w:pPr>
        <w:snapToGrid w:val="0"/>
        <w:spacing w:after="0" w:line="240" w:lineRule="auto"/>
        <w:jc w:val="both"/>
        <w:rPr>
          <w:rFonts w:ascii="Times New Roman" w:eastAsia="Calibri" w:hAnsi="Times New Roman" w:cs="Times New Roman"/>
          <w:color w:val="000000"/>
          <w:sz w:val="20"/>
          <w:szCs w:val="20"/>
          <w:lang w:bidi="ar-EG"/>
        </w:rPr>
      </w:pPr>
      <w:r w:rsidRPr="009F0699">
        <w:rPr>
          <w:rFonts w:ascii="Times New Roman" w:eastAsia="Calibri" w:hAnsi="Times New Roman" w:cs="Times New Roman"/>
          <w:color w:val="000000"/>
          <w:sz w:val="20"/>
          <w:szCs w:val="20"/>
          <w:lang w:bidi="ar-EG"/>
        </w:rPr>
        <w:t>•</w:t>
      </w:r>
      <w:r w:rsidR="00E80AEF" w:rsidRPr="009F0699">
        <w:rPr>
          <w:rFonts w:ascii="Times New Roman" w:eastAsia="Calibri" w:hAnsi="Times New Roman" w:cs="Times New Roman"/>
          <w:color w:val="000000"/>
          <w:sz w:val="20"/>
          <w:szCs w:val="20"/>
          <w:lang w:bidi="ar-EG"/>
        </w:rPr>
        <w:t xml:space="preserve"> Mann Whitney U test.</w:t>
      </w:r>
      <w:r w:rsidR="00CC3693" w:rsidRPr="009F0699">
        <w:rPr>
          <w:rFonts w:ascii="Times New Roman" w:eastAsia="Calibri" w:hAnsi="Times New Roman" w:cs="Times New Roman"/>
          <w:color w:val="000000"/>
          <w:sz w:val="20"/>
          <w:szCs w:val="20"/>
          <w:lang w:bidi="ar-EG"/>
        </w:rPr>
        <w:t>,</w:t>
      </w:r>
      <w:r w:rsidR="006F6B01" w:rsidRPr="009F0699">
        <w:rPr>
          <w:rFonts w:ascii="Times New Roman" w:eastAsia="Calibri" w:hAnsi="Times New Roman" w:cs="Times New Roman"/>
          <w:snapToGrid w:val="0"/>
          <w:sz w:val="20"/>
          <w:szCs w:val="20"/>
          <w:lang w:eastAsia="ar-SA"/>
        </w:rPr>
        <w:t xml:space="preserve"> ‡</w:t>
      </w:r>
      <w:r w:rsidRPr="009F0699">
        <w:rPr>
          <w:rFonts w:ascii="Times New Roman" w:eastAsia="Calibri" w:hAnsi="Times New Roman" w:cs="Times New Roman"/>
          <w:snapToGrid w:val="0"/>
          <w:sz w:val="20"/>
          <w:szCs w:val="20"/>
          <w:lang w:eastAsia="ar-SA"/>
        </w:rPr>
        <w:t xml:space="preserve"> </w:t>
      </w:r>
      <w:r w:rsidRPr="009F0699">
        <w:rPr>
          <w:rFonts w:ascii="Times New Roman" w:eastAsia="Calibri" w:hAnsi="Times New Roman" w:cs="Times New Roman"/>
          <w:snapToGrid w:val="0"/>
          <w:sz w:val="20"/>
          <w:szCs w:val="20"/>
          <w:lang w:eastAsia="ar-SA" w:bidi="ar-EG"/>
        </w:rPr>
        <w:t>Chi-square test.</w:t>
      </w:r>
      <w:r w:rsidR="00CC3693" w:rsidRPr="009F0699">
        <w:rPr>
          <w:rFonts w:ascii="Times New Roman" w:eastAsia="Calibri" w:hAnsi="Times New Roman" w:cs="Times New Roman"/>
          <w:color w:val="000000"/>
          <w:sz w:val="20"/>
          <w:szCs w:val="20"/>
          <w:lang w:bidi="ar-EG"/>
        </w:rPr>
        <w:t>,</w:t>
      </w:r>
      <w:r w:rsidR="006F6B01" w:rsidRPr="009F0699">
        <w:rPr>
          <w:rFonts w:ascii="Times New Roman" w:eastAsia="Calibri" w:hAnsi="Times New Roman" w:cs="Times New Roman"/>
          <w:b/>
          <w:bCs/>
          <w:color w:val="FF0000"/>
          <w:sz w:val="20"/>
          <w:szCs w:val="20"/>
        </w:rPr>
        <w:t xml:space="preserve"> F</w:t>
      </w:r>
      <w:r w:rsidRPr="009F0699">
        <w:rPr>
          <w:rFonts w:ascii="Times New Roman" w:eastAsia="Calibri" w:hAnsi="Times New Roman" w:cs="Times New Roman"/>
          <w:sz w:val="20"/>
          <w:szCs w:val="20"/>
        </w:rPr>
        <w:t xml:space="preserve"> </w:t>
      </w:r>
      <w:r w:rsidRPr="009F0699">
        <w:rPr>
          <w:rFonts w:ascii="Times New Roman" w:eastAsia="Calibri" w:hAnsi="Times New Roman" w:cs="Times New Roman"/>
          <w:sz w:val="20"/>
          <w:szCs w:val="20"/>
          <w:lang w:bidi="ar-EG"/>
        </w:rPr>
        <w:t>Fisher’s Exact test.</w:t>
      </w:r>
      <w:r w:rsidR="00D009F8" w:rsidRPr="009F0699">
        <w:rPr>
          <w:rFonts w:ascii="Times New Roman" w:eastAsia="Calibri" w:hAnsi="Times New Roman" w:cs="Times New Roman"/>
          <w:color w:val="000000"/>
          <w:sz w:val="20"/>
          <w:szCs w:val="20"/>
          <w:lang w:bidi="ar-EG"/>
        </w:rPr>
        <w:t xml:space="preserve">, </w:t>
      </w:r>
      <w:r w:rsidR="00D009F8" w:rsidRPr="009F0699">
        <w:rPr>
          <w:rFonts w:ascii="Times New Roman" w:eastAsia="Times New Roman" w:hAnsi="Times New Roman" w:cs="Times New Roman"/>
          <w:snapToGrid w:val="0"/>
          <w:color w:val="000000"/>
          <w:sz w:val="20"/>
          <w:szCs w:val="20"/>
          <w:lang w:eastAsia="ar-SA" w:bidi="ar-EG"/>
        </w:rPr>
        <w:t>p</w:t>
      </w:r>
      <w:r w:rsidRPr="009F0699">
        <w:rPr>
          <w:rFonts w:ascii="Times New Roman" w:eastAsia="Times New Roman" w:hAnsi="Times New Roman" w:cs="Times New Roman"/>
          <w:snapToGrid w:val="0"/>
          <w:color w:val="000000"/>
          <w:sz w:val="20"/>
          <w:szCs w:val="20"/>
          <w:lang w:eastAsia="ar-SA" w:bidi="ar-EG"/>
        </w:rPr>
        <w:t>&lt; 0.05 is significant.</w:t>
      </w:r>
      <w:r w:rsidR="00D009F8" w:rsidRPr="009F0699">
        <w:rPr>
          <w:rFonts w:ascii="Times New Roman" w:eastAsia="Calibri" w:hAnsi="Times New Roman" w:cs="Times New Roman"/>
          <w:color w:val="000000"/>
          <w:sz w:val="20"/>
          <w:szCs w:val="20"/>
          <w:lang w:bidi="ar-EG"/>
        </w:rPr>
        <w:t xml:space="preserve">, </w:t>
      </w:r>
      <w:r w:rsidR="00D009F8" w:rsidRPr="009F0699">
        <w:rPr>
          <w:rFonts w:ascii="Times New Roman" w:eastAsia="Times New Roman" w:hAnsi="Times New Roman" w:cs="Times New Roman"/>
          <w:snapToGrid w:val="0"/>
          <w:color w:val="000000"/>
          <w:sz w:val="20"/>
          <w:szCs w:val="20"/>
          <w:lang w:eastAsia="ar-SA" w:bidi="ar-EG"/>
        </w:rPr>
        <w:t>S</w:t>
      </w:r>
      <w:r w:rsidRPr="009F0699">
        <w:rPr>
          <w:rFonts w:ascii="Times New Roman" w:eastAsia="Times New Roman" w:hAnsi="Times New Roman" w:cs="Times New Roman"/>
          <w:snapToGrid w:val="0"/>
          <w:color w:val="000000"/>
          <w:sz w:val="20"/>
          <w:szCs w:val="20"/>
          <w:lang w:eastAsia="ar-SA" w:bidi="ar-EG"/>
        </w:rPr>
        <w:t>ig.: significance.</w:t>
      </w:r>
    </w:p>
    <w:p w:rsidR="00CC3693" w:rsidRDefault="00CC3693" w:rsidP="00D009F8">
      <w:pPr>
        <w:snapToGrid w:val="0"/>
        <w:spacing w:after="0" w:line="240" w:lineRule="auto"/>
        <w:ind w:firstLine="425"/>
        <w:jc w:val="both"/>
        <w:rPr>
          <w:rFonts w:ascii="Times New Roman" w:hAnsi="Times New Roman" w:cs="Times New Roman" w:hint="eastAsia"/>
          <w:color w:val="000000"/>
          <w:sz w:val="20"/>
          <w:szCs w:val="20"/>
          <w:lang w:val="en-GB" w:eastAsia="zh-CN"/>
        </w:rPr>
      </w:pPr>
    </w:p>
    <w:p w:rsidR="009F0699" w:rsidRPr="009F0699" w:rsidRDefault="009F0699" w:rsidP="00D009F8">
      <w:pPr>
        <w:snapToGrid w:val="0"/>
        <w:spacing w:after="0" w:line="240" w:lineRule="auto"/>
        <w:ind w:firstLine="425"/>
        <w:jc w:val="both"/>
        <w:rPr>
          <w:rFonts w:ascii="Times New Roman" w:hAnsi="Times New Roman" w:cs="Times New Roman" w:hint="eastAsia"/>
          <w:color w:val="000000"/>
          <w:sz w:val="20"/>
          <w:szCs w:val="20"/>
          <w:lang w:val="en-GB" w:eastAsia="zh-CN"/>
        </w:rPr>
      </w:pPr>
    </w:p>
    <w:p w:rsidR="00D009F8" w:rsidRPr="009F0699" w:rsidRDefault="00D009F8" w:rsidP="00D009F8">
      <w:pPr>
        <w:snapToGrid w:val="0"/>
        <w:spacing w:after="0" w:line="240" w:lineRule="auto"/>
        <w:ind w:firstLine="425"/>
        <w:jc w:val="both"/>
        <w:rPr>
          <w:rFonts w:ascii="Times New Roman" w:hAnsi="Times New Roman" w:cs="Times New Roman"/>
          <w:color w:val="000000"/>
          <w:sz w:val="20"/>
          <w:szCs w:val="20"/>
          <w:lang w:val="en-GB"/>
        </w:rPr>
        <w:sectPr w:rsidR="00D009F8" w:rsidRPr="009F0699" w:rsidSect="00CC3693">
          <w:type w:val="continuous"/>
          <w:pgSz w:w="12242" w:h="15842" w:code="1"/>
          <w:pgMar w:top="1440" w:right="1440" w:bottom="1440" w:left="1440" w:header="720" w:footer="720" w:gutter="0"/>
          <w:cols w:space="720"/>
          <w:docGrid w:linePitch="360"/>
        </w:sectPr>
      </w:pPr>
    </w:p>
    <w:p w:rsidR="004B7925" w:rsidRPr="009F0699" w:rsidRDefault="0051447A" w:rsidP="00D009F8">
      <w:pPr>
        <w:snapToGrid w:val="0"/>
        <w:spacing w:after="0" w:line="240" w:lineRule="auto"/>
        <w:ind w:firstLine="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lastRenderedPageBreak/>
        <w:t>A large number of scoring systems and laboratory parameters have been used in clinical practice to predict mortality with PC</w:t>
      </w:r>
      <w:r w:rsidR="00A439C0" w:rsidRPr="009F0699">
        <w:rPr>
          <w:rFonts w:ascii="Times New Roman" w:hAnsi="Times New Roman" w:cs="Times New Roman"/>
          <w:color w:val="000000"/>
          <w:sz w:val="20"/>
          <w:szCs w:val="20"/>
        </w:rPr>
        <w:t xml:space="preserve">I. </w:t>
      </w:r>
      <w:r w:rsidRPr="009F0699">
        <w:rPr>
          <w:rFonts w:ascii="Times New Roman" w:hAnsi="Times New Roman" w:cs="Times New Roman"/>
          <w:color w:val="000000"/>
          <w:sz w:val="20"/>
          <w:szCs w:val="20"/>
        </w:rPr>
        <w:t xml:space="preserve">In order to identify high-risk patients with STEMI, various risks classification systems and scoring systems are used frequently. Prediction of early and late mortality in hundreds of thousands of patients has been shown by the in-hospital death global registry of acute coronary events (GRACE) risk score (GRS) and the </w:t>
      </w:r>
      <w:proofErr w:type="spellStart"/>
      <w:r w:rsidRPr="009F0699">
        <w:rPr>
          <w:rFonts w:ascii="Times New Roman" w:hAnsi="Times New Roman" w:cs="Times New Roman"/>
          <w:color w:val="000000"/>
          <w:sz w:val="20"/>
          <w:szCs w:val="20"/>
        </w:rPr>
        <w:t>thrombolysis</w:t>
      </w:r>
      <w:proofErr w:type="spellEnd"/>
      <w:r w:rsidRPr="009F0699">
        <w:rPr>
          <w:rFonts w:ascii="Times New Roman" w:hAnsi="Times New Roman" w:cs="Times New Roman"/>
          <w:color w:val="000000"/>
          <w:sz w:val="20"/>
          <w:szCs w:val="20"/>
        </w:rPr>
        <w:t xml:space="preserve"> in myocardial infarc</w:t>
      </w:r>
      <w:r w:rsidR="00481D71" w:rsidRPr="009F0699">
        <w:rPr>
          <w:rFonts w:ascii="Times New Roman" w:hAnsi="Times New Roman" w:cs="Times New Roman"/>
          <w:color w:val="000000"/>
          <w:sz w:val="20"/>
          <w:szCs w:val="20"/>
        </w:rPr>
        <w:t>tion (TIMI) risk score (TRS)</w:t>
      </w:r>
      <w:r w:rsidRPr="009F0699">
        <w:rPr>
          <w:rFonts w:ascii="Times New Roman" w:hAnsi="Times New Roman" w:cs="Times New Roman"/>
          <w:color w:val="000000"/>
          <w:sz w:val="20"/>
          <w:szCs w:val="20"/>
        </w:rPr>
        <w:t>. We investigated whether pre</w:t>
      </w:r>
      <w:r w:rsidRPr="009F0699">
        <w:rPr>
          <w:rFonts w:ascii="Times New Roman" w:hAnsi="Times New Roman" w:cs="Times New Roman" w:hint="cs"/>
          <w:color w:val="000000"/>
          <w:sz w:val="20"/>
          <w:szCs w:val="20"/>
        </w:rPr>
        <w:t xml:space="preserve"> </w:t>
      </w:r>
      <w:r w:rsidRPr="009F0699">
        <w:rPr>
          <w:rFonts w:ascii="Times New Roman" w:hAnsi="Times New Roman" w:cs="Times New Roman"/>
          <w:color w:val="000000"/>
          <w:sz w:val="20"/>
          <w:szCs w:val="20"/>
        </w:rPr>
        <w:t xml:space="preserve">intervention TRI, TRS, and GRS are related to coronary NRF in patients with STEMI who underwent primary </w:t>
      </w:r>
      <w:proofErr w:type="spellStart"/>
      <w:r w:rsidRPr="009F0699">
        <w:rPr>
          <w:rFonts w:ascii="Times New Roman" w:hAnsi="Times New Roman" w:cs="Times New Roman"/>
          <w:color w:val="000000"/>
          <w:sz w:val="20"/>
          <w:szCs w:val="20"/>
        </w:rPr>
        <w:lastRenderedPageBreak/>
        <w:t>percutaneous</w:t>
      </w:r>
      <w:proofErr w:type="spellEnd"/>
      <w:r w:rsidRPr="009F0699">
        <w:rPr>
          <w:rFonts w:ascii="Times New Roman" w:hAnsi="Times New Roman" w:cs="Times New Roman"/>
          <w:color w:val="000000"/>
          <w:sz w:val="20"/>
          <w:szCs w:val="20"/>
        </w:rPr>
        <w:t xml:space="preserve"> coronary intervention (p-PCI). The study population consisted of 319 </w:t>
      </w:r>
      <w:r w:rsidRPr="009F0699">
        <w:rPr>
          <w:rFonts w:ascii="Times New Roman" w:hAnsi="Times New Roman" w:cs="Times New Roman"/>
          <w:color w:val="000000"/>
          <w:sz w:val="20"/>
          <w:szCs w:val="20"/>
          <w:lang w:val="en-GB"/>
        </w:rPr>
        <w:t>consecutive</w:t>
      </w:r>
      <w:r w:rsidRPr="009F0699">
        <w:rPr>
          <w:rFonts w:ascii="Times New Roman" w:hAnsi="Times New Roman" w:cs="Times New Roman"/>
          <w:color w:val="000000"/>
          <w:sz w:val="20"/>
          <w:szCs w:val="20"/>
        </w:rPr>
        <w:t xml:space="preserve"> patients admitted at the national heart institute (NHI) for primary PCI from February 2017 to April 2018. The patients are divided into two groups according to the final TIMI flow</w:t>
      </w:r>
      <w:r w:rsidR="00A439C0" w:rsidRPr="009F0699">
        <w:rPr>
          <w:rFonts w:ascii="Times New Roman" w:hAnsi="Times New Roman" w:cs="Times New Roman"/>
          <w:color w:val="000000"/>
          <w:sz w:val="20"/>
          <w:szCs w:val="20"/>
        </w:rPr>
        <w:t xml:space="preserve"> grade and MBG</w:t>
      </w:r>
      <w:r w:rsidRPr="009F0699">
        <w:rPr>
          <w:rFonts w:ascii="Times New Roman" w:hAnsi="Times New Roman" w:cs="Times New Roman"/>
          <w:color w:val="000000"/>
          <w:sz w:val="20"/>
          <w:szCs w:val="20"/>
        </w:rPr>
        <w:t xml:space="preserve"> after the primary PCI as follows: </w:t>
      </w:r>
      <w:r w:rsidRPr="009F0699">
        <w:rPr>
          <w:rFonts w:ascii="Times New Roman" w:hAnsi="Times New Roman" w:cs="Times New Roman"/>
          <w:color w:val="000000"/>
          <w:sz w:val="20"/>
          <w:szCs w:val="20"/>
          <w:lang w:val="en-GB"/>
        </w:rPr>
        <w:t>The reflow group (Group A)</w:t>
      </w:r>
      <w:r w:rsidR="00D009F8" w:rsidRPr="009F0699">
        <w:rPr>
          <w:rFonts w:ascii="Times New Roman" w:hAnsi="Times New Roman" w:cs="Times New Roman"/>
          <w:color w:val="000000"/>
          <w:sz w:val="20"/>
          <w:szCs w:val="20"/>
          <w:lang w:val="en-GB"/>
        </w:rPr>
        <w:t xml:space="preserve">: </w:t>
      </w:r>
      <w:r w:rsidR="00D009F8" w:rsidRPr="009F0699">
        <w:rPr>
          <w:rFonts w:ascii="Times New Roman" w:hAnsi="Times New Roman" w:cs="Times New Roman"/>
          <w:color w:val="000000"/>
          <w:sz w:val="20"/>
          <w:szCs w:val="20"/>
        </w:rPr>
        <w:t>T</w:t>
      </w:r>
      <w:r w:rsidRPr="009F0699">
        <w:rPr>
          <w:rFonts w:ascii="Times New Roman" w:hAnsi="Times New Roman" w:cs="Times New Roman"/>
          <w:color w:val="000000"/>
          <w:sz w:val="20"/>
          <w:szCs w:val="20"/>
        </w:rPr>
        <w:t xml:space="preserve">his group included 249 patients (78.1%), 189 patients were males (75.9%), while the remaining 60 patients were females (24.1%). </w:t>
      </w:r>
      <w:r w:rsidRPr="009F0699">
        <w:rPr>
          <w:rFonts w:ascii="Times New Roman" w:hAnsi="Times New Roman" w:cs="Times New Roman"/>
          <w:color w:val="000000"/>
          <w:sz w:val="20"/>
          <w:szCs w:val="20"/>
          <w:lang w:val="en-GB"/>
        </w:rPr>
        <w:t>The no-reflow group (Group B):</w:t>
      </w:r>
      <w:r w:rsidR="00D54033" w:rsidRPr="009F0699">
        <w:rPr>
          <w:rFonts w:ascii="Times New Roman" w:hAnsi="Times New Roman" w:cs="Times New Roman"/>
          <w:color w:val="000000"/>
          <w:sz w:val="20"/>
          <w:szCs w:val="20"/>
          <w:lang w:val="en-GB"/>
        </w:rPr>
        <w:t xml:space="preserve"> </w:t>
      </w:r>
      <w:r w:rsidRPr="009F0699">
        <w:rPr>
          <w:rFonts w:ascii="Times New Roman" w:hAnsi="Times New Roman" w:cs="Times New Roman"/>
          <w:color w:val="000000"/>
          <w:sz w:val="20"/>
          <w:szCs w:val="20"/>
        </w:rPr>
        <w:t>This group included 70 patients (21.9%), 63 patients (90%) were males, while only 7 patients were females (10%).</w:t>
      </w:r>
      <w:r w:rsidR="004B7925" w:rsidRPr="009F0699">
        <w:rPr>
          <w:rFonts w:ascii="Times New Roman" w:eastAsia="Times New Roman" w:hAnsi="Times New Roman" w:cs="Times New Roman"/>
          <w:sz w:val="20"/>
          <w:szCs w:val="20"/>
        </w:rPr>
        <w:t xml:space="preserve"> </w:t>
      </w:r>
      <w:r w:rsidR="004B7925" w:rsidRPr="009F0699">
        <w:rPr>
          <w:rFonts w:ascii="Times New Roman" w:hAnsi="Times New Roman" w:cs="Times New Roman"/>
          <w:color w:val="000000"/>
          <w:sz w:val="20"/>
          <w:szCs w:val="20"/>
        </w:rPr>
        <w:t xml:space="preserve">Our results demonstrated for the first time the </w:t>
      </w:r>
      <w:r w:rsidR="004B7925" w:rsidRPr="009F0699">
        <w:rPr>
          <w:rFonts w:ascii="Times New Roman" w:hAnsi="Times New Roman" w:cs="Times New Roman"/>
          <w:color w:val="000000"/>
          <w:sz w:val="20"/>
          <w:szCs w:val="20"/>
        </w:rPr>
        <w:lastRenderedPageBreak/>
        <w:t>predictive value of these scores for NRF in patients with STEMI. In the present study, we think that with the help of the calculation of these scores in patients admitted to the emergency department with ACS, information about NRF of the CAD may be obtained</w:t>
      </w:r>
      <w:r w:rsidR="004B7925" w:rsidRPr="009F0699">
        <w:rPr>
          <w:rFonts w:ascii="Times New Roman" w:hAnsi="Times New Roman" w:cs="Times New Roman"/>
          <w:color w:val="000000"/>
          <w:sz w:val="20"/>
          <w:szCs w:val="20"/>
          <w:lang w:val="en-GB" w:bidi="ar-EG"/>
        </w:rPr>
        <w:t>.</w:t>
      </w:r>
      <w:r w:rsidR="004B7925" w:rsidRPr="009F0699">
        <w:rPr>
          <w:rFonts w:ascii="Times New Roman" w:hAnsi="Times New Roman" w:cs="Times New Roman"/>
          <w:color w:val="000000"/>
          <w:sz w:val="20"/>
          <w:szCs w:val="20"/>
        </w:rPr>
        <w:t xml:space="preserve"> Some limitations of our study include relatively small number of patients and our study’s population was also from a single center.</w:t>
      </w:r>
      <w:r w:rsidR="00CC3693" w:rsidRPr="009F0699">
        <w:rPr>
          <w:rFonts w:ascii="Times New Roman" w:hAnsi="Times New Roman" w:cs="Times New Roman"/>
          <w:color w:val="000000"/>
          <w:sz w:val="20"/>
          <w:szCs w:val="20"/>
        </w:rPr>
        <w:t xml:space="preserve"> </w:t>
      </w:r>
      <w:r w:rsidR="004B7925" w:rsidRPr="009F0699">
        <w:rPr>
          <w:rFonts w:ascii="Times New Roman" w:hAnsi="Times New Roman" w:cs="Times New Roman"/>
          <w:color w:val="000000"/>
          <w:sz w:val="20"/>
          <w:szCs w:val="20"/>
        </w:rPr>
        <w:t>Due to a male dominance in the patients in our study, the results may not be applicable to female patients</w:t>
      </w:r>
      <w:r w:rsidR="004B7925" w:rsidRPr="009F0699">
        <w:rPr>
          <w:rFonts w:ascii="Times New Roman" w:hAnsi="Times New Roman" w:cs="Times New Roman"/>
          <w:color w:val="000000"/>
          <w:sz w:val="20"/>
          <w:szCs w:val="20"/>
          <w:lang w:val="en-GB" w:bidi="ar-EG"/>
        </w:rPr>
        <w:t>.</w:t>
      </w:r>
      <w:r w:rsidR="004B7925" w:rsidRPr="009F0699">
        <w:rPr>
          <w:rFonts w:ascii="Times New Roman" w:hAnsi="Times New Roman" w:cs="Times New Roman"/>
          <w:color w:val="000000"/>
          <w:sz w:val="20"/>
          <w:szCs w:val="20"/>
        </w:rPr>
        <w:t xml:space="preserve"> The TRI, GRS, and TRS are routinely used for stratification of patients with ACS. Our study showed that these scores were significantly associated with NRF in patients with STEMI. We think that these findings can guide further clinical practice.</w:t>
      </w:r>
    </w:p>
    <w:p w:rsidR="00CC3693" w:rsidRPr="009F0699" w:rsidRDefault="00CC3693" w:rsidP="00D009F8">
      <w:pPr>
        <w:snapToGrid w:val="0"/>
        <w:spacing w:after="0" w:line="240" w:lineRule="auto"/>
        <w:jc w:val="both"/>
        <w:rPr>
          <w:rFonts w:ascii="Times New Roman" w:hAnsi="Times New Roman" w:cs="Times New Roman"/>
          <w:b/>
          <w:bCs/>
          <w:color w:val="000000"/>
          <w:sz w:val="20"/>
          <w:szCs w:val="20"/>
          <w:lang w:eastAsia="zh-CN"/>
        </w:rPr>
      </w:pPr>
    </w:p>
    <w:p w:rsidR="00A944AC" w:rsidRPr="009F0699" w:rsidRDefault="00A944AC" w:rsidP="00D009F8">
      <w:pPr>
        <w:snapToGrid w:val="0"/>
        <w:spacing w:after="0" w:line="240" w:lineRule="auto"/>
        <w:jc w:val="both"/>
        <w:rPr>
          <w:rFonts w:ascii="Times New Roman" w:hAnsi="Times New Roman" w:cs="Times New Roman"/>
          <w:b/>
          <w:bCs/>
          <w:color w:val="000000"/>
          <w:sz w:val="20"/>
          <w:szCs w:val="20"/>
        </w:rPr>
      </w:pPr>
      <w:r w:rsidRPr="009F0699">
        <w:rPr>
          <w:rFonts w:ascii="Times New Roman" w:hAnsi="Times New Roman" w:cs="Times New Roman"/>
          <w:b/>
          <w:bCs/>
          <w:color w:val="000000"/>
          <w:sz w:val="20"/>
          <w:szCs w:val="20"/>
        </w:rPr>
        <w:t>References</w:t>
      </w:r>
    </w:p>
    <w:p w:rsidR="00A944AC" w:rsidRPr="009F0699" w:rsidRDefault="00A944AC"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Santos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ES,</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Aguia</w:t>
      </w:r>
      <w:r w:rsidR="00D009F8" w:rsidRPr="009F0699">
        <w:rPr>
          <w:rFonts w:ascii="Times New Roman" w:hAnsi="Times New Roman" w:cs="Times New Roman"/>
          <w:color w:val="000000"/>
          <w:sz w:val="20"/>
          <w:szCs w:val="20"/>
        </w:rPr>
        <w:t>r</w:t>
      </w:r>
      <w:proofErr w:type="spellEnd"/>
      <w:r w:rsidR="00D009F8" w:rsidRPr="009F0699">
        <w:rPr>
          <w:rFonts w:ascii="Times New Roman" w:hAnsi="Times New Roman" w:cs="Times New Roman"/>
          <w:color w:val="000000"/>
          <w:sz w:val="20"/>
          <w:szCs w:val="20"/>
        </w:rPr>
        <w:t xml:space="preserve"> </w:t>
      </w:r>
      <w:proofErr w:type="spellStart"/>
      <w:r w:rsidR="00D009F8" w:rsidRPr="009F0699">
        <w:rPr>
          <w:rFonts w:ascii="Times New Roman" w:hAnsi="Times New Roman" w:cs="Times New Roman"/>
          <w:color w:val="000000"/>
          <w:sz w:val="20"/>
          <w:szCs w:val="20"/>
        </w:rPr>
        <w:t>F</w:t>
      </w:r>
      <w:r w:rsidR="000957FF" w:rsidRPr="009F0699">
        <w:rPr>
          <w:rFonts w:ascii="Times New Roman" w:hAnsi="Times New Roman" w:cs="Times New Roman"/>
          <w:color w:val="000000"/>
          <w:sz w:val="20"/>
          <w:szCs w:val="20"/>
        </w:rPr>
        <w:t>ilh</w:t>
      </w:r>
      <w:r w:rsidR="00D009F8" w:rsidRPr="009F0699">
        <w:rPr>
          <w:rFonts w:ascii="Times New Roman" w:hAnsi="Times New Roman" w:cs="Times New Roman"/>
          <w:color w:val="000000"/>
          <w:sz w:val="20"/>
          <w:szCs w:val="20"/>
        </w:rPr>
        <w:t>o</w:t>
      </w:r>
      <w:proofErr w:type="spellEnd"/>
      <w:r w:rsidR="00D009F8" w:rsidRPr="009F0699">
        <w:rPr>
          <w:rFonts w:ascii="Times New Roman" w:hAnsi="Times New Roman" w:cs="Times New Roman"/>
          <w:color w:val="000000"/>
          <w:sz w:val="20"/>
          <w:szCs w:val="20"/>
        </w:rPr>
        <w:t xml:space="preserve"> </w:t>
      </w:r>
      <w:proofErr w:type="spellStart"/>
      <w:r w:rsidR="00D009F8" w:rsidRPr="009F0699">
        <w:rPr>
          <w:rFonts w:ascii="Times New Roman" w:hAnsi="Times New Roman" w:cs="Times New Roman"/>
          <w:color w:val="000000"/>
          <w:sz w:val="20"/>
          <w:szCs w:val="20"/>
        </w:rPr>
        <w:t>L</w:t>
      </w:r>
      <w:r w:rsidR="000957FF" w:rsidRPr="009F0699">
        <w:rPr>
          <w:rFonts w:ascii="Times New Roman" w:hAnsi="Times New Roman" w:cs="Times New Roman"/>
          <w:color w:val="000000"/>
          <w:sz w:val="20"/>
          <w:szCs w:val="20"/>
        </w:rPr>
        <w:t>de</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F,</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Fonseca</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DM,</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Correlation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risk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scores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anatomy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non</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STelevation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syndrome.</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Arq</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Bras</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Cardiol</w:t>
      </w:r>
      <w:proofErr w:type="spellEnd"/>
      <w:r w:rsidRPr="009F0699">
        <w:rPr>
          <w:rFonts w:ascii="Times New Roman" w:hAnsi="Times New Roman" w:cs="Times New Roman"/>
          <w:color w:val="000000"/>
          <w:sz w:val="20"/>
          <w:szCs w:val="20"/>
        </w:rPr>
        <w:t>;</w:t>
      </w:r>
      <w:r w:rsidR="00CC3693" w:rsidRPr="009F0699">
        <w:rPr>
          <w:rFonts w:ascii="Times New Roman" w:hAnsi="Times New Roman" w:cs="Times New Roman"/>
          <w:sz w:val="20"/>
          <w:szCs w:val="20"/>
        </w:rPr>
        <w:t xml:space="preserve"> </w:t>
      </w:r>
      <w:r w:rsidR="000957FF" w:rsidRPr="009F0699">
        <w:rPr>
          <w:rFonts w:ascii="Times New Roman" w:hAnsi="Times New Roman" w:cs="Times New Roman"/>
          <w:color w:val="000000"/>
          <w:sz w:val="20"/>
          <w:szCs w:val="20"/>
        </w:rPr>
        <w:t>2013,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100:511-517.</w:t>
      </w:r>
    </w:p>
    <w:p w:rsidR="00A944AC" w:rsidRPr="009F0699" w:rsidRDefault="00A944AC"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St</w:t>
      </w:r>
      <w:r w:rsidR="000957FF" w:rsidRPr="009F0699">
        <w:rPr>
          <w:rFonts w:ascii="Times New Roman" w:hAnsi="Times New Roman" w:cs="Times New Roman"/>
          <w:color w:val="000000"/>
          <w:sz w:val="20"/>
          <w:szCs w:val="20"/>
        </w:rPr>
        <w:t>eg</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PG,</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James</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SK,</w:t>
      </w:r>
      <w:r w:rsidR="00CC3693" w:rsidRPr="009F0699">
        <w:rPr>
          <w:rFonts w:ascii="Times New Roman" w:hAnsi="Times New Roman" w:cs="Times New Roman"/>
          <w:color w:val="000000"/>
          <w:sz w:val="20"/>
          <w:szCs w:val="20"/>
        </w:rPr>
        <w:t xml:space="preserve"> </w:t>
      </w:r>
      <w:proofErr w:type="spellStart"/>
      <w:r w:rsidR="000957FF" w:rsidRPr="009F0699">
        <w:rPr>
          <w:rFonts w:ascii="Times New Roman" w:hAnsi="Times New Roman" w:cs="Times New Roman"/>
          <w:color w:val="000000"/>
          <w:sz w:val="20"/>
          <w:szCs w:val="20"/>
        </w:rPr>
        <w:t>Ata</w:t>
      </w:r>
      <w:r w:rsidR="00D009F8" w:rsidRPr="009F0699">
        <w:rPr>
          <w:rFonts w:ascii="Times New Roman" w:hAnsi="Times New Roman" w:cs="Times New Roman"/>
          <w:color w:val="000000"/>
          <w:sz w:val="20"/>
          <w:szCs w:val="20"/>
        </w:rPr>
        <w:t>r</w:t>
      </w:r>
      <w:proofErr w:type="spellEnd"/>
      <w:r w:rsidR="00D009F8" w:rsidRPr="009F0699">
        <w:rPr>
          <w:rFonts w:ascii="Times New Roman" w:hAnsi="Times New Roman" w:cs="Times New Roman"/>
          <w:color w:val="000000"/>
          <w:sz w:val="20"/>
          <w:szCs w:val="20"/>
        </w:rPr>
        <w:t xml:space="preserve"> D</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ESC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guidelines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management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patients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presenting</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ST-segment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elevation.</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Eur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sz w:val="20"/>
          <w:szCs w:val="20"/>
        </w:rPr>
        <w:t xml:space="preserve"> </w:t>
      </w:r>
      <w:r w:rsidR="000957FF" w:rsidRPr="009F0699">
        <w:rPr>
          <w:rFonts w:ascii="Times New Roman" w:hAnsi="Times New Roman" w:cs="Times New Roman"/>
          <w:color w:val="000000"/>
          <w:sz w:val="20"/>
          <w:szCs w:val="20"/>
        </w:rPr>
        <w:t>2012,</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33:2569–2619.</w:t>
      </w:r>
    </w:p>
    <w:p w:rsidR="00A944AC" w:rsidRPr="009F0699" w:rsidRDefault="00A944AC"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Levine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Bates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Blankenship</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JC,</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report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American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College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Cardiology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Foundation/American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Association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Task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Practice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Guidelines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Society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Cardiovascular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Angiography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Interventions.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Col</w:t>
      </w:r>
      <w:r w:rsidR="00D009F8" w:rsidRPr="009F0699">
        <w:rPr>
          <w:rFonts w:ascii="Times New Roman" w:hAnsi="Times New Roman" w:cs="Times New Roman"/>
          <w:color w:val="000000"/>
          <w:sz w:val="20"/>
          <w:szCs w:val="20"/>
        </w:rPr>
        <w:t>l</w:t>
      </w:r>
      <w:proofErr w:type="spellEnd"/>
      <w:r w:rsidR="00D009F8" w:rsidRPr="009F0699">
        <w:rPr>
          <w:rFonts w:ascii="Times New Roman" w:hAnsi="Times New Roman" w:cs="Times New Roman"/>
          <w:color w:val="000000"/>
          <w:sz w:val="20"/>
          <w:szCs w:val="20"/>
        </w:rPr>
        <w:t xml:space="preserve"> </w:t>
      </w:r>
      <w:proofErr w:type="spellStart"/>
      <w:r w:rsidR="00D009F8" w:rsidRPr="009F0699">
        <w:rPr>
          <w:rFonts w:ascii="Times New Roman" w:hAnsi="Times New Roman" w:cs="Times New Roman"/>
          <w:color w:val="000000"/>
          <w:sz w:val="20"/>
          <w:szCs w:val="20"/>
        </w:rPr>
        <w:t>C</w:t>
      </w:r>
      <w:r w:rsidRPr="009F0699">
        <w:rPr>
          <w:rFonts w:ascii="Times New Roman" w:hAnsi="Times New Roman" w:cs="Times New Roman"/>
          <w:color w:val="000000"/>
          <w:sz w:val="20"/>
          <w:szCs w:val="20"/>
        </w:rPr>
        <w:t>ardiol</w:t>
      </w:r>
      <w:proofErr w:type="spellEnd"/>
      <w:r w:rsidRPr="009F0699">
        <w:rPr>
          <w:rFonts w:ascii="Times New Roman" w:hAnsi="Times New Roman" w:cs="Times New Roman"/>
          <w:color w:val="000000"/>
          <w:sz w:val="20"/>
          <w:szCs w:val="20"/>
        </w:rPr>
        <w:t>;</w:t>
      </w:r>
      <w:r w:rsidR="00CC3693" w:rsidRPr="009F0699">
        <w:rPr>
          <w:rFonts w:ascii="Times New Roman" w:hAnsi="Times New Roman" w:cs="Times New Roman"/>
          <w:sz w:val="20"/>
          <w:szCs w:val="20"/>
        </w:rPr>
        <w:t xml:space="preserve"> </w:t>
      </w:r>
      <w:r w:rsidR="000957FF" w:rsidRPr="009F0699">
        <w:rPr>
          <w:rFonts w:ascii="Times New Roman" w:hAnsi="Times New Roman" w:cs="Times New Roman"/>
          <w:color w:val="000000"/>
          <w:sz w:val="20"/>
          <w:szCs w:val="20"/>
        </w:rPr>
        <w:t>2011,</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58(24):e44</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e122.</w:t>
      </w:r>
    </w:p>
    <w:p w:rsidR="00A944AC" w:rsidRPr="009F0699" w:rsidRDefault="00A944AC"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Harrison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RW,</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Ag</w:t>
      </w:r>
      <w:r w:rsidR="000957FF" w:rsidRPr="009F0699">
        <w:rPr>
          <w:rFonts w:ascii="Times New Roman" w:hAnsi="Times New Roman" w:cs="Times New Roman"/>
          <w:color w:val="000000"/>
          <w:sz w:val="20"/>
          <w:szCs w:val="20"/>
        </w:rPr>
        <w:t>garwal</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proofErr w:type="spellStart"/>
      <w:r w:rsidR="000957FF" w:rsidRPr="009F0699">
        <w:rPr>
          <w:rFonts w:ascii="Times New Roman" w:hAnsi="Times New Roman" w:cs="Times New Roman"/>
          <w:color w:val="000000"/>
          <w:sz w:val="20"/>
          <w:szCs w:val="20"/>
        </w:rPr>
        <w:t>Ou</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FS,</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Incidence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outcomes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no-reflow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phenomenon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during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percutaneous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intervention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among</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patients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Cardiol</w:t>
      </w:r>
      <w:proofErr w:type="spellEnd"/>
      <w:r w:rsidRPr="009F0699">
        <w:rPr>
          <w:rFonts w:ascii="Times New Roman" w:hAnsi="Times New Roman" w:cs="Times New Roman"/>
          <w:color w:val="000000"/>
          <w:sz w:val="20"/>
          <w:szCs w:val="20"/>
        </w:rPr>
        <w:t>;</w:t>
      </w:r>
      <w:r w:rsidR="00CC3693" w:rsidRPr="009F0699">
        <w:rPr>
          <w:rFonts w:ascii="Times New Roman" w:hAnsi="Times New Roman" w:cs="Times New Roman"/>
          <w:sz w:val="20"/>
          <w:szCs w:val="20"/>
        </w:rPr>
        <w:t xml:space="preserve"> </w:t>
      </w:r>
      <w:r w:rsidR="000957FF" w:rsidRPr="009F0699">
        <w:rPr>
          <w:rFonts w:ascii="Times New Roman" w:hAnsi="Times New Roman" w:cs="Times New Roman"/>
          <w:color w:val="000000"/>
          <w:sz w:val="20"/>
          <w:szCs w:val="20"/>
        </w:rPr>
        <w:t>2013,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111:</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178-184.</w:t>
      </w:r>
    </w:p>
    <w:p w:rsidR="00A944AC" w:rsidRPr="009F0699" w:rsidRDefault="00A944AC"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De</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Araújo</w:t>
      </w:r>
      <w:proofErr w:type="spellEnd"/>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Gonça</w:t>
      </w:r>
      <w:r w:rsidR="000957FF" w:rsidRPr="009F0699">
        <w:rPr>
          <w:rFonts w:ascii="Times New Roman" w:hAnsi="Times New Roman" w:cs="Times New Roman"/>
          <w:color w:val="000000"/>
          <w:sz w:val="20"/>
          <w:szCs w:val="20"/>
        </w:rPr>
        <w:t>lves</w:t>
      </w:r>
      <w:proofErr w:type="spellEnd"/>
      <w:r w:rsidR="000957FF"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Pedro,</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Ferreira</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TIMI,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PURSUIT,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GRACE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risk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scores: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sustained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prognostic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value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interaction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revascularization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NSTE-ACS.</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Eur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2005,</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26</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865-72.</w:t>
      </w:r>
    </w:p>
    <w:p w:rsidR="00A63564" w:rsidRPr="009F0699" w:rsidRDefault="00A63564"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Morrow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DA,</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An</w:t>
      </w:r>
      <w:r w:rsidR="000957FF" w:rsidRPr="009F0699">
        <w:rPr>
          <w:rFonts w:ascii="Times New Roman" w:hAnsi="Times New Roman" w:cs="Times New Roman"/>
          <w:color w:val="000000"/>
          <w:sz w:val="20"/>
          <w:szCs w:val="20"/>
        </w:rPr>
        <w:t>tman</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EM,</w:t>
      </w:r>
      <w:r w:rsidR="00CC3693" w:rsidRPr="009F0699">
        <w:rPr>
          <w:rFonts w:ascii="Times New Roman" w:hAnsi="Times New Roman" w:cs="Times New Roman"/>
          <w:color w:val="000000"/>
          <w:sz w:val="20"/>
          <w:szCs w:val="20"/>
        </w:rPr>
        <w:t xml:space="preserve"> </w:t>
      </w:r>
      <w:proofErr w:type="spellStart"/>
      <w:r w:rsidR="000957FF" w:rsidRPr="009F0699">
        <w:rPr>
          <w:rFonts w:ascii="Times New Roman" w:hAnsi="Times New Roman" w:cs="Times New Roman"/>
          <w:color w:val="000000"/>
          <w:sz w:val="20"/>
          <w:szCs w:val="20"/>
        </w:rPr>
        <w:t>Charlesworth</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TIMI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risk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score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ST-elevation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convenient,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bedside,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clinical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score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risk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assessment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194FBD" w:rsidRPr="009F0699">
        <w:rPr>
          <w:rFonts w:ascii="Times New Roman" w:hAnsi="Times New Roman" w:cs="Times New Roman"/>
          <w:color w:val="000000"/>
          <w:sz w:val="20"/>
          <w:szCs w:val="20"/>
        </w:rPr>
        <w:t>t</w:t>
      </w:r>
      <w:r w:rsidR="00CC3693" w:rsidRPr="009F0699">
        <w:rPr>
          <w:rFonts w:ascii="Times New Roman" w:hAnsi="Times New Roman" w:cs="Times New Roman"/>
          <w:color w:val="000000"/>
          <w:sz w:val="20"/>
          <w:szCs w:val="20"/>
        </w:rPr>
        <w:t xml:space="preserve"> </w:t>
      </w:r>
      <w:r w:rsidR="00194FBD" w:rsidRPr="009F0699">
        <w:rPr>
          <w:rFonts w:ascii="Times New Roman" w:hAnsi="Times New Roman" w:cs="Times New Roman"/>
          <w:color w:val="000000"/>
          <w:sz w:val="20"/>
          <w:szCs w:val="20"/>
        </w:rPr>
        <w:t>presentation:</w:t>
      </w:r>
      <w:r w:rsidR="00CC3693" w:rsidRPr="009F0699">
        <w:rPr>
          <w:rFonts w:ascii="Times New Roman" w:hAnsi="Times New Roman" w:cs="Times New Roman"/>
          <w:color w:val="000000"/>
          <w:sz w:val="20"/>
          <w:szCs w:val="20"/>
        </w:rPr>
        <w:t xml:space="preserve"> </w:t>
      </w:r>
      <w:r w:rsidR="00194FBD" w:rsidRPr="009F0699">
        <w:rPr>
          <w:rFonts w:ascii="Times New Roman" w:hAnsi="Times New Roman" w:cs="Times New Roman"/>
          <w:color w:val="000000"/>
          <w:sz w:val="20"/>
          <w:szCs w:val="20"/>
        </w:rPr>
        <w:t>An</w:t>
      </w:r>
      <w:r w:rsidR="00CC3693" w:rsidRPr="009F0699">
        <w:rPr>
          <w:rFonts w:ascii="Times New Roman" w:hAnsi="Times New Roman" w:cs="Times New Roman"/>
          <w:color w:val="000000"/>
          <w:sz w:val="20"/>
          <w:szCs w:val="20"/>
        </w:rPr>
        <w:t xml:space="preserve"> </w:t>
      </w:r>
      <w:r w:rsidR="00194FBD" w:rsidRPr="009F0699">
        <w:rPr>
          <w:rFonts w:ascii="Times New Roman" w:hAnsi="Times New Roman" w:cs="Times New Roman"/>
          <w:color w:val="000000"/>
          <w:sz w:val="20"/>
          <w:szCs w:val="20"/>
        </w:rPr>
        <w:t>intravenous</w:t>
      </w:r>
      <w:r w:rsidR="00CC3693" w:rsidRPr="009F0699">
        <w:rPr>
          <w:rFonts w:ascii="Times New Roman" w:hAnsi="Times New Roman" w:cs="Times New Roman"/>
          <w:color w:val="000000"/>
          <w:sz w:val="20"/>
          <w:szCs w:val="20"/>
        </w:rPr>
        <w:t xml:space="preserve"> </w:t>
      </w:r>
      <w:proofErr w:type="spellStart"/>
      <w:r w:rsidR="00194FBD" w:rsidRPr="009F0699">
        <w:rPr>
          <w:rFonts w:ascii="Times New Roman" w:hAnsi="Times New Roman" w:cs="Times New Roman"/>
          <w:color w:val="000000"/>
          <w:sz w:val="20"/>
          <w:szCs w:val="20"/>
        </w:rPr>
        <w:t>rt</w:t>
      </w:r>
      <w:r w:rsidRPr="009F0699">
        <w:rPr>
          <w:rFonts w:ascii="Times New Roman" w:hAnsi="Times New Roman" w:cs="Times New Roman"/>
          <w:color w:val="000000"/>
          <w:sz w:val="20"/>
          <w:szCs w:val="20"/>
        </w:rPr>
        <w:t>PA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treatment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proofErr w:type="spellStart"/>
      <w:r w:rsidR="00194FBD" w:rsidRPr="009F0699">
        <w:rPr>
          <w:rFonts w:ascii="Times New Roman" w:hAnsi="Times New Roman" w:cs="Times New Roman"/>
          <w:color w:val="000000"/>
          <w:sz w:val="20"/>
          <w:szCs w:val="20"/>
        </w:rPr>
        <w:t>infarcting</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myocardium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early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trial</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substudy</w:t>
      </w:r>
      <w:proofErr w:type="spellEnd"/>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Circulation,</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2000,</w:t>
      </w:r>
      <w:r w:rsidRPr="009F0699">
        <w:rPr>
          <w:rFonts w:ascii="Times New Roman" w:hAnsi="Times New Roman" w:cs="Times New Roman"/>
          <w:color w:val="000000"/>
          <w:sz w:val="20"/>
          <w:szCs w:val="20"/>
        </w:rPr>
        <w:t>102,</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2031-7.</w:t>
      </w:r>
    </w:p>
    <w:p w:rsidR="00A63564" w:rsidRPr="009F0699" w:rsidRDefault="00A63564"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Granger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CB,</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Goldberg</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RJ,</w:t>
      </w:r>
      <w:r w:rsidR="00CC3693" w:rsidRPr="009F0699">
        <w:rPr>
          <w:rFonts w:ascii="Times New Roman" w:hAnsi="Times New Roman" w:cs="Times New Roman"/>
          <w:color w:val="000000"/>
          <w:sz w:val="20"/>
          <w:szCs w:val="20"/>
        </w:rPr>
        <w:t xml:space="preserve"> </w:t>
      </w:r>
      <w:proofErr w:type="spellStart"/>
      <w:r w:rsidR="000957FF" w:rsidRPr="009F0699">
        <w:rPr>
          <w:rFonts w:ascii="Times New Roman" w:hAnsi="Times New Roman" w:cs="Times New Roman"/>
          <w:color w:val="000000"/>
          <w:sz w:val="20"/>
          <w:szCs w:val="20"/>
        </w:rPr>
        <w:t>Dabbous</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O,</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Predictors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hospital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mortality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global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registry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events.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Arch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Med,</w:t>
      </w:r>
      <w:r w:rsidR="00CC3693" w:rsidRPr="009F0699">
        <w:rPr>
          <w:rFonts w:ascii="Times New Roman" w:hAnsi="Times New Roman" w:cs="Times New Roman"/>
          <w:sz w:val="20"/>
          <w:szCs w:val="20"/>
        </w:rPr>
        <w:t xml:space="preserve"> </w:t>
      </w:r>
      <w:r w:rsidR="000957FF" w:rsidRPr="009F0699">
        <w:rPr>
          <w:rFonts w:ascii="Times New Roman" w:hAnsi="Times New Roman" w:cs="Times New Roman"/>
          <w:color w:val="000000"/>
          <w:sz w:val="20"/>
          <w:szCs w:val="20"/>
        </w:rPr>
        <w:t>2003,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163,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2345-53.</w:t>
      </w:r>
    </w:p>
    <w:p w:rsidR="00456378" w:rsidRPr="009F0699" w:rsidRDefault="00A63564"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Baw</w:t>
      </w:r>
      <w:r w:rsidR="000957FF" w:rsidRPr="009F0699">
        <w:rPr>
          <w:rFonts w:ascii="Times New Roman" w:hAnsi="Times New Roman" w:cs="Times New Roman"/>
          <w:color w:val="000000"/>
          <w:sz w:val="20"/>
          <w:szCs w:val="20"/>
        </w:rPr>
        <w:t>amia</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B,</w:t>
      </w:r>
      <w:r w:rsidR="00CC3693" w:rsidRPr="009F0699">
        <w:rPr>
          <w:rFonts w:ascii="Times New Roman" w:hAnsi="Times New Roman" w:cs="Times New Roman"/>
          <w:color w:val="000000"/>
          <w:sz w:val="20"/>
          <w:szCs w:val="20"/>
        </w:rPr>
        <w:t xml:space="preserve"> </w:t>
      </w:r>
      <w:proofErr w:type="spellStart"/>
      <w:r w:rsidR="000957FF" w:rsidRPr="009F0699">
        <w:rPr>
          <w:rFonts w:ascii="Times New Roman" w:hAnsi="Times New Roman" w:cs="Times New Roman"/>
          <w:color w:val="000000"/>
          <w:sz w:val="20"/>
          <w:szCs w:val="20"/>
        </w:rPr>
        <w:t>Mehran</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R,</w:t>
      </w:r>
      <w:r w:rsidR="00CC3693" w:rsidRPr="009F0699">
        <w:rPr>
          <w:rFonts w:ascii="Times New Roman" w:hAnsi="Times New Roman" w:cs="Times New Roman"/>
          <w:color w:val="000000"/>
          <w:sz w:val="20"/>
          <w:szCs w:val="20"/>
        </w:rPr>
        <w:t xml:space="preserve"> </w:t>
      </w:r>
      <w:proofErr w:type="spellStart"/>
      <w:r w:rsidR="000957FF" w:rsidRPr="009F0699">
        <w:rPr>
          <w:rFonts w:ascii="Times New Roman" w:hAnsi="Times New Roman" w:cs="Times New Roman"/>
          <w:color w:val="000000"/>
          <w:sz w:val="20"/>
          <w:szCs w:val="20"/>
        </w:rPr>
        <w:t>Qiu</w:t>
      </w:r>
      <w:proofErr w:type="spellEnd"/>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W,</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000957FF" w:rsidRPr="009F0699">
        <w:rPr>
          <w:rFonts w:ascii="Times New Roman" w:hAnsi="Times New Roman" w:cs="Times New Roman"/>
          <w:color w:val="000000"/>
          <w:sz w:val="20"/>
          <w:szCs w:val="20"/>
        </w:rPr>
        <w:t>al</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Risk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scores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syndrome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percutaneous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lastRenderedPageBreak/>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intervention: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review.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sz w:val="20"/>
          <w:szCs w:val="20"/>
        </w:rPr>
        <w:t xml:space="preserve"> </w:t>
      </w:r>
      <w:r w:rsidR="000957FF" w:rsidRPr="009F0699">
        <w:rPr>
          <w:rFonts w:ascii="Times New Roman" w:hAnsi="Times New Roman" w:cs="Times New Roman"/>
          <w:color w:val="000000"/>
          <w:sz w:val="20"/>
          <w:szCs w:val="20"/>
        </w:rPr>
        <w:t>2013,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165,</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441-50.</w:t>
      </w:r>
    </w:p>
    <w:p w:rsidR="003F31A9" w:rsidRPr="009F0699" w:rsidRDefault="003F31A9"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thrombolysis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(TIMI)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trial.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Phase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findings.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TIMI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study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group.</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New</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Engl</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1985;</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312:</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932e6.</w:t>
      </w:r>
    </w:p>
    <w:p w:rsidR="003F31A9" w:rsidRPr="009F0699" w:rsidRDefault="003F31A9"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Sorajja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Gersh</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Costantini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McLaughlin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Zimetbaum</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Cox</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Garcia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Tcheng</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JE,</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Mehran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Lansky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Combined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prognostic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utility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ST-segment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recovery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blush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after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primary</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percutaneous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intervention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Eur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2005;</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26:</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667-674.</w:t>
      </w:r>
    </w:p>
    <w:p w:rsidR="003F31A9" w:rsidRPr="009F0699" w:rsidRDefault="003F31A9"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Gibson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Murphy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Morrow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DA,</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Aroesty</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Gibbons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Gourlay</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SG,</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Barron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HV,</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Giugliano</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RP,</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Antman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EM,</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Braunwald</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Angiographic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perfusion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score: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angiographic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variable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that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integrates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both</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epicardial</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tissue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level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perfusion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before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after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facilitated</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percutaneous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intervention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2004;</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148:</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336e40.</w:t>
      </w:r>
    </w:p>
    <w:p w:rsidR="00456378" w:rsidRPr="009F0699" w:rsidRDefault="00456378"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Kristensen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SD,</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Fajadet</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Mario</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Kaifoszova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Z,</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Laut</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KG,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Deleanu</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Gilard</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Guagliumi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Goktekin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Jorgova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Implementation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primary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angioplasty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Europe: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life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initiative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progress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report.</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EuroIntervention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2012;</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8:</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35-42.</w:t>
      </w:r>
    </w:p>
    <w:p w:rsidR="00481D71" w:rsidRPr="009F0699" w:rsidRDefault="00456378"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Widimsky</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Wijns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Fajadet</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de</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Belder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Knot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Aaberge</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Andrikopoulos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Baz</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JA,</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Betriu</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Claeys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Reperfusion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therapy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ST-elevation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Europe: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description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current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situation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30</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countries.</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Eur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2010;</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31:</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943-957.</w:t>
      </w:r>
    </w:p>
    <w:p w:rsidR="00481D71" w:rsidRPr="009F0699" w:rsidRDefault="00456378"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Laut</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KG,</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Pedersen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AB,</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Lash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TL,</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Kristensen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Barriers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to</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implementation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primary</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percutaneous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intervention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Europe.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European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Cardiology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2011;</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7:</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108-112.</w:t>
      </w:r>
    </w:p>
    <w:p w:rsidR="00481D71" w:rsidRPr="009F0699" w:rsidRDefault="00456378"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Grines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Browne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KF,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Marco</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Rothbaum</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Stone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O’Keefe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Overlie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Donohue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Chelliah</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Timmis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comparison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immediate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angioplasty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thrombolytic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therapy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00481D71"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primary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angioplasty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study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group.</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New</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Engl</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1993;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328:</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673-679.</w:t>
      </w:r>
    </w:p>
    <w:p w:rsidR="00481D71" w:rsidRPr="009F0699" w:rsidRDefault="00456378"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Refelmann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Kloner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RA.</w:t>
      </w:r>
      <w:r w:rsidR="00CC3693" w:rsidRPr="009F0699">
        <w:rPr>
          <w:rFonts w:ascii="Times New Roman" w:hAnsi="Times New Roman" w:cs="Times New Roman"/>
          <w:color w:val="000000"/>
          <w:sz w:val="20"/>
          <w:szCs w:val="20"/>
        </w:rPr>
        <w:t xml:space="preserve"> </w:t>
      </w:r>
      <w:r w:rsidR="00481D71"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no-</w:t>
      </w:r>
      <w:r w:rsidR="00481D71" w:rsidRPr="009F0699">
        <w:rPr>
          <w:rFonts w:ascii="Times New Roman" w:hAnsi="Times New Roman" w:cs="Times New Roman"/>
          <w:color w:val="000000"/>
          <w:sz w:val="20"/>
          <w:szCs w:val="20"/>
        </w:rPr>
        <w:t>reflow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phenomenon: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basic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science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clinical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correlates.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2002;</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87:</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162-168.</w:t>
      </w:r>
    </w:p>
    <w:p w:rsidR="00CC3693" w:rsidRPr="009F0699" w:rsidRDefault="00456378"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Ito</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No-</w:t>
      </w:r>
      <w:r w:rsidR="00194FBD" w:rsidRPr="009F0699">
        <w:rPr>
          <w:rFonts w:ascii="Times New Roman" w:hAnsi="Times New Roman" w:cs="Times New Roman"/>
          <w:color w:val="000000"/>
          <w:sz w:val="20"/>
          <w:szCs w:val="20"/>
        </w:rPr>
        <w:t>reflow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phenomenon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prognosis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patients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Nat</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Clin</w:t>
      </w:r>
      <w:proofErr w:type="spellEnd"/>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Pract</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Card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2006;</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499-</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506.</w:t>
      </w:r>
    </w:p>
    <w:p w:rsidR="00481D71" w:rsidRPr="009F0699" w:rsidRDefault="00CC3693"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P</w:t>
      </w:r>
      <w:r w:rsidR="00456378" w:rsidRPr="009F0699">
        <w:rPr>
          <w:rFonts w:ascii="Times New Roman" w:hAnsi="Times New Roman" w:cs="Times New Roman"/>
          <w:color w:val="000000"/>
          <w:sz w:val="20"/>
          <w:szCs w:val="20"/>
        </w:rPr>
        <w:t>an</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W,</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Liu</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HW,</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Wang</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LF,</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Li</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ZQ,</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Sun</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XY.</w:t>
      </w:r>
      <w:r w:rsidRPr="009F0699">
        <w:rPr>
          <w:rFonts w:ascii="Times New Roman" w:hAnsi="Times New Roman" w:cs="Times New Roman"/>
          <w:color w:val="000000"/>
          <w:sz w:val="20"/>
          <w:szCs w:val="20"/>
        </w:rPr>
        <w:t xml:space="preserve"> </w:t>
      </w:r>
      <w:r w:rsidR="00194FBD" w:rsidRPr="009F0699">
        <w:rPr>
          <w:rFonts w:ascii="Times New Roman" w:hAnsi="Times New Roman" w:cs="Times New Roman"/>
          <w:color w:val="000000"/>
          <w:sz w:val="20"/>
          <w:szCs w:val="20"/>
        </w:rPr>
        <w:t>Effect</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of</w:t>
      </w:r>
      <w:r w:rsidRPr="009F0699">
        <w:rPr>
          <w:rFonts w:ascii="Times New Roman" w:hAnsi="Times New Roman" w:cs="Times New Roman"/>
          <w:color w:val="000000"/>
          <w:sz w:val="20"/>
          <w:szCs w:val="20"/>
        </w:rPr>
        <w:t xml:space="preserve"> </w:t>
      </w:r>
      <w:proofErr w:type="spellStart"/>
      <w:r w:rsidR="00456378" w:rsidRPr="009F0699">
        <w:rPr>
          <w:rFonts w:ascii="Times New Roman" w:hAnsi="Times New Roman" w:cs="Times New Roman"/>
          <w:color w:val="000000"/>
          <w:sz w:val="20"/>
          <w:szCs w:val="20"/>
        </w:rPr>
        <w:t>percutaneous</w:t>
      </w:r>
      <w:proofErr w:type="spellEnd"/>
      <w:r w:rsidRPr="009F0699">
        <w:rPr>
          <w:rFonts w:ascii="Times New Roman" w:hAnsi="Times New Roman" w:cs="Times New Roman"/>
          <w:color w:val="000000"/>
          <w:sz w:val="20"/>
          <w:szCs w:val="20"/>
        </w:rPr>
        <w:t xml:space="preserve"> </w:t>
      </w:r>
      <w:proofErr w:type="spellStart"/>
      <w:r w:rsidR="00456378" w:rsidRPr="009F0699">
        <w:rPr>
          <w:rFonts w:ascii="Times New Roman" w:hAnsi="Times New Roman" w:cs="Times New Roman"/>
          <w:color w:val="000000"/>
          <w:sz w:val="20"/>
          <w:szCs w:val="20"/>
        </w:rPr>
        <w:t>thrombectomy</w:t>
      </w:r>
      <w:proofErr w:type="spellEnd"/>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on</w:t>
      </w:r>
      <w:r w:rsidRPr="009F0699">
        <w:rPr>
          <w:rFonts w:ascii="Times New Roman" w:hAnsi="Times New Roman" w:cs="Times New Roman"/>
          <w:color w:val="000000"/>
          <w:sz w:val="20"/>
          <w:szCs w:val="20"/>
        </w:rPr>
        <w:t xml:space="preserve"> </w:t>
      </w:r>
      <w:proofErr w:type="spellStart"/>
      <w:r w:rsidR="00456378" w:rsidRPr="009F0699">
        <w:rPr>
          <w:rFonts w:ascii="Times New Roman" w:hAnsi="Times New Roman" w:cs="Times New Roman"/>
          <w:color w:val="000000"/>
          <w:sz w:val="20"/>
          <w:szCs w:val="20"/>
        </w:rPr>
        <w:t>echocardiographic</w:t>
      </w:r>
      <w:proofErr w:type="spellEnd"/>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measures</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of</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myocardial</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microcirculation</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in</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elderly</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patients</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with</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acute</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myocardial</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infarction.</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Coronary</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Artery</w:t>
      </w:r>
      <w:r w:rsidRPr="009F0699">
        <w:rPr>
          <w:rFonts w:ascii="Times New Roman" w:hAnsi="Times New Roman" w:cs="Times New Roman"/>
          <w:color w:val="000000"/>
          <w:sz w:val="20"/>
          <w:szCs w:val="20"/>
        </w:rPr>
        <w:t xml:space="preserve"> </w:t>
      </w:r>
      <w:proofErr w:type="spellStart"/>
      <w:r w:rsidR="00456378" w:rsidRPr="009F0699">
        <w:rPr>
          <w:rFonts w:ascii="Times New Roman" w:hAnsi="Times New Roman" w:cs="Times New Roman"/>
          <w:color w:val="000000"/>
          <w:sz w:val="20"/>
          <w:szCs w:val="20"/>
        </w:rPr>
        <w:t>Dis</w:t>
      </w:r>
      <w:proofErr w:type="spellEnd"/>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2010;</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21:</w:t>
      </w:r>
      <w:r w:rsidRPr="009F0699">
        <w:rPr>
          <w:rFonts w:ascii="Times New Roman" w:hAnsi="Times New Roman" w:cs="Times New Roman"/>
          <w:color w:val="000000"/>
          <w:sz w:val="20"/>
          <w:szCs w:val="20"/>
        </w:rPr>
        <w:t xml:space="preserve"> </w:t>
      </w:r>
      <w:r w:rsidR="00456378" w:rsidRPr="009F0699">
        <w:rPr>
          <w:rFonts w:ascii="Times New Roman" w:hAnsi="Times New Roman" w:cs="Times New Roman"/>
          <w:color w:val="000000"/>
          <w:sz w:val="20"/>
          <w:szCs w:val="20"/>
        </w:rPr>
        <w:t>121-125.</w:t>
      </w:r>
    </w:p>
    <w:p w:rsidR="00194FBD" w:rsidRPr="009F0699" w:rsidRDefault="00456378"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lastRenderedPageBreak/>
        <w:t>Huczek</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Z,</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Kochman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Filipiak</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KJ,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Horszczaruk</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Grabowski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Piatkowski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Wilczynska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Zielinski</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Meier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Opolski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Mean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platelet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volume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admission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predicts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impaired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reperfusion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long-term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mortality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treated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primary</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percutaneous</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intervention.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Coll</w:t>
      </w:r>
      <w:proofErr w:type="spellEnd"/>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Cardiol</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2005;</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46:</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284-290.</w:t>
      </w:r>
    </w:p>
    <w:p w:rsidR="00D009F8" w:rsidRPr="009F0699" w:rsidRDefault="00194FBD"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Galasso</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Schiekofer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D’Anna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Gioia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Piccolo</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Niglio</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Rosa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RD,</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Strisciuglio</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Trimarco</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No-reflow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phenomenon:</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pathophysiology</w:t>
      </w:r>
      <w:proofErr w:type="spellEnd"/>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diagnosis,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prevention,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treatment.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review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current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literature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future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perspectives.</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Angiology</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2014;</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65:</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180-189.</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613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Turk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Sc</w:t>
      </w:r>
      <w:r w:rsidR="00D009F8" w:rsidRPr="009F0699">
        <w:rPr>
          <w:rFonts w:ascii="Times New Roman" w:hAnsi="Times New Roman" w:cs="Times New Roman"/>
          <w:color w:val="000000"/>
          <w:sz w:val="20"/>
          <w:szCs w:val="20"/>
        </w:rPr>
        <w:t>i.</w:t>
      </w:r>
    </w:p>
    <w:p w:rsidR="00194FBD" w:rsidRPr="009F0699" w:rsidRDefault="00194FBD"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Niccoli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Burzotta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Galiuto</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Crea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no-reflow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humans.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Coll</w:t>
      </w:r>
      <w:proofErr w:type="spellEnd"/>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Cardiol</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2009;</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54:</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281-292.</w:t>
      </w:r>
    </w:p>
    <w:p w:rsidR="00194FBD" w:rsidRPr="009F0699" w:rsidRDefault="00194FBD"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Botto</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Sbrana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Trianni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Andreassi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Ravani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Rizza</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w:t>
      </w:r>
      <w:proofErr w:type="spellStart"/>
      <w:r w:rsidRPr="009F0699">
        <w:rPr>
          <w:rFonts w:ascii="Times New Roman" w:hAnsi="Times New Roman" w:cs="Times New Roman"/>
          <w:color w:val="000000"/>
          <w:sz w:val="20"/>
          <w:szCs w:val="20"/>
        </w:rPr>
        <w:t>Jabri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Palmieri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Berti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increased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platelet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leukocytes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interaction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culprit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site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artery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occlusion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pathogenic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role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‘‘no-reflow’’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phenomenon?</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Int</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Cardiol</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2007;</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117:</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123-130.</w:t>
      </w:r>
    </w:p>
    <w:p w:rsidR="00194FBD" w:rsidRPr="009F0699" w:rsidRDefault="00194FBD"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Maseri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Rebuzzi</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AG,</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Cianlone</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Need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composite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risk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stratification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patients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lastRenderedPageBreak/>
        <w:t>unstable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syndromes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tailored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to</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clinical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practice.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Circulation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1997;</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96:</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4141-4142.</w:t>
      </w:r>
    </w:p>
    <w:p w:rsidR="00194FBD" w:rsidRPr="009F0699" w:rsidRDefault="00194FBD"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Fibrinolytic</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therapy</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Trialists</w:t>
      </w:r>
      <w:proofErr w:type="spellEnd"/>
      <w:r w:rsidRPr="009F0699">
        <w:rPr>
          <w:rFonts w:ascii="Times New Roman" w:hAnsi="Times New Roman" w:cs="Times New Roman"/>
          <w:color w:val="000000"/>
          <w:sz w:val="20"/>
          <w:szCs w:val="20"/>
        </w:rPr>
        <w: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(FTT)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Collaborative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Group.</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Indications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fibrinolytic</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therapy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suspected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collaborative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overview</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early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mortality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major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morbidity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results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from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randomized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trials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more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than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1000</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patients.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Lancet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1994;</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343:</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311-322.</w:t>
      </w:r>
    </w:p>
    <w:p w:rsidR="00194FBD" w:rsidRPr="009F0699" w:rsidRDefault="00194FBD"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r w:rsidRPr="009F0699">
        <w:rPr>
          <w:rFonts w:ascii="Times New Roman" w:hAnsi="Times New Roman" w:cs="Times New Roman"/>
          <w:color w:val="000000"/>
          <w:sz w:val="20"/>
          <w:szCs w:val="20"/>
        </w:rPr>
        <w:t>Becker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RC,</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Burns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Gore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Spencer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Ball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SP,</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French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Lambrew</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Bowlby</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Hilbe</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Rogers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Early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assessment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and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in-hospital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management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patients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with</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increased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risk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adverse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outcomes: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nationwide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perspective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current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clinical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practice: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the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National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Registry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of</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(NRMI-2)</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Participants.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Am</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Heart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1998;</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135:</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786-796.</w:t>
      </w:r>
    </w:p>
    <w:p w:rsidR="00A944AC" w:rsidRPr="009F0699" w:rsidRDefault="00194FBD" w:rsidP="00D009F8">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0"/>
        </w:rPr>
      </w:pPr>
      <w:proofErr w:type="spellStart"/>
      <w:r w:rsidRPr="009F0699">
        <w:rPr>
          <w:rFonts w:ascii="Times New Roman" w:hAnsi="Times New Roman" w:cs="Times New Roman"/>
          <w:color w:val="000000"/>
          <w:sz w:val="20"/>
          <w:szCs w:val="20"/>
        </w:rPr>
        <w:t>Hochman</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Sleeper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LA,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Webb</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JG,</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Sanborn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TA,</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White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HD,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Talley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JD,</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Buller</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Jacobs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Slater</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et</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Early</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revascularization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acute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myocardial</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infarction</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complicated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by</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cardiogenic</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shock: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SHOCK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Investigators: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should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we</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emergently</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revascularize</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occluded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coronaries</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for</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cardiogenic</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shock.</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New</w:t>
      </w:r>
      <w:r w:rsidR="00CC3693" w:rsidRPr="009F0699">
        <w:rPr>
          <w:rFonts w:ascii="Times New Roman" w:hAnsi="Times New Roman" w:cs="Times New Roman"/>
          <w:color w:val="000000"/>
          <w:sz w:val="20"/>
          <w:szCs w:val="20"/>
        </w:rPr>
        <w:t xml:space="preserve"> </w:t>
      </w:r>
      <w:proofErr w:type="spellStart"/>
      <w:r w:rsidRPr="009F0699">
        <w:rPr>
          <w:rFonts w:ascii="Times New Roman" w:hAnsi="Times New Roman" w:cs="Times New Roman"/>
          <w:color w:val="000000"/>
          <w:sz w:val="20"/>
          <w:szCs w:val="20"/>
        </w:rPr>
        <w:t>Engl</w:t>
      </w:r>
      <w:proofErr w:type="spellEnd"/>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J</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Med</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1999;</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341:</w:t>
      </w:r>
      <w:r w:rsidR="00CC3693" w:rsidRPr="009F0699">
        <w:rPr>
          <w:rFonts w:ascii="Times New Roman" w:hAnsi="Times New Roman" w:cs="Times New Roman"/>
          <w:color w:val="000000"/>
          <w:sz w:val="20"/>
          <w:szCs w:val="20"/>
        </w:rPr>
        <w:t xml:space="preserve"> </w:t>
      </w:r>
      <w:r w:rsidRPr="009F0699">
        <w:rPr>
          <w:rFonts w:ascii="Times New Roman" w:hAnsi="Times New Roman" w:cs="Times New Roman"/>
          <w:color w:val="000000"/>
          <w:sz w:val="20"/>
          <w:szCs w:val="20"/>
        </w:rPr>
        <w:t>625-634.</w:t>
      </w:r>
      <w:r w:rsidR="00CC3693" w:rsidRPr="009F0699">
        <w:rPr>
          <w:rFonts w:ascii="Times New Roman" w:hAnsi="Times New Roman" w:cs="Times New Roman"/>
          <w:color w:val="000000"/>
          <w:sz w:val="20"/>
          <w:szCs w:val="20"/>
        </w:rPr>
        <w:t xml:space="preserve"> </w:t>
      </w:r>
    </w:p>
    <w:p w:rsidR="00D009F8" w:rsidRPr="009F0699" w:rsidRDefault="00D009F8" w:rsidP="00D009F8">
      <w:pPr>
        <w:pStyle w:val="ListParagraph"/>
        <w:snapToGrid w:val="0"/>
        <w:spacing w:after="0" w:line="240" w:lineRule="auto"/>
        <w:ind w:left="425" w:hanging="425"/>
        <w:jc w:val="both"/>
        <w:rPr>
          <w:rFonts w:ascii="Times New Roman" w:hAnsi="Times New Roman" w:cs="Times New Roman"/>
          <w:b/>
          <w:bCs/>
          <w:color w:val="000000"/>
          <w:sz w:val="20"/>
          <w:szCs w:val="20"/>
        </w:rPr>
        <w:sectPr w:rsidR="00D009F8" w:rsidRPr="009F0699" w:rsidSect="00D009F8">
          <w:type w:val="continuous"/>
          <w:pgSz w:w="12242" w:h="15842" w:code="1"/>
          <w:pgMar w:top="1440" w:right="1440" w:bottom="1440" w:left="1440" w:header="720" w:footer="720" w:gutter="0"/>
          <w:cols w:num="2" w:space="550"/>
          <w:docGrid w:linePitch="360"/>
        </w:sectPr>
      </w:pPr>
    </w:p>
    <w:p w:rsidR="00A944AC" w:rsidRPr="009F0699" w:rsidRDefault="00D009F8" w:rsidP="00D009F8">
      <w:pPr>
        <w:pStyle w:val="ListParagraph"/>
        <w:snapToGrid w:val="0"/>
        <w:spacing w:after="0" w:line="240" w:lineRule="auto"/>
        <w:ind w:left="425" w:hanging="425"/>
        <w:jc w:val="both"/>
        <w:rPr>
          <w:rFonts w:ascii="Times New Roman" w:hAnsi="Times New Roman" w:cs="Times New Roman"/>
          <w:b/>
          <w:bCs/>
          <w:color w:val="000000"/>
          <w:sz w:val="20"/>
          <w:szCs w:val="20"/>
          <w:lang w:eastAsia="zh-CN"/>
        </w:rPr>
      </w:pPr>
      <w:r w:rsidRPr="009F0699">
        <w:rPr>
          <w:rFonts w:ascii="Times New Roman" w:hAnsi="Times New Roman" w:cs="Times New Roman" w:hint="eastAsia"/>
          <w:b/>
          <w:bCs/>
          <w:color w:val="000000"/>
          <w:sz w:val="20"/>
          <w:szCs w:val="20"/>
          <w:lang w:eastAsia="zh-CN"/>
        </w:rPr>
        <w:lastRenderedPageBreak/>
        <w:t xml:space="preserve"> </w:t>
      </w:r>
    </w:p>
    <w:p w:rsidR="00CC3693" w:rsidRPr="009F0699" w:rsidRDefault="00CC3693" w:rsidP="00D009F8">
      <w:pPr>
        <w:snapToGrid w:val="0"/>
        <w:spacing w:after="0" w:line="240" w:lineRule="auto"/>
        <w:ind w:left="425" w:hanging="425"/>
        <w:jc w:val="both"/>
        <w:rPr>
          <w:rFonts w:ascii="Times New Roman" w:hAnsi="Times New Roman" w:cs="Times New Roman"/>
          <w:b/>
          <w:bCs/>
          <w:sz w:val="20"/>
          <w:szCs w:val="20"/>
        </w:rPr>
      </w:pPr>
    </w:p>
    <w:p w:rsidR="0084650A" w:rsidRPr="009F0699" w:rsidRDefault="00CC3693" w:rsidP="00D009F8">
      <w:pPr>
        <w:snapToGrid w:val="0"/>
        <w:spacing w:after="0" w:line="240" w:lineRule="auto"/>
        <w:jc w:val="both"/>
        <w:rPr>
          <w:rFonts w:ascii="Times New Roman" w:hAnsi="Times New Roman" w:cs="Times New Roman"/>
          <w:bCs/>
          <w:sz w:val="20"/>
          <w:szCs w:val="20"/>
        </w:rPr>
      </w:pPr>
      <w:r w:rsidRPr="009F0699">
        <w:rPr>
          <w:rFonts w:ascii="Times New Roman" w:hAnsi="Times New Roman" w:cs="Times New Roman"/>
          <w:bCs/>
          <w:sz w:val="20"/>
          <w:szCs w:val="20"/>
        </w:rPr>
        <w:t>3/20/2019</w:t>
      </w:r>
    </w:p>
    <w:sectPr w:rsidR="0084650A" w:rsidRPr="009F0699" w:rsidSect="00CC369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2E" w:rsidRDefault="00D3162E" w:rsidP="000D76F7">
      <w:pPr>
        <w:spacing w:after="0" w:line="240" w:lineRule="auto"/>
      </w:pPr>
      <w:r>
        <w:separator/>
      </w:r>
    </w:p>
  </w:endnote>
  <w:endnote w:type="continuationSeparator" w:id="0">
    <w:p w:rsidR="00D3162E" w:rsidRDefault="00D3162E" w:rsidP="000D7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E3" w:rsidRPr="006052A5" w:rsidRDefault="00597A67" w:rsidP="006052A5">
    <w:pPr>
      <w:spacing w:after="0" w:line="240" w:lineRule="auto"/>
      <w:jc w:val="center"/>
      <w:rPr>
        <w:rFonts w:ascii="Times New Roman" w:hAnsi="Times New Roman" w:cs="Times New Roman"/>
        <w:sz w:val="20"/>
      </w:rPr>
    </w:pPr>
    <w:r w:rsidRPr="006052A5">
      <w:rPr>
        <w:rFonts w:ascii="Times New Roman" w:hAnsi="Times New Roman" w:cs="Times New Roman"/>
        <w:sz w:val="20"/>
      </w:rPr>
      <w:fldChar w:fldCharType="begin"/>
    </w:r>
    <w:r w:rsidR="006052A5" w:rsidRPr="006052A5">
      <w:rPr>
        <w:rFonts w:ascii="Times New Roman" w:hAnsi="Times New Roman" w:cs="Times New Roman"/>
        <w:sz w:val="20"/>
      </w:rPr>
      <w:instrText xml:space="preserve"> page </w:instrText>
    </w:r>
    <w:r w:rsidRPr="006052A5">
      <w:rPr>
        <w:rFonts w:ascii="Times New Roman" w:hAnsi="Times New Roman" w:cs="Times New Roman"/>
        <w:sz w:val="20"/>
      </w:rPr>
      <w:fldChar w:fldCharType="separate"/>
    </w:r>
    <w:r w:rsidR="009F0699">
      <w:rPr>
        <w:rFonts w:ascii="Times New Roman" w:hAnsi="Times New Roman" w:cs="Times New Roman"/>
        <w:noProof/>
        <w:sz w:val="20"/>
      </w:rPr>
      <w:t>74</w:t>
    </w:r>
    <w:r w:rsidRPr="006052A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2E" w:rsidRDefault="00D3162E" w:rsidP="000D76F7">
      <w:pPr>
        <w:spacing w:after="0" w:line="240" w:lineRule="auto"/>
      </w:pPr>
      <w:r>
        <w:separator/>
      </w:r>
    </w:p>
  </w:footnote>
  <w:footnote w:type="continuationSeparator" w:id="0">
    <w:p w:rsidR="00D3162E" w:rsidRDefault="00D3162E" w:rsidP="000D7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A5" w:rsidRPr="006052A5" w:rsidRDefault="006052A5" w:rsidP="006052A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52A5">
      <w:rPr>
        <w:rFonts w:ascii="Times New Roman" w:hAnsi="Times New Roman" w:cs="Times New Roman" w:hint="eastAsia"/>
        <w:sz w:val="20"/>
        <w:szCs w:val="20"/>
      </w:rPr>
      <w:tab/>
    </w:r>
    <w:r w:rsidRPr="006052A5">
      <w:rPr>
        <w:rFonts w:ascii="Times New Roman" w:hAnsi="Times New Roman" w:cs="Times New Roman"/>
        <w:sz w:val="20"/>
        <w:szCs w:val="20"/>
      </w:rPr>
      <w:t>New York Science Journal 201</w:t>
    </w:r>
    <w:r w:rsidRPr="006052A5">
      <w:rPr>
        <w:rFonts w:ascii="Times New Roman" w:hAnsi="Times New Roman" w:cs="Times New Roman" w:hint="eastAsia"/>
        <w:sz w:val="20"/>
        <w:szCs w:val="20"/>
      </w:rPr>
      <w:t>9</w:t>
    </w:r>
    <w:r w:rsidRPr="006052A5">
      <w:rPr>
        <w:rFonts w:ascii="Times New Roman" w:hAnsi="Times New Roman" w:cs="Times New Roman"/>
        <w:sz w:val="20"/>
        <w:szCs w:val="20"/>
      </w:rPr>
      <w:t>;</w:t>
    </w:r>
    <w:r w:rsidRPr="006052A5">
      <w:rPr>
        <w:rFonts w:ascii="Times New Roman" w:hAnsi="Times New Roman" w:cs="Times New Roman" w:hint="eastAsia"/>
        <w:sz w:val="20"/>
        <w:szCs w:val="20"/>
      </w:rPr>
      <w:t>12</w:t>
    </w:r>
    <w:r w:rsidRPr="006052A5">
      <w:rPr>
        <w:rFonts w:ascii="Times New Roman" w:hAnsi="Times New Roman" w:cs="Times New Roman"/>
        <w:sz w:val="20"/>
        <w:szCs w:val="20"/>
      </w:rPr>
      <w:t>(</w:t>
    </w:r>
    <w:r w:rsidRPr="006052A5">
      <w:rPr>
        <w:rFonts w:ascii="Times New Roman" w:hAnsi="Times New Roman" w:cs="Times New Roman" w:hint="eastAsia"/>
        <w:sz w:val="20"/>
        <w:szCs w:val="20"/>
      </w:rPr>
      <w:t>3</w:t>
    </w:r>
    <w:r w:rsidRPr="006052A5">
      <w:rPr>
        <w:rFonts w:ascii="Times New Roman" w:hAnsi="Times New Roman" w:cs="Times New Roman"/>
        <w:sz w:val="20"/>
        <w:szCs w:val="20"/>
      </w:rPr>
      <w:t>)</w:t>
    </w:r>
    <w:r w:rsidRPr="006052A5">
      <w:rPr>
        <w:rFonts w:ascii="Times New Roman" w:hAnsi="Times New Roman" w:cs="Times New Roman"/>
        <w:iCs/>
        <w:sz w:val="20"/>
        <w:szCs w:val="20"/>
      </w:rPr>
      <w:t xml:space="preserve">     </w:t>
    </w:r>
    <w:r w:rsidRPr="006052A5">
      <w:rPr>
        <w:rFonts w:ascii="Times New Roman" w:hAnsi="Times New Roman" w:cs="Times New Roman" w:hint="eastAsia"/>
        <w:iCs/>
        <w:sz w:val="20"/>
        <w:szCs w:val="20"/>
      </w:rPr>
      <w:tab/>
    </w:r>
    <w:r w:rsidRPr="006052A5">
      <w:rPr>
        <w:rFonts w:ascii="Times New Roman" w:hAnsi="Times New Roman" w:cs="Times New Roman"/>
        <w:iCs/>
        <w:sz w:val="20"/>
        <w:szCs w:val="20"/>
      </w:rPr>
      <w:t xml:space="preserve"> </w:t>
    </w:r>
    <w:r w:rsidRPr="006052A5">
      <w:rPr>
        <w:rFonts w:ascii="Times New Roman" w:hAnsi="Times New Roman" w:cs="Times New Roman" w:hint="eastAsia"/>
        <w:iCs/>
        <w:sz w:val="20"/>
        <w:szCs w:val="20"/>
      </w:rPr>
      <w:t xml:space="preserve"> </w:t>
    </w:r>
    <w:r w:rsidRPr="006052A5">
      <w:rPr>
        <w:rFonts w:ascii="Times New Roman" w:hAnsi="Times New Roman" w:cs="Times New Roman"/>
        <w:iCs/>
        <w:sz w:val="20"/>
        <w:szCs w:val="20"/>
      </w:rPr>
      <w:t xml:space="preserve">   </w:t>
    </w:r>
    <w:hyperlink r:id="rId1" w:history="1">
      <w:r w:rsidRPr="006052A5">
        <w:rPr>
          <w:rStyle w:val="Hyperlink"/>
          <w:rFonts w:ascii="Times New Roman" w:hAnsi="Times New Roman" w:cs="Times New Roman"/>
          <w:sz w:val="20"/>
          <w:szCs w:val="20"/>
        </w:rPr>
        <w:t>http://www.sciencepub.net/newyork</w:t>
      </w:r>
    </w:hyperlink>
  </w:p>
  <w:p w:rsidR="006052A5" w:rsidRPr="006052A5" w:rsidRDefault="006052A5" w:rsidP="006052A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0BD"/>
    <w:multiLevelType w:val="hybridMultilevel"/>
    <w:tmpl w:val="132A96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Arial" w:hAnsi="Arial" w:hint="default"/>
      </w:rPr>
    </w:lvl>
    <w:lvl w:ilvl="7" w:tplc="04090003">
      <w:start w:val="1"/>
      <w:numFmt w:val="bullet"/>
      <w:lvlText w:val="o"/>
      <w:lvlJc w:val="left"/>
      <w:pPr>
        <w:tabs>
          <w:tab w:val="num" w:pos="5760"/>
        </w:tabs>
        <w:ind w:left="5760" w:hanging="360"/>
      </w:pPr>
      <w:rPr>
        <w:rFonts w:ascii="Symbol" w:hAnsi="Symbol" w:hint="default"/>
      </w:rPr>
    </w:lvl>
    <w:lvl w:ilvl="8" w:tplc="04090005">
      <w:start w:val="1"/>
      <w:numFmt w:val="bullet"/>
      <w:lvlText w:val=""/>
      <w:lvlJc w:val="left"/>
      <w:pPr>
        <w:tabs>
          <w:tab w:val="num" w:pos="6480"/>
        </w:tabs>
        <w:ind w:left="6480" w:hanging="360"/>
      </w:pPr>
      <w:rPr>
        <w:rFonts w:ascii="Symbol" w:hAnsi="Symbol" w:hint="default"/>
      </w:rPr>
    </w:lvl>
  </w:abstractNum>
  <w:abstractNum w:abstractNumId="1">
    <w:nsid w:val="0D744CBE"/>
    <w:multiLevelType w:val="hybridMultilevel"/>
    <w:tmpl w:val="54C8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474AEA"/>
    <w:multiLevelType w:val="hybridMultilevel"/>
    <w:tmpl w:val="1AF69C70"/>
    <w:lvl w:ilvl="0" w:tplc="CF603B8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10281D"/>
    <w:multiLevelType w:val="hybridMultilevel"/>
    <w:tmpl w:val="10CE105C"/>
    <w:lvl w:ilvl="0" w:tplc="5FC0A94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D485D"/>
    <w:multiLevelType w:val="multilevel"/>
    <w:tmpl w:val="94D66E1E"/>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6">
    <w:nsid w:val="2DBC45AF"/>
    <w:multiLevelType w:val="hybridMultilevel"/>
    <w:tmpl w:val="CD945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0A698C"/>
    <w:multiLevelType w:val="hybridMultilevel"/>
    <w:tmpl w:val="EF2C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36039"/>
    <w:multiLevelType w:val="hybridMultilevel"/>
    <w:tmpl w:val="6C06B4EE"/>
    <w:lvl w:ilvl="0" w:tplc="DFD0E77A">
      <w:start w:val="1"/>
      <w:numFmt w:val="bullet"/>
      <w:lvlText w:val="-"/>
      <w:lvlJc w:val="left"/>
      <w:pPr>
        <w:ind w:left="720" w:hanging="360"/>
      </w:pPr>
      <w:rPr>
        <w:rFonts w:ascii="Times New Roman" w:eastAsia="Calibri" w:hAnsi="Times New Roman"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5141D"/>
    <w:multiLevelType w:val="hybridMultilevel"/>
    <w:tmpl w:val="B4A809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2"/>
  </w:num>
  <w:num w:numId="6">
    <w:abstractNumId w:val="0"/>
  </w:num>
  <w:num w:numId="7">
    <w:abstractNumId w:val="9"/>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84650A"/>
    <w:rsid w:val="000115E3"/>
    <w:rsid w:val="000251E4"/>
    <w:rsid w:val="00041663"/>
    <w:rsid w:val="000629A3"/>
    <w:rsid w:val="00063DAD"/>
    <w:rsid w:val="00083F3C"/>
    <w:rsid w:val="000957FF"/>
    <w:rsid w:val="000A4589"/>
    <w:rsid w:val="000A7067"/>
    <w:rsid w:val="000B49A4"/>
    <w:rsid w:val="000C7697"/>
    <w:rsid w:val="000D76F7"/>
    <w:rsid w:val="001007F5"/>
    <w:rsid w:val="00115259"/>
    <w:rsid w:val="00144560"/>
    <w:rsid w:val="00147AB2"/>
    <w:rsid w:val="00156359"/>
    <w:rsid w:val="00160C8C"/>
    <w:rsid w:val="001632E0"/>
    <w:rsid w:val="00163701"/>
    <w:rsid w:val="00180308"/>
    <w:rsid w:val="00193E52"/>
    <w:rsid w:val="00194FBD"/>
    <w:rsid w:val="001C160B"/>
    <w:rsid w:val="001C77A2"/>
    <w:rsid w:val="001E439A"/>
    <w:rsid w:val="001F0019"/>
    <w:rsid w:val="001F5BC2"/>
    <w:rsid w:val="00204837"/>
    <w:rsid w:val="0023314D"/>
    <w:rsid w:val="0026510F"/>
    <w:rsid w:val="00282CAE"/>
    <w:rsid w:val="002945FE"/>
    <w:rsid w:val="002D6A32"/>
    <w:rsid w:val="002E3AF9"/>
    <w:rsid w:val="002F6372"/>
    <w:rsid w:val="00312769"/>
    <w:rsid w:val="00320B97"/>
    <w:rsid w:val="0033623A"/>
    <w:rsid w:val="0033663A"/>
    <w:rsid w:val="003506B0"/>
    <w:rsid w:val="00360CA7"/>
    <w:rsid w:val="00385030"/>
    <w:rsid w:val="00386DDD"/>
    <w:rsid w:val="00395315"/>
    <w:rsid w:val="003A3DA8"/>
    <w:rsid w:val="003D10C6"/>
    <w:rsid w:val="003D5540"/>
    <w:rsid w:val="003D6E95"/>
    <w:rsid w:val="003F31A9"/>
    <w:rsid w:val="003F626C"/>
    <w:rsid w:val="00423AC4"/>
    <w:rsid w:val="00456378"/>
    <w:rsid w:val="00470605"/>
    <w:rsid w:val="00480550"/>
    <w:rsid w:val="00481D71"/>
    <w:rsid w:val="00490BCF"/>
    <w:rsid w:val="00490BEE"/>
    <w:rsid w:val="004A4B6B"/>
    <w:rsid w:val="004A6A82"/>
    <w:rsid w:val="004B21C4"/>
    <w:rsid w:val="004B5A81"/>
    <w:rsid w:val="004B7925"/>
    <w:rsid w:val="004D1C1B"/>
    <w:rsid w:val="004D4E9F"/>
    <w:rsid w:val="004D75EC"/>
    <w:rsid w:val="004E635A"/>
    <w:rsid w:val="004E77C9"/>
    <w:rsid w:val="005034AA"/>
    <w:rsid w:val="00503AE1"/>
    <w:rsid w:val="005060EB"/>
    <w:rsid w:val="00506E20"/>
    <w:rsid w:val="0051447A"/>
    <w:rsid w:val="005556EB"/>
    <w:rsid w:val="005602F5"/>
    <w:rsid w:val="00597A67"/>
    <w:rsid w:val="005C6127"/>
    <w:rsid w:val="005D102D"/>
    <w:rsid w:val="005F44E8"/>
    <w:rsid w:val="005F4825"/>
    <w:rsid w:val="005F7D81"/>
    <w:rsid w:val="006052A5"/>
    <w:rsid w:val="00616C66"/>
    <w:rsid w:val="00623F6B"/>
    <w:rsid w:val="006361D8"/>
    <w:rsid w:val="00641639"/>
    <w:rsid w:val="00643270"/>
    <w:rsid w:val="00650219"/>
    <w:rsid w:val="00695D9E"/>
    <w:rsid w:val="006B3CD4"/>
    <w:rsid w:val="006C0A47"/>
    <w:rsid w:val="006F549C"/>
    <w:rsid w:val="006F6B01"/>
    <w:rsid w:val="007009C0"/>
    <w:rsid w:val="00706A5F"/>
    <w:rsid w:val="007212DC"/>
    <w:rsid w:val="00733101"/>
    <w:rsid w:val="007411F9"/>
    <w:rsid w:val="0075355E"/>
    <w:rsid w:val="007562F7"/>
    <w:rsid w:val="00770884"/>
    <w:rsid w:val="00777E5D"/>
    <w:rsid w:val="00795932"/>
    <w:rsid w:val="007A1A1D"/>
    <w:rsid w:val="007C0DD7"/>
    <w:rsid w:val="007C1894"/>
    <w:rsid w:val="007C3B1F"/>
    <w:rsid w:val="007C5463"/>
    <w:rsid w:val="007C60D6"/>
    <w:rsid w:val="007D292C"/>
    <w:rsid w:val="007D59C0"/>
    <w:rsid w:val="007E01AD"/>
    <w:rsid w:val="007F7BDB"/>
    <w:rsid w:val="008228E2"/>
    <w:rsid w:val="00833482"/>
    <w:rsid w:val="008458BD"/>
    <w:rsid w:val="0084650A"/>
    <w:rsid w:val="00863975"/>
    <w:rsid w:val="00865127"/>
    <w:rsid w:val="00881284"/>
    <w:rsid w:val="00882C23"/>
    <w:rsid w:val="00887969"/>
    <w:rsid w:val="00894DCD"/>
    <w:rsid w:val="008B50C4"/>
    <w:rsid w:val="008B5E09"/>
    <w:rsid w:val="008E5F7B"/>
    <w:rsid w:val="00916490"/>
    <w:rsid w:val="00955866"/>
    <w:rsid w:val="0096117B"/>
    <w:rsid w:val="009631C8"/>
    <w:rsid w:val="00977CCF"/>
    <w:rsid w:val="00980215"/>
    <w:rsid w:val="00991150"/>
    <w:rsid w:val="009C7B0A"/>
    <w:rsid w:val="009D2D07"/>
    <w:rsid w:val="009D5D7B"/>
    <w:rsid w:val="009E750D"/>
    <w:rsid w:val="009F0699"/>
    <w:rsid w:val="00A037B2"/>
    <w:rsid w:val="00A439C0"/>
    <w:rsid w:val="00A63564"/>
    <w:rsid w:val="00A67883"/>
    <w:rsid w:val="00A75FFE"/>
    <w:rsid w:val="00A90AAF"/>
    <w:rsid w:val="00A944AC"/>
    <w:rsid w:val="00A95D93"/>
    <w:rsid w:val="00AD03B4"/>
    <w:rsid w:val="00AE498B"/>
    <w:rsid w:val="00B04E62"/>
    <w:rsid w:val="00B06D5E"/>
    <w:rsid w:val="00B15E0D"/>
    <w:rsid w:val="00B330CE"/>
    <w:rsid w:val="00BA2B88"/>
    <w:rsid w:val="00BB2D34"/>
    <w:rsid w:val="00BC7A5A"/>
    <w:rsid w:val="00BD4BB3"/>
    <w:rsid w:val="00BE5D1D"/>
    <w:rsid w:val="00C03557"/>
    <w:rsid w:val="00C11736"/>
    <w:rsid w:val="00C2347B"/>
    <w:rsid w:val="00C37805"/>
    <w:rsid w:val="00C67AE4"/>
    <w:rsid w:val="00C91A7C"/>
    <w:rsid w:val="00CA1F4E"/>
    <w:rsid w:val="00CC1EA2"/>
    <w:rsid w:val="00CC27D7"/>
    <w:rsid w:val="00CC3693"/>
    <w:rsid w:val="00CC4C37"/>
    <w:rsid w:val="00CE788D"/>
    <w:rsid w:val="00CF50CF"/>
    <w:rsid w:val="00D009F8"/>
    <w:rsid w:val="00D12DB2"/>
    <w:rsid w:val="00D230F1"/>
    <w:rsid w:val="00D3162E"/>
    <w:rsid w:val="00D50958"/>
    <w:rsid w:val="00D52D7B"/>
    <w:rsid w:val="00D54033"/>
    <w:rsid w:val="00D70FFF"/>
    <w:rsid w:val="00D80EBA"/>
    <w:rsid w:val="00D83C47"/>
    <w:rsid w:val="00D87FCF"/>
    <w:rsid w:val="00D9251C"/>
    <w:rsid w:val="00DB0ADE"/>
    <w:rsid w:val="00DD07FD"/>
    <w:rsid w:val="00DD68C7"/>
    <w:rsid w:val="00DE58C8"/>
    <w:rsid w:val="00DF1A51"/>
    <w:rsid w:val="00DF4F29"/>
    <w:rsid w:val="00E1063E"/>
    <w:rsid w:val="00E27888"/>
    <w:rsid w:val="00E35F56"/>
    <w:rsid w:val="00E60B50"/>
    <w:rsid w:val="00E73D81"/>
    <w:rsid w:val="00E76402"/>
    <w:rsid w:val="00E80AEF"/>
    <w:rsid w:val="00E87726"/>
    <w:rsid w:val="00EA62F0"/>
    <w:rsid w:val="00EB584D"/>
    <w:rsid w:val="00EE010F"/>
    <w:rsid w:val="00EE1DDD"/>
    <w:rsid w:val="00EF3EA9"/>
    <w:rsid w:val="00F10D2F"/>
    <w:rsid w:val="00F304E8"/>
    <w:rsid w:val="00F325CA"/>
    <w:rsid w:val="00F56C4F"/>
    <w:rsid w:val="00F63A0C"/>
    <w:rsid w:val="00F74BBD"/>
    <w:rsid w:val="00F87D3E"/>
    <w:rsid w:val="00FA6D09"/>
    <w:rsid w:val="00FA71C1"/>
    <w:rsid w:val="00FB148E"/>
    <w:rsid w:val="00FB2F81"/>
    <w:rsid w:val="00FD16B1"/>
    <w:rsid w:val="00FD511D"/>
    <w:rsid w:val="00FE1F84"/>
    <w:rsid w:val="00FF2FBE"/>
    <w:rsid w:val="00FF33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4650A"/>
    <w:pPr>
      <w:suppressAutoHyphens/>
      <w:bidi/>
      <w:spacing w:after="120" w:line="48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84650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0D76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76F7"/>
  </w:style>
  <w:style w:type="paragraph" w:styleId="Footer">
    <w:name w:val="footer"/>
    <w:basedOn w:val="Normal"/>
    <w:link w:val="FooterChar"/>
    <w:uiPriority w:val="99"/>
    <w:unhideWhenUsed/>
    <w:rsid w:val="000D76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76F7"/>
  </w:style>
  <w:style w:type="paragraph" w:styleId="BalloonText">
    <w:name w:val="Balloon Text"/>
    <w:basedOn w:val="Normal"/>
    <w:link w:val="BalloonTextChar"/>
    <w:uiPriority w:val="99"/>
    <w:semiHidden/>
    <w:unhideWhenUsed/>
    <w:rsid w:val="000D7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6F7"/>
    <w:rPr>
      <w:rFonts w:ascii="Tahoma" w:hAnsi="Tahoma" w:cs="Tahoma"/>
      <w:sz w:val="16"/>
      <w:szCs w:val="16"/>
    </w:rPr>
  </w:style>
  <w:style w:type="paragraph" w:styleId="NoSpacing">
    <w:name w:val="No Spacing"/>
    <w:link w:val="NoSpacingChar"/>
    <w:uiPriority w:val="1"/>
    <w:qFormat/>
    <w:rsid w:val="00D83C47"/>
    <w:pPr>
      <w:spacing w:after="0" w:line="240" w:lineRule="auto"/>
    </w:pPr>
  </w:style>
  <w:style w:type="character" w:customStyle="1" w:styleId="NoSpacingChar">
    <w:name w:val="No Spacing Char"/>
    <w:basedOn w:val="DefaultParagraphFont"/>
    <w:link w:val="NoSpacing"/>
    <w:uiPriority w:val="1"/>
    <w:rsid w:val="00D83C47"/>
    <w:rPr>
      <w:rFonts w:eastAsiaTheme="minorEastAsia"/>
    </w:rPr>
  </w:style>
  <w:style w:type="paragraph" w:styleId="ListParagraph">
    <w:name w:val="List Paragraph"/>
    <w:basedOn w:val="Normal"/>
    <w:uiPriority w:val="34"/>
    <w:qFormat/>
    <w:rsid w:val="00FF2FBE"/>
    <w:pPr>
      <w:ind w:left="720"/>
      <w:contextualSpacing/>
    </w:pPr>
  </w:style>
  <w:style w:type="character" w:customStyle="1" w:styleId="ref">
    <w:name w:val="ref"/>
    <w:rsid w:val="00D52D7B"/>
    <w:rPr>
      <w:b/>
    </w:rPr>
  </w:style>
  <w:style w:type="paragraph" w:customStyle="1" w:styleId="bb">
    <w:name w:val="bb"/>
    <w:basedOn w:val="BodyText"/>
    <w:rsid w:val="00D52D7B"/>
    <w:pPr>
      <w:spacing w:after="240" w:line="360" w:lineRule="auto"/>
      <w:ind w:firstLine="567"/>
      <w:jc w:val="lowKashida"/>
    </w:pPr>
    <w:rPr>
      <w:rFonts w:ascii="Times New Roman" w:eastAsia="Times New Roman" w:hAnsi="Times New Roman" w:cs="Times New Roman"/>
      <w:sz w:val="30"/>
      <w:szCs w:val="30"/>
      <w:lang w:eastAsia="ar-SA"/>
    </w:rPr>
  </w:style>
  <w:style w:type="paragraph" w:styleId="BodyText">
    <w:name w:val="Body Text"/>
    <w:basedOn w:val="Normal"/>
    <w:link w:val="BodyTextChar"/>
    <w:uiPriority w:val="99"/>
    <w:semiHidden/>
    <w:unhideWhenUsed/>
    <w:rsid w:val="00D52D7B"/>
    <w:pPr>
      <w:spacing w:after="120"/>
    </w:pPr>
  </w:style>
  <w:style w:type="character" w:customStyle="1" w:styleId="BodyTextChar">
    <w:name w:val="Body Text Char"/>
    <w:basedOn w:val="DefaultParagraphFont"/>
    <w:link w:val="BodyText"/>
    <w:uiPriority w:val="99"/>
    <w:semiHidden/>
    <w:rsid w:val="00D52D7B"/>
  </w:style>
  <w:style w:type="character" w:styleId="Hyperlink">
    <w:name w:val="Hyperlink"/>
    <w:uiPriority w:val="99"/>
    <w:rsid w:val="00D52D7B"/>
    <w:rPr>
      <w:color w:val="0000FF"/>
      <w:u w:val="single"/>
    </w:rPr>
  </w:style>
  <w:style w:type="paragraph" w:customStyle="1" w:styleId="B1">
    <w:name w:val="B1"/>
    <w:basedOn w:val="Normal"/>
    <w:rsid w:val="00D52D7B"/>
    <w:pPr>
      <w:spacing w:after="240" w:line="360" w:lineRule="auto"/>
      <w:ind w:firstLine="561"/>
      <w:jc w:val="lowKashida"/>
    </w:pPr>
    <w:rPr>
      <w:rFonts w:ascii="Times New Roman" w:eastAsia="Times New Roman" w:hAnsi="Times New Roman" w:cs="Times New Roman"/>
      <w:sz w:val="30"/>
      <w:szCs w:val="28"/>
      <w:lang w:bidi="ar-EG"/>
    </w:rPr>
  </w:style>
  <w:style w:type="character" w:customStyle="1" w:styleId="nowrap1">
    <w:name w:val="nowrap1"/>
    <w:basedOn w:val="DefaultParagraphFont"/>
    <w:rsid w:val="00D52D7B"/>
  </w:style>
  <w:style w:type="paragraph" w:customStyle="1" w:styleId="b">
    <w:name w:val="b"/>
    <w:basedOn w:val="Normal"/>
    <w:rsid w:val="00BA2B88"/>
    <w:pPr>
      <w:spacing w:after="240" w:line="360" w:lineRule="auto"/>
      <w:ind w:firstLine="578"/>
      <w:jc w:val="lowKashida"/>
    </w:pPr>
    <w:rPr>
      <w:rFonts w:ascii="Times New Roman" w:eastAsia="Times New Roman" w:hAnsi="Times New Roman" w:cs="Times New Roman"/>
      <w:noProof/>
      <w:sz w:val="30"/>
      <w:szCs w:val="28"/>
      <w:lang w:bidi="ar-EG"/>
    </w:rPr>
  </w:style>
  <w:style w:type="table" w:customStyle="1" w:styleId="GridTable3-Accent111">
    <w:name w:val="Grid Table 3 - Accent 111"/>
    <w:basedOn w:val="TableNormal"/>
    <w:next w:val="TableNormal"/>
    <w:uiPriority w:val="48"/>
    <w:rsid w:val="009E750D"/>
    <w:pPr>
      <w:spacing w:after="0" w:line="240" w:lineRule="auto"/>
    </w:pPr>
    <w:rPr>
      <w:rFonts w:eastAsiaTheme="minorHAnsi"/>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styleId="FollowedHyperlink">
    <w:name w:val="FollowedHyperlink"/>
    <w:basedOn w:val="DefaultParagraphFont"/>
    <w:uiPriority w:val="99"/>
    <w:semiHidden/>
    <w:unhideWhenUsed/>
    <w:rsid w:val="003D10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10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edsoliman861@yahoo.com" TargetMode="External"/><Relationship Id="rId13" Type="http://schemas.openxmlformats.org/officeDocument/2006/relationships/hyperlink" Target="https://www.mdcalc.com/timi-risk-score-stemi"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20319.10"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www.mdcalc.com.grace-acs-mortality-calculato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AD73-8933-4301-BFCC-8A9F256A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4638</Words>
  <Characters>26443</Characters>
  <Application>Microsoft Office Word</Application>
  <DocSecurity>0</DocSecurity>
  <Lines>220</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Research Article</vt:lpstr>
      <vt:lpstr>Introduction &amp; Aim of the work</vt:lpstr>
    </vt:vector>
  </TitlesOfParts>
  <Company>TOSHIBA</Company>
  <LinksUpToDate>false</LinksUpToDate>
  <CharactersWithSpaces>31019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Article</dc:title>
  <dc:creator>Sarhan</dc:creator>
  <cp:lastModifiedBy>Administrator</cp:lastModifiedBy>
  <cp:revision>3</cp:revision>
  <cp:lastPrinted>2018-09-21T17:21:00Z</cp:lastPrinted>
  <dcterms:created xsi:type="dcterms:W3CDTF">2019-03-26T13:48:00Z</dcterms:created>
  <dcterms:modified xsi:type="dcterms:W3CDTF">2019-03-27T01:58:00Z</dcterms:modified>
</cp:coreProperties>
</file>