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0D" w:rsidRPr="00713E0A" w:rsidRDefault="00E27E0D" w:rsidP="00713E0A">
      <w:pPr>
        <w:snapToGrid w:val="0"/>
        <w:jc w:val="center"/>
        <w:rPr>
          <w:rFonts w:eastAsiaTheme="minorEastAsia"/>
          <w:color w:val="202020"/>
          <w:kern w:val="0"/>
          <w:sz w:val="20"/>
          <w:szCs w:val="39"/>
        </w:rPr>
      </w:pPr>
      <w:r w:rsidRPr="00713E0A">
        <w:rPr>
          <w:rStyle w:val="Strong"/>
          <w:bCs w:val="0"/>
          <w:color w:val="202020"/>
          <w:kern w:val="0"/>
          <w:sz w:val="20"/>
        </w:rPr>
        <w:t>To</w:t>
      </w:r>
      <w:r w:rsidR="00713E0A"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Hear</w:t>
      </w:r>
      <w:r w:rsidR="00713E0A"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Or</w:t>
      </w:r>
      <w:r w:rsidR="00713E0A"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Not</w:t>
      </w:r>
      <w:r w:rsidR="00713E0A"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To</w:t>
      </w:r>
      <w:r w:rsidR="00713E0A"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Hear</w:t>
      </w:r>
      <w:r w:rsidR="00713E0A">
        <w:rPr>
          <w:rStyle w:val="Strong"/>
          <w:rFonts w:eastAsiaTheme="minorEastAsia"/>
          <w:bCs w:val="0"/>
          <w:color w:val="202020"/>
          <w:kern w:val="0"/>
          <w:sz w:val="20"/>
        </w:rPr>
        <w:t xml:space="preserve"> </w:t>
      </w:r>
      <w:r w:rsidR="00161B67" w:rsidRPr="00713E0A">
        <w:rPr>
          <w:color w:val="202020"/>
          <w:kern w:val="0"/>
          <w:sz w:val="20"/>
          <w:szCs w:val="39"/>
        </w:rPr>
        <w:t>Wales</w:t>
      </w:r>
      <w:r w:rsidR="00F60837" w:rsidRPr="00713E0A">
        <w:rPr>
          <w:rFonts w:eastAsiaTheme="minorEastAsia" w:hint="eastAsia"/>
          <w:color w:val="202020"/>
          <w:kern w:val="0"/>
          <w:sz w:val="20"/>
          <w:szCs w:val="39"/>
        </w:rPr>
        <w:t>,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rFonts w:eastAsiaTheme="minorEastAsia" w:hint="eastAsia"/>
          <w:color w:val="202020"/>
          <w:kern w:val="0"/>
          <w:sz w:val="20"/>
          <w:szCs w:val="39"/>
        </w:rPr>
        <w:t>Discussion</w:t>
      </w:r>
    </w:p>
    <w:p w:rsidR="00E27E0D" w:rsidRPr="00713E0A" w:rsidRDefault="00E27E0D" w:rsidP="00713E0A">
      <w:pPr>
        <w:snapToGrid w:val="0"/>
        <w:jc w:val="center"/>
        <w:rPr>
          <w:rFonts w:eastAsiaTheme="minorEastAsia"/>
          <w:color w:val="202020"/>
          <w:kern w:val="0"/>
          <w:sz w:val="20"/>
          <w:szCs w:val="39"/>
        </w:rPr>
      </w:pPr>
    </w:p>
    <w:p w:rsidR="00E27E0D" w:rsidRPr="00713E0A" w:rsidRDefault="00161B67" w:rsidP="00713E0A">
      <w:pPr>
        <w:snapToGrid w:val="0"/>
        <w:jc w:val="center"/>
        <w:rPr>
          <w:rFonts w:eastAsiaTheme="minorEastAsia"/>
          <w:color w:val="202020"/>
          <w:kern w:val="0"/>
          <w:sz w:val="20"/>
          <w:szCs w:val="39"/>
        </w:rPr>
      </w:pPr>
      <w:r w:rsidRPr="00713E0A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Srimad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Bhaktivedanta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713E0A">
        <w:rPr>
          <w:color w:val="202020"/>
          <w:kern w:val="0"/>
          <w:sz w:val="20"/>
          <w:szCs w:val="39"/>
        </w:rPr>
        <w:t>Maharaja</w:t>
      </w:r>
    </w:p>
    <w:p w:rsidR="00E27E0D" w:rsidRPr="00713E0A" w:rsidRDefault="00E27E0D" w:rsidP="00713E0A">
      <w:pPr>
        <w:snapToGrid w:val="0"/>
        <w:jc w:val="center"/>
        <w:rPr>
          <w:rFonts w:eastAsiaTheme="minorEastAsia"/>
          <w:color w:val="202020"/>
          <w:kern w:val="0"/>
          <w:sz w:val="20"/>
          <w:szCs w:val="39"/>
        </w:rPr>
      </w:pPr>
    </w:p>
    <w:p w:rsidR="00161B67" w:rsidRPr="00713E0A" w:rsidRDefault="00161B67" w:rsidP="00713E0A">
      <w:pPr>
        <w:snapToGrid w:val="0"/>
        <w:rPr>
          <w:rFonts w:eastAsiaTheme="minorEastAsia"/>
          <w:kern w:val="0"/>
          <w:sz w:val="20"/>
          <w:szCs w:val="20"/>
        </w:rPr>
      </w:pPr>
      <w:r w:rsidRPr="00713E0A">
        <w:rPr>
          <w:b/>
          <w:kern w:val="0"/>
          <w:sz w:val="20"/>
          <w:szCs w:val="20"/>
        </w:rPr>
        <w:t>Abstract</w:t>
      </w:r>
      <w:r w:rsidRPr="00713E0A">
        <w:rPr>
          <w:kern w:val="0"/>
          <w:sz w:val="20"/>
          <w:szCs w:val="20"/>
        </w:rPr>
        <w:t>:</w:t>
      </w:r>
      <w:r w:rsidR="00713E0A">
        <w:rPr>
          <w:kern w:val="0"/>
          <w:sz w:val="20"/>
          <w:szCs w:val="20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="00F60837" w:rsidRPr="00713E0A">
        <w:rPr>
          <w:color w:val="202020"/>
          <w:kern w:val="0"/>
          <w:sz w:val="20"/>
          <w:szCs w:val="39"/>
        </w:rPr>
        <w:t>Srimad-Bhagavatam</w:t>
      </w:r>
      <w:proofErr w:type="spellEnd"/>
      <w:r w:rsidR="00F60837" w:rsidRPr="00713E0A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listen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warning.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say,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“Produce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evidence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not.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="00F60837" w:rsidRPr="00713E0A">
        <w:rPr>
          <w:color w:val="202020"/>
          <w:kern w:val="0"/>
          <w:sz w:val="20"/>
          <w:szCs w:val="39"/>
        </w:rPr>
        <w:t>Srimad-Bhagavatam</w:t>
      </w:r>
      <w:proofErr w:type="spellEnd"/>
      <w:r w:rsidR="00F60837" w:rsidRPr="00713E0A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="00F60837" w:rsidRPr="00713E0A">
        <w:rPr>
          <w:color w:val="202020"/>
          <w:kern w:val="0"/>
          <w:sz w:val="20"/>
          <w:szCs w:val="39"/>
        </w:rPr>
        <w:t>Caitanya-caritamrta</w:t>
      </w:r>
      <w:proofErr w:type="spellEnd"/>
      <w:r w:rsidR="00F60837" w:rsidRPr="00713E0A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guru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line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="00F60837" w:rsidRPr="00713E0A">
        <w:rPr>
          <w:color w:val="202020"/>
          <w:kern w:val="0"/>
          <w:sz w:val="20"/>
          <w:szCs w:val="39"/>
        </w:rPr>
        <w:t>Gurudeva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this?”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able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answer.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="00F60837" w:rsidRPr="00713E0A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Swami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Maharaja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="00F60837" w:rsidRPr="00713E0A">
        <w:rPr>
          <w:color w:val="202020"/>
          <w:kern w:val="0"/>
          <w:sz w:val="20"/>
          <w:szCs w:val="39"/>
        </w:rPr>
        <w:t>this.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This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article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is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an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Internet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713E0A">
        <w:rPr>
          <w:rFonts w:eastAsiaTheme="minorEastAsia" w:hint="eastAsia"/>
          <w:color w:val="202020"/>
          <w:kern w:val="0"/>
          <w:sz w:val="20"/>
          <w:szCs w:val="39"/>
        </w:rPr>
        <w:t>discussions.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</w:p>
    <w:p w:rsidR="00713E0A" w:rsidRPr="00713E0A" w:rsidRDefault="00713E0A" w:rsidP="00713E0A">
      <w:pPr>
        <w:snapToGrid w:val="0"/>
        <w:rPr>
          <w:rFonts w:eastAsiaTheme="minorEastAsia"/>
          <w:color w:val="202020"/>
          <w:kern w:val="0"/>
          <w:sz w:val="20"/>
          <w:szCs w:val="39"/>
        </w:rPr>
      </w:pPr>
      <w:r w:rsidRPr="00713E0A">
        <w:rPr>
          <w:bCs/>
          <w:kern w:val="0"/>
          <w:sz w:val="20"/>
          <w:szCs w:val="20"/>
        </w:rPr>
        <w:t>[</w:t>
      </w:r>
      <w:r w:rsidRPr="00713E0A">
        <w:rPr>
          <w:color w:val="202020"/>
          <w:kern w:val="0"/>
          <w:sz w:val="20"/>
          <w:szCs w:val="39"/>
        </w:rPr>
        <w:t>Sri</w:t>
      </w:r>
      <w:r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Srimad</w:t>
      </w:r>
      <w:proofErr w:type="spellEnd"/>
      <w:r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Bhaktivedanta</w:t>
      </w:r>
      <w:proofErr w:type="spellEnd"/>
      <w:r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Narayana</w:t>
      </w:r>
      <w:proofErr w:type="spellEnd"/>
      <w:r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713E0A">
        <w:rPr>
          <w:color w:val="202020"/>
          <w:kern w:val="0"/>
          <w:sz w:val="20"/>
          <w:szCs w:val="39"/>
        </w:rPr>
        <w:t>Gosvami</w:t>
      </w:r>
      <w:proofErr w:type="spellEnd"/>
      <w:r>
        <w:rPr>
          <w:color w:val="202020"/>
          <w:kern w:val="0"/>
          <w:sz w:val="20"/>
          <w:szCs w:val="39"/>
        </w:rPr>
        <w:t xml:space="preserve"> </w:t>
      </w:r>
      <w:r w:rsidRPr="00713E0A">
        <w:rPr>
          <w:color w:val="202020"/>
          <w:kern w:val="0"/>
          <w:sz w:val="20"/>
          <w:szCs w:val="39"/>
        </w:rPr>
        <w:t>Maharaja</w:t>
      </w:r>
      <w:r w:rsidRPr="00713E0A">
        <w:rPr>
          <w:kern w:val="0"/>
          <w:sz w:val="20"/>
          <w:szCs w:val="20"/>
        </w:rPr>
        <w:t>.</w:t>
      </w:r>
      <w:r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To</w:t>
      </w:r>
      <w:r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Hear</w:t>
      </w:r>
      <w:r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Or</w:t>
      </w:r>
      <w:r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Not</w:t>
      </w:r>
      <w:r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To</w:t>
      </w:r>
      <w:r>
        <w:rPr>
          <w:rStyle w:val="Strong"/>
          <w:bCs w:val="0"/>
          <w:color w:val="202020"/>
          <w:kern w:val="0"/>
          <w:sz w:val="20"/>
        </w:rPr>
        <w:t xml:space="preserve"> </w:t>
      </w:r>
      <w:r w:rsidRPr="00713E0A">
        <w:rPr>
          <w:rStyle w:val="Strong"/>
          <w:bCs w:val="0"/>
          <w:color w:val="202020"/>
          <w:kern w:val="0"/>
          <w:sz w:val="20"/>
        </w:rPr>
        <w:t>Hear</w:t>
      </w:r>
      <w:r>
        <w:rPr>
          <w:rStyle w:val="Strong"/>
          <w:rFonts w:eastAsiaTheme="minorEastAsia"/>
          <w:bCs w:val="0"/>
          <w:color w:val="202020"/>
          <w:kern w:val="0"/>
          <w:sz w:val="20"/>
        </w:rPr>
        <w:t xml:space="preserve"> </w:t>
      </w:r>
      <w:r w:rsidRPr="00713E0A">
        <w:rPr>
          <w:color w:val="202020"/>
          <w:kern w:val="0"/>
          <w:sz w:val="20"/>
          <w:szCs w:val="39"/>
        </w:rPr>
        <w:t>Wales</w:t>
      </w:r>
      <w:r w:rsidRPr="00713E0A">
        <w:rPr>
          <w:rFonts w:eastAsiaTheme="minorEastAsia" w:hint="eastAsia"/>
          <w:color w:val="202020"/>
          <w:kern w:val="0"/>
          <w:sz w:val="20"/>
          <w:szCs w:val="39"/>
        </w:rPr>
        <w:t>,</w:t>
      </w:r>
      <w:r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Pr="00713E0A">
        <w:rPr>
          <w:rFonts w:eastAsiaTheme="minorEastAsia" w:hint="eastAsia"/>
          <w:color w:val="202020"/>
          <w:kern w:val="0"/>
          <w:sz w:val="20"/>
          <w:szCs w:val="39"/>
        </w:rPr>
        <w:t>Discussion</w:t>
      </w:r>
      <w:r w:rsidRPr="00713E0A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>
        <w:rPr>
          <w:bCs/>
          <w:i/>
          <w:kern w:val="0"/>
          <w:sz w:val="20"/>
          <w:szCs w:val="20"/>
        </w:rPr>
        <w:t xml:space="preserve"> </w:t>
      </w:r>
      <w:r w:rsidRPr="00713E0A">
        <w:rPr>
          <w:bCs/>
          <w:i/>
          <w:kern w:val="0"/>
          <w:sz w:val="20"/>
          <w:szCs w:val="20"/>
        </w:rPr>
        <w:t>N</w:t>
      </w:r>
      <w:r>
        <w:rPr>
          <w:bCs/>
          <w:i/>
          <w:kern w:val="0"/>
          <w:sz w:val="20"/>
          <w:szCs w:val="20"/>
        </w:rPr>
        <w:t xml:space="preserve"> </w:t>
      </w:r>
      <w:r w:rsidRPr="00713E0A">
        <w:rPr>
          <w:bCs/>
          <w:i/>
          <w:kern w:val="0"/>
          <w:sz w:val="20"/>
          <w:szCs w:val="20"/>
        </w:rPr>
        <w:t>Y</w:t>
      </w:r>
      <w:r>
        <w:rPr>
          <w:bCs/>
          <w:i/>
          <w:kern w:val="0"/>
          <w:sz w:val="20"/>
          <w:szCs w:val="20"/>
        </w:rPr>
        <w:t xml:space="preserve"> </w:t>
      </w:r>
      <w:proofErr w:type="spellStart"/>
      <w:r w:rsidRPr="00713E0A">
        <w:rPr>
          <w:bCs/>
          <w:i/>
          <w:kern w:val="0"/>
          <w:sz w:val="20"/>
          <w:szCs w:val="20"/>
        </w:rPr>
        <w:t>Sci</w:t>
      </w:r>
      <w:proofErr w:type="spellEnd"/>
      <w:r>
        <w:rPr>
          <w:bCs/>
          <w:i/>
          <w:kern w:val="0"/>
          <w:sz w:val="20"/>
          <w:szCs w:val="20"/>
        </w:rPr>
        <w:t xml:space="preserve"> </w:t>
      </w:r>
      <w:r w:rsidRPr="00713E0A">
        <w:rPr>
          <w:bCs/>
          <w:i/>
          <w:kern w:val="0"/>
          <w:sz w:val="20"/>
          <w:szCs w:val="20"/>
        </w:rPr>
        <w:t>J</w:t>
      </w:r>
      <w:r>
        <w:rPr>
          <w:bCs/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Pr="00713E0A">
        <w:rPr>
          <w:rFonts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;</w:t>
      </w:r>
      <w:r w:rsidRPr="00713E0A">
        <w:rPr>
          <w:rFonts w:hint="eastAsia"/>
          <w:kern w:val="0"/>
          <w:sz w:val="20"/>
          <w:szCs w:val="20"/>
        </w:rPr>
        <w:t>12</w:t>
      </w:r>
      <w:r w:rsidRPr="00713E0A">
        <w:rPr>
          <w:kern w:val="0"/>
          <w:sz w:val="20"/>
          <w:szCs w:val="20"/>
        </w:rPr>
        <w:t>(</w:t>
      </w:r>
      <w:r w:rsidRPr="00713E0A">
        <w:rPr>
          <w:rFonts w:hint="eastAsia"/>
          <w:kern w:val="0"/>
          <w:sz w:val="20"/>
          <w:szCs w:val="20"/>
        </w:rPr>
        <w:t>5</w:t>
      </w:r>
      <w:r w:rsidRPr="00713E0A">
        <w:rPr>
          <w:kern w:val="0"/>
          <w:sz w:val="20"/>
          <w:szCs w:val="20"/>
        </w:rPr>
        <w:t>):</w:t>
      </w:r>
      <w:r w:rsidR="000E1520">
        <w:rPr>
          <w:noProof/>
          <w:color w:val="000000"/>
          <w:kern w:val="0"/>
          <w:sz w:val="20"/>
          <w:szCs w:val="20"/>
        </w:rPr>
        <w:t>6</w:t>
      </w:r>
      <w:r w:rsidR="00A23EBD">
        <w:rPr>
          <w:rFonts w:eastAsiaTheme="minorEastAsia" w:hint="eastAsia"/>
          <w:noProof/>
          <w:color w:val="000000"/>
          <w:kern w:val="0"/>
          <w:sz w:val="20"/>
          <w:szCs w:val="20"/>
        </w:rPr>
        <w:t>5</w:t>
      </w:r>
      <w:r w:rsidR="000E1520">
        <w:rPr>
          <w:noProof/>
          <w:color w:val="000000"/>
          <w:kern w:val="0"/>
          <w:sz w:val="20"/>
          <w:szCs w:val="20"/>
        </w:rPr>
        <w:t>-6</w:t>
      </w:r>
      <w:r w:rsidR="00A23EBD">
        <w:rPr>
          <w:rFonts w:eastAsiaTheme="minorEastAsia" w:hint="eastAsia"/>
          <w:noProof/>
          <w:color w:val="000000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].</w:t>
      </w:r>
      <w:r>
        <w:rPr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ISSN</w:t>
      </w:r>
      <w:r>
        <w:rPr>
          <w:iCs/>
          <w:color w:val="000000"/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1554-0200</w:t>
      </w:r>
      <w:r>
        <w:rPr>
          <w:iCs/>
          <w:color w:val="000000"/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(print);</w:t>
      </w:r>
      <w:r>
        <w:rPr>
          <w:iCs/>
          <w:color w:val="000000"/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ISSN</w:t>
      </w:r>
      <w:r>
        <w:rPr>
          <w:iCs/>
          <w:color w:val="000000"/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2375-723X</w:t>
      </w:r>
      <w:r>
        <w:rPr>
          <w:iCs/>
          <w:color w:val="000000"/>
          <w:kern w:val="0"/>
          <w:sz w:val="20"/>
          <w:szCs w:val="20"/>
        </w:rPr>
        <w:t xml:space="preserve"> </w:t>
      </w:r>
      <w:r w:rsidRPr="00713E0A">
        <w:rPr>
          <w:iCs/>
          <w:color w:val="000000"/>
          <w:kern w:val="0"/>
          <w:sz w:val="20"/>
          <w:szCs w:val="20"/>
        </w:rPr>
        <w:t>(online)</w:t>
      </w:r>
      <w:r w:rsidRPr="00713E0A">
        <w:rPr>
          <w:kern w:val="0"/>
          <w:sz w:val="20"/>
          <w:szCs w:val="20"/>
        </w:rPr>
        <w:t>.</w:t>
      </w:r>
      <w:r>
        <w:rPr>
          <w:kern w:val="0"/>
          <w:sz w:val="20"/>
          <w:szCs w:val="20"/>
        </w:rPr>
        <w:t xml:space="preserve"> </w:t>
      </w:r>
      <w:hyperlink r:id="rId7" w:history="1">
        <w:r w:rsidRPr="00713E0A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713E0A">
        <w:rPr>
          <w:kern w:val="0"/>
          <w:sz w:val="20"/>
          <w:szCs w:val="20"/>
        </w:rPr>
        <w:t>.</w:t>
      </w:r>
      <w:r>
        <w:rPr>
          <w:kern w:val="0"/>
          <w:sz w:val="20"/>
          <w:szCs w:val="20"/>
        </w:rPr>
        <w:t xml:space="preserve"> </w:t>
      </w:r>
      <w:r>
        <w:rPr>
          <w:rFonts w:eastAsiaTheme="minorEastAsia" w:hint="eastAsia"/>
          <w:kern w:val="0"/>
          <w:sz w:val="20"/>
          <w:szCs w:val="20"/>
        </w:rPr>
        <w:t>12</w:t>
      </w:r>
      <w:r w:rsidRPr="00713E0A">
        <w:rPr>
          <w:rFonts w:hint="eastAsia"/>
          <w:kern w:val="0"/>
          <w:sz w:val="20"/>
          <w:szCs w:val="20"/>
        </w:rPr>
        <w:t>.</w:t>
      </w:r>
      <w:r>
        <w:rPr>
          <w:rFonts w:hint="eastAsia"/>
          <w:kern w:val="0"/>
          <w:sz w:val="20"/>
          <w:szCs w:val="20"/>
        </w:rPr>
        <w:t xml:space="preserve"> </w:t>
      </w:r>
      <w:r w:rsidRPr="00713E0A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8" w:history="1">
        <w:r w:rsidRPr="00713E0A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713E0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nys120519.</w:t>
        </w:r>
        <w:r>
          <w:rPr>
            <w:rStyle w:val="Hyperlink"/>
            <w:rFonts w:eastAsiaTheme="minorEastAsia" w:hint="eastAsia"/>
            <w:kern w:val="0"/>
            <w:sz w:val="20"/>
            <w:szCs w:val="20"/>
            <w:shd w:val="clear" w:color="auto" w:fill="FFFFFF"/>
          </w:rPr>
          <w:t>12</w:t>
        </w:r>
      </w:hyperlink>
      <w:r w:rsidRPr="00713E0A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161B67" w:rsidRPr="00E27E0D" w:rsidRDefault="00161B67" w:rsidP="00713E0A">
      <w:pPr>
        <w:snapToGrid w:val="0"/>
        <w:rPr>
          <w:kern w:val="0"/>
          <w:sz w:val="20"/>
          <w:szCs w:val="20"/>
        </w:rPr>
      </w:pPr>
    </w:p>
    <w:p w:rsidR="003C2876" w:rsidRPr="00E27E0D" w:rsidRDefault="00161B67" w:rsidP="00713E0A">
      <w:pPr>
        <w:snapToGrid w:val="0"/>
        <w:rPr>
          <w:rFonts w:eastAsiaTheme="minorEastAsia"/>
          <w:kern w:val="0"/>
          <w:sz w:val="20"/>
          <w:szCs w:val="20"/>
        </w:rPr>
      </w:pPr>
      <w:r w:rsidRPr="00E27E0D">
        <w:rPr>
          <w:b/>
          <w:kern w:val="0"/>
          <w:sz w:val="20"/>
          <w:szCs w:val="20"/>
        </w:rPr>
        <w:t>Key</w:t>
      </w:r>
      <w:r w:rsidR="00713E0A">
        <w:rPr>
          <w:b/>
          <w:kern w:val="0"/>
          <w:sz w:val="20"/>
          <w:szCs w:val="20"/>
        </w:rPr>
        <w:t xml:space="preserve"> </w:t>
      </w:r>
      <w:r w:rsidRPr="00E27E0D">
        <w:rPr>
          <w:b/>
          <w:kern w:val="0"/>
          <w:sz w:val="20"/>
          <w:szCs w:val="20"/>
        </w:rPr>
        <w:t>words</w:t>
      </w:r>
      <w:r w:rsidRPr="00E27E0D">
        <w:rPr>
          <w:kern w:val="0"/>
          <w:sz w:val="20"/>
          <w:szCs w:val="20"/>
        </w:rPr>
        <w:t>:</w:t>
      </w:r>
      <w:r w:rsidR="00713E0A">
        <w:rPr>
          <w:kern w:val="0"/>
          <w:sz w:val="20"/>
          <w:szCs w:val="20"/>
        </w:rPr>
        <w:t xml:space="preserve"> </w:t>
      </w:r>
      <w:r w:rsidR="00F60837" w:rsidRPr="00E27E0D">
        <w:rPr>
          <w:color w:val="202020"/>
          <w:kern w:val="0"/>
          <w:sz w:val="20"/>
          <w:szCs w:val="39"/>
        </w:rPr>
        <w:t>person</w:t>
      </w:r>
      <w:r w:rsidR="00F60837" w:rsidRPr="00E27E0D">
        <w:rPr>
          <w:rFonts w:eastAsiaTheme="minorEastAsia" w:hint="eastAsia"/>
          <w:color w:val="202020"/>
          <w:kern w:val="0"/>
          <w:sz w:val="20"/>
          <w:szCs w:val="39"/>
        </w:rPr>
        <w:t>;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F60837" w:rsidRPr="00E27E0D">
        <w:rPr>
          <w:color w:val="202020"/>
          <w:kern w:val="0"/>
          <w:sz w:val="20"/>
          <w:szCs w:val="39"/>
        </w:rPr>
        <w:t>Wales</w:t>
      </w:r>
      <w:r w:rsidR="00F60837" w:rsidRPr="00E27E0D">
        <w:rPr>
          <w:rFonts w:eastAsiaTheme="minorEastAsia" w:hint="eastAsia"/>
          <w:color w:val="202020"/>
          <w:kern w:val="0"/>
          <w:sz w:val="20"/>
          <w:szCs w:val="39"/>
        </w:rPr>
        <w:t>,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F60837" w:rsidRPr="00E27E0D">
        <w:rPr>
          <w:rFonts w:eastAsiaTheme="minorEastAsia" w:hint="eastAsia"/>
          <w:color w:val="202020"/>
          <w:kern w:val="0"/>
          <w:sz w:val="20"/>
          <w:szCs w:val="39"/>
        </w:rPr>
        <w:t>Discussion</w:t>
      </w:r>
      <w:r w:rsidR="003224F9" w:rsidRPr="00E27E0D">
        <w:rPr>
          <w:rFonts w:eastAsiaTheme="minorEastAsia" w:hint="eastAsia"/>
          <w:color w:val="202020"/>
          <w:kern w:val="0"/>
          <w:sz w:val="20"/>
          <w:szCs w:val="39"/>
        </w:rPr>
        <w:t>,</w:t>
      </w:r>
      <w:r w:rsidR="00713E0A">
        <w:rPr>
          <w:rFonts w:eastAsiaTheme="minorEastAsia" w:hint="eastAsia"/>
          <w:color w:val="202020"/>
          <w:kern w:val="0"/>
          <w:sz w:val="20"/>
          <w:szCs w:val="39"/>
        </w:rPr>
        <w:t xml:space="preserve"> </w:t>
      </w:r>
      <w:r w:rsidR="003224F9" w:rsidRPr="00E27E0D">
        <w:rPr>
          <w:rFonts w:eastAsiaTheme="minorEastAsia" w:hint="eastAsia"/>
          <w:color w:val="202020"/>
          <w:kern w:val="0"/>
          <w:sz w:val="20"/>
          <w:szCs w:val="39"/>
        </w:rPr>
        <w:t>internet</w:t>
      </w:r>
    </w:p>
    <w:p w:rsidR="003C2876" w:rsidRPr="00E27E0D" w:rsidRDefault="003C2876" w:rsidP="00713E0A">
      <w:pPr>
        <w:snapToGrid w:val="0"/>
        <w:ind w:firstLine="425"/>
        <w:rPr>
          <w:rFonts w:eastAsiaTheme="minorEastAsia"/>
          <w:color w:val="202020"/>
          <w:kern w:val="0"/>
          <w:sz w:val="20"/>
          <w:szCs w:val="39"/>
        </w:rPr>
      </w:pPr>
    </w:p>
    <w:p w:rsidR="00713E0A" w:rsidRDefault="00713E0A" w:rsidP="00713E0A">
      <w:pPr>
        <w:snapToGrid w:val="0"/>
        <w:ind w:firstLine="425"/>
        <w:rPr>
          <w:color w:val="202020"/>
          <w:kern w:val="0"/>
          <w:sz w:val="20"/>
          <w:szCs w:val="39"/>
        </w:rPr>
        <w:sectPr w:rsidR="00713E0A" w:rsidSect="00A23EBD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65"/>
          <w:cols w:space="720"/>
          <w:noEndnote/>
          <w:docGrid w:linePitch="286"/>
        </w:sectPr>
      </w:pP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lastRenderedPageBreak/>
        <w:t>Today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discuss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subject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confusion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regard.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preacher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India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agree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anywhere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sastra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away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doubts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especially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sincere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senior,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bhakti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entering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madhyama-adhikari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clearly.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doubt.</w:t>
      </w:r>
    </w:p>
    <w:p w:rsidR="00713E0A" w:rsidRDefault="00F6083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listen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warning.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“Produce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evidence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guru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Gurudeva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answer.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Swami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Stand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writings.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neglect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replied,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policy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ordinary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girls.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careful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present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utter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boycott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worshipable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avoid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them?”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next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quote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letter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Hayagriva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1968.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wrote,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worship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continued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everyone.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Another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secret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success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sexually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disturbed,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forget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sex-urge.”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ignorant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wrote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authentic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anything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wrong.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continues: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imitate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imitate.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Among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powerful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medicine.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sastra</w:t>
      </w:r>
      <w:proofErr w:type="spellEnd"/>
      <w:r w:rsidRPr="00E27E0D">
        <w:rPr>
          <w:color w:val="202020"/>
          <w:kern w:val="0"/>
          <w:sz w:val="20"/>
          <w:szCs w:val="39"/>
        </w:rPr>
        <w:t>: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nivrtta-tarsair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upagiyamanad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bhavausadhac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chrotra-mano-’bhiramat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ka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uttamasloka-gunanuvadat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puman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virajyeta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pasughnat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</w:t>
      </w:r>
      <w:proofErr w:type="spellEnd"/>
      <w:r w:rsidRPr="00E27E0D">
        <w:rPr>
          <w:color w:val="202020"/>
          <w:kern w:val="0"/>
          <w:sz w:val="20"/>
          <w:szCs w:val="39"/>
        </w:rPr>
        <w:t>-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</w:t>
      </w:r>
      <w:proofErr w:type="spellStart"/>
      <w:r w:rsidRPr="00E27E0D">
        <w:rPr>
          <w:color w:val="202020"/>
          <w:kern w:val="0"/>
          <w:sz w:val="20"/>
          <w:szCs w:val="39"/>
        </w:rPr>
        <w:t>pasughna</w:t>
      </w:r>
      <w:proofErr w:type="spellEnd"/>
      <w:r w:rsidRPr="00E27E0D">
        <w:rPr>
          <w:color w:val="202020"/>
          <w:kern w:val="0"/>
          <w:sz w:val="20"/>
          <w:szCs w:val="39"/>
        </w:rPr>
        <w:t>’.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pasughna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Self-killer.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themselves.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Nivrtta-tarsair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upagiyamanad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Nivrtta-tarsair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upagiyamanad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nivrtta-tarsair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enjoyment.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liberated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their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bhavausadi</w:t>
      </w:r>
      <w:proofErr w:type="spellEnd"/>
      <w:r w:rsidRPr="00E27E0D">
        <w:rPr>
          <w:color w:val="202020"/>
          <w:kern w:val="0"/>
          <w:sz w:val="20"/>
          <w:szCs w:val="39"/>
        </w:rPr>
        <w:t>—the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contamination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existence.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medicine.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uttamasloka-gunanuvadat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listen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cruel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himself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visayis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full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liberated,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kanistha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madhyama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uttama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bhaktas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stage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suddha-sattva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bhava-bhakti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received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prema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themselves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Continue.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describing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Adi-lila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chapter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four,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text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thirty: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merciful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Himself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descends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back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kingdom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erotic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principles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eternally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relished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their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form,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distinct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perverted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adored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indulged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their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displays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essentially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induce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their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morality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religiosity,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kingdom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enjoy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reality.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actually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certainly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indulge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mundane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life.”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spoke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especially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public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especially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case.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following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conversation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between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Bob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Cohen,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peace-core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worker.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Bob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asking,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“Does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keep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individual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dislikes?”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“Yes,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keeps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gives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preference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positively,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things.’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offer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prasada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Pr="00E27E0D">
        <w:rPr>
          <w:color w:val="202020"/>
          <w:kern w:val="0"/>
          <w:sz w:val="20"/>
          <w:szCs w:val="39"/>
        </w:rPr>
        <w:t>.”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now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begins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completely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doesn’t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anything.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Therefore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trying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push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right,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let’s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push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Her.’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called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consciousness.”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Bob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attractive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rascals?”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“Oh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the`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greatest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rascal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also.”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Bob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asked,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Supreme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Personality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rascal?”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began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laugh.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teasing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Sometimes,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out,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attack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down,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torture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way.’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ground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opportunity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Her.”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laughed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again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”So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pleased,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superficially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greatest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rascal.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unless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rascaldom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could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rascaldom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existent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world?”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spoken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down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kissed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good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</w:t>
      </w:r>
      <w:r w:rsidR="00E27E0D" w:rsidRPr="00E27E0D">
        <w:rPr>
          <w:color w:val="202020"/>
          <w:kern w:val="0"/>
          <w:sz w:val="20"/>
          <w:szCs w:val="39"/>
        </w:rPr>
        <w:t>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E27E0D" w:rsidRPr="00E27E0D">
        <w:rPr>
          <w:color w:val="202020"/>
          <w:kern w:val="0"/>
          <w:sz w:val="20"/>
          <w:szCs w:val="39"/>
        </w:rPr>
        <w:t>(</w:t>
      </w:r>
      <w:r w:rsidRPr="00E27E0D">
        <w:rPr>
          <w:color w:val="202020"/>
          <w:kern w:val="0"/>
          <w:sz w:val="20"/>
          <w:szCs w:val="39"/>
        </w:rPr>
        <w:t>a)cal—full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kinds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rasas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Otherwise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spoken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</w:t>
      </w:r>
      <w:r w:rsidR="00E27E0D" w:rsidRPr="00E27E0D">
        <w:rPr>
          <w:color w:val="202020"/>
          <w:kern w:val="0"/>
          <w:sz w:val="20"/>
          <w:szCs w:val="39"/>
        </w:rPr>
        <w:t>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E27E0D" w:rsidRPr="00E27E0D">
        <w:rPr>
          <w:color w:val="202020"/>
          <w:kern w:val="0"/>
          <w:sz w:val="20"/>
          <w:szCs w:val="39"/>
        </w:rPr>
        <w:t>(</w:t>
      </w:r>
      <w:r w:rsidRPr="00E27E0D">
        <w:rPr>
          <w:color w:val="202020"/>
          <w:kern w:val="0"/>
          <w:sz w:val="20"/>
          <w:szCs w:val="39"/>
        </w:rPr>
        <w:t>a)cal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rasa—full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rascals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</w:t>
      </w:r>
      <w:r w:rsidR="00E27E0D" w:rsidRPr="00E27E0D">
        <w:rPr>
          <w:color w:val="202020"/>
          <w:kern w:val="0"/>
          <w:sz w:val="20"/>
          <w:szCs w:val="39"/>
        </w:rPr>
        <w:t>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E27E0D" w:rsidRPr="00E27E0D">
        <w:rPr>
          <w:color w:val="202020"/>
          <w:kern w:val="0"/>
          <w:sz w:val="20"/>
          <w:szCs w:val="39"/>
        </w:rPr>
        <w:t>(</w:t>
      </w:r>
      <w:r w:rsidRPr="00E27E0D">
        <w:rPr>
          <w:color w:val="202020"/>
          <w:kern w:val="0"/>
          <w:sz w:val="20"/>
          <w:szCs w:val="39"/>
        </w:rPr>
        <w:t>a)cal.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sakhya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(fraternal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love)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like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madhurya</w:t>
      </w:r>
      <w:proofErr w:type="spellEnd"/>
      <w:r w:rsidRPr="00E27E0D">
        <w:rPr>
          <w:color w:val="202020"/>
          <w:kern w:val="0"/>
          <w:sz w:val="20"/>
          <w:szCs w:val="39"/>
        </w:rPr>
        <w:t>-rasa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(conjugal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love).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Therefore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1968,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Saradiya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devi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dasi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sixteen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years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joined.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question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Druva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Prahlada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Cittraketu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Ajamila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Jagai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Madhai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Damodara-lila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Saradiya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dasi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question: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serve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spiritual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senses,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satisfies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spiritual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senses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serve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Krsnaloka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correct?”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“Yes,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dance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talk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enjoy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</w:t>
      </w:r>
      <w:r w:rsidR="00E27E0D" w:rsidRPr="00E27E0D">
        <w:rPr>
          <w:color w:val="202020"/>
          <w:kern w:val="0"/>
          <w:sz w:val="20"/>
          <w:szCs w:val="39"/>
        </w:rPr>
        <w:t>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="00E27E0D" w:rsidRPr="00E27E0D">
        <w:rPr>
          <w:color w:val="202020"/>
          <w:kern w:val="0"/>
          <w:sz w:val="20"/>
          <w:szCs w:val="39"/>
        </w:rPr>
        <w:t>(</w:t>
      </w:r>
      <w:r w:rsidRPr="00E27E0D">
        <w:rPr>
          <w:color w:val="202020"/>
          <w:kern w:val="0"/>
          <w:sz w:val="20"/>
          <w:szCs w:val="39"/>
        </w:rPr>
        <w:t>a)cal.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therefore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warned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against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follow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different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Oh,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ome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senses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different.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beautiful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healthy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powerful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acarya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disciple.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Achintya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beda-beda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family,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sannyasa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guru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line—in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jagad</w:t>
      </w:r>
      <w:proofErr w:type="spellEnd"/>
      <w:r w:rsidRPr="00E27E0D">
        <w:rPr>
          <w:color w:val="202020"/>
          <w:kern w:val="0"/>
          <w:sz w:val="20"/>
          <w:szCs w:val="39"/>
        </w:rPr>
        <w:t>-guru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Bhaktisiddhanta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Sarasvati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—the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Sarasvata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sannyasa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mantras,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danda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samadhi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believe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believe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harm.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down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crossing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eightieth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year.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own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ego.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power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Gurudeva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guru-</w:t>
      </w:r>
      <w:proofErr w:type="spellStart"/>
      <w:r w:rsidRPr="00E27E0D">
        <w:rPr>
          <w:color w:val="202020"/>
          <w:kern w:val="0"/>
          <w:sz w:val="20"/>
          <w:szCs w:val="39"/>
        </w:rPr>
        <w:t>parampara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mercy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relationship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eternal.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eternal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down.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depend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harm.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</w:t>
      </w:r>
      <w:proofErr w:type="spellEnd"/>
      <w:r w:rsidRPr="00E27E0D">
        <w:rPr>
          <w:color w:val="202020"/>
          <w:kern w:val="0"/>
          <w:sz w:val="20"/>
          <w:szCs w:val="39"/>
        </w:rPr>
        <w:t>-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everywhere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example,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dialogue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between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Raya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Ramananda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Mahaprabhu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kila-kincita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bhava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explained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Sometimes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Radhika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wanted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meet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…and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caught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hand.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[“Approaching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prohibits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picking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flowers.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friends."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(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Madhya-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14.173).]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angry.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weeping,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smiling.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hair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standing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exhibiting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symptoms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sattvika-bhava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high-class.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weeping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smiling;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rebuking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Caitanya-caritamrita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Madhya-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chapter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fourteen: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“When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before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progress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stopped.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assumed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attitude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opposition.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Although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slightly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covered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blue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garment,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two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starry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eyes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agitated,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wide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curved.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decorated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ornaments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vilasa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beauty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increased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pleasure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Supreme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Personality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stands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before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stands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three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places—Her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neck,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waist,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legs;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eyebrows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begin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dance.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awakening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various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ecstatic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features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eyes,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lalita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ornaments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bodily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features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delicate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expertly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curved,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eyebrows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beautifully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agitated,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ornaments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charm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called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lalita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alankara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mysterious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deep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vividly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reason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Krsnadasa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Kaviraja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worried.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animals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camels,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pigs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interest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fear.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peacocks,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high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class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rasika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interest.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Nigama-kalpa-taror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galitam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phalam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["All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scriptures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desire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tree,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tree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sweetest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fruit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all."]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Vyasadeva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referring?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beauty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longer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sindhu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ocean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imagine.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banned,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banned.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</w:t>
      </w:r>
      <w:proofErr w:type="spellEnd"/>
      <w:r w:rsidRPr="00E27E0D">
        <w:rPr>
          <w:color w:val="202020"/>
          <w:kern w:val="0"/>
          <w:sz w:val="20"/>
          <w:szCs w:val="39"/>
        </w:rPr>
        <w:t>-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beginning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conception: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Mahaprabhu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absorbed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mood.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Krsnadasa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Kaviraja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written: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sruyatam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sruyatam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nityam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giyatam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giyatam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muda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cintyatam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cintyatam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bhaktas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caitanya-caritamatam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"O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life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characteristics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Mahaprabhu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chanted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meditated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upon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great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happiness"(</w:t>
      </w:r>
      <w:proofErr w:type="spellStart"/>
      <w:r w:rsidRPr="00E27E0D">
        <w:rPr>
          <w:color w:val="202020"/>
          <w:kern w:val="0"/>
          <w:sz w:val="20"/>
          <w:szCs w:val="39"/>
        </w:rPr>
        <w:t>Antya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12.2).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full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unlimited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Pujyapada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(</w:t>
      </w:r>
      <w:proofErr w:type="spellStart"/>
      <w:r w:rsidRPr="00E27E0D">
        <w:rPr>
          <w:color w:val="202020"/>
          <w:kern w:val="0"/>
          <w:sz w:val="20"/>
          <w:szCs w:val="39"/>
        </w:rPr>
        <w:t>Bhakti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Dayita</w:t>
      </w:r>
      <w:proofErr w:type="spellEnd"/>
      <w:r w:rsidRPr="00E27E0D">
        <w:rPr>
          <w:color w:val="202020"/>
          <w:kern w:val="0"/>
          <w:sz w:val="20"/>
          <w:szCs w:val="39"/>
        </w:rPr>
        <w:t>)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Madhava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introduced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singing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asta-kaliya-lila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during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Kartik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month.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asta-kaliya-lila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Sripad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Madhava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confidential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Govinda-lilamrta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Krsnadasa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Kaviraja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follow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astakaliya-lila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pranama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lilas</w:t>
      </w:r>
      <w:proofErr w:type="spellEnd"/>
      <w:r w:rsidRPr="00E27E0D">
        <w:rPr>
          <w:color w:val="202020"/>
          <w:kern w:val="0"/>
          <w:sz w:val="20"/>
          <w:szCs w:val="39"/>
        </w:rPr>
        <w:t>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introduced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whom?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introduced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initiated,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initiated,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senior,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neophyte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Asta-kaliya-lila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certain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preachers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India,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unless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perfect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agree.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three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types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simply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ignorance.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high-class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Mahaprabhu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descended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came?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cheated.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Vaisnavas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think—as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you—that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Good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second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begin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Second,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Fourth,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Fifth,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'cheat'.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cheat?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"What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hands?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hands?”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curious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!”,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curiosity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automatically: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that!”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order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increase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others'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curiosity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exactly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opposite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Rupa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"Don't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banks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Jamuna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Govinda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sweetly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playing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flute,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you'll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forget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society,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friendship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love",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"Do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go."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village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used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Ganges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river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daily.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called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“Rama!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Rama!”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furious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stick,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wanted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villages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said,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“Rama!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Rama!”,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pretend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order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chant,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“Rama!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Rama!”.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fun.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curiosity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inside.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rStyle w:val="Emphasis"/>
          <w:color w:val="202020"/>
          <w:kern w:val="0"/>
          <w:sz w:val="20"/>
          <w:szCs w:val="39"/>
        </w:rPr>
        <w:t>must</w:t>
      </w:r>
      <w:r w:rsidR="00713E0A">
        <w:rPr>
          <w:rStyle w:val="Emphasis"/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jewel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Without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especially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decide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aim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object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devotional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life.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hand,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greed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attain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object.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Gurudeva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Bhaktivedanta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Swami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explained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now.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important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carefully.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Second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take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jump.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never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common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high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class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up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qualities,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describe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things;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powerful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medicine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hear: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Trai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prabhu</w:t>
      </w:r>
      <w:proofErr w:type="spellEnd"/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quotation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Introduction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1969,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early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Iskcon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movement.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introduction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distributed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mass,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general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public.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first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day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distributing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thousands.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“This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krsna-katha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appealing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materialistic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cowherd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girls,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exactly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affairs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between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girls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Actually,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feeling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found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human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society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unnatural,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feeling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original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Personality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“The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pleasure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potency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called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Radharani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affairs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basis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feeling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original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feature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Supreme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Personality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Godhead.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part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parcel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Supreme,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feelings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experienced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perverted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minute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Therefore,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those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sex-life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lastRenderedPageBreak/>
        <w:t>Krsna’s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relish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pleasure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although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appears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materialistic.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advantage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gradually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spiritual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platform.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authorities,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submission,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promoted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platform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loving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service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completely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vanquished.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counteract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sex-life.”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Gosvami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Dristadyumna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contaminated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higher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spiritual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truth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behind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simply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proper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authority,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gradually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purified,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understand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correct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mundane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attachments.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Agraya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prabhu</w:t>
      </w:r>
      <w:proofErr w:type="spellEnd"/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chapter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thirty-three,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which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chapter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Prabhupada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writes: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“Some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self-sufficient,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which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disturbing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so-called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moralists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answer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activities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special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mercy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fallen,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expansions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internal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energy,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wanted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exhibit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appeared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ordinary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human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beings.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“In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pleasure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ultimately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attraction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between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woman.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lives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simply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women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woman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lives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simply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basic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principle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life.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attractions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combined,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people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implicated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existence.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order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special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favor,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exhibited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dance.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just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captivate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attracted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enjoy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life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liberated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Second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Bhagavatam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Maharaja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Pariksit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explains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activities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medicine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conditioned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simply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about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relieved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addicted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enjoyment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accustomed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sex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literature;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transcendental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relieved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material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contamination.”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Everything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evidence.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powerful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worldly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persons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free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Brahma,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Siva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Narada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liberated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souls,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control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controlled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lastRenderedPageBreak/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Haridasa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Thakura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Rupa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Sanatana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Raya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Ramananda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easily.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How?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always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remembering,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chanting,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imitate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mind.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honorably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topics.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clearly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Adi-lila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334,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"</w:t>
      </w:r>
      <w:proofErr w:type="spellStart"/>
      <w:r w:rsidRPr="00E27E0D">
        <w:rPr>
          <w:color w:val="202020"/>
          <w:kern w:val="0"/>
          <w:sz w:val="20"/>
          <w:szCs w:val="39"/>
        </w:rPr>
        <w:t>Anugrahaya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bhaktanam</w:t>
      </w:r>
      <w:proofErr w:type="spellEnd"/>
      <w:r w:rsidRPr="00E27E0D">
        <w:rPr>
          <w:color w:val="202020"/>
          <w:kern w:val="0"/>
          <w:sz w:val="20"/>
          <w:szCs w:val="39"/>
        </w:rPr>
        <w:t>."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Sripad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Aranya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manifests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eternal,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human-like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form,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performs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mercy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such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engage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service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Him.”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next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states: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</w:t>
      </w:r>
      <w:proofErr w:type="spellStart"/>
      <w:r w:rsidRPr="00E27E0D">
        <w:rPr>
          <w:color w:val="202020"/>
          <w:kern w:val="0"/>
          <w:sz w:val="20"/>
          <w:szCs w:val="39"/>
        </w:rPr>
        <w:t>bhavet</w:t>
      </w:r>
      <w:proofErr w:type="spellEnd"/>
      <w:r w:rsidRPr="00E27E0D">
        <w:rPr>
          <w:color w:val="202020"/>
          <w:kern w:val="0"/>
          <w:sz w:val="20"/>
          <w:szCs w:val="39"/>
        </w:rPr>
        <w:t>’,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which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imperative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mood,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certainly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non-compliance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abandonment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duty.”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verbal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root—</w:t>
      </w:r>
      <w:proofErr w:type="spellStart"/>
      <w:r w:rsidRPr="00E27E0D">
        <w:rPr>
          <w:color w:val="202020"/>
          <w:kern w:val="0"/>
          <w:sz w:val="20"/>
          <w:szCs w:val="39"/>
        </w:rPr>
        <w:t>bhavet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bhavet</w:t>
      </w:r>
      <w:proofErr w:type="spellEnd"/>
      <w:r w:rsidRPr="00E27E0D">
        <w:rPr>
          <w:color w:val="202020"/>
          <w:kern w:val="0"/>
          <w:sz w:val="20"/>
          <w:szCs w:val="39"/>
        </w:rPr>
        <w:t>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like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offense.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obey.’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–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killing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yourself.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bhavet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Krsnadasa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Kaviraja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rupanuga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Vaisnava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Caitanya-caritamrta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don’t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imitate.”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warned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Govinda-lilamrta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Srimad-Bhagavatam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know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Iskcon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reading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Govinda-lilamrta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similar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Although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books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especially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warned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against,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still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them.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many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Govinda-lilamrta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Visvanatha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Cakravarti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Thakura’s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Bhavanamrta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Yet,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others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telling,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“You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read.”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I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think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better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read—but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hear—the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pastimes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elevated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devotees.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Throughout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entire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Kartika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month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sing: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</w:t>
      </w:r>
      <w:proofErr w:type="spellStart"/>
      <w:r w:rsidRPr="00E27E0D">
        <w:rPr>
          <w:color w:val="202020"/>
          <w:kern w:val="0"/>
          <w:sz w:val="20"/>
          <w:szCs w:val="39"/>
        </w:rPr>
        <w:t>namamisvaram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saccidananda-rupam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lasat-kundalam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lastRenderedPageBreak/>
        <w:t>gokulebhrajamanam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yasoda-bhiyolukhalad-dhavamanam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paramrstam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atyam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tato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drutya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gopya</w:t>
      </w:r>
      <w:proofErr w:type="spellEnd"/>
      <w:r w:rsidRPr="00E27E0D">
        <w:rPr>
          <w:color w:val="202020"/>
          <w:kern w:val="0"/>
          <w:sz w:val="20"/>
          <w:szCs w:val="39"/>
        </w:rPr>
        <w:t>.’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this?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Damodara-lila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where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come?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Dasama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Skanda</w:t>
      </w:r>
      <w:proofErr w:type="spellEnd"/>
      <w:r w:rsidRPr="00E27E0D">
        <w:rPr>
          <w:color w:val="202020"/>
          <w:kern w:val="0"/>
          <w:sz w:val="20"/>
          <w:szCs w:val="39"/>
        </w:rPr>
        <w:t>;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Tenth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Canto.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Because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our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entire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guru-</w:t>
      </w:r>
      <w:proofErr w:type="spellStart"/>
      <w:r w:rsidRPr="00E27E0D">
        <w:rPr>
          <w:color w:val="202020"/>
          <w:kern w:val="0"/>
          <w:sz w:val="20"/>
          <w:szCs w:val="39"/>
        </w:rPr>
        <w:t>parampara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does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Visvanatha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Cakravarti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Thakura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explained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sloka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vikriòitam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vraja-vadhubhir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idam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viñëoù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sraddhanvito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’</w:t>
      </w:r>
      <w:proofErr w:type="spellStart"/>
      <w:r w:rsidRPr="00E27E0D">
        <w:rPr>
          <w:color w:val="202020"/>
          <w:kern w:val="0"/>
          <w:sz w:val="20"/>
          <w:szCs w:val="39"/>
        </w:rPr>
        <w:t>nusåëuyad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varëayed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yaù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bhaktim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param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bhagavati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pratilabhya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kamam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color w:val="202020"/>
          <w:kern w:val="0"/>
          <w:sz w:val="20"/>
          <w:szCs w:val="39"/>
        </w:rPr>
        <w:t>håd-rogam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asv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apahinoty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acireëa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dhérah</w:t>
      </w:r>
      <w:proofErr w:type="spellEnd"/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r w:rsidRPr="00E27E0D">
        <w:rPr>
          <w:color w:val="202020"/>
          <w:kern w:val="0"/>
          <w:sz w:val="20"/>
          <w:szCs w:val="39"/>
        </w:rPr>
        <w:t>["Anyone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faithfully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describes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Lord’s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playful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affairs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young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Vrndavana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attain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Lord’s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devotional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service.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Thus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will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quickly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become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sober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conquer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lust,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disease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heart."]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meaning?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explain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essence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Visvanatha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Cakravarti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Thakura’s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words.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written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’</w:t>
      </w:r>
      <w:proofErr w:type="spellStart"/>
      <w:r w:rsidRPr="00E27E0D">
        <w:rPr>
          <w:color w:val="202020"/>
          <w:kern w:val="0"/>
          <w:sz w:val="20"/>
          <w:szCs w:val="39"/>
        </w:rPr>
        <w:t>dhira</w:t>
      </w:r>
      <w:proofErr w:type="spellEnd"/>
      <w:r w:rsidRPr="00E27E0D">
        <w:rPr>
          <w:color w:val="202020"/>
          <w:kern w:val="0"/>
          <w:sz w:val="20"/>
          <w:szCs w:val="39"/>
        </w:rPr>
        <w:t>’.</w:t>
      </w:r>
    </w:p>
    <w:p w:rsidR="00713E0A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Prema-prayojana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dasa</w:t>
      </w:r>
      <w:proofErr w:type="spellEnd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verse,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which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concludes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chapters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Pr="00E27E0D">
        <w:rPr>
          <w:color w:val="202020"/>
          <w:kern w:val="0"/>
          <w:sz w:val="20"/>
          <w:szCs w:val="39"/>
        </w:rPr>
        <w:t>,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Visvanatha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Cakravarti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Thakura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given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commentary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words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Sri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Sukadeva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Gosvami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verse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saying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gopis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of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Vrndavan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are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playing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performing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this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rasa-</w:t>
      </w:r>
      <w:proofErr w:type="spellStart"/>
      <w:r w:rsidRPr="00E27E0D">
        <w:rPr>
          <w:color w:val="202020"/>
          <w:kern w:val="0"/>
          <w:sz w:val="20"/>
          <w:szCs w:val="39"/>
        </w:rPr>
        <w:t>lila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Krsna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Anusrnuya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‘you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continuously’.</w:t>
      </w:r>
    </w:p>
    <w:p w:rsidR="00161B67" w:rsidRPr="00E27E0D" w:rsidRDefault="00161B67" w:rsidP="00713E0A">
      <w:pPr>
        <w:snapToGrid w:val="0"/>
        <w:ind w:firstLine="425"/>
        <w:rPr>
          <w:color w:val="202020"/>
          <w:kern w:val="0"/>
          <w:sz w:val="20"/>
          <w:szCs w:val="39"/>
        </w:rPr>
      </w:pP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Srila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Narayana</w:t>
      </w:r>
      <w:proofErr w:type="spellEnd"/>
      <w:r w:rsidR="00713E0A">
        <w:rPr>
          <w:rStyle w:val="Strong"/>
          <w:b w:val="0"/>
          <w:bCs w:val="0"/>
          <w:color w:val="202020"/>
          <w:kern w:val="0"/>
          <w:sz w:val="20"/>
          <w:szCs w:val="39"/>
        </w:rPr>
        <w:t xml:space="preserve"> </w:t>
      </w:r>
      <w:r w:rsidRPr="00E27E0D">
        <w:rPr>
          <w:rStyle w:val="Strong"/>
          <w:b w:val="0"/>
          <w:bCs w:val="0"/>
          <w:color w:val="202020"/>
          <w:kern w:val="0"/>
          <w:sz w:val="20"/>
          <w:szCs w:val="39"/>
        </w:rPr>
        <w:t>Maharaja</w:t>
      </w:r>
      <w:r w:rsidRPr="00E27E0D">
        <w:rPr>
          <w:color w:val="202020"/>
          <w:kern w:val="0"/>
          <w:sz w:val="20"/>
          <w:szCs w:val="39"/>
        </w:rPr>
        <w:t>: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means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must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faith—with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If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have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no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purchase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that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from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anywhere.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"</w:t>
      </w:r>
      <w:proofErr w:type="spellStart"/>
      <w:r w:rsidRPr="00E27E0D">
        <w:rPr>
          <w:color w:val="202020"/>
          <w:kern w:val="0"/>
          <w:sz w:val="20"/>
          <w:szCs w:val="39"/>
        </w:rPr>
        <w:t>Krsna-bhakti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rasa</w:t>
      </w:r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bhavita</w:t>
      </w:r>
      <w:proofErr w:type="spellEnd"/>
      <w:r w:rsidR="00713E0A">
        <w:rPr>
          <w:color w:val="202020"/>
          <w:kern w:val="0"/>
          <w:sz w:val="20"/>
          <w:szCs w:val="39"/>
        </w:rPr>
        <w:t xml:space="preserve"> </w:t>
      </w:r>
      <w:proofErr w:type="spellStart"/>
      <w:r w:rsidRPr="00E27E0D">
        <w:rPr>
          <w:color w:val="202020"/>
          <w:kern w:val="0"/>
          <w:sz w:val="20"/>
          <w:szCs w:val="39"/>
        </w:rPr>
        <w:t>mati</w:t>
      </w:r>
      <w:proofErr w:type="spellEnd"/>
      <w:r w:rsidRPr="00E27E0D">
        <w:rPr>
          <w:color w:val="202020"/>
          <w:kern w:val="0"/>
          <w:sz w:val="20"/>
          <w:szCs w:val="39"/>
        </w:rPr>
        <w:t>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buy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it,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and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then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read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with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honor.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You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should</w:t>
      </w:r>
      <w:r w:rsidR="00713E0A">
        <w:rPr>
          <w:color w:val="202020"/>
          <w:kern w:val="0"/>
          <w:sz w:val="20"/>
          <w:szCs w:val="39"/>
        </w:rPr>
        <w:t xml:space="preserve"> </w:t>
      </w:r>
      <w:r w:rsidRPr="00E27E0D">
        <w:rPr>
          <w:color w:val="202020"/>
          <w:kern w:val="0"/>
          <w:sz w:val="20"/>
          <w:szCs w:val="39"/>
        </w:rPr>
        <w:t>hear.</w:t>
      </w:r>
    </w:p>
    <w:p w:rsidR="00700099" w:rsidRPr="00A2158A" w:rsidRDefault="00A2158A" w:rsidP="00713E0A">
      <w:pPr>
        <w:snapToGrid w:val="0"/>
        <w:ind w:firstLine="425"/>
        <w:rPr>
          <w:rFonts w:eastAsiaTheme="minorEastAsia"/>
          <w:kern w:val="0"/>
          <w:sz w:val="20"/>
          <w:szCs w:val="20"/>
        </w:rPr>
      </w:pPr>
      <w:r>
        <w:rPr>
          <w:rFonts w:eastAsiaTheme="minorEastAsia" w:hint="eastAsia"/>
          <w:kern w:val="0"/>
          <w:sz w:val="20"/>
          <w:szCs w:val="20"/>
        </w:rPr>
        <w:t xml:space="preserve"> </w:t>
      </w:r>
    </w:p>
    <w:p w:rsidR="00700099" w:rsidRPr="00E27E0D" w:rsidRDefault="00700099" w:rsidP="00713E0A">
      <w:pPr>
        <w:snapToGrid w:val="0"/>
        <w:rPr>
          <w:b/>
          <w:kern w:val="0"/>
          <w:sz w:val="20"/>
          <w:szCs w:val="20"/>
        </w:rPr>
      </w:pPr>
      <w:r w:rsidRPr="00E27E0D">
        <w:rPr>
          <w:b/>
          <w:kern w:val="0"/>
          <w:sz w:val="20"/>
          <w:szCs w:val="20"/>
        </w:rPr>
        <w:t>References</w:t>
      </w:r>
    </w:p>
    <w:p w:rsidR="00700099" w:rsidRPr="00713E0A" w:rsidRDefault="00700099" w:rsidP="00713E0A">
      <w:pPr>
        <w:pStyle w:val="ListParagraph"/>
        <w:numPr>
          <w:ilvl w:val="0"/>
          <w:numId w:val="6"/>
        </w:numPr>
        <w:snapToGrid w:val="0"/>
        <w:ind w:firstLineChars="0"/>
        <w:rPr>
          <w:kern w:val="0"/>
          <w:sz w:val="20"/>
          <w:szCs w:val="20"/>
        </w:rPr>
      </w:pPr>
      <w:proofErr w:type="spellStart"/>
      <w:r w:rsidRPr="00713E0A">
        <w:rPr>
          <w:kern w:val="0"/>
          <w:sz w:val="20"/>
          <w:szCs w:val="20"/>
        </w:rPr>
        <w:t>Baidu</w:t>
      </w:r>
      <w:proofErr w:type="spellEnd"/>
      <w:r w:rsidRPr="00713E0A">
        <w:rPr>
          <w:kern w:val="0"/>
          <w:sz w:val="20"/>
          <w:szCs w:val="20"/>
        </w:rPr>
        <w:t>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http://www.baidu.com.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="00A108B4" w:rsidRPr="00713E0A">
        <w:rPr>
          <w:rFonts w:eastAsiaTheme="minorEastAsia"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.</w:t>
      </w:r>
    </w:p>
    <w:p w:rsidR="00700099" w:rsidRPr="00713E0A" w:rsidRDefault="00700099" w:rsidP="00713E0A">
      <w:pPr>
        <w:pStyle w:val="ListParagraph"/>
        <w:numPr>
          <w:ilvl w:val="0"/>
          <w:numId w:val="6"/>
        </w:numPr>
        <w:snapToGrid w:val="0"/>
        <w:ind w:firstLineChars="0"/>
        <w:rPr>
          <w:kern w:val="0"/>
          <w:sz w:val="20"/>
          <w:szCs w:val="20"/>
        </w:rPr>
      </w:pPr>
      <w:r w:rsidRPr="00713E0A">
        <w:rPr>
          <w:kern w:val="0"/>
          <w:sz w:val="20"/>
          <w:szCs w:val="20"/>
        </w:rPr>
        <w:t>Google.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http://www.google.com.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="00A108B4" w:rsidRPr="00713E0A">
        <w:rPr>
          <w:rFonts w:eastAsiaTheme="minorEastAsia"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.</w:t>
      </w:r>
    </w:p>
    <w:p w:rsidR="00700099" w:rsidRPr="00713E0A" w:rsidRDefault="00700099" w:rsidP="00713E0A">
      <w:pPr>
        <w:pStyle w:val="ListParagraph"/>
        <w:numPr>
          <w:ilvl w:val="0"/>
          <w:numId w:val="6"/>
        </w:numPr>
        <w:snapToGrid w:val="0"/>
        <w:ind w:firstLineChars="0"/>
        <w:rPr>
          <w:kern w:val="0"/>
          <w:sz w:val="20"/>
          <w:szCs w:val="20"/>
        </w:rPr>
      </w:pPr>
      <w:r w:rsidRPr="00713E0A">
        <w:rPr>
          <w:kern w:val="0"/>
          <w:sz w:val="20"/>
          <w:szCs w:val="20"/>
        </w:rPr>
        <w:t>National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Center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for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Biotechnology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Information,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U.S.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National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Library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of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Medicine.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http://www.ncbi.nlm.nih.gov/pubmed.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="00A108B4" w:rsidRPr="00713E0A">
        <w:rPr>
          <w:rFonts w:eastAsiaTheme="minorEastAsia"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.</w:t>
      </w:r>
    </w:p>
    <w:p w:rsidR="00700099" w:rsidRPr="00713E0A" w:rsidRDefault="00700099" w:rsidP="00713E0A">
      <w:pPr>
        <w:pStyle w:val="ListParagraph"/>
        <w:numPr>
          <w:ilvl w:val="0"/>
          <w:numId w:val="6"/>
        </w:numPr>
        <w:snapToGrid w:val="0"/>
        <w:ind w:firstLineChars="0"/>
        <w:rPr>
          <w:kern w:val="0"/>
          <w:sz w:val="20"/>
          <w:szCs w:val="20"/>
        </w:rPr>
      </w:pPr>
      <w:r w:rsidRPr="00713E0A">
        <w:rPr>
          <w:kern w:val="0"/>
          <w:sz w:val="20"/>
          <w:szCs w:val="20"/>
        </w:rPr>
        <w:t>Wikipedia.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The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free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encyclopedia.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http://en.wikipedia.org.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="00A108B4" w:rsidRPr="00713E0A">
        <w:rPr>
          <w:rFonts w:eastAsiaTheme="minorEastAsia"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.</w:t>
      </w:r>
      <w:r w:rsidR="00713E0A">
        <w:rPr>
          <w:kern w:val="0"/>
          <w:sz w:val="20"/>
          <w:szCs w:val="20"/>
        </w:rPr>
        <w:t xml:space="preserve"> </w:t>
      </w:r>
    </w:p>
    <w:p w:rsidR="00700099" w:rsidRPr="00713E0A" w:rsidRDefault="00700099" w:rsidP="00713E0A">
      <w:pPr>
        <w:pStyle w:val="ListParagraph"/>
        <w:numPr>
          <w:ilvl w:val="0"/>
          <w:numId w:val="6"/>
        </w:numPr>
        <w:snapToGrid w:val="0"/>
        <w:ind w:firstLineChars="0"/>
        <w:rPr>
          <w:kern w:val="0"/>
          <w:sz w:val="20"/>
          <w:szCs w:val="20"/>
        </w:rPr>
      </w:pPr>
      <w:proofErr w:type="spellStart"/>
      <w:r w:rsidRPr="00713E0A">
        <w:rPr>
          <w:kern w:val="0"/>
          <w:sz w:val="20"/>
          <w:szCs w:val="20"/>
        </w:rPr>
        <w:t>Marsland</w:t>
      </w:r>
      <w:proofErr w:type="spellEnd"/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Press.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http://www.sciencepub.net.</w:t>
      </w:r>
      <w:r w:rsidR="00713E0A">
        <w:rPr>
          <w:kern w:val="0"/>
          <w:sz w:val="20"/>
          <w:szCs w:val="20"/>
        </w:rPr>
        <w:t xml:space="preserve"> </w:t>
      </w:r>
      <w:r w:rsidRPr="00713E0A">
        <w:rPr>
          <w:kern w:val="0"/>
          <w:sz w:val="20"/>
          <w:szCs w:val="20"/>
        </w:rPr>
        <w:t>201</w:t>
      </w:r>
      <w:r w:rsidR="00A108B4" w:rsidRPr="00713E0A">
        <w:rPr>
          <w:rFonts w:eastAsiaTheme="minorEastAsia" w:hint="eastAsia"/>
          <w:kern w:val="0"/>
          <w:sz w:val="20"/>
          <w:szCs w:val="20"/>
        </w:rPr>
        <w:t>9</w:t>
      </w:r>
      <w:r w:rsidRPr="00713E0A">
        <w:rPr>
          <w:kern w:val="0"/>
          <w:sz w:val="20"/>
          <w:szCs w:val="20"/>
        </w:rPr>
        <w:t>.</w:t>
      </w:r>
    </w:p>
    <w:p w:rsidR="00713E0A" w:rsidRDefault="00713E0A" w:rsidP="00713E0A">
      <w:pPr>
        <w:snapToGrid w:val="0"/>
        <w:ind w:left="425" w:hanging="425"/>
        <w:rPr>
          <w:rFonts w:eastAsiaTheme="minorEastAsia"/>
          <w:kern w:val="0"/>
          <w:sz w:val="20"/>
          <w:szCs w:val="20"/>
        </w:rPr>
        <w:sectPr w:rsidR="00713E0A" w:rsidSect="00713E0A">
          <w:type w:val="continuous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700099" w:rsidRPr="00E27E0D" w:rsidRDefault="00700099" w:rsidP="00713E0A">
      <w:pPr>
        <w:snapToGrid w:val="0"/>
        <w:ind w:left="425" w:hanging="425"/>
        <w:rPr>
          <w:rFonts w:eastAsiaTheme="minorEastAsia"/>
          <w:kern w:val="0"/>
          <w:sz w:val="20"/>
          <w:szCs w:val="20"/>
        </w:rPr>
      </w:pPr>
    </w:p>
    <w:p w:rsidR="00A108B4" w:rsidRDefault="00A2158A" w:rsidP="00713E0A">
      <w:pPr>
        <w:snapToGrid w:val="0"/>
        <w:ind w:left="425" w:hanging="425"/>
        <w:rPr>
          <w:rFonts w:eastAsiaTheme="minorEastAsia"/>
          <w:kern w:val="0"/>
          <w:sz w:val="20"/>
          <w:szCs w:val="20"/>
        </w:rPr>
      </w:pPr>
      <w:r>
        <w:rPr>
          <w:rFonts w:eastAsiaTheme="minorEastAsia" w:hint="eastAsia"/>
          <w:kern w:val="0"/>
          <w:sz w:val="20"/>
          <w:szCs w:val="20"/>
        </w:rPr>
        <w:t xml:space="preserve">  </w:t>
      </w:r>
    </w:p>
    <w:p w:rsidR="00453E28" w:rsidRPr="00E27E0D" w:rsidRDefault="00453E28" w:rsidP="00713E0A">
      <w:pPr>
        <w:snapToGrid w:val="0"/>
        <w:ind w:left="425" w:hanging="425"/>
        <w:rPr>
          <w:rFonts w:eastAsiaTheme="minorEastAsia"/>
          <w:kern w:val="0"/>
          <w:sz w:val="20"/>
          <w:szCs w:val="20"/>
        </w:rPr>
      </w:pPr>
    </w:p>
    <w:p w:rsidR="004D3A36" w:rsidRPr="00E27E0D" w:rsidRDefault="00E27E0D" w:rsidP="00713E0A">
      <w:pPr>
        <w:snapToGrid w:val="0"/>
        <w:rPr>
          <w:kern w:val="0"/>
          <w:sz w:val="20"/>
          <w:szCs w:val="20"/>
        </w:rPr>
      </w:pPr>
      <w:r w:rsidRPr="00E27E0D">
        <w:rPr>
          <w:kern w:val="0"/>
          <w:sz w:val="20"/>
          <w:szCs w:val="20"/>
        </w:rPr>
        <w:t>5/2</w:t>
      </w:r>
      <w:r w:rsidR="00453E28">
        <w:rPr>
          <w:rFonts w:eastAsiaTheme="minorEastAsia" w:hint="eastAsia"/>
          <w:kern w:val="0"/>
          <w:sz w:val="20"/>
          <w:szCs w:val="20"/>
        </w:rPr>
        <w:t>5</w:t>
      </w:r>
      <w:r w:rsidRPr="00E27E0D">
        <w:rPr>
          <w:kern w:val="0"/>
          <w:sz w:val="20"/>
          <w:szCs w:val="20"/>
        </w:rPr>
        <w:t>/2019</w:t>
      </w:r>
    </w:p>
    <w:sectPr w:rsidR="004D3A36" w:rsidRPr="00E27E0D" w:rsidSect="00E27E0D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44" w:rsidRDefault="00FF2144">
      <w:r>
        <w:separator/>
      </w:r>
    </w:p>
  </w:endnote>
  <w:endnote w:type="continuationSeparator" w:id="0">
    <w:p w:rsidR="00FF2144" w:rsidRDefault="00FF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0A" w:rsidRPr="00BD2A83" w:rsidRDefault="00914088" w:rsidP="00BD2A83">
    <w:pPr>
      <w:jc w:val="center"/>
      <w:rPr>
        <w:sz w:val="20"/>
      </w:rPr>
    </w:pPr>
    <w:r w:rsidRPr="00BD2A83">
      <w:rPr>
        <w:sz w:val="20"/>
      </w:rPr>
      <w:fldChar w:fldCharType="begin"/>
    </w:r>
    <w:r w:rsidR="00BD2A83" w:rsidRPr="00BD2A83">
      <w:rPr>
        <w:sz w:val="20"/>
      </w:rPr>
      <w:instrText xml:space="preserve"> page </w:instrText>
    </w:r>
    <w:r w:rsidRPr="00BD2A83">
      <w:rPr>
        <w:sz w:val="20"/>
      </w:rPr>
      <w:fldChar w:fldCharType="separate"/>
    </w:r>
    <w:r w:rsidR="00A23EBD">
      <w:rPr>
        <w:noProof/>
        <w:sz w:val="20"/>
      </w:rPr>
      <w:t>69</w:t>
    </w:r>
    <w:r w:rsidRPr="00BD2A8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44" w:rsidRDefault="00FF2144">
      <w:r>
        <w:separator/>
      </w:r>
    </w:p>
  </w:footnote>
  <w:footnote w:type="continuationSeparator" w:id="0">
    <w:p w:rsidR="00FF2144" w:rsidRDefault="00FF2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3" w:rsidRPr="00BD2A83" w:rsidRDefault="00BD2A83" w:rsidP="00BD2A8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kern w:val="0"/>
        <w:sz w:val="20"/>
        <w:szCs w:val="20"/>
      </w:rPr>
    </w:pPr>
    <w:r w:rsidRPr="00BD2A83">
      <w:rPr>
        <w:rFonts w:hint="eastAsia"/>
        <w:kern w:val="0"/>
        <w:sz w:val="20"/>
        <w:szCs w:val="20"/>
      </w:rPr>
      <w:tab/>
    </w:r>
    <w:r w:rsidRPr="00BD2A83">
      <w:rPr>
        <w:kern w:val="0"/>
        <w:sz w:val="20"/>
        <w:szCs w:val="20"/>
      </w:rPr>
      <w:t>New York Science Journal 201</w:t>
    </w:r>
    <w:r w:rsidRPr="00BD2A83">
      <w:rPr>
        <w:rFonts w:hint="eastAsia"/>
        <w:kern w:val="0"/>
        <w:sz w:val="20"/>
        <w:szCs w:val="20"/>
      </w:rPr>
      <w:t>9</w:t>
    </w:r>
    <w:r w:rsidRPr="00BD2A83">
      <w:rPr>
        <w:kern w:val="0"/>
        <w:sz w:val="20"/>
        <w:szCs w:val="20"/>
      </w:rPr>
      <w:t>;</w:t>
    </w:r>
    <w:r w:rsidRPr="00BD2A83">
      <w:rPr>
        <w:rFonts w:hint="eastAsia"/>
        <w:kern w:val="0"/>
        <w:sz w:val="20"/>
        <w:szCs w:val="20"/>
      </w:rPr>
      <w:t>12</w:t>
    </w:r>
    <w:r w:rsidRPr="00BD2A83">
      <w:rPr>
        <w:kern w:val="0"/>
        <w:sz w:val="20"/>
        <w:szCs w:val="20"/>
      </w:rPr>
      <w:t>(</w:t>
    </w:r>
    <w:r w:rsidRPr="00BD2A83">
      <w:rPr>
        <w:rFonts w:hint="eastAsia"/>
        <w:kern w:val="0"/>
        <w:sz w:val="20"/>
        <w:szCs w:val="20"/>
      </w:rPr>
      <w:t>5</w:t>
    </w:r>
    <w:r w:rsidRPr="00BD2A83">
      <w:rPr>
        <w:kern w:val="0"/>
        <w:sz w:val="20"/>
        <w:szCs w:val="20"/>
      </w:rPr>
      <w:t>)</w:t>
    </w:r>
    <w:r w:rsidRPr="00BD2A83">
      <w:rPr>
        <w:iCs/>
        <w:kern w:val="0"/>
        <w:sz w:val="20"/>
        <w:szCs w:val="20"/>
      </w:rPr>
      <w:t xml:space="preserve">     </w:t>
    </w:r>
    <w:r w:rsidRPr="00BD2A83">
      <w:rPr>
        <w:rFonts w:hint="eastAsia"/>
        <w:iCs/>
        <w:kern w:val="0"/>
        <w:sz w:val="20"/>
        <w:szCs w:val="20"/>
      </w:rPr>
      <w:tab/>
    </w:r>
    <w:r w:rsidRPr="00BD2A83">
      <w:rPr>
        <w:iCs/>
        <w:kern w:val="0"/>
        <w:sz w:val="20"/>
        <w:szCs w:val="20"/>
      </w:rPr>
      <w:t xml:space="preserve"> </w:t>
    </w:r>
    <w:r w:rsidRPr="00BD2A83">
      <w:rPr>
        <w:rFonts w:hint="eastAsia"/>
        <w:iCs/>
        <w:kern w:val="0"/>
        <w:sz w:val="20"/>
        <w:szCs w:val="20"/>
      </w:rPr>
      <w:t xml:space="preserve"> </w:t>
    </w:r>
    <w:r w:rsidRPr="00BD2A83">
      <w:rPr>
        <w:iCs/>
        <w:kern w:val="0"/>
        <w:sz w:val="20"/>
        <w:szCs w:val="20"/>
      </w:rPr>
      <w:t xml:space="preserve">   </w:t>
    </w:r>
    <w:hyperlink r:id="rId1" w:history="1">
      <w:r w:rsidRPr="00BD2A83">
        <w:rPr>
          <w:rStyle w:val="Hyperlink"/>
          <w:kern w:val="0"/>
          <w:sz w:val="20"/>
          <w:szCs w:val="20"/>
        </w:rPr>
        <w:t>http://www.sciencepub.net/newyork</w:t>
      </w:r>
    </w:hyperlink>
  </w:p>
  <w:p w:rsidR="00BD2A83" w:rsidRPr="00BD2A83" w:rsidRDefault="00BD2A83" w:rsidP="00BD2A83">
    <w:pPr>
      <w:tabs>
        <w:tab w:val="left" w:pos="851"/>
        <w:tab w:val="left" w:pos="7200"/>
        <w:tab w:val="right" w:pos="8364"/>
      </w:tabs>
      <w:adjustRightInd w:val="0"/>
      <w:snapToGrid w:val="0"/>
      <w:rPr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B"/>
    <w:multiLevelType w:val="hybridMultilevel"/>
    <w:tmpl w:val="00FC2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D5D0D"/>
    <w:multiLevelType w:val="hybridMultilevel"/>
    <w:tmpl w:val="218A2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F42AC"/>
    <w:multiLevelType w:val="hybridMultilevel"/>
    <w:tmpl w:val="FCD87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EA51E8"/>
    <w:multiLevelType w:val="hybridMultilevel"/>
    <w:tmpl w:val="F0E4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3942"/>
    <w:multiLevelType w:val="hybridMultilevel"/>
    <w:tmpl w:val="B47442A6"/>
    <w:lvl w:ilvl="0" w:tplc="0492D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0459"/>
    <w:multiLevelType w:val="hybridMultilevel"/>
    <w:tmpl w:val="152C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EAD"/>
    <w:rsid w:val="00014E54"/>
    <w:rsid w:val="00054E0F"/>
    <w:rsid w:val="00093C39"/>
    <w:rsid w:val="000C1A80"/>
    <w:rsid w:val="000D2D93"/>
    <w:rsid w:val="000E1520"/>
    <w:rsid w:val="000E2FBE"/>
    <w:rsid w:val="00113A9B"/>
    <w:rsid w:val="00116CDD"/>
    <w:rsid w:val="0012630A"/>
    <w:rsid w:val="00156A27"/>
    <w:rsid w:val="00161B67"/>
    <w:rsid w:val="00165643"/>
    <w:rsid w:val="001870E9"/>
    <w:rsid w:val="001C2C0F"/>
    <w:rsid w:val="001C487E"/>
    <w:rsid w:val="002109BB"/>
    <w:rsid w:val="00223583"/>
    <w:rsid w:val="0024118F"/>
    <w:rsid w:val="0024167C"/>
    <w:rsid w:val="002873B1"/>
    <w:rsid w:val="00291E2C"/>
    <w:rsid w:val="002A347F"/>
    <w:rsid w:val="002B0AA0"/>
    <w:rsid w:val="002E3066"/>
    <w:rsid w:val="003167F8"/>
    <w:rsid w:val="003224F9"/>
    <w:rsid w:val="00333AC4"/>
    <w:rsid w:val="00343015"/>
    <w:rsid w:val="00344192"/>
    <w:rsid w:val="0035218A"/>
    <w:rsid w:val="003761E2"/>
    <w:rsid w:val="003848DB"/>
    <w:rsid w:val="0039712D"/>
    <w:rsid w:val="003B676F"/>
    <w:rsid w:val="003C2876"/>
    <w:rsid w:val="003C33FB"/>
    <w:rsid w:val="003F5457"/>
    <w:rsid w:val="003F743E"/>
    <w:rsid w:val="004102BD"/>
    <w:rsid w:val="004517F2"/>
    <w:rsid w:val="00453E28"/>
    <w:rsid w:val="00477ECB"/>
    <w:rsid w:val="00492D04"/>
    <w:rsid w:val="004A0EED"/>
    <w:rsid w:val="004A2AA3"/>
    <w:rsid w:val="004A314A"/>
    <w:rsid w:val="004A544D"/>
    <w:rsid w:val="004B239C"/>
    <w:rsid w:val="004D3A36"/>
    <w:rsid w:val="004D5C08"/>
    <w:rsid w:val="0050574A"/>
    <w:rsid w:val="005130F9"/>
    <w:rsid w:val="0053050A"/>
    <w:rsid w:val="005343C6"/>
    <w:rsid w:val="005A4E5B"/>
    <w:rsid w:val="005D6B80"/>
    <w:rsid w:val="005D6C27"/>
    <w:rsid w:val="005F4C5D"/>
    <w:rsid w:val="00607C89"/>
    <w:rsid w:val="00617AAD"/>
    <w:rsid w:val="00630FE7"/>
    <w:rsid w:val="0065342D"/>
    <w:rsid w:val="00683F5C"/>
    <w:rsid w:val="006905AC"/>
    <w:rsid w:val="006C42EF"/>
    <w:rsid w:val="006D2CDD"/>
    <w:rsid w:val="006E74AF"/>
    <w:rsid w:val="006F7D2A"/>
    <w:rsid w:val="00700099"/>
    <w:rsid w:val="007040C5"/>
    <w:rsid w:val="00713E0A"/>
    <w:rsid w:val="007253D5"/>
    <w:rsid w:val="0074083D"/>
    <w:rsid w:val="00757414"/>
    <w:rsid w:val="007711EB"/>
    <w:rsid w:val="00773F09"/>
    <w:rsid w:val="00783D0F"/>
    <w:rsid w:val="0078608E"/>
    <w:rsid w:val="00795298"/>
    <w:rsid w:val="007A3CCA"/>
    <w:rsid w:val="007A5148"/>
    <w:rsid w:val="007D4467"/>
    <w:rsid w:val="0081376D"/>
    <w:rsid w:val="00821760"/>
    <w:rsid w:val="00837A31"/>
    <w:rsid w:val="008506E6"/>
    <w:rsid w:val="00854E1D"/>
    <w:rsid w:val="00862C1C"/>
    <w:rsid w:val="0089694F"/>
    <w:rsid w:val="008A0145"/>
    <w:rsid w:val="008D1393"/>
    <w:rsid w:val="008E27F7"/>
    <w:rsid w:val="008F2A11"/>
    <w:rsid w:val="00914088"/>
    <w:rsid w:val="00920D61"/>
    <w:rsid w:val="00936106"/>
    <w:rsid w:val="00942E02"/>
    <w:rsid w:val="0095607E"/>
    <w:rsid w:val="00964C35"/>
    <w:rsid w:val="00996A3B"/>
    <w:rsid w:val="009A5859"/>
    <w:rsid w:val="009D35AF"/>
    <w:rsid w:val="00A108B4"/>
    <w:rsid w:val="00A159B4"/>
    <w:rsid w:val="00A17843"/>
    <w:rsid w:val="00A2158A"/>
    <w:rsid w:val="00A23EBD"/>
    <w:rsid w:val="00A468AC"/>
    <w:rsid w:val="00A926F6"/>
    <w:rsid w:val="00AB0B8D"/>
    <w:rsid w:val="00AF7C42"/>
    <w:rsid w:val="00B33A8E"/>
    <w:rsid w:val="00B431C7"/>
    <w:rsid w:val="00B56115"/>
    <w:rsid w:val="00B56F17"/>
    <w:rsid w:val="00B829B8"/>
    <w:rsid w:val="00B84360"/>
    <w:rsid w:val="00B950C8"/>
    <w:rsid w:val="00BA6330"/>
    <w:rsid w:val="00BA770B"/>
    <w:rsid w:val="00BB04B5"/>
    <w:rsid w:val="00BB0FDA"/>
    <w:rsid w:val="00BD23F6"/>
    <w:rsid w:val="00BD2A83"/>
    <w:rsid w:val="00BE06EF"/>
    <w:rsid w:val="00BE5EAD"/>
    <w:rsid w:val="00C55047"/>
    <w:rsid w:val="00C9040E"/>
    <w:rsid w:val="00C979E5"/>
    <w:rsid w:val="00CA5CF5"/>
    <w:rsid w:val="00CC5760"/>
    <w:rsid w:val="00CE03B9"/>
    <w:rsid w:val="00CF72BC"/>
    <w:rsid w:val="00D03A9D"/>
    <w:rsid w:val="00D25498"/>
    <w:rsid w:val="00D42D04"/>
    <w:rsid w:val="00D61DF5"/>
    <w:rsid w:val="00D6490B"/>
    <w:rsid w:val="00D92ACC"/>
    <w:rsid w:val="00D93675"/>
    <w:rsid w:val="00DA163C"/>
    <w:rsid w:val="00DC0D78"/>
    <w:rsid w:val="00DD3886"/>
    <w:rsid w:val="00DE0882"/>
    <w:rsid w:val="00E03BD4"/>
    <w:rsid w:val="00E07DEC"/>
    <w:rsid w:val="00E10B9E"/>
    <w:rsid w:val="00E13063"/>
    <w:rsid w:val="00E16432"/>
    <w:rsid w:val="00E27E0D"/>
    <w:rsid w:val="00EB0424"/>
    <w:rsid w:val="00EC24A3"/>
    <w:rsid w:val="00F01B65"/>
    <w:rsid w:val="00F0260C"/>
    <w:rsid w:val="00F447DE"/>
    <w:rsid w:val="00F509DB"/>
    <w:rsid w:val="00F60837"/>
    <w:rsid w:val="00F61455"/>
    <w:rsid w:val="00F622F5"/>
    <w:rsid w:val="00F6593C"/>
    <w:rsid w:val="00FC65BE"/>
    <w:rsid w:val="00FE32DB"/>
    <w:rsid w:val="00FE3FF6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jc w:val="both"/>
    </w:pPr>
    <w:rPr>
      <w:rFonts w:eastAsia="SimSun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A347F"/>
    <w:rPr>
      <w:rFonts w:ascii="Cambria" w:eastAsia="宋体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A347F"/>
    <w:rPr>
      <w:rFonts w:ascii="Cambria" w:eastAsia="宋体" w:hAnsi="Cambria" w:cs="Times New Roman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611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uiPriority w:val="99"/>
    <w:rsid w:val="00920D61"/>
    <w:rPr>
      <w:rFonts w:cs="Times New Roman"/>
    </w:rPr>
  </w:style>
  <w:style w:type="character" w:customStyle="1" w:styleId="mw-editsection1">
    <w:name w:val="mw-editsection1"/>
    <w:basedOn w:val="DefaultParagraphFont"/>
    <w:uiPriority w:val="99"/>
    <w:rsid w:val="00920D61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920D61"/>
    <w:rPr>
      <w:rFonts w:cs="Times New Roman"/>
    </w:rPr>
  </w:style>
  <w:style w:type="character" w:styleId="Strong">
    <w:name w:val="Strong"/>
    <w:basedOn w:val="DefaultParagraphFont"/>
    <w:uiPriority w:val="22"/>
    <w:qFormat/>
    <w:rsid w:val="00477ECB"/>
    <w:rPr>
      <w:rFonts w:cs="Times New Roman"/>
      <w:b/>
      <w:bCs/>
    </w:rPr>
  </w:style>
  <w:style w:type="character" w:customStyle="1" w:styleId="msonormal0">
    <w:name w:val="msonormal0"/>
    <w:basedOn w:val="DefaultParagraphFont"/>
    <w:uiPriority w:val="99"/>
    <w:rsid w:val="0034301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47F"/>
    <w:rPr>
      <w:rFonts w:eastAsia="SimSun" w:cs="Times New Roma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47F"/>
    <w:rPr>
      <w:rFonts w:eastAsia="SimSun" w:cs="Times New Roma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  <w:rPr>
      <w:rFonts w:cs="Times New Roman"/>
    </w:rPr>
  </w:style>
  <w:style w:type="character" w:customStyle="1" w:styleId="url">
    <w:name w:val="url"/>
    <w:basedOn w:val="DefaultParagraphFont"/>
    <w:uiPriority w:val="99"/>
    <w:rsid w:val="003C33FB"/>
    <w:rPr>
      <w:rFonts w:cs="Times New Roman"/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rFonts w:cs="Times New Roman"/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rFonts w:cs="Times New Roman"/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rFonts w:cs="Times New Roman"/>
      <w:b/>
      <w:bCs/>
      <w:color w:val="14376C"/>
      <w:u w:val="none"/>
      <w:effect w:val="none"/>
    </w:rPr>
  </w:style>
  <w:style w:type="paragraph" w:customStyle="1" w:styleId="Heading19">
    <w:name w:val="Heading 19"/>
    <w:basedOn w:val="Normal"/>
    <w:rsid w:val="005130F9"/>
    <w:pPr>
      <w:widowControl/>
      <w:spacing w:line="336" w:lineRule="atLeast"/>
      <w:jc w:val="left"/>
      <w:outlineLvl w:val="1"/>
    </w:pPr>
    <w:rPr>
      <w:rFonts w:eastAsia="Times New Roman"/>
      <w:color w:val="FFFFFF"/>
      <w:kern w:val="36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1B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713E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160">
      <w:marLeft w:val="-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4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4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174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79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9176">
                      <w:marLeft w:val="0"/>
                      <w:marRight w:val="0"/>
                      <w:marTop w:val="48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4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ys120519.12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c-Myc literatures</vt:lpstr>
    </vt:vector>
  </TitlesOfParts>
  <Company>BHMC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c-Myc literatures</dc:title>
  <dc:creator>BHMC</dc:creator>
  <cp:lastModifiedBy>Administrator</cp:lastModifiedBy>
  <cp:revision>3</cp:revision>
  <dcterms:created xsi:type="dcterms:W3CDTF">2019-05-30T14:41:00Z</dcterms:created>
  <dcterms:modified xsi:type="dcterms:W3CDTF">2019-05-31T00:11:00Z</dcterms:modified>
</cp:coreProperties>
</file>