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324" w:rsidRPr="00C60369" w:rsidRDefault="00A96190" w:rsidP="00567C4E">
      <w:pPr>
        <w:bidi w:val="0"/>
        <w:snapToGrid w:val="0"/>
        <w:spacing w:after="0" w:line="240" w:lineRule="auto"/>
        <w:jc w:val="center"/>
        <w:rPr>
          <w:rFonts w:ascii="Times New Roman" w:hAnsi="Times New Roman" w:cs="Times New Roman"/>
          <w:b/>
          <w:bCs/>
          <w:sz w:val="20"/>
          <w:szCs w:val="20"/>
          <w:lang w:bidi="ar-EG"/>
        </w:rPr>
      </w:pPr>
      <w:r w:rsidRPr="00C60369">
        <w:rPr>
          <w:rFonts w:ascii="Times New Roman" w:hAnsi="Times New Roman" w:cs="Times New Roman"/>
          <w:b/>
          <w:bCs/>
          <w:sz w:val="20"/>
          <w:szCs w:val="20"/>
          <w:lang w:bidi="ar-EG"/>
        </w:rPr>
        <w:t>The impact of ti</w:t>
      </w:r>
      <w:bookmarkStart w:id="0" w:name="_GoBack"/>
      <w:bookmarkEnd w:id="0"/>
      <w:r w:rsidRPr="00C60369">
        <w:rPr>
          <w:rFonts w:ascii="Times New Roman" w:hAnsi="Times New Roman" w:cs="Times New Roman"/>
          <w:b/>
          <w:bCs/>
          <w:sz w:val="20"/>
          <w:szCs w:val="20"/>
          <w:lang w:bidi="ar-EG"/>
        </w:rPr>
        <w:t>ming of renal replacement therapy on the outcome of acute kidney injury in critically ill patient: a meta-analysis</w:t>
      </w:r>
    </w:p>
    <w:p w:rsidR="00062324" w:rsidRPr="00C60369" w:rsidRDefault="00062324" w:rsidP="00567C4E">
      <w:pPr>
        <w:bidi w:val="0"/>
        <w:snapToGrid w:val="0"/>
        <w:spacing w:after="0" w:line="240" w:lineRule="auto"/>
        <w:jc w:val="center"/>
        <w:rPr>
          <w:rFonts w:ascii="Times New Roman" w:hAnsi="Times New Roman" w:cs="Times New Roman"/>
          <w:b/>
          <w:bCs/>
          <w:sz w:val="20"/>
          <w:szCs w:val="20"/>
          <w:lang w:bidi="ar-EG"/>
        </w:rPr>
      </w:pPr>
    </w:p>
    <w:p w:rsidR="00062324" w:rsidRPr="00C60369" w:rsidRDefault="00A96190" w:rsidP="00567C4E">
      <w:pPr>
        <w:bidi w:val="0"/>
        <w:snapToGrid w:val="0"/>
        <w:spacing w:after="0" w:line="240" w:lineRule="auto"/>
        <w:jc w:val="center"/>
        <w:rPr>
          <w:rFonts w:ascii="Times New Roman" w:hAnsi="Times New Roman" w:cs="Times New Roman"/>
          <w:sz w:val="20"/>
          <w:szCs w:val="20"/>
          <w:lang w:eastAsia="zh-CN" w:bidi="ar-EG"/>
        </w:rPr>
      </w:pPr>
      <w:r w:rsidRPr="00C60369">
        <w:rPr>
          <w:rFonts w:ascii="Times New Roman" w:hAnsi="Times New Roman" w:cs="Times New Roman"/>
          <w:sz w:val="20"/>
          <w:szCs w:val="20"/>
          <w:lang w:bidi="ar-EG"/>
        </w:rPr>
        <w:t xml:space="preserve">Ahmed </w:t>
      </w:r>
      <w:proofErr w:type="spellStart"/>
      <w:r w:rsidRPr="00C60369">
        <w:rPr>
          <w:rFonts w:ascii="Times New Roman" w:hAnsi="Times New Roman" w:cs="Times New Roman"/>
          <w:sz w:val="20"/>
          <w:szCs w:val="20"/>
          <w:lang w:bidi="ar-EG"/>
        </w:rPr>
        <w:t>Elshaer</w:t>
      </w:r>
      <w:proofErr w:type="spellEnd"/>
      <w:r w:rsidR="002F0617" w:rsidRPr="00C60369">
        <w:rPr>
          <w:rFonts w:ascii="Times New Roman" w:hAnsi="Times New Roman" w:cs="Times New Roman"/>
          <w:sz w:val="20"/>
          <w:szCs w:val="20"/>
          <w:lang w:bidi="ar-EG"/>
        </w:rPr>
        <w:t>,</w:t>
      </w:r>
      <w:r w:rsidR="00740856" w:rsidRPr="00C60369">
        <w:rPr>
          <w:rFonts w:ascii="Times New Roman" w:hAnsi="Times New Roman" w:cs="Times New Roman"/>
          <w:sz w:val="20"/>
          <w:szCs w:val="20"/>
          <w:lang w:bidi="ar-EG"/>
        </w:rPr>
        <w:t xml:space="preserve"> </w:t>
      </w:r>
      <w:proofErr w:type="spellStart"/>
      <w:r w:rsidRPr="00C60369">
        <w:rPr>
          <w:rFonts w:ascii="Times New Roman" w:hAnsi="Times New Roman" w:cs="Times New Roman"/>
          <w:sz w:val="20"/>
          <w:szCs w:val="20"/>
          <w:lang w:bidi="ar-EG"/>
        </w:rPr>
        <w:t>Rania</w:t>
      </w:r>
      <w:proofErr w:type="spellEnd"/>
      <w:r w:rsidRPr="00C60369">
        <w:rPr>
          <w:rFonts w:ascii="Times New Roman" w:hAnsi="Times New Roman" w:cs="Times New Roman"/>
          <w:sz w:val="20"/>
          <w:szCs w:val="20"/>
          <w:lang w:bidi="ar-EG"/>
        </w:rPr>
        <w:t xml:space="preserve"> </w:t>
      </w:r>
      <w:proofErr w:type="spellStart"/>
      <w:r w:rsidRPr="00C60369">
        <w:rPr>
          <w:rFonts w:ascii="Times New Roman" w:hAnsi="Times New Roman" w:cs="Times New Roman"/>
          <w:sz w:val="20"/>
          <w:szCs w:val="20"/>
          <w:lang w:bidi="ar-EG"/>
        </w:rPr>
        <w:t>Magdy</w:t>
      </w:r>
      <w:proofErr w:type="spellEnd"/>
      <w:r w:rsidRPr="00C60369">
        <w:rPr>
          <w:rFonts w:ascii="Times New Roman" w:hAnsi="Times New Roman" w:cs="Times New Roman"/>
          <w:sz w:val="20"/>
          <w:szCs w:val="20"/>
          <w:lang w:bidi="ar-EG"/>
        </w:rPr>
        <w:t xml:space="preserve"> Mohamed</w:t>
      </w:r>
      <w:r w:rsidR="002F0617" w:rsidRPr="00C60369">
        <w:rPr>
          <w:rFonts w:ascii="Times New Roman" w:hAnsi="Times New Roman" w:cs="Times New Roman"/>
          <w:sz w:val="20"/>
          <w:szCs w:val="20"/>
          <w:lang w:bidi="ar-EG"/>
        </w:rPr>
        <w:t xml:space="preserve">, </w:t>
      </w:r>
      <w:proofErr w:type="spellStart"/>
      <w:r w:rsidRPr="00C60369">
        <w:rPr>
          <w:rFonts w:ascii="Times New Roman" w:hAnsi="Times New Roman" w:cs="Times New Roman"/>
          <w:sz w:val="20"/>
          <w:szCs w:val="20"/>
          <w:lang w:bidi="ar-EG"/>
        </w:rPr>
        <w:t>Hany</w:t>
      </w:r>
      <w:proofErr w:type="spellEnd"/>
      <w:r w:rsidR="00740856" w:rsidRPr="00C60369">
        <w:rPr>
          <w:rFonts w:ascii="Times New Roman" w:hAnsi="Times New Roman" w:cs="Times New Roman"/>
          <w:sz w:val="20"/>
          <w:szCs w:val="20"/>
          <w:lang w:bidi="ar-EG"/>
        </w:rPr>
        <w:t xml:space="preserve"> </w:t>
      </w:r>
      <w:proofErr w:type="spellStart"/>
      <w:r w:rsidRPr="00C60369">
        <w:rPr>
          <w:rFonts w:ascii="Times New Roman" w:hAnsi="Times New Roman" w:cs="Times New Roman"/>
          <w:sz w:val="20"/>
          <w:szCs w:val="20"/>
          <w:lang w:bidi="ar-EG"/>
        </w:rPr>
        <w:t>Magdy</w:t>
      </w:r>
      <w:proofErr w:type="spellEnd"/>
      <w:r w:rsidR="00740856" w:rsidRPr="00C60369">
        <w:rPr>
          <w:rFonts w:ascii="Times New Roman" w:hAnsi="Times New Roman" w:cs="Times New Roman"/>
          <w:sz w:val="20"/>
          <w:szCs w:val="20"/>
          <w:lang w:bidi="ar-EG"/>
        </w:rPr>
        <w:t xml:space="preserve"> </w:t>
      </w:r>
      <w:proofErr w:type="spellStart"/>
      <w:r w:rsidRPr="00C60369">
        <w:rPr>
          <w:rFonts w:ascii="Times New Roman" w:hAnsi="Times New Roman" w:cs="Times New Roman"/>
          <w:sz w:val="20"/>
          <w:szCs w:val="20"/>
          <w:lang w:bidi="ar-EG"/>
        </w:rPr>
        <w:t>Fahim</w:t>
      </w:r>
      <w:proofErr w:type="spellEnd"/>
      <w:r w:rsidR="002F0617" w:rsidRPr="00C60369">
        <w:rPr>
          <w:rFonts w:ascii="Times New Roman" w:hAnsi="Times New Roman" w:cs="Times New Roman"/>
          <w:sz w:val="20"/>
          <w:szCs w:val="20"/>
          <w:lang w:bidi="ar-EG"/>
        </w:rPr>
        <w:t xml:space="preserve">, </w:t>
      </w:r>
      <w:proofErr w:type="spellStart"/>
      <w:r w:rsidRPr="00C60369">
        <w:rPr>
          <w:rFonts w:ascii="Times New Roman" w:hAnsi="Times New Roman" w:cs="Times New Roman"/>
          <w:sz w:val="20"/>
          <w:szCs w:val="20"/>
          <w:lang w:bidi="ar-EG"/>
        </w:rPr>
        <w:t>Mahmoud</w:t>
      </w:r>
      <w:proofErr w:type="spellEnd"/>
      <w:r w:rsidRPr="00C60369">
        <w:rPr>
          <w:rFonts w:ascii="Times New Roman" w:hAnsi="Times New Roman" w:cs="Times New Roman"/>
          <w:sz w:val="20"/>
          <w:szCs w:val="20"/>
          <w:lang w:bidi="ar-EG"/>
        </w:rPr>
        <w:t xml:space="preserve"> Omar</w:t>
      </w:r>
    </w:p>
    <w:p w:rsidR="00062324" w:rsidRPr="00C60369" w:rsidRDefault="00062324" w:rsidP="00567C4E">
      <w:pPr>
        <w:bidi w:val="0"/>
        <w:snapToGrid w:val="0"/>
        <w:spacing w:after="0" w:line="240" w:lineRule="auto"/>
        <w:jc w:val="center"/>
        <w:rPr>
          <w:rFonts w:ascii="Times New Roman" w:hAnsi="Times New Roman" w:cs="Times New Roman"/>
          <w:sz w:val="20"/>
          <w:szCs w:val="20"/>
          <w:lang w:eastAsia="zh-CN" w:bidi="ar-EG"/>
        </w:rPr>
      </w:pPr>
    </w:p>
    <w:p w:rsidR="009168BA" w:rsidRPr="00C60369" w:rsidRDefault="002F0617" w:rsidP="00567C4E">
      <w:pPr>
        <w:bidi w:val="0"/>
        <w:snapToGrid w:val="0"/>
        <w:spacing w:after="0" w:line="240" w:lineRule="auto"/>
        <w:jc w:val="center"/>
        <w:rPr>
          <w:rFonts w:ascii="Times New Roman" w:eastAsia="Times New Roman" w:hAnsi="Times New Roman" w:cs="Times New Roman"/>
          <w:sz w:val="20"/>
          <w:szCs w:val="20"/>
        </w:rPr>
      </w:pPr>
      <w:r w:rsidRPr="00C60369">
        <w:rPr>
          <w:rFonts w:ascii="Times New Roman" w:hAnsi="Times New Roman" w:cs="Times New Roman"/>
          <w:sz w:val="20"/>
          <w:szCs w:val="20"/>
          <w:lang w:bidi="ar-EG"/>
        </w:rPr>
        <w:t xml:space="preserve">Department </w:t>
      </w:r>
      <w:r w:rsidR="00251492" w:rsidRPr="00C60369">
        <w:rPr>
          <w:rFonts w:ascii="Times New Roman" w:hAnsi="Times New Roman" w:cs="Times New Roman"/>
          <w:sz w:val="20"/>
          <w:szCs w:val="20"/>
          <w:lang w:bidi="ar-EG"/>
        </w:rPr>
        <w:t xml:space="preserve">of </w:t>
      </w:r>
      <w:r w:rsidR="00A96190" w:rsidRPr="00C60369">
        <w:rPr>
          <w:rFonts w:ascii="Times New Roman" w:hAnsi="Times New Roman" w:cs="Times New Roman"/>
          <w:sz w:val="20"/>
          <w:szCs w:val="20"/>
          <w:lang w:bidi="ar-EG"/>
        </w:rPr>
        <w:t xml:space="preserve">Anesthesiology </w:t>
      </w:r>
      <w:r w:rsidR="00251492" w:rsidRPr="00C60369">
        <w:rPr>
          <w:rFonts w:ascii="Times New Roman" w:hAnsi="Times New Roman" w:cs="Times New Roman"/>
          <w:sz w:val="20"/>
          <w:szCs w:val="20"/>
          <w:lang w:bidi="ar-EG"/>
        </w:rPr>
        <w:t xml:space="preserve">and </w:t>
      </w:r>
      <w:r w:rsidR="00A96190" w:rsidRPr="00C60369">
        <w:rPr>
          <w:rFonts w:ascii="Times New Roman" w:hAnsi="Times New Roman" w:cs="Times New Roman"/>
          <w:sz w:val="20"/>
          <w:szCs w:val="20"/>
          <w:lang w:bidi="ar-EG"/>
        </w:rPr>
        <w:t xml:space="preserve">Intensive Care </w:t>
      </w:r>
      <w:r w:rsidR="00251492" w:rsidRPr="00C60369">
        <w:rPr>
          <w:rFonts w:ascii="Times New Roman" w:hAnsi="Times New Roman" w:cs="Times New Roman"/>
          <w:sz w:val="20"/>
          <w:szCs w:val="20"/>
          <w:lang w:bidi="ar-EG"/>
        </w:rPr>
        <w:t>and Pain Management, Faculty of medicine</w:t>
      </w:r>
      <w:r w:rsidR="00E54E02" w:rsidRPr="00C60369">
        <w:rPr>
          <w:rFonts w:ascii="Times New Roman" w:hAnsi="Times New Roman" w:cs="Times New Roman"/>
          <w:sz w:val="20"/>
          <w:szCs w:val="20"/>
          <w:lang w:bidi="ar-EG"/>
        </w:rPr>
        <w:t>, Aim</w:t>
      </w:r>
      <w:r w:rsidR="00D67552" w:rsidRPr="00C60369">
        <w:rPr>
          <w:rFonts w:ascii="Times New Roman" w:hAnsi="Times New Roman" w:cs="Times New Roman"/>
          <w:sz w:val="20"/>
          <w:szCs w:val="20"/>
          <w:lang w:bidi="ar-EG"/>
        </w:rPr>
        <w:t xml:space="preserve"> </w:t>
      </w:r>
      <w:r w:rsidR="00251492" w:rsidRPr="00C60369">
        <w:rPr>
          <w:rFonts w:ascii="Times New Roman" w:hAnsi="Times New Roman" w:cs="Times New Roman"/>
          <w:sz w:val="20"/>
          <w:szCs w:val="20"/>
          <w:lang w:bidi="ar-EG"/>
        </w:rPr>
        <w:t>Shams University</w:t>
      </w:r>
      <w:r w:rsidR="00251492" w:rsidRPr="00C60369">
        <w:rPr>
          <w:rFonts w:ascii="Times New Roman" w:eastAsia="Times New Roman" w:hAnsi="Times New Roman" w:cs="Times New Roman"/>
          <w:sz w:val="20"/>
          <w:szCs w:val="20"/>
        </w:rPr>
        <w:t xml:space="preserve">, </w:t>
      </w:r>
      <w:r w:rsidR="00740856" w:rsidRPr="00C60369">
        <w:rPr>
          <w:rFonts w:ascii="Times New Roman" w:eastAsia="Times New Roman" w:hAnsi="Times New Roman" w:cs="Times New Roman"/>
          <w:sz w:val="20"/>
          <w:szCs w:val="20"/>
        </w:rPr>
        <w:t>Egypt</w:t>
      </w:r>
    </w:p>
    <w:p w:rsidR="00062324" w:rsidRPr="00C60369" w:rsidRDefault="00E9617C" w:rsidP="00567C4E">
      <w:pPr>
        <w:bidi w:val="0"/>
        <w:snapToGrid w:val="0"/>
        <w:spacing w:after="0" w:line="240" w:lineRule="auto"/>
        <w:jc w:val="center"/>
        <w:rPr>
          <w:rFonts w:ascii="Times New Roman" w:eastAsia="Times New Roman" w:hAnsi="Times New Roman" w:cs="Times New Roman"/>
          <w:sz w:val="20"/>
          <w:szCs w:val="20"/>
        </w:rPr>
      </w:pPr>
      <w:hyperlink r:id="rId8" w:history="1">
        <w:r w:rsidR="00740856" w:rsidRPr="00C60369">
          <w:rPr>
            <w:rStyle w:val="Hyperlink"/>
            <w:rFonts w:ascii="Times New Roman" w:eastAsia="Times New Roman" w:hAnsi="Times New Roman" w:cs="Times New Roman"/>
            <w:sz w:val="20"/>
            <w:szCs w:val="20"/>
            <w:u w:val="none"/>
          </w:rPr>
          <w:t>Drmahmoudomar25@gmail.com</w:t>
        </w:r>
      </w:hyperlink>
      <w:r w:rsidR="00740856" w:rsidRPr="00C60369">
        <w:rPr>
          <w:rFonts w:ascii="Times New Roman" w:eastAsia="Times New Roman" w:hAnsi="Times New Roman" w:cs="Times New Roman"/>
          <w:sz w:val="20"/>
          <w:szCs w:val="20"/>
        </w:rPr>
        <w:t xml:space="preserve"> </w:t>
      </w:r>
    </w:p>
    <w:p w:rsidR="00062324" w:rsidRPr="00C60369" w:rsidRDefault="00062324" w:rsidP="00567C4E">
      <w:pPr>
        <w:bidi w:val="0"/>
        <w:snapToGrid w:val="0"/>
        <w:spacing w:after="0" w:line="240" w:lineRule="auto"/>
        <w:jc w:val="center"/>
        <w:rPr>
          <w:rFonts w:ascii="Times New Roman" w:eastAsia="Times New Roman" w:hAnsi="Times New Roman" w:cs="Times New Roman"/>
          <w:sz w:val="20"/>
          <w:szCs w:val="20"/>
        </w:rPr>
      </w:pPr>
    </w:p>
    <w:p w:rsidR="00720D82" w:rsidRPr="00C60369" w:rsidRDefault="00CA08D7" w:rsidP="00C60369">
      <w:pPr>
        <w:pStyle w:val="NoSpacing"/>
        <w:snapToGrid w:val="0"/>
        <w:jc w:val="both"/>
        <w:rPr>
          <w:rFonts w:ascii="Times New Roman" w:hAnsi="Times New Roman" w:cs="Times New Roman"/>
          <w:sz w:val="20"/>
          <w:szCs w:val="20"/>
          <w:lang w:bidi="ar-EG"/>
        </w:rPr>
      </w:pPr>
      <w:r w:rsidRPr="00C60369">
        <w:rPr>
          <w:rFonts w:ascii="Times New Roman" w:eastAsia="Times New Roman" w:hAnsi="Times New Roman" w:cs="Times New Roman"/>
          <w:b/>
          <w:bCs/>
          <w:sz w:val="20"/>
          <w:szCs w:val="20"/>
        </w:rPr>
        <w:t>Abstract</w:t>
      </w:r>
      <w:r w:rsidR="00251492" w:rsidRPr="00C60369">
        <w:rPr>
          <w:rFonts w:ascii="Times New Roman" w:eastAsia="Times New Roman" w:hAnsi="Times New Roman" w:cs="Times New Roman"/>
          <w:b/>
          <w:bCs/>
          <w:sz w:val="20"/>
          <w:szCs w:val="20"/>
        </w:rPr>
        <w:t xml:space="preserve">: </w:t>
      </w:r>
      <w:r w:rsidR="002F0617" w:rsidRPr="00C60369">
        <w:rPr>
          <w:rFonts w:ascii="Times New Roman" w:eastAsia="Times New Roman" w:hAnsi="Times New Roman" w:cs="Times New Roman"/>
          <w:b/>
          <w:bCs/>
          <w:sz w:val="20"/>
          <w:szCs w:val="20"/>
        </w:rPr>
        <w:t xml:space="preserve">Background: </w:t>
      </w:r>
      <w:r w:rsidR="00DC6685" w:rsidRPr="00C60369">
        <w:rPr>
          <w:rFonts w:ascii="Times New Roman" w:eastAsia="Calibri" w:hAnsi="Times New Roman" w:cs="Times New Roman"/>
          <w:sz w:val="20"/>
          <w:szCs w:val="20"/>
        </w:rPr>
        <w:t>Acute kidney injury (AKI) is a common complication in the critically ill patients and associated with a substantial morbidity and mortality.</w:t>
      </w:r>
      <w:r w:rsidR="00DC6685" w:rsidRPr="00C60369">
        <w:rPr>
          <w:rFonts w:ascii="Times New Roman" w:eastAsia="Malgun Gothic" w:hAnsi="Times New Roman" w:cs="Times New Roman"/>
          <w:sz w:val="20"/>
          <w:szCs w:val="20"/>
        </w:rPr>
        <w:t xml:space="preserve"> Renal</w:t>
      </w:r>
      <w:r w:rsidR="005D2B60" w:rsidRPr="00C60369">
        <w:rPr>
          <w:rFonts w:ascii="Times New Roman" w:eastAsia="Malgun Gothic" w:hAnsi="Times New Roman" w:cs="Times New Roman"/>
          <w:sz w:val="20"/>
          <w:szCs w:val="20"/>
        </w:rPr>
        <w:t xml:space="preserve"> replacement therapy (RRT) remains the primary supportive management strategy for patients with severe </w:t>
      </w:r>
      <w:r w:rsidR="00251492" w:rsidRPr="00C60369">
        <w:rPr>
          <w:rFonts w:ascii="Times New Roman" w:eastAsia="Malgun Gothic" w:hAnsi="Times New Roman" w:cs="Times New Roman"/>
          <w:sz w:val="20"/>
          <w:szCs w:val="20"/>
        </w:rPr>
        <w:t>AKI.</w:t>
      </w:r>
      <w:r w:rsidR="000B3E3B" w:rsidRPr="00C60369">
        <w:rPr>
          <w:rFonts w:ascii="Times New Roman" w:hAnsi="Times New Roman" w:cs="Times New Roman"/>
          <w:sz w:val="20"/>
          <w:szCs w:val="20"/>
          <w:lang w:eastAsia="zh-CN"/>
        </w:rPr>
        <w:t xml:space="preserve"> </w:t>
      </w:r>
      <w:r w:rsidR="00251492" w:rsidRPr="00C60369">
        <w:rPr>
          <w:rFonts w:ascii="Times New Roman" w:eastAsia="Times New Roman" w:hAnsi="Times New Roman" w:cs="Times New Roman"/>
          <w:sz w:val="20"/>
          <w:szCs w:val="20"/>
        </w:rPr>
        <w:t>However;</w:t>
      </w:r>
      <w:r w:rsidR="00DC6685" w:rsidRPr="00C60369">
        <w:rPr>
          <w:rFonts w:ascii="Times New Roman" w:eastAsia="Times New Roman" w:hAnsi="Times New Roman" w:cs="Times New Roman"/>
          <w:sz w:val="20"/>
          <w:szCs w:val="20"/>
        </w:rPr>
        <w:t xml:space="preserve"> the exact timing of initiation of RRT for better patient outcome is still debatable with conflicting data from randomized controlled trials. Thus, a systematic review and meta-analysis was performed to assess the impact of “early” versus “late” initiation of RRT.</w:t>
      </w:r>
      <w:r w:rsidR="00251492" w:rsidRPr="00C60369">
        <w:rPr>
          <w:rFonts w:ascii="Times New Roman" w:eastAsia="Times New Roman" w:hAnsi="Times New Roman" w:cs="Times New Roman"/>
          <w:b/>
          <w:bCs/>
          <w:color w:val="000000"/>
          <w:sz w:val="20"/>
          <w:szCs w:val="20"/>
        </w:rPr>
        <w:t xml:space="preserve"> </w:t>
      </w:r>
      <w:r w:rsidR="002F0617" w:rsidRPr="00C60369">
        <w:rPr>
          <w:rFonts w:ascii="Times New Roman" w:eastAsia="Times New Roman" w:hAnsi="Times New Roman" w:cs="Times New Roman"/>
          <w:b/>
          <w:bCs/>
          <w:color w:val="000000"/>
          <w:sz w:val="20"/>
          <w:szCs w:val="20"/>
        </w:rPr>
        <w:t>Objectives:</w:t>
      </w:r>
      <w:r w:rsidR="00251492" w:rsidRPr="00C60369">
        <w:rPr>
          <w:rFonts w:ascii="Times New Roman" w:eastAsia="Times New Roman" w:hAnsi="Times New Roman" w:cs="Times New Roman"/>
          <w:color w:val="000000"/>
          <w:sz w:val="20"/>
          <w:szCs w:val="20"/>
        </w:rPr>
        <w:t xml:space="preserve"> </w:t>
      </w:r>
      <w:r w:rsidR="005D2B60" w:rsidRPr="00C60369">
        <w:rPr>
          <w:rFonts w:ascii="Times New Roman" w:eastAsia="Times New Roman" w:hAnsi="Times New Roman" w:cs="Times New Roman"/>
          <w:color w:val="000000"/>
          <w:sz w:val="20"/>
          <w:szCs w:val="20"/>
        </w:rPr>
        <w:t>To investigate the impact of timing of initiation of renal replacement therapy (RRT) on clinical outcomes in critically ill patients with acute kidney injury (AKI), focusing on the randomized controlled trials in this field.</w:t>
      </w:r>
      <w:r w:rsidR="00251492" w:rsidRPr="00C60369">
        <w:rPr>
          <w:rFonts w:ascii="Times New Roman" w:eastAsia="Times New Roman" w:hAnsi="Times New Roman" w:cs="Times New Roman"/>
          <w:b/>
          <w:bCs/>
          <w:color w:val="000000"/>
          <w:sz w:val="20"/>
          <w:szCs w:val="20"/>
        </w:rPr>
        <w:t xml:space="preserve"> </w:t>
      </w:r>
      <w:r w:rsidR="00350D39" w:rsidRPr="00C60369">
        <w:rPr>
          <w:rFonts w:ascii="Times New Roman" w:eastAsia="Times New Roman" w:hAnsi="Times New Roman" w:cs="Times New Roman"/>
          <w:b/>
          <w:bCs/>
          <w:color w:val="000000"/>
          <w:sz w:val="20"/>
          <w:szCs w:val="20"/>
        </w:rPr>
        <w:t>M</w:t>
      </w:r>
      <w:r w:rsidR="002F0617" w:rsidRPr="00C60369">
        <w:rPr>
          <w:rFonts w:ascii="Times New Roman" w:eastAsia="Times New Roman" w:hAnsi="Times New Roman" w:cs="Times New Roman"/>
          <w:b/>
          <w:bCs/>
          <w:color w:val="000000"/>
          <w:sz w:val="20"/>
          <w:szCs w:val="20"/>
        </w:rPr>
        <w:t>ethods</w:t>
      </w:r>
      <w:r w:rsidR="00251492" w:rsidRPr="00C60369">
        <w:rPr>
          <w:rFonts w:ascii="Times New Roman" w:eastAsia="Times New Roman" w:hAnsi="Times New Roman" w:cs="Times New Roman"/>
          <w:b/>
          <w:bCs/>
          <w:color w:val="000000"/>
          <w:sz w:val="20"/>
          <w:szCs w:val="20"/>
        </w:rPr>
        <w:t>:</w:t>
      </w:r>
      <w:r w:rsidR="00251492" w:rsidRPr="00C60369">
        <w:rPr>
          <w:rFonts w:ascii="Times New Roman" w:eastAsia="Times New Roman" w:hAnsi="Times New Roman" w:cs="Times New Roman"/>
          <w:color w:val="000000"/>
          <w:sz w:val="20"/>
          <w:szCs w:val="20"/>
        </w:rPr>
        <w:t xml:space="preserve"> We</w:t>
      </w:r>
      <w:r w:rsidR="005D2B60" w:rsidRPr="00C60369">
        <w:rPr>
          <w:rFonts w:ascii="Times New Roman" w:eastAsia="Times New Roman" w:hAnsi="Times New Roman" w:cs="Times New Roman"/>
          <w:color w:val="000000"/>
          <w:sz w:val="20"/>
          <w:szCs w:val="20"/>
        </w:rPr>
        <w:t xml:space="preserve"> enrolled 9 </w:t>
      </w:r>
      <w:proofErr w:type="spellStart"/>
      <w:r w:rsidR="005D2B60" w:rsidRPr="00C60369">
        <w:rPr>
          <w:rFonts w:ascii="Times New Roman" w:eastAsia="Times New Roman" w:hAnsi="Times New Roman" w:cs="Times New Roman"/>
          <w:color w:val="000000"/>
          <w:sz w:val="20"/>
          <w:szCs w:val="20"/>
        </w:rPr>
        <w:t>RCTs</w:t>
      </w:r>
      <w:proofErr w:type="spellEnd"/>
      <w:r w:rsidR="005D2B60" w:rsidRPr="00C60369">
        <w:rPr>
          <w:rFonts w:ascii="Times New Roman" w:eastAsia="Times New Roman" w:hAnsi="Times New Roman" w:cs="Times New Roman"/>
          <w:color w:val="000000"/>
          <w:sz w:val="20"/>
          <w:szCs w:val="20"/>
        </w:rPr>
        <w:t xml:space="preserve"> (since 2000 till 2019) with a total of 1636 patients in this Meta-analysis randomized as early and late groups focusing on mortality up to 90 days, intensive care unit LOS among survivors and non-survivors, hospital LOS among survivors and non-survivors, renal function recovery and renal replacement therapy dependence.</w:t>
      </w:r>
      <w:r w:rsidR="000B3E3B" w:rsidRPr="00C60369">
        <w:rPr>
          <w:rFonts w:ascii="Times New Roman" w:hAnsi="Times New Roman" w:cs="Times New Roman"/>
          <w:color w:val="000000"/>
          <w:sz w:val="20"/>
          <w:szCs w:val="20"/>
          <w:lang w:eastAsia="zh-CN"/>
        </w:rPr>
        <w:t xml:space="preserve"> </w:t>
      </w:r>
      <w:r w:rsidR="0071001A" w:rsidRPr="00C60369">
        <w:rPr>
          <w:rFonts w:ascii="Times New Roman" w:eastAsia="Times New Roman" w:hAnsi="Times New Roman" w:cs="Times New Roman"/>
          <w:color w:val="000000"/>
          <w:sz w:val="20"/>
          <w:szCs w:val="20"/>
        </w:rPr>
        <w:t xml:space="preserve">The most fundamental differences among the trials were the large differences concerning the timing of RRT initiation among studies. Urine output, serum </w:t>
      </w:r>
      <w:proofErr w:type="spellStart"/>
      <w:r w:rsidR="0071001A" w:rsidRPr="00C60369">
        <w:rPr>
          <w:rFonts w:ascii="Times New Roman" w:eastAsia="Times New Roman" w:hAnsi="Times New Roman" w:cs="Times New Roman"/>
          <w:color w:val="000000"/>
          <w:sz w:val="20"/>
          <w:szCs w:val="20"/>
        </w:rPr>
        <w:t>creatinine</w:t>
      </w:r>
      <w:proofErr w:type="spellEnd"/>
      <w:r w:rsidR="0071001A" w:rsidRPr="00C60369">
        <w:rPr>
          <w:rFonts w:ascii="Times New Roman" w:eastAsia="Times New Roman" w:hAnsi="Times New Roman" w:cs="Times New Roman"/>
          <w:color w:val="000000"/>
          <w:sz w:val="20"/>
          <w:szCs w:val="20"/>
        </w:rPr>
        <w:t>, serum urea nitrogen and AKI stages were not used unified in the individual studies to define the early and late RRT strategies.</w:t>
      </w:r>
      <w:r w:rsidR="00251492" w:rsidRPr="00C60369">
        <w:rPr>
          <w:rFonts w:ascii="Times New Roman" w:eastAsia="Times New Roman" w:hAnsi="Times New Roman" w:cs="Times New Roman"/>
          <w:b/>
          <w:bCs/>
          <w:color w:val="000000"/>
          <w:sz w:val="20"/>
          <w:szCs w:val="20"/>
        </w:rPr>
        <w:t xml:space="preserve"> </w:t>
      </w:r>
      <w:r w:rsidR="002F0617" w:rsidRPr="00C60369">
        <w:rPr>
          <w:rFonts w:ascii="Times New Roman" w:eastAsia="Times New Roman" w:hAnsi="Times New Roman" w:cs="Times New Roman"/>
          <w:b/>
          <w:bCs/>
          <w:color w:val="000000"/>
          <w:sz w:val="20"/>
          <w:szCs w:val="20"/>
        </w:rPr>
        <w:t>Results:</w:t>
      </w:r>
      <w:r w:rsidR="00251492" w:rsidRPr="00C60369">
        <w:rPr>
          <w:rFonts w:ascii="Times New Roman" w:eastAsia="Times New Roman" w:hAnsi="Times New Roman" w:cs="Times New Roman"/>
          <w:color w:val="000000"/>
          <w:sz w:val="20"/>
          <w:szCs w:val="20"/>
        </w:rPr>
        <w:t xml:space="preserve"> </w:t>
      </w:r>
      <w:r w:rsidR="00720D82" w:rsidRPr="00C60369">
        <w:rPr>
          <w:rFonts w:ascii="Times New Roman" w:eastAsia="Times New Roman" w:hAnsi="Times New Roman" w:cs="Times New Roman"/>
          <w:color w:val="000000"/>
          <w:sz w:val="20"/>
          <w:szCs w:val="20"/>
        </w:rPr>
        <w:t xml:space="preserve">A pooled analysis of the studies indicated no mortality benefit with “early” RRT, with an RR of 0.97 (95% CI 0.87 to 1.09, P = 0.010). There was no significant difference in intensive care unit (ICU) length of stay (LOS) or hospital LOS between the early and late RRT groups for survivors or non-survivors. Pooled analysis also demonstrated no significant change in renal function recovery (RR </w:t>
      </w:r>
      <w:r w:rsidR="0012453D" w:rsidRPr="00C60369">
        <w:rPr>
          <w:rFonts w:ascii="Times New Roman" w:eastAsia="Times New Roman" w:hAnsi="Times New Roman" w:cs="Times New Roman"/>
          <w:color w:val="000000"/>
          <w:sz w:val="20"/>
          <w:szCs w:val="20"/>
        </w:rPr>
        <w:t>0.99</w:t>
      </w:r>
      <w:r w:rsidR="00720D82" w:rsidRPr="00C60369">
        <w:rPr>
          <w:rFonts w:ascii="Times New Roman" w:eastAsia="Times New Roman" w:hAnsi="Times New Roman" w:cs="Times New Roman"/>
          <w:color w:val="000000"/>
          <w:sz w:val="20"/>
          <w:szCs w:val="20"/>
        </w:rPr>
        <w:t>, 95% CI 0.</w:t>
      </w:r>
      <w:r w:rsidR="0012453D" w:rsidRPr="00C60369">
        <w:rPr>
          <w:rFonts w:ascii="Times New Roman" w:eastAsia="Times New Roman" w:hAnsi="Times New Roman" w:cs="Times New Roman"/>
          <w:color w:val="000000"/>
          <w:sz w:val="20"/>
          <w:szCs w:val="20"/>
        </w:rPr>
        <w:t>91</w:t>
      </w:r>
      <w:r w:rsidR="00720D82" w:rsidRPr="00C60369">
        <w:rPr>
          <w:rFonts w:ascii="Times New Roman" w:eastAsia="Times New Roman" w:hAnsi="Times New Roman" w:cs="Times New Roman"/>
          <w:color w:val="000000"/>
          <w:sz w:val="20"/>
          <w:szCs w:val="20"/>
        </w:rPr>
        <w:t xml:space="preserve"> to 1.</w:t>
      </w:r>
      <w:r w:rsidR="0012453D" w:rsidRPr="00C60369">
        <w:rPr>
          <w:rFonts w:ascii="Times New Roman" w:eastAsia="Times New Roman" w:hAnsi="Times New Roman" w:cs="Times New Roman"/>
          <w:color w:val="000000"/>
          <w:sz w:val="20"/>
          <w:szCs w:val="20"/>
        </w:rPr>
        <w:t>07</w:t>
      </w:r>
      <w:r w:rsidR="00720D82" w:rsidRPr="00C60369">
        <w:rPr>
          <w:rFonts w:ascii="Times New Roman" w:eastAsia="Times New Roman" w:hAnsi="Times New Roman" w:cs="Times New Roman"/>
          <w:color w:val="000000"/>
          <w:sz w:val="20"/>
          <w:szCs w:val="20"/>
        </w:rPr>
        <w:t>, I2 = 5</w:t>
      </w:r>
      <w:r w:rsidR="0012453D" w:rsidRPr="00C60369">
        <w:rPr>
          <w:rFonts w:ascii="Times New Roman" w:eastAsia="Times New Roman" w:hAnsi="Times New Roman" w:cs="Times New Roman"/>
          <w:color w:val="000000"/>
          <w:sz w:val="20"/>
          <w:szCs w:val="20"/>
        </w:rPr>
        <w:t>8.878</w:t>
      </w:r>
      <w:r w:rsidR="00720D82" w:rsidRPr="00C60369">
        <w:rPr>
          <w:rFonts w:ascii="Times New Roman" w:eastAsia="Times New Roman" w:hAnsi="Times New Roman" w:cs="Times New Roman"/>
          <w:color w:val="000000"/>
          <w:sz w:val="20"/>
          <w:szCs w:val="20"/>
        </w:rPr>
        <w:t>%), RRT dependence</w:t>
      </w:r>
      <w:r w:rsidR="0012453D" w:rsidRPr="00C60369">
        <w:rPr>
          <w:rFonts w:ascii="Times New Roman" w:eastAsia="Times New Roman" w:hAnsi="Times New Roman" w:cs="Times New Roman"/>
          <w:color w:val="000000"/>
          <w:sz w:val="20"/>
          <w:szCs w:val="20"/>
        </w:rPr>
        <w:t xml:space="preserve"> (RR 0.76, 95% CI 0.42 to 1.37</w:t>
      </w:r>
      <w:r w:rsidR="000D4D3D" w:rsidRPr="00C60369">
        <w:rPr>
          <w:rFonts w:ascii="Times New Roman" w:eastAsia="Times New Roman" w:hAnsi="Times New Roman" w:cs="Times New Roman"/>
          <w:color w:val="000000"/>
          <w:sz w:val="20"/>
          <w:szCs w:val="20"/>
        </w:rPr>
        <w:t>, I2</w:t>
      </w:r>
      <w:r w:rsidR="00720D82" w:rsidRPr="00C60369">
        <w:rPr>
          <w:rFonts w:ascii="Times New Roman" w:eastAsia="Times New Roman" w:hAnsi="Times New Roman" w:cs="Times New Roman"/>
          <w:color w:val="000000"/>
          <w:sz w:val="20"/>
          <w:szCs w:val="20"/>
        </w:rPr>
        <w:t xml:space="preserve"> = 0%).</w:t>
      </w:r>
      <w:r w:rsidR="000B3E3B" w:rsidRPr="00C60369">
        <w:rPr>
          <w:rFonts w:ascii="Times New Roman" w:hAnsi="Times New Roman" w:cs="Times New Roman"/>
          <w:color w:val="000000"/>
          <w:sz w:val="20"/>
          <w:szCs w:val="20"/>
          <w:lang w:eastAsia="zh-CN"/>
        </w:rPr>
        <w:t xml:space="preserve"> </w:t>
      </w:r>
      <w:r w:rsidR="004F20D3" w:rsidRPr="00C60369">
        <w:rPr>
          <w:rFonts w:ascii="Times New Roman" w:hAnsi="Times New Roman" w:cs="Times New Roman"/>
          <w:b/>
          <w:bCs/>
          <w:sz w:val="20"/>
          <w:szCs w:val="20"/>
          <w:lang w:bidi="ar-EG"/>
        </w:rPr>
        <w:t>Conclusion</w:t>
      </w:r>
      <w:r w:rsidR="004F20D3" w:rsidRPr="00C60369">
        <w:rPr>
          <w:rFonts w:ascii="Times New Roman" w:hAnsi="Times New Roman" w:cs="Times New Roman"/>
          <w:sz w:val="20"/>
          <w:szCs w:val="20"/>
          <w:lang w:bidi="ar-EG"/>
        </w:rPr>
        <w:t>:</w:t>
      </w:r>
      <w:r w:rsidR="00251492" w:rsidRPr="00C60369">
        <w:rPr>
          <w:rFonts w:ascii="Times New Roman" w:hAnsi="Times New Roman" w:cs="Times New Roman"/>
          <w:sz w:val="20"/>
          <w:szCs w:val="20"/>
          <w:lang w:bidi="ar-EG"/>
        </w:rPr>
        <w:t xml:space="preserve"> </w:t>
      </w:r>
      <w:r w:rsidR="00720D82" w:rsidRPr="00C60369">
        <w:rPr>
          <w:rFonts w:ascii="Times New Roman" w:hAnsi="Times New Roman" w:cs="Times New Roman"/>
          <w:sz w:val="20"/>
          <w:szCs w:val="20"/>
          <w:lang w:bidi="ar-EG"/>
        </w:rPr>
        <w:t>Our meta-analysis revealed that the “early” initiation of RRT in critically ill patients did not result in a reduced Mortality. A pooled analysis of secondary outcomes Showed no significant difference in Intensive care unit</w:t>
      </w:r>
      <w:r w:rsidR="00062324" w:rsidRPr="00C60369">
        <w:rPr>
          <w:rFonts w:ascii="Times New Roman" w:hAnsi="Times New Roman" w:cs="Times New Roman"/>
          <w:sz w:val="20"/>
          <w:szCs w:val="20"/>
          <w:lang w:bidi="ar-EG"/>
        </w:rPr>
        <w:t xml:space="preserve"> </w:t>
      </w:r>
      <w:r w:rsidR="00720D82" w:rsidRPr="00C60369">
        <w:rPr>
          <w:rFonts w:ascii="Times New Roman" w:hAnsi="Times New Roman" w:cs="Times New Roman"/>
          <w:sz w:val="20"/>
          <w:szCs w:val="20"/>
          <w:lang w:bidi="ar-EG"/>
        </w:rPr>
        <w:t>Length of stay (LOS) or hospital Length of sta</w:t>
      </w:r>
      <w:r w:rsidR="00062324" w:rsidRPr="00C60369">
        <w:rPr>
          <w:rFonts w:ascii="Times New Roman" w:hAnsi="Times New Roman" w:cs="Times New Roman"/>
          <w:sz w:val="20"/>
          <w:szCs w:val="20"/>
          <w:lang w:bidi="ar-EG"/>
        </w:rPr>
        <w:t>y (</w:t>
      </w:r>
      <w:r w:rsidR="00720D82" w:rsidRPr="00C60369">
        <w:rPr>
          <w:rFonts w:ascii="Times New Roman" w:hAnsi="Times New Roman" w:cs="Times New Roman"/>
          <w:sz w:val="20"/>
          <w:szCs w:val="20"/>
          <w:lang w:bidi="ar-EG"/>
        </w:rPr>
        <w:t>LOS) between early and late RRT group for survivors or non- survivors.</w:t>
      </w:r>
      <w:r w:rsidR="00C60369" w:rsidRPr="00C60369">
        <w:rPr>
          <w:rFonts w:ascii="Times New Roman" w:hAnsi="Times New Roman" w:cs="Times New Roman" w:hint="eastAsia"/>
          <w:sz w:val="20"/>
          <w:szCs w:val="20"/>
          <w:lang w:eastAsia="zh-CN" w:bidi="ar-EG"/>
        </w:rPr>
        <w:t xml:space="preserve"> </w:t>
      </w:r>
      <w:r w:rsidR="00720D82" w:rsidRPr="00C60369">
        <w:rPr>
          <w:rFonts w:ascii="Times New Roman" w:hAnsi="Times New Roman" w:cs="Times New Roman"/>
          <w:sz w:val="20"/>
          <w:szCs w:val="20"/>
          <w:lang w:bidi="ar-EG"/>
        </w:rPr>
        <w:t>A pooled analysis also demonstrated no significant change in renal function recovery and RRT dependence.</w:t>
      </w:r>
    </w:p>
    <w:p w:rsidR="00567C4E" w:rsidRPr="00C60369" w:rsidRDefault="00567C4E" w:rsidP="00567C4E">
      <w:pPr>
        <w:bidi w:val="0"/>
        <w:snapToGrid w:val="0"/>
        <w:spacing w:after="0" w:line="240" w:lineRule="auto"/>
        <w:jc w:val="both"/>
        <w:rPr>
          <w:rFonts w:ascii="Times New Roman" w:hAnsi="Times New Roman" w:cs="Times New Roman"/>
          <w:sz w:val="20"/>
          <w:szCs w:val="20"/>
          <w:lang w:eastAsia="zh-CN" w:bidi="ar-EG"/>
        </w:rPr>
      </w:pPr>
      <w:r w:rsidRPr="00C60369">
        <w:rPr>
          <w:rFonts w:ascii="Times New Roman" w:hAnsi="Times New Roman" w:cs="Times New Roman"/>
          <w:bCs/>
          <w:sz w:val="20"/>
          <w:szCs w:val="20"/>
        </w:rPr>
        <w:t>[</w:t>
      </w:r>
      <w:r w:rsidRPr="00C60369">
        <w:rPr>
          <w:rFonts w:ascii="Times New Roman" w:hAnsi="Times New Roman" w:cs="Times New Roman"/>
          <w:sz w:val="20"/>
          <w:szCs w:val="20"/>
          <w:lang w:bidi="ar-EG"/>
        </w:rPr>
        <w:t xml:space="preserve">Ahmed </w:t>
      </w:r>
      <w:proofErr w:type="spellStart"/>
      <w:r w:rsidRPr="00C60369">
        <w:rPr>
          <w:rFonts w:ascii="Times New Roman" w:hAnsi="Times New Roman" w:cs="Times New Roman"/>
          <w:sz w:val="20"/>
          <w:szCs w:val="20"/>
          <w:lang w:bidi="ar-EG"/>
        </w:rPr>
        <w:t>Elshaer</w:t>
      </w:r>
      <w:proofErr w:type="spellEnd"/>
      <w:r w:rsidRPr="00C60369">
        <w:rPr>
          <w:rFonts w:ascii="Times New Roman" w:hAnsi="Times New Roman" w:cs="Times New Roman"/>
          <w:sz w:val="20"/>
          <w:szCs w:val="20"/>
          <w:lang w:bidi="ar-EG"/>
        </w:rPr>
        <w:t xml:space="preserve">, </w:t>
      </w:r>
      <w:proofErr w:type="spellStart"/>
      <w:r w:rsidRPr="00C60369">
        <w:rPr>
          <w:rFonts w:ascii="Times New Roman" w:hAnsi="Times New Roman" w:cs="Times New Roman"/>
          <w:sz w:val="20"/>
          <w:szCs w:val="20"/>
          <w:lang w:bidi="ar-EG"/>
        </w:rPr>
        <w:t>Rania</w:t>
      </w:r>
      <w:proofErr w:type="spellEnd"/>
      <w:r w:rsidRPr="00C60369">
        <w:rPr>
          <w:rFonts w:ascii="Times New Roman" w:hAnsi="Times New Roman" w:cs="Times New Roman"/>
          <w:sz w:val="20"/>
          <w:szCs w:val="20"/>
          <w:lang w:bidi="ar-EG"/>
        </w:rPr>
        <w:t xml:space="preserve"> </w:t>
      </w:r>
      <w:proofErr w:type="spellStart"/>
      <w:r w:rsidRPr="00C60369">
        <w:rPr>
          <w:rFonts w:ascii="Times New Roman" w:hAnsi="Times New Roman" w:cs="Times New Roman"/>
          <w:sz w:val="20"/>
          <w:szCs w:val="20"/>
          <w:lang w:bidi="ar-EG"/>
        </w:rPr>
        <w:t>Magdy</w:t>
      </w:r>
      <w:proofErr w:type="spellEnd"/>
      <w:r w:rsidRPr="00C60369">
        <w:rPr>
          <w:rFonts w:ascii="Times New Roman" w:hAnsi="Times New Roman" w:cs="Times New Roman"/>
          <w:sz w:val="20"/>
          <w:szCs w:val="20"/>
          <w:lang w:bidi="ar-EG"/>
        </w:rPr>
        <w:t xml:space="preserve"> Mohamed, </w:t>
      </w:r>
      <w:proofErr w:type="spellStart"/>
      <w:r w:rsidRPr="00C60369">
        <w:rPr>
          <w:rFonts w:ascii="Times New Roman" w:hAnsi="Times New Roman" w:cs="Times New Roman"/>
          <w:sz w:val="20"/>
          <w:szCs w:val="20"/>
          <w:lang w:bidi="ar-EG"/>
        </w:rPr>
        <w:t>Hany</w:t>
      </w:r>
      <w:proofErr w:type="spellEnd"/>
      <w:r w:rsidRPr="00C60369">
        <w:rPr>
          <w:rFonts w:ascii="Times New Roman" w:hAnsi="Times New Roman" w:cs="Times New Roman"/>
          <w:sz w:val="20"/>
          <w:szCs w:val="20"/>
          <w:lang w:bidi="ar-EG"/>
        </w:rPr>
        <w:t xml:space="preserve"> </w:t>
      </w:r>
      <w:proofErr w:type="spellStart"/>
      <w:r w:rsidRPr="00C60369">
        <w:rPr>
          <w:rFonts w:ascii="Times New Roman" w:hAnsi="Times New Roman" w:cs="Times New Roman"/>
          <w:sz w:val="20"/>
          <w:szCs w:val="20"/>
          <w:lang w:bidi="ar-EG"/>
        </w:rPr>
        <w:t>Magdy</w:t>
      </w:r>
      <w:proofErr w:type="spellEnd"/>
      <w:r w:rsidRPr="00C60369">
        <w:rPr>
          <w:rFonts w:ascii="Times New Roman" w:hAnsi="Times New Roman" w:cs="Times New Roman"/>
          <w:sz w:val="20"/>
          <w:szCs w:val="20"/>
          <w:lang w:bidi="ar-EG"/>
        </w:rPr>
        <w:t xml:space="preserve"> </w:t>
      </w:r>
      <w:proofErr w:type="spellStart"/>
      <w:r w:rsidRPr="00C60369">
        <w:rPr>
          <w:rFonts w:ascii="Times New Roman" w:hAnsi="Times New Roman" w:cs="Times New Roman"/>
          <w:sz w:val="20"/>
          <w:szCs w:val="20"/>
          <w:lang w:bidi="ar-EG"/>
        </w:rPr>
        <w:t>Fahim</w:t>
      </w:r>
      <w:proofErr w:type="spellEnd"/>
      <w:r w:rsidRPr="00C60369">
        <w:rPr>
          <w:rFonts w:ascii="Times New Roman" w:hAnsi="Times New Roman" w:cs="Times New Roman"/>
          <w:sz w:val="20"/>
          <w:szCs w:val="20"/>
          <w:lang w:bidi="ar-EG"/>
        </w:rPr>
        <w:t xml:space="preserve">, </w:t>
      </w:r>
      <w:proofErr w:type="spellStart"/>
      <w:r w:rsidRPr="00C60369">
        <w:rPr>
          <w:rFonts w:ascii="Times New Roman" w:hAnsi="Times New Roman" w:cs="Times New Roman"/>
          <w:sz w:val="20"/>
          <w:szCs w:val="20"/>
          <w:lang w:bidi="ar-EG"/>
        </w:rPr>
        <w:t>Mahmoud</w:t>
      </w:r>
      <w:proofErr w:type="spellEnd"/>
      <w:r w:rsidRPr="00C60369">
        <w:rPr>
          <w:rFonts w:ascii="Times New Roman" w:hAnsi="Times New Roman" w:cs="Times New Roman"/>
          <w:sz w:val="20"/>
          <w:szCs w:val="20"/>
          <w:lang w:bidi="ar-EG"/>
        </w:rPr>
        <w:t xml:space="preserve"> Omar</w:t>
      </w:r>
      <w:r w:rsidRPr="00C60369">
        <w:rPr>
          <w:rFonts w:ascii="Times New Roman" w:hAnsi="Times New Roman" w:cs="Times New Roman"/>
          <w:sz w:val="20"/>
          <w:szCs w:val="20"/>
        </w:rPr>
        <w:t>.</w:t>
      </w:r>
      <w:r w:rsidRPr="00C60369">
        <w:rPr>
          <w:rFonts w:ascii="Times New Roman" w:hAnsi="Times New Roman" w:cs="Times New Roman"/>
          <w:b/>
          <w:bCs/>
          <w:sz w:val="20"/>
          <w:szCs w:val="20"/>
          <w:lang w:bidi="fa-IR"/>
        </w:rPr>
        <w:t xml:space="preserve"> </w:t>
      </w:r>
      <w:r w:rsidRPr="00C60369">
        <w:rPr>
          <w:rFonts w:ascii="Times New Roman" w:hAnsi="Times New Roman" w:cs="Times New Roman"/>
          <w:b/>
          <w:bCs/>
          <w:sz w:val="20"/>
          <w:szCs w:val="20"/>
          <w:lang w:bidi="ar-EG"/>
        </w:rPr>
        <w:t>The impact of timing of renal replacement therapy on the outcome of acute kidney injury in critically ill patient: a meta-analysis</w:t>
      </w:r>
      <w:r w:rsidRPr="00C60369">
        <w:rPr>
          <w:rFonts w:ascii="Times New Roman" w:eastAsia="Times New Roman" w:hAnsi="Times New Roman" w:cs="Times New Roman"/>
          <w:b/>
          <w:bCs/>
          <w:sz w:val="20"/>
          <w:szCs w:val="20"/>
          <w:lang w:bidi="fa-IR"/>
        </w:rPr>
        <w:t>.</w:t>
      </w:r>
      <w:r w:rsidRPr="00C60369">
        <w:rPr>
          <w:rFonts w:ascii="Times New Roman" w:hAnsi="Times New Roman" w:cs="Times New Roman"/>
          <w:bCs/>
          <w:i/>
          <w:sz w:val="20"/>
          <w:szCs w:val="20"/>
        </w:rPr>
        <w:t xml:space="preserve"> N Y </w:t>
      </w:r>
      <w:proofErr w:type="spellStart"/>
      <w:r w:rsidRPr="00C60369">
        <w:rPr>
          <w:rFonts w:ascii="Times New Roman" w:hAnsi="Times New Roman" w:cs="Times New Roman"/>
          <w:bCs/>
          <w:i/>
          <w:sz w:val="20"/>
          <w:szCs w:val="20"/>
        </w:rPr>
        <w:t>Sci</w:t>
      </w:r>
      <w:proofErr w:type="spellEnd"/>
      <w:r w:rsidRPr="00C60369">
        <w:rPr>
          <w:rFonts w:ascii="Times New Roman" w:hAnsi="Times New Roman" w:cs="Times New Roman"/>
          <w:bCs/>
          <w:i/>
          <w:sz w:val="20"/>
          <w:szCs w:val="20"/>
        </w:rPr>
        <w:t xml:space="preserve"> J</w:t>
      </w:r>
      <w:r w:rsidRPr="00C60369">
        <w:rPr>
          <w:rFonts w:ascii="Times New Roman" w:hAnsi="Times New Roman" w:cs="Times New Roman"/>
          <w:bCs/>
          <w:sz w:val="20"/>
          <w:szCs w:val="20"/>
        </w:rPr>
        <w:t xml:space="preserve"> </w:t>
      </w:r>
      <w:r w:rsidRPr="00C60369">
        <w:rPr>
          <w:rFonts w:ascii="Times New Roman" w:hAnsi="Times New Roman" w:cs="Times New Roman"/>
          <w:sz w:val="20"/>
          <w:szCs w:val="20"/>
        </w:rPr>
        <w:t>2019;12(8):</w:t>
      </w:r>
      <w:r w:rsidR="00330F73" w:rsidRPr="00C60369">
        <w:rPr>
          <w:rFonts w:ascii="Times New Roman" w:hAnsi="Times New Roman" w:cs="Times New Roman"/>
          <w:noProof/>
          <w:color w:val="000000"/>
          <w:sz w:val="20"/>
          <w:szCs w:val="20"/>
        </w:rPr>
        <w:t>7-1</w:t>
      </w:r>
      <w:r w:rsidR="00C60369">
        <w:rPr>
          <w:rFonts w:ascii="Times New Roman" w:hAnsi="Times New Roman" w:cs="Times New Roman" w:hint="eastAsia"/>
          <w:noProof/>
          <w:color w:val="000000"/>
          <w:sz w:val="20"/>
          <w:szCs w:val="20"/>
          <w:lang w:eastAsia="zh-CN"/>
        </w:rPr>
        <w:t>8</w:t>
      </w:r>
      <w:r w:rsidRPr="00C60369">
        <w:rPr>
          <w:rFonts w:ascii="Times New Roman" w:hAnsi="Times New Roman" w:cs="Times New Roman"/>
          <w:sz w:val="20"/>
          <w:szCs w:val="20"/>
        </w:rPr>
        <w:t xml:space="preserve">]. </w:t>
      </w:r>
      <w:r w:rsidRPr="00C60369">
        <w:rPr>
          <w:rFonts w:ascii="Times New Roman" w:hAnsi="Times New Roman" w:cs="Times New Roman"/>
          <w:iCs/>
          <w:color w:val="000000"/>
          <w:sz w:val="20"/>
          <w:szCs w:val="20"/>
        </w:rPr>
        <w:t>ISSN 1554-0200 (print); ISSN 2375-723X (online)</w:t>
      </w:r>
      <w:r w:rsidRPr="00C60369">
        <w:rPr>
          <w:rFonts w:ascii="Times New Roman" w:hAnsi="Times New Roman" w:cs="Times New Roman"/>
          <w:sz w:val="20"/>
          <w:szCs w:val="20"/>
        </w:rPr>
        <w:t xml:space="preserve">. </w:t>
      </w:r>
      <w:hyperlink r:id="rId9" w:history="1">
        <w:r w:rsidRPr="00C60369">
          <w:rPr>
            <w:rStyle w:val="Hyperlink"/>
            <w:rFonts w:ascii="Times New Roman" w:hAnsi="Times New Roman" w:cs="Times New Roman"/>
            <w:color w:val="0000FF"/>
            <w:sz w:val="20"/>
            <w:szCs w:val="20"/>
          </w:rPr>
          <w:t>http://www.sciencepub.net/newyork</w:t>
        </w:r>
      </w:hyperlink>
      <w:r w:rsidRPr="00C60369">
        <w:rPr>
          <w:rFonts w:ascii="Times New Roman" w:hAnsi="Times New Roman" w:cs="Times New Roman"/>
          <w:sz w:val="20"/>
          <w:szCs w:val="20"/>
        </w:rPr>
        <w:t xml:space="preserve">. </w:t>
      </w:r>
      <w:r w:rsidRPr="00C60369">
        <w:rPr>
          <w:rFonts w:ascii="Times New Roman" w:hAnsi="Times New Roman" w:cs="Times New Roman"/>
          <w:sz w:val="20"/>
          <w:szCs w:val="20"/>
          <w:lang w:eastAsia="zh-CN"/>
        </w:rPr>
        <w:t>2</w:t>
      </w:r>
      <w:r w:rsidRPr="00C60369">
        <w:rPr>
          <w:rFonts w:ascii="Times New Roman" w:hAnsi="Times New Roman" w:cs="Times New Roman"/>
          <w:sz w:val="20"/>
          <w:szCs w:val="20"/>
        </w:rPr>
        <w:t xml:space="preserve">. </w:t>
      </w:r>
      <w:r w:rsidRPr="00C60369">
        <w:rPr>
          <w:rFonts w:ascii="Times New Roman" w:hAnsi="Times New Roman" w:cs="Times New Roman"/>
          <w:color w:val="000000"/>
          <w:sz w:val="20"/>
          <w:szCs w:val="20"/>
          <w:shd w:val="clear" w:color="auto" w:fill="FFFFFF"/>
        </w:rPr>
        <w:t>doi:</w:t>
      </w:r>
      <w:hyperlink r:id="rId10" w:history="1">
        <w:r w:rsidRPr="00C60369">
          <w:rPr>
            <w:rStyle w:val="Hyperlink"/>
            <w:rFonts w:ascii="Times New Roman" w:hAnsi="Times New Roman" w:cs="Times New Roman"/>
            <w:color w:val="0000FF"/>
            <w:sz w:val="20"/>
            <w:szCs w:val="20"/>
            <w:shd w:val="clear" w:color="auto" w:fill="FFFFFF"/>
          </w:rPr>
          <w:t>10.7537/marsnys120819.0</w:t>
        </w:r>
        <w:r w:rsidRPr="00C60369">
          <w:rPr>
            <w:rStyle w:val="Hyperlink"/>
            <w:rFonts w:ascii="Times New Roman" w:hAnsi="Times New Roman" w:cs="Times New Roman"/>
            <w:color w:val="0000FF"/>
            <w:sz w:val="20"/>
            <w:szCs w:val="20"/>
            <w:shd w:val="clear" w:color="auto" w:fill="FFFFFF"/>
            <w:lang w:eastAsia="zh-CN"/>
          </w:rPr>
          <w:t>2</w:t>
        </w:r>
      </w:hyperlink>
      <w:r w:rsidRPr="00C60369">
        <w:rPr>
          <w:rFonts w:ascii="Times New Roman" w:hAnsi="Times New Roman" w:cs="Times New Roman"/>
          <w:color w:val="000000"/>
          <w:sz w:val="20"/>
          <w:szCs w:val="20"/>
          <w:shd w:val="clear" w:color="auto" w:fill="FFFFFF"/>
        </w:rPr>
        <w:t>.</w:t>
      </w:r>
    </w:p>
    <w:p w:rsidR="00E54E02" w:rsidRPr="00C60369" w:rsidRDefault="00E54E02" w:rsidP="00567C4E">
      <w:pPr>
        <w:bidi w:val="0"/>
        <w:snapToGrid w:val="0"/>
        <w:spacing w:after="0" w:line="240" w:lineRule="auto"/>
        <w:jc w:val="both"/>
        <w:rPr>
          <w:rFonts w:ascii="Times New Roman" w:eastAsia="Calibri" w:hAnsi="Times New Roman" w:cs="Times New Roman"/>
          <w:b/>
          <w:bCs/>
          <w:sz w:val="20"/>
          <w:szCs w:val="20"/>
          <w:lang w:bidi="ar-EG"/>
        </w:rPr>
      </w:pPr>
    </w:p>
    <w:p w:rsidR="00DC493E" w:rsidRPr="00C60369" w:rsidRDefault="00D10409" w:rsidP="00567C4E">
      <w:pPr>
        <w:bidi w:val="0"/>
        <w:snapToGrid w:val="0"/>
        <w:spacing w:after="0" w:line="240" w:lineRule="auto"/>
        <w:jc w:val="both"/>
        <w:rPr>
          <w:rFonts w:ascii="Times New Roman" w:eastAsia="Calibri" w:hAnsi="Times New Roman" w:cs="Times New Roman"/>
          <w:b/>
          <w:bCs/>
          <w:iCs/>
          <w:sz w:val="20"/>
          <w:szCs w:val="20"/>
          <w:lang w:bidi="ar-EG"/>
        </w:rPr>
      </w:pPr>
      <w:r w:rsidRPr="00C60369">
        <w:rPr>
          <w:rFonts w:ascii="Times New Roman" w:eastAsia="Calibri" w:hAnsi="Times New Roman" w:cs="Times New Roman"/>
          <w:b/>
          <w:bCs/>
          <w:sz w:val="20"/>
          <w:szCs w:val="20"/>
          <w:lang w:bidi="ar-EG"/>
        </w:rPr>
        <w:t xml:space="preserve">Key Words: </w:t>
      </w:r>
      <w:r w:rsidR="00720D82" w:rsidRPr="00C60369">
        <w:rPr>
          <w:rFonts w:ascii="Times New Roman" w:eastAsia="Calibri" w:hAnsi="Times New Roman" w:cs="Times New Roman"/>
          <w:sz w:val="20"/>
          <w:szCs w:val="20"/>
          <w:lang w:bidi="ar-EG"/>
        </w:rPr>
        <w:t>Acute kidney injury, renal replacement therapy</w:t>
      </w:r>
      <w:r w:rsidRPr="00C60369">
        <w:rPr>
          <w:rFonts w:ascii="Times New Roman" w:eastAsia="Calibri" w:hAnsi="Times New Roman" w:cs="Times New Roman"/>
          <w:sz w:val="20"/>
          <w:szCs w:val="20"/>
          <w:lang w:bidi="ar-EG"/>
        </w:rPr>
        <w:t xml:space="preserve">, </w:t>
      </w:r>
      <w:r w:rsidR="00720D82" w:rsidRPr="00C60369">
        <w:rPr>
          <w:rFonts w:ascii="Times New Roman" w:eastAsia="Calibri" w:hAnsi="Times New Roman" w:cs="Times New Roman"/>
          <w:sz w:val="20"/>
          <w:szCs w:val="20"/>
          <w:lang w:bidi="ar-EG"/>
        </w:rPr>
        <w:t>Length of stay</w:t>
      </w:r>
    </w:p>
    <w:p w:rsidR="00DC493E" w:rsidRPr="00C60369" w:rsidRDefault="00DC493E" w:rsidP="00567C4E">
      <w:pPr>
        <w:bidi w:val="0"/>
        <w:snapToGrid w:val="0"/>
        <w:spacing w:after="0" w:line="240" w:lineRule="auto"/>
        <w:jc w:val="both"/>
        <w:rPr>
          <w:rFonts w:ascii="Times New Roman" w:eastAsia="Calibri" w:hAnsi="Times New Roman" w:cs="Times New Roman"/>
          <w:b/>
          <w:bCs/>
          <w:iCs/>
          <w:sz w:val="20"/>
          <w:szCs w:val="20"/>
          <w:lang w:bidi="ar-EG"/>
        </w:rPr>
      </w:pPr>
    </w:p>
    <w:p w:rsidR="00567C4E" w:rsidRPr="00C60369" w:rsidRDefault="00567C4E" w:rsidP="00567C4E">
      <w:pPr>
        <w:bidi w:val="0"/>
        <w:snapToGrid w:val="0"/>
        <w:spacing w:after="0" w:line="240" w:lineRule="auto"/>
        <w:jc w:val="both"/>
        <w:rPr>
          <w:rFonts w:ascii="Times New Roman" w:eastAsia="Calibri" w:hAnsi="Times New Roman" w:cs="Times New Roman"/>
          <w:b/>
          <w:bCs/>
          <w:iCs/>
          <w:sz w:val="20"/>
          <w:szCs w:val="20"/>
          <w:lang w:bidi="ar-EG"/>
        </w:rPr>
        <w:sectPr w:rsidR="00567C4E" w:rsidRPr="00C60369" w:rsidSect="00330F73">
          <w:headerReference w:type="default" r:id="rId11"/>
          <w:footerReference w:type="default" r:id="rId12"/>
          <w:type w:val="continuous"/>
          <w:pgSz w:w="12240" w:h="15840"/>
          <w:pgMar w:top="1440" w:right="1440" w:bottom="1440" w:left="1440" w:header="720" w:footer="720" w:gutter="0"/>
          <w:pgNumType w:start="7"/>
          <w:cols w:space="720"/>
          <w:rtlGutter/>
          <w:docGrid w:linePitch="360"/>
        </w:sectPr>
      </w:pPr>
    </w:p>
    <w:p w:rsidR="00D10409" w:rsidRPr="00C60369" w:rsidRDefault="00251492" w:rsidP="00567C4E">
      <w:pPr>
        <w:bidi w:val="0"/>
        <w:snapToGrid w:val="0"/>
        <w:spacing w:after="0" w:line="240" w:lineRule="auto"/>
        <w:jc w:val="both"/>
        <w:rPr>
          <w:rFonts w:ascii="Times New Roman" w:hAnsi="Times New Roman" w:cs="Times New Roman"/>
          <w:sz w:val="20"/>
          <w:szCs w:val="20"/>
          <w:lang w:bidi="ar-EG"/>
        </w:rPr>
      </w:pPr>
      <w:r w:rsidRPr="00C60369">
        <w:rPr>
          <w:rFonts w:ascii="Times New Roman" w:eastAsia="Calibri" w:hAnsi="Times New Roman" w:cs="Times New Roman"/>
          <w:b/>
          <w:bCs/>
          <w:iCs/>
          <w:sz w:val="20"/>
          <w:szCs w:val="20"/>
          <w:lang w:bidi="ar-EG"/>
        </w:rPr>
        <w:lastRenderedPageBreak/>
        <w:t xml:space="preserve">1. </w:t>
      </w:r>
      <w:r w:rsidR="00A42E17" w:rsidRPr="00C60369">
        <w:rPr>
          <w:rFonts w:ascii="Times New Roman" w:eastAsia="Calibri" w:hAnsi="Times New Roman" w:cs="Times New Roman"/>
          <w:b/>
          <w:bCs/>
          <w:iCs/>
          <w:sz w:val="20"/>
          <w:szCs w:val="20"/>
          <w:lang w:bidi="ar-EG"/>
        </w:rPr>
        <w:t>Introduction:</w:t>
      </w:r>
    </w:p>
    <w:p w:rsidR="00062324" w:rsidRPr="00C60369" w:rsidRDefault="00DC6685" w:rsidP="00567C4E">
      <w:pPr>
        <w:pStyle w:val="Default"/>
        <w:snapToGrid w:val="0"/>
        <w:ind w:firstLine="425"/>
        <w:jc w:val="both"/>
        <w:rPr>
          <w:rFonts w:eastAsia="Calibri"/>
          <w:bCs/>
          <w:iCs/>
          <w:sz w:val="20"/>
          <w:szCs w:val="20"/>
        </w:rPr>
      </w:pPr>
      <w:r w:rsidRPr="00C60369">
        <w:rPr>
          <w:rFonts w:eastAsia="Calibri"/>
          <w:bCs/>
          <w:iCs/>
          <w:sz w:val="20"/>
          <w:szCs w:val="20"/>
        </w:rPr>
        <w:t>Acute kidney injury (AKI) is a common potentially life threatening</w:t>
      </w:r>
      <w:r w:rsidR="00062324" w:rsidRPr="00C60369">
        <w:rPr>
          <w:rFonts w:eastAsia="Calibri"/>
          <w:bCs/>
          <w:iCs/>
          <w:sz w:val="20"/>
          <w:szCs w:val="20"/>
        </w:rPr>
        <w:t xml:space="preserve"> </w:t>
      </w:r>
      <w:r w:rsidRPr="00C60369">
        <w:rPr>
          <w:rFonts w:eastAsia="Calibri"/>
          <w:bCs/>
          <w:iCs/>
          <w:sz w:val="20"/>
          <w:szCs w:val="20"/>
        </w:rPr>
        <w:t xml:space="preserve">complication of illnesses among 1% of the community-based population, 8–15% of hospitalized patients, and up to 50% of critically ill patients admitted to the intensive care unit (ICU) </w:t>
      </w:r>
      <w:r w:rsidRPr="00C60369">
        <w:rPr>
          <w:rFonts w:eastAsia="Calibri"/>
          <w:b/>
          <w:bCs/>
          <w:i/>
          <w:iCs/>
          <w:sz w:val="20"/>
          <w:szCs w:val="20"/>
        </w:rPr>
        <w:t>(</w:t>
      </w:r>
      <w:r w:rsidR="00EE30AF" w:rsidRPr="00C60369">
        <w:rPr>
          <w:rFonts w:eastAsia="Calibri"/>
          <w:b/>
          <w:bCs/>
          <w:i/>
          <w:iCs/>
          <w:sz w:val="20"/>
          <w:szCs w:val="20"/>
        </w:rPr>
        <w:t>1</w:t>
      </w:r>
      <w:r w:rsidRPr="00C60369">
        <w:rPr>
          <w:rFonts w:eastAsia="Calibri"/>
          <w:b/>
          <w:bCs/>
          <w:i/>
          <w:iCs/>
          <w:sz w:val="20"/>
          <w:szCs w:val="20"/>
        </w:rPr>
        <w:t xml:space="preserve">). </w:t>
      </w:r>
    </w:p>
    <w:p w:rsidR="00062324" w:rsidRPr="00C60369" w:rsidRDefault="00062324" w:rsidP="00567C4E">
      <w:pPr>
        <w:pStyle w:val="Default"/>
        <w:snapToGrid w:val="0"/>
        <w:ind w:firstLine="425"/>
        <w:jc w:val="both"/>
        <w:rPr>
          <w:rFonts w:eastAsia="Calibri"/>
          <w:bCs/>
          <w:iCs/>
          <w:sz w:val="20"/>
          <w:szCs w:val="20"/>
        </w:rPr>
      </w:pPr>
      <w:r w:rsidRPr="00C60369">
        <w:rPr>
          <w:rFonts w:eastAsia="Calibri"/>
          <w:bCs/>
          <w:iCs/>
          <w:sz w:val="20"/>
          <w:szCs w:val="20"/>
        </w:rPr>
        <w:t>A</w:t>
      </w:r>
      <w:r w:rsidR="00DC6685" w:rsidRPr="00C60369">
        <w:rPr>
          <w:rFonts w:eastAsia="Calibri"/>
          <w:bCs/>
          <w:iCs/>
          <w:sz w:val="20"/>
          <w:szCs w:val="20"/>
        </w:rPr>
        <w:t xml:space="preserve">KI carries increased risk of morbidity and mortality and adds to the health- care cost, even in mild temporary form </w:t>
      </w:r>
      <w:r w:rsidR="00DC6685" w:rsidRPr="00C60369">
        <w:rPr>
          <w:rFonts w:eastAsia="Calibri"/>
          <w:b/>
          <w:bCs/>
          <w:i/>
          <w:iCs/>
          <w:sz w:val="20"/>
          <w:szCs w:val="20"/>
        </w:rPr>
        <w:t>(</w:t>
      </w:r>
      <w:r w:rsidR="00EE30AF" w:rsidRPr="00C60369">
        <w:rPr>
          <w:rFonts w:eastAsia="Calibri"/>
          <w:b/>
          <w:bCs/>
          <w:i/>
          <w:iCs/>
          <w:sz w:val="20"/>
          <w:szCs w:val="20"/>
        </w:rPr>
        <w:t>2</w:t>
      </w:r>
      <w:r w:rsidR="00DC6685" w:rsidRPr="00C60369">
        <w:rPr>
          <w:rFonts w:eastAsia="Calibri"/>
          <w:b/>
          <w:bCs/>
          <w:i/>
          <w:iCs/>
          <w:sz w:val="20"/>
          <w:szCs w:val="20"/>
        </w:rPr>
        <w:t xml:space="preserve">). </w:t>
      </w:r>
    </w:p>
    <w:p w:rsidR="00062324" w:rsidRPr="00C60369" w:rsidRDefault="00062324" w:rsidP="00567C4E">
      <w:pPr>
        <w:pStyle w:val="Default"/>
        <w:snapToGrid w:val="0"/>
        <w:ind w:firstLine="425"/>
        <w:jc w:val="both"/>
        <w:rPr>
          <w:rFonts w:eastAsia="Calibri"/>
          <w:bCs/>
          <w:iCs/>
          <w:sz w:val="20"/>
          <w:szCs w:val="20"/>
        </w:rPr>
      </w:pPr>
      <w:r w:rsidRPr="00C60369">
        <w:rPr>
          <w:rFonts w:eastAsia="Calibri"/>
          <w:bCs/>
          <w:iCs/>
          <w:sz w:val="20"/>
          <w:szCs w:val="20"/>
        </w:rPr>
        <w:t>A</w:t>
      </w:r>
      <w:r w:rsidR="00DC6685" w:rsidRPr="00C60369">
        <w:rPr>
          <w:rFonts w:eastAsia="Calibri"/>
          <w:bCs/>
          <w:iCs/>
          <w:sz w:val="20"/>
          <w:szCs w:val="20"/>
        </w:rPr>
        <w:t xml:space="preserve">lthough renal replacement therapy (RRT) remains the primary supportive management strategy for patients with severe AKI, it could also be associated with complications and adverse events </w:t>
      </w:r>
      <w:r w:rsidR="00DC6685" w:rsidRPr="00C60369">
        <w:rPr>
          <w:rFonts w:eastAsia="Calibri"/>
          <w:b/>
          <w:bCs/>
          <w:i/>
          <w:iCs/>
          <w:sz w:val="20"/>
          <w:szCs w:val="20"/>
        </w:rPr>
        <w:t>(</w:t>
      </w:r>
      <w:r w:rsidR="00EE30AF" w:rsidRPr="00C60369">
        <w:rPr>
          <w:rFonts w:eastAsia="Calibri"/>
          <w:b/>
          <w:bCs/>
          <w:i/>
          <w:iCs/>
          <w:sz w:val="20"/>
          <w:szCs w:val="20"/>
        </w:rPr>
        <w:t>3</w:t>
      </w:r>
      <w:r w:rsidR="00DC6685" w:rsidRPr="00C60369">
        <w:rPr>
          <w:rFonts w:eastAsia="Calibri"/>
          <w:b/>
          <w:bCs/>
          <w:i/>
          <w:iCs/>
          <w:sz w:val="20"/>
          <w:szCs w:val="20"/>
        </w:rPr>
        <w:t xml:space="preserve">). </w:t>
      </w:r>
    </w:p>
    <w:p w:rsidR="00DC6685" w:rsidRPr="00C60369" w:rsidRDefault="00062324" w:rsidP="00567C4E">
      <w:pPr>
        <w:pStyle w:val="Default"/>
        <w:snapToGrid w:val="0"/>
        <w:ind w:firstLine="425"/>
        <w:jc w:val="both"/>
        <w:rPr>
          <w:rFonts w:eastAsia="Calibri"/>
          <w:bCs/>
          <w:iCs/>
          <w:sz w:val="20"/>
          <w:szCs w:val="20"/>
        </w:rPr>
      </w:pPr>
      <w:r w:rsidRPr="00C60369">
        <w:rPr>
          <w:rFonts w:eastAsia="Calibri"/>
          <w:bCs/>
          <w:iCs/>
          <w:sz w:val="20"/>
          <w:szCs w:val="20"/>
        </w:rPr>
        <w:t>D</w:t>
      </w:r>
      <w:r w:rsidR="00DC6685" w:rsidRPr="00C60369">
        <w:rPr>
          <w:rFonts w:eastAsia="Calibri"/>
          <w:bCs/>
          <w:iCs/>
          <w:sz w:val="20"/>
          <w:szCs w:val="20"/>
        </w:rPr>
        <w:t>espite improvements in RRT technology, it is still not clear whether the outcome of patients with AKI who require RRT has improved over the years</w:t>
      </w:r>
      <w:r w:rsidR="00DC6685" w:rsidRPr="00C60369">
        <w:rPr>
          <w:rFonts w:eastAsia="Calibri"/>
          <w:b/>
          <w:bCs/>
          <w:i/>
          <w:iCs/>
          <w:sz w:val="20"/>
          <w:szCs w:val="20"/>
        </w:rPr>
        <w:t xml:space="preserve"> (</w:t>
      </w:r>
      <w:r w:rsidR="00EE30AF" w:rsidRPr="00C60369">
        <w:rPr>
          <w:rFonts w:eastAsia="Calibri"/>
          <w:b/>
          <w:bCs/>
          <w:i/>
          <w:iCs/>
          <w:sz w:val="20"/>
          <w:szCs w:val="20"/>
        </w:rPr>
        <w:t>4</w:t>
      </w:r>
      <w:r w:rsidR="00DC6685" w:rsidRPr="00C60369">
        <w:rPr>
          <w:rFonts w:eastAsia="Calibri"/>
          <w:b/>
          <w:bCs/>
          <w:i/>
          <w:iCs/>
          <w:sz w:val="20"/>
          <w:szCs w:val="20"/>
        </w:rPr>
        <w:t xml:space="preserve">). </w:t>
      </w:r>
    </w:p>
    <w:p w:rsidR="00062324" w:rsidRPr="00C60369" w:rsidRDefault="00DC6685" w:rsidP="00567C4E">
      <w:pPr>
        <w:pStyle w:val="Default"/>
        <w:snapToGrid w:val="0"/>
        <w:ind w:firstLine="425"/>
        <w:jc w:val="both"/>
        <w:rPr>
          <w:rFonts w:eastAsia="Calibri"/>
          <w:bCs/>
          <w:iCs/>
          <w:sz w:val="20"/>
          <w:szCs w:val="20"/>
        </w:rPr>
      </w:pPr>
      <w:r w:rsidRPr="00C60369">
        <w:rPr>
          <w:rFonts w:eastAsia="Calibri"/>
          <w:bCs/>
          <w:iCs/>
          <w:sz w:val="20"/>
          <w:szCs w:val="20"/>
        </w:rPr>
        <w:lastRenderedPageBreak/>
        <w:t xml:space="preserve">Earlier initiation of RRT may provide a better control of fluid and electrolyte balance, superior acid–base homeostasis, removal of uremic waste, and prevention of subsequent complications attributable to AKI. Furthermore, earlier RRT could potentially limit the kidney-specific and remote organ injuries due to fluid overload, electrolyte imbalance, and systemic inflammation </w:t>
      </w:r>
      <w:r w:rsidRPr="00C60369">
        <w:rPr>
          <w:rFonts w:eastAsia="Calibri"/>
          <w:b/>
          <w:bCs/>
          <w:i/>
          <w:iCs/>
          <w:sz w:val="20"/>
          <w:szCs w:val="20"/>
        </w:rPr>
        <w:t>(</w:t>
      </w:r>
      <w:r w:rsidR="00EE30AF" w:rsidRPr="00C60369">
        <w:rPr>
          <w:rFonts w:eastAsia="Calibri"/>
          <w:b/>
          <w:bCs/>
          <w:i/>
          <w:iCs/>
          <w:sz w:val="20"/>
          <w:szCs w:val="20"/>
        </w:rPr>
        <w:t>5</w:t>
      </w:r>
      <w:r w:rsidRPr="00C60369">
        <w:rPr>
          <w:rFonts w:eastAsia="Calibri"/>
          <w:b/>
          <w:bCs/>
          <w:i/>
          <w:iCs/>
          <w:sz w:val="20"/>
          <w:szCs w:val="20"/>
        </w:rPr>
        <w:t xml:space="preserve">). </w:t>
      </w:r>
    </w:p>
    <w:p w:rsidR="00DC6685" w:rsidRPr="00C60369" w:rsidRDefault="00062324" w:rsidP="00567C4E">
      <w:pPr>
        <w:pStyle w:val="Default"/>
        <w:snapToGrid w:val="0"/>
        <w:ind w:firstLine="425"/>
        <w:jc w:val="both"/>
        <w:rPr>
          <w:rFonts w:eastAsia="Calibri"/>
          <w:bCs/>
          <w:iCs/>
          <w:sz w:val="20"/>
          <w:szCs w:val="20"/>
        </w:rPr>
      </w:pPr>
      <w:r w:rsidRPr="00C60369">
        <w:rPr>
          <w:rFonts w:eastAsia="Calibri"/>
          <w:bCs/>
          <w:iCs/>
          <w:sz w:val="20"/>
          <w:szCs w:val="20"/>
        </w:rPr>
        <w:t>H</w:t>
      </w:r>
      <w:r w:rsidR="00DC6685" w:rsidRPr="00C60369">
        <w:rPr>
          <w:rFonts w:eastAsia="Calibri"/>
          <w:bCs/>
          <w:iCs/>
          <w:sz w:val="20"/>
          <w:szCs w:val="20"/>
        </w:rPr>
        <w:t xml:space="preserve">owever, earlier RRT may also expose the patients to increased risks of hemodynamic instability, anticoagulation induced bleeding, blood stream infection, and even inflammatory or oxidative stress induced by the bio-incompatibility of the dialyzer membranes. </w:t>
      </w:r>
    </w:p>
    <w:p w:rsidR="00DC6685" w:rsidRPr="00C60369" w:rsidRDefault="00DC6685" w:rsidP="00567C4E">
      <w:pPr>
        <w:pStyle w:val="Default"/>
        <w:snapToGrid w:val="0"/>
        <w:ind w:firstLine="425"/>
        <w:jc w:val="both"/>
        <w:rPr>
          <w:rFonts w:eastAsia="Calibri"/>
          <w:bCs/>
          <w:iCs/>
          <w:sz w:val="20"/>
          <w:szCs w:val="20"/>
        </w:rPr>
      </w:pPr>
      <w:r w:rsidRPr="00C60369">
        <w:rPr>
          <w:rFonts w:eastAsia="Calibri"/>
          <w:bCs/>
          <w:iCs/>
          <w:sz w:val="20"/>
          <w:szCs w:val="20"/>
        </w:rPr>
        <w:t xml:space="preserve">In comparison, later initiation of RRT may allow more time for hemodynamic optimization prior to RRT, and it may avoid the need for RRT and its associated complications </w:t>
      </w:r>
      <w:r w:rsidRPr="00C60369">
        <w:rPr>
          <w:rFonts w:eastAsia="Calibri"/>
          <w:b/>
          <w:bCs/>
          <w:i/>
          <w:iCs/>
          <w:sz w:val="20"/>
          <w:szCs w:val="20"/>
        </w:rPr>
        <w:t>(</w:t>
      </w:r>
      <w:r w:rsidR="00EE30AF" w:rsidRPr="00C60369">
        <w:rPr>
          <w:rFonts w:eastAsia="Calibri"/>
          <w:b/>
          <w:bCs/>
          <w:i/>
          <w:iCs/>
          <w:sz w:val="20"/>
          <w:szCs w:val="20"/>
        </w:rPr>
        <w:t>6</w:t>
      </w:r>
      <w:r w:rsidRPr="00C60369">
        <w:rPr>
          <w:rFonts w:eastAsia="Calibri"/>
          <w:b/>
          <w:bCs/>
          <w:i/>
          <w:iCs/>
          <w:sz w:val="20"/>
          <w:szCs w:val="20"/>
        </w:rPr>
        <w:t>)</w:t>
      </w:r>
      <w:r w:rsidRPr="00C60369">
        <w:rPr>
          <w:rFonts w:eastAsia="Calibri"/>
          <w:bCs/>
          <w:iCs/>
          <w:sz w:val="20"/>
          <w:szCs w:val="20"/>
        </w:rPr>
        <w:t>.</w:t>
      </w:r>
    </w:p>
    <w:p w:rsidR="00DC6685" w:rsidRPr="00C60369" w:rsidRDefault="00DC6685" w:rsidP="00567C4E">
      <w:pPr>
        <w:pStyle w:val="Default"/>
        <w:snapToGrid w:val="0"/>
        <w:ind w:firstLine="425"/>
        <w:jc w:val="both"/>
        <w:rPr>
          <w:rFonts w:eastAsia="Calibri"/>
          <w:bCs/>
          <w:iCs/>
          <w:sz w:val="20"/>
          <w:szCs w:val="20"/>
        </w:rPr>
      </w:pPr>
      <w:r w:rsidRPr="00C60369">
        <w:rPr>
          <w:rFonts w:eastAsia="Calibri"/>
          <w:bCs/>
          <w:iCs/>
          <w:sz w:val="20"/>
          <w:szCs w:val="20"/>
        </w:rPr>
        <w:lastRenderedPageBreak/>
        <w:t xml:space="preserve">In recent decades, the timing of RRT initiation has been evaluated in different population types (e. g., surgical or medical patients). Variability in the definitions of AKI and RRT timing has resulted in contradicting conclusions among the various studies </w:t>
      </w:r>
      <w:r w:rsidRPr="00C60369">
        <w:rPr>
          <w:rFonts w:eastAsia="Calibri"/>
          <w:b/>
          <w:bCs/>
          <w:i/>
          <w:iCs/>
          <w:sz w:val="20"/>
          <w:szCs w:val="20"/>
        </w:rPr>
        <w:t>(</w:t>
      </w:r>
      <w:r w:rsidR="00EE30AF" w:rsidRPr="00C60369">
        <w:rPr>
          <w:rFonts w:eastAsia="Calibri"/>
          <w:b/>
          <w:bCs/>
          <w:i/>
          <w:iCs/>
          <w:sz w:val="20"/>
          <w:szCs w:val="20"/>
        </w:rPr>
        <w:t>7</w:t>
      </w:r>
      <w:r w:rsidRPr="00C60369">
        <w:rPr>
          <w:rFonts w:eastAsia="Calibri"/>
          <w:b/>
          <w:bCs/>
          <w:i/>
          <w:iCs/>
          <w:sz w:val="20"/>
          <w:szCs w:val="20"/>
        </w:rPr>
        <w:t xml:space="preserve">). </w:t>
      </w:r>
    </w:p>
    <w:p w:rsidR="00062324" w:rsidRPr="00C60369" w:rsidRDefault="00DC6685" w:rsidP="00567C4E">
      <w:pPr>
        <w:pStyle w:val="Default"/>
        <w:snapToGrid w:val="0"/>
        <w:ind w:firstLine="425"/>
        <w:jc w:val="both"/>
        <w:rPr>
          <w:rFonts w:eastAsia="Calibri"/>
          <w:bCs/>
          <w:iCs/>
          <w:sz w:val="20"/>
          <w:szCs w:val="20"/>
        </w:rPr>
      </w:pPr>
      <w:r w:rsidRPr="00C60369">
        <w:rPr>
          <w:rFonts w:eastAsia="Calibri"/>
          <w:bCs/>
          <w:iCs/>
          <w:sz w:val="20"/>
          <w:szCs w:val="20"/>
        </w:rPr>
        <w:t>Similarly, previous systematic analyses regarding the optimal timing of RRT initiation were unable to draw definitive conclusions owing to the scarcity of large-scale randomized controlled trials (</w:t>
      </w:r>
      <w:proofErr w:type="spellStart"/>
      <w:r w:rsidRPr="00C60369">
        <w:rPr>
          <w:rFonts w:eastAsia="Calibri"/>
          <w:bCs/>
          <w:iCs/>
          <w:sz w:val="20"/>
          <w:szCs w:val="20"/>
        </w:rPr>
        <w:t>RCTs</w:t>
      </w:r>
      <w:proofErr w:type="spellEnd"/>
      <w:r w:rsidRPr="00C60369">
        <w:rPr>
          <w:rFonts w:eastAsia="Calibri"/>
          <w:bCs/>
          <w:iCs/>
          <w:sz w:val="20"/>
          <w:szCs w:val="20"/>
        </w:rPr>
        <w:t xml:space="preserve">), non-standardized triggers for RRT initiation, and heterogeneities of population and study design while the observational studies tended to show more beneficial effects for earlier RRT, clinical trials were unable to replicate these findings </w:t>
      </w:r>
      <w:r w:rsidRPr="00C60369">
        <w:rPr>
          <w:rFonts w:eastAsia="Calibri"/>
          <w:b/>
          <w:bCs/>
          <w:i/>
          <w:iCs/>
          <w:sz w:val="20"/>
          <w:szCs w:val="20"/>
        </w:rPr>
        <w:t>(</w:t>
      </w:r>
      <w:r w:rsidR="00EE30AF" w:rsidRPr="00C60369">
        <w:rPr>
          <w:rFonts w:eastAsia="Calibri"/>
          <w:b/>
          <w:bCs/>
          <w:i/>
          <w:iCs/>
          <w:sz w:val="20"/>
          <w:szCs w:val="20"/>
        </w:rPr>
        <w:t>8</w:t>
      </w:r>
      <w:r w:rsidRPr="00C60369">
        <w:rPr>
          <w:rFonts w:eastAsia="Calibri"/>
          <w:b/>
          <w:bCs/>
          <w:i/>
          <w:iCs/>
          <w:sz w:val="20"/>
          <w:szCs w:val="20"/>
        </w:rPr>
        <w:t>)</w:t>
      </w:r>
      <w:r w:rsidRPr="00C60369">
        <w:rPr>
          <w:rFonts w:eastAsia="Calibri"/>
          <w:bCs/>
          <w:iCs/>
          <w:sz w:val="20"/>
          <w:szCs w:val="20"/>
        </w:rPr>
        <w:t xml:space="preserve">. </w:t>
      </w:r>
    </w:p>
    <w:p w:rsidR="00DC6685" w:rsidRPr="00C60369" w:rsidRDefault="00062324" w:rsidP="00567C4E">
      <w:pPr>
        <w:pStyle w:val="Default"/>
        <w:snapToGrid w:val="0"/>
        <w:ind w:firstLine="425"/>
        <w:jc w:val="both"/>
        <w:rPr>
          <w:rFonts w:eastAsia="Calibri"/>
          <w:bCs/>
          <w:iCs/>
          <w:sz w:val="20"/>
          <w:szCs w:val="20"/>
        </w:rPr>
      </w:pPr>
      <w:r w:rsidRPr="00C60369">
        <w:rPr>
          <w:rFonts w:eastAsia="Calibri"/>
          <w:bCs/>
          <w:iCs/>
          <w:sz w:val="20"/>
          <w:szCs w:val="20"/>
        </w:rPr>
        <w:t>R</w:t>
      </w:r>
      <w:r w:rsidR="00DC6685" w:rsidRPr="00C60369">
        <w:rPr>
          <w:rFonts w:eastAsia="Calibri"/>
          <w:bCs/>
          <w:iCs/>
          <w:sz w:val="20"/>
          <w:szCs w:val="20"/>
        </w:rPr>
        <w:t xml:space="preserve">ecently, two large </w:t>
      </w:r>
      <w:proofErr w:type="spellStart"/>
      <w:r w:rsidR="00DC6685" w:rsidRPr="00C60369">
        <w:rPr>
          <w:rFonts w:eastAsia="Calibri"/>
          <w:bCs/>
          <w:iCs/>
          <w:sz w:val="20"/>
          <w:szCs w:val="20"/>
        </w:rPr>
        <w:t>RCTs</w:t>
      </w:r>
      <w:proofErr w:type="spellEnd"/>
      <w:r w:rsidR="00DC6685" w:rsidRPr="00C60369">
        <w:rPr>
          <w:rFonts w:eastAsia="Calibri"/>
          <w:bCs/>
          <w:iCs/>
          <w:sz w:val="20"/>
          <w:szCs w:val="20"/>
        </w:rPr>
        <w:t xml:space="preserve"> showed contradictory results and attracted considerable attention from both clinicians and researchers. The first was a multicenter RCT by the AKIKI study group, which showed no significant differences in 60-day mortality between early and delayed RRT groups </w:t>
      </w:r>
      <w:r w:rsidR="00DC6685" w:rsidRPr="00C60369">
        <w:rPr>
          <w:rFonts w:eastAsia="Calibri"/>
          <w:b/>
          <w:bCs/>
          <w:i/>
          <w:iCs/>
          <w:sz w:val="20"/>
          <w:szCs w:val="20"/>
        </w:rPr>
        <w:t>(</w:t>
      </w:r>
      <w:r w:rsidR="00EE30AF" w:rsidRPr="00C60369">
        <w:rPr>
          <w:rFonts w:eastAsia="Calibri"/>
          <w:b/>
          <w:bCs/>
          <w:i/>
          <w:iCs/>
          <w:sz w:val="20"/>
          <w:szCs w:val="20"/>
        </w:rPr>
        <w:t>8</w:t>
      </w:r>
      <w:r w:rsidR="00DC6685" w:rsidRPr="00C60369">
        <w:rPr>
          <w:rFonts w:eastAsia="Calibri"/>
          <w:b/>
          <w:bCs/>
          <w:i/>
          <w:iCs/>
          <w:sz w:val="20"/>
          <w:szCs w:val="20"/>
        </w:rPr>
        <w:t>)</w:t>
      </w:r>
      <w:r w:rsidR="00DC6685" w:rsidRPr="00C60369">
        <w:rPr>
          <w:rFonts w:eastAsia="Calibri"/>
          <w:bCs/>
          <w:iCs/>
          <w:sz w:val="20"/>
          <w:szCs w:val="20"/>
        </w:rPr>
        <w:t xml:space="preserve">. </w:t>
      </w:r>
    </w:p>
    <w:p w:rsidR="00DC6685" w:rsidRPr="00C60369" w:rsidRDefault="00DC6685" w:rsidP="00567C4E">
      <w:pPr>
        <w:pStyle w:val="Default"/>
        <w:snapToGrid w:val="0"/>
        <w:ind w:firstLine="425"/>
        <w:jc w:val="both"/>
        <w:rPr>
          <w:rFonts w:eastAsia="Calibri"/>
          <w:bCs/>
          <w:iCs/>
          <w:sz w:val="20"/>
          <w:szCs w:val="20"/>
        </w:rPr>
      </w:pPr>
      <w:r w:rsidRPr="00C60369">
        <w:rPr>
          <w:rFonts w:eastAsia="Calibri"/>
          <w:bCs/>
          <w:iCs/>
          <w:sz w:val="20"/>
          <w:szCs w:val="20"/>
        </w:rPr>
        <w:t xml:space="preserve">Another was the ELAIN trial, </w:t>
      </w:r>
      <w:r w:rsidRPr="00C60369">
        <w:rPr>
          <w:rFonts w:eastAsia="Calibri"/>
          <w:b/>
          <w:bCs/>
          <w:i/>
          <w:iCs/>
          <w:sz w:val="20"/>
          <w:szCs w:val="20"/>
        </w:rPr>
        <w:t>(</w:t>
      </w:r>
      <w:r w:rsidR="00EE30AF" w:rsidRPr="00C60369">
        <w:rPr>
          <w:rFonts w:eastAsia="Calibri"/>
          <w:b/>
          <w:bCs/>
          <w:i/>
          <w:iCs/>
          <w:sz w:val="20"/>
          <w:szCs w:val="20"/>
        </w:rPr>
        <w:t>9</w:t>
      </w:r>
      <w:r w:rsidRPr="00C60369">
        <w:rPr>
          <w:rFonts w:eastAsia="Calibri"/>
          <w:b/>
          <w:bCs/>
          <w:i/>
          <w:iCs/>
          <w:sz w:val="20"/>
          <w:szCs w:val="20"/>
        </w:rPr>
        <w:t>)</w:t>
      </w:r>
      <w:r w:rsidRPr="00C60369">
        <w:rPr>
          <w:rFonts w:eastAsia="Calibri"/>
          <w:bCs/>
          <w:iCs/>
          <w:sz w:val="20"/>
          <w:szCs w:val="20"/>
        </w:rPr>
        <w:t xml:space="preserve"> a single-center RCT that showed significant benefits in terms of 90-day mortality, renal function recovery, and hospital length of stay (LOS) among patients in the early RRT group. Although these two </w:t>
      </w:r>
      <w:proofErr w:type="spellStart"/>
      <w:r w:rsidRPr="00C60369">
        <w:rPr>
          <w:rFonts w:eastAsia="Calibri"/>
          <w:bCs/>
          <w:iCs/>
          <w:sz w:val="20"/>
          <w:szCs w:val="20"/>
        </w:rPr>
        <w:t>RCTs</w:t>
      </w:r>
      <w:proofErr w:type="spellEnd"/>
      <w:r w:rsidRPr="00C60369">
        <w:rPr>
          <w:rFonts w:eastAsia="Calibri"/>
          <w:bCs/>
          <w:iCs/>
          <w:sz w:val="20"/>
          <w:szCs w:val="20"/>
        </w:rPr>
        <w:t xml:space="preserve"> exhibited opposing results, they added value to the field of critical care</w:t>
      </w:r>
      <w:r w:rsidRPr="00C60369">
        <w:rPr>
          <w:rFonts w:eastAsia="Calibri"/>
          <w:b/>
          <w:bCs/>
          <w:i/>
          <w:iCs/>
          <w:sz w:val="20"/>
          <w:szCs w:val="20"/>
        </w:rPr>
        <w:t xml:space="preserve"> (</w:t>
      </w:r>
      <w:r w:rsidR="00EE30AF" w:rsidRPr="00C60369">
        <w:rPr>
          <w:rFonts w:eastAsia="Calibri"/>
          <w:b/>
          <w:bCs/>
          <w:i/>
          <w:iCs/>
          <w:sz w:val="20"/>
          <w:szCs w:val="20"/>
        </w:rPr>
        <w:t>9</w:t>
      </w:r>
      <w:r w:rsidRPr="00C60369">
        <w:rPr>
          <w:rFonts w:eastAsia="Calibri"/>
          <w:b/>
          <w:bCs/>
          <w:i/>
          <w:iCs/>
          <w:sz w:val="20"/>
          <w:szCs w:val="20"/>
        </w:rPr>
        <w:t>)</w:t>
      </w:r>
      <w:r w:rsidRPr="00C60369">
        <w:rPr>
          <w:rFonts w:eastAsia="Calibri"/>
          <w:bCs/>
          <w:iCs/>
          <w:sz w:val="20"/>
          <w:szCs w:val="20"/>
        </w:rPr>
        <w:t xml:space="preserve">. </w:t>
      </w:r>
    </w:p>
    <w:p w:rsidR="00DC6685" w:rsidRPr="00C60369" w:rsidRDefault="00DC6685" w:rsidP="00567C4E">
      <w:pPr>
        <w:pStyle w:val="Default"/>
        <w:snapToGrid w:val="0"/>
        <w:ind w:firstLine="425"/>
        <w:jc w:val="both"/>
        <w:rPr>
          <w:rFonts w:eastAsia="Calibri"/>
          <w:bCs/>
          <w:iCs/>
          <w:sz w:val="20"/>
          <w:szCs w:val="20"/>
        </w:rPr>
      </w:pPr>
      <w:r w:rsidRPr="00C60369">
        <w:rPr>
          <w:rFonts w:eastAsia="Calibri"/>
          <w:bCs/>
          <w:iCs/>
          <w:sz w:val="20"/>
          <w:szCs w:val="20"/>
        </w:rPr>
        <w:t xml:space="preserve">This systematic review is conducted to include all relevant </w:t>
      </w:r>
      <w:proofErr w:type="spellStart"/>
      <w:r w:rsidRPr="00C60369">
        <w:rPr>
          <w:rFonts w:eastAsia="Calibri"/>
          <w:bCs/>
          <w:iCs/>
          <w:sz w:val="20"/>
          <w:szCs w:val="20"/>
        </w:rPr>
        <w:t>RCTs</w:t>
      </w:r>
      <w:proofErr w:type="spellEnd"/>
      <w:r w:rsidRPr="00C60369">
        <w:rPr>
          <w:rFonts w:eastAsia="Calibri"/>
          <w:bCs/>
          <w:iCs/>
          <w:sz w:val="20"/>
          <w:szCs w:val="20"/>
        </w:rPr>
        <w:t xml:space="preserve"> related to the impact of the timing of RRT initiation among critically ill patients with moderate to severe AKI. </w:t>
      </w:r>
    </w:p>
    <w:p w:rsidR="00DC493E" w:rsidRPr="00C60369" w:rsidRDefault="00DC493E" w:rsidP="00567C4E">
      <w:pPr>
        <w:pStyle w:val="Default"/>
        <w:autoSpaceDE/>
        <w:autoSpaceDN/>
        <w:adjustRightInd/>
        <w:snapToGrid w:val="0"/>
        <w:jc w:val="both"/>
        <w:rPr>
          <w:b/>
          <w:bCs/>
          <w:sz w:val="20"/>
          <w:szCs w:val="20"/>
        </w:rPr>
      </w:pPr>
    </w:p>
    <w:p w:rsidR="00B82528" w:rsidRPr="00C60369" w:rsidRDefault="00DC493E" w:rsidP="00567C4E">
      <w:pPr>
        <w:pStyle w:val="Default"/>
        <w:autoSpaceDE/>
        <w:autoSpaceDN/>
        <w:adjustRightInd/>
        <w:snapToGrid w:val="0"/>
        <w:jc w:val="both"/>
        <w:rPr>
          <w:b/>
          <w:bCs/>
          <w:sz w:val="20"/>
          <w:szCs w:val="20"/>
        </w:rPr>
      </w:pPr>
      <w:r w:rsidRPr="00C60369">
        <w:rPr>
          <w:b/>
          <w:bCs/>
          <w:sz w:val="20"/>
          <w:szCs w:val="20"/>
        </w:rPr>
        <w:t xml:space="preserve">2. </w:t>
      </w:r>
      <w:r w:rsidR="00A42E17" w:rsidRPr="00C60369">
        <w:rPr>
          <w:b/>
          <w:bCs/>
          <w:sz w:val="20"/>
          <w:szCs w:val="20"/>
        </w:rPr>
        <w:t>Patients and methods</w:t>
      </w:r>
      <w:r w:rsidR="00B53B6F" w:rsidRPr="00C60369">
        <w:rPr>
          <w:b/>
          <w:bCs/>
          <w:sz w:val="20"/>
          <w:szCs w:val="20"/>
        </w:rPr>
        <w:t>:</w:t>
      </w:r>
    </w:p>
    <w:p w:rsidR="00B82528" w:rsidRPr="00C60369" w:rsidRDefault="00B82528" w:rsidP="00567C4E">
      <w:pPr>
        <w:pStyle w:val="Default"/>
        <w:snapToGrid w:val="0"/>
        <w:jc w:val="both"/>
        <w:rPr>
          <w:b/>
          <w:bCs/>
          <w:sz w:val="20"/>
          <w:szCs w:val="20"/>
        </w:rPr>
      </w:pPr>
      <w:r w:rsidRPr="00C60369">
        <w:rPr>
          <w:b/>
          <w:bCs/>
          <w:sz w:val="20"/>
          <w:szCs w:val="20"/>
        </w:rPr>
        <w:t>Studies and participants</w:t>
      </w:r>
    </w:p>
    <w:p w:rsidR="00E87DF2" w:rsidRPr="00C60369" w:rsidRDefault="00B82528" w:rsidP="00567C4E">
      <w:pPr>
        <w:pStyle w:val="Default"/>
        <w:snapToGrid w:val="0"/>
        <w:ind w:firstLine="425"/>
        <w:jc w:val="both"/>
        <w:rPr>
          <w:sz w:val="20"/>
          <w:szCs w:val="20"/>
        </w:rPr>
      </w:pPr>
      <w:r w:rsidRPr="00C60369">
        <w:rPr>
          <w:sz w:val="20"/>
          <w:szCs w:val="20"/>
        </w:rPr>
        <w:t>In the current meta-analysis, we searched for interventional clinical trials in critically ill adult patients evaluated to have Acute Kidney Injur</w:t>
      </w:r>
      <w:r w:rsidR="00E87DF2" w:rsidRPr="00C60369">
        <w:rPr>
          <w:sz w:val="20"/>
          <w:szCs w:val="20"/>
        </w:rPr>
        <w:t>y.</w:t>
      </w:r>
    </w:p>
    <w:p w:rsidR="00B82528" w:rsidRPr="00C60369" w:rsidRDefault="00B82528" w:rsidP="00567C4E">
      <w:pPr>
        <w:pStyle w:val="Default"/>
        <w:snapToGrid w:val="0"/>
        <w:jc w:val="both"/>
        <w:rPr>
          <w:b/>
          <w:bCs/>
          <w:sz w:val="20"/>
          <w:szCs w:val="20"/>
        </w:rPr>
      </w:pPr>
      <w:r w:rsidRPr="00C60369">
        <w:rPr>
          <w:b/>
          <w:bCs/>
          <w:sz w:val="20"/>
          <w:szCs w:val="20"/>
        </w:rPr>
        <w:t>Search strategy for identification of the studies</w:t>
      </w:r>
    </w:p>
    <w:p w:rsidR="00B82528" w:rsidRPr="00C60369" w:rsidRDefault="00B82528" w:rsidP="00567C4E">
      <w:pPr>
        <w:pStyle w:val="Default"/>
        <w:snapToGrid w:val="0"/>
        <w:ind w:firstLine="425"/>
        <w:jc w:val="both"/>
        <w:rPr>
          <w:sz w:val="20"/>
          <w:szCs w:val="20"/>
        </w:rPr>
      </w:pPr>
      <w:r w:rsidRPr="00C60369">
        <w:rPr>
          <w:sz w:val="20"/>
          <w:szCs w:val="20"/>
        </w:rPr>
        <w:t xml:space="preserve">Electronic search was conducted in </w:t>
      </w:r>
      <w:proofErr w:type="spellStart"/>
      <w:r w:rsidRPr="00C60369">
        <w:rPr>
          <w:sz w:val="20"/>
          <w:szCs w:val="20"/>
        </w:rPr>
        <w:t>PubMed</w:t>
      </w:r>
      <w:proofErr w:type="spellEnd"/>
      <w:r w:rsidRPr="00C60369">
        <w:rPr>
          <w:sz w:val="20"/>
          <w:szCs w:val="20"/>
        </w:rPr>
        <w:t>,</w:t>
      </w:r>
      <w:r w:rsidR="00062324" w:rsidRPr="00C60369">
        <w:rPr>
          <w:sz w:val="20"/>
          <w:szCs w:val="20"/>
        </w:rPr>
        <w:t xml:space="preserve"> </w:t>
      </w:r>
      <w:r w:rsidRPr="00C60369">
        <w:rPr>
          <w:sz w:val="20"/>
          <w:szCs w:val="20"/>
        </w:rPr>
        <w:t>Scopus, Google scholar and Cochrane library and then the relevant articles and studies were identified and obtained.</w:t>
      </w:r>
    </w:p>
    <w:p w:rsidR="00B82528" w:rsidRPr="00C60369" w:rsidRDefault="00B82528" w:rsidP="00567C4E">
      <w:pPr>
        <w:pStyle w:val="Default"/>
        <w:snapToGrid w:val="0"/>
        <w:jc w:val="both"/>
        <w:rPr>
          <w:b/>
          <w:bCs/>
          <w:sz w:val="20"/>
          <w:szCs w:val="20"/>
        </w:rPr>
      </w:pPr>
      <w:r w:rsidRPr="00C60369">
        <w:rPr>
          <w:b/>
          <w:bCs/>
          <w:sz w:val="20"/>
          <w:szCs w:val="20"/>
        </w:rPr>
        <w:t>Inclusion criteria were:</w:t>
      </w:r>
    </w:p>
    <w:p w:rsidR="00B82528" w:rsidRPr="00C60369" w:rsidRDefault="00B82528" w:rsidP="00567C4E">
      <w:pPr>
        <w:pStyle w:val="Default"/>
        <w:numPr>
          <w:ilvl w:val="0"/>
          <w:numId w:val="35"/>
        </w:numPr>
        <w:snapToGrid w:val="0"/>
        <w:ind w:left="0" w:firstLine="425"/>
        <w:jc w:val="both"/>
        <w:rPr>
          <w:sz w:val="20"/>
          <w:szCs w:val="20"/>
        </w:rPr>
      </w:pPr>
      <w:r w:rsidRPr="00C60369">
        <w:rPr>
          <w:sz w:val="20"/>
          <w:szCs w:val="20"/>
        </w:rPr>
        <w:t>Adult critically ill patient ≥ 18 years old.</w:t>
      </w:r>
    </w:p>
    <w:p w:rsidR="00B82528" w:rsidRPr="00C60369" w:rsidRDefault="00B82528" w:rsidP="00567C4E">
      <w:pPr>
        <w:pStyle w:val="Default"/>
        <w:numPr>
          <w:ilvl w:val="0"/>
          <w:numId w:val="35"/>
        </w:numPr>
        <w:snapToGrid w:val="0"/>
        <w:ind w:left="0" w:firstLine="425"/>
        <w:jc w:val="both"/>
        <w:rPr>
          <w:sz w:val="20"/>
          <w:szCs w:val="20"/>
        </w:rPr>
      </w:pPr>
      <w:r w:rsidRPr="00C60369">
        <w:rPr>
          <w:sz w:val="20"/>
          <w:szCs w:val="20"/>
        </w:rPr>
        <w:t>Having acute kidney injury.</w:t>
      </w:r>
    </w:p>
    <w:p w:rsidR="00B82528" w:rsidRPr="00C60369" w:rsidRDefault="00B82528" w:rsidP="00567C4E">
      <w:pPr>
        <w:pStyle w:val="Default"/>
        <w:numPr>
          <w:ilvl w:val="0"/>
          <w:numId w:val="35"/>
        </w:numPr>
        <w:snapToGrid w:val="0"/>
        <w:ind w:left="0" w:firstLine="425"/>
        <w:jc w:val="both"/>
        <w:rPr>
          <w:sz w:val="20"/>
          <w:szCs w:val="20"/>
        </w:rPr>
      </w:pPr>
      <w:r w:rsidRPr="00C60369">
        <w:rPr>
          <w:sz w:val="20"/>
          <w:szCs w:val="20"/>
        </w:rPr>
        <w:t>Randomized controlled trials.</w:t>
      </w:r>
    </w:p>
    <w:p w:rsidR="00B82528" w:rsidRPr="00C60369" w:rsidRDefault="00B82528" w:rsidP="00567C4E">
      <w:pPr>
        <w:pStyle w:val="Default"/>
        <w:numPr>
          <w:ilvl w:val="0"/>
          <w:numId w:val="35"/>
        </w:numPr>
        <w:snapToGrid w:val="0"/>
        <w:ind w:left="0" w:firstLine="425"/>
        <w:jc w:val="both"/>
        <w:rPr>
          <w:sz w:val="20"/>
          <w:szCs w:val="20"/>
        </w:rPr>
      </w:pPr>
      <w:r w:rsidRPr="00C60369">
        <w:rPr>
          <w:sz w:val="20"/>
          <w:szCs w:val="20"/>
        </w:rPr>
        <w:t>Clearly comparing early versus late RRT initiation with effect on mortality and clinically relevant secondary outcomes.</w:t>
      </w:r>
    </w:p>
    <w:p w:rsidR="00B82528" w:rsidRPr="00C60369" w:rsidRDefault="00B82528" w:rsidP="00567C4E">
      <w:pPr>
        <w:pStyle w:val="Default"/>
        <w:snapToGrid w:val="0"/>
        <w:jc w:val="both"/>
        <w:rPr>
          <w:b/>
          <w:bCs/>
          <w:sz w:val="20"/>
          <w:szCs w:val="20"/>
        </w:rPr>
      </w:pPr>
      <w:r w:rsidRPr="00C60369">
        <w:rPr>
          <w:b/>
          <w:bCs/>
          <w:sz w:val="20"/>
          <w:szCs w:val="20"/>
        </w:rPr>
        <w:t>Exclusion criteria were:</w:t>
      </w:r>
    </w:p>
    <w:p w:rsidR="00B82528" w:rsidRPr="00C60369" w:rsidRDefault="00B82528" w:rsidP="00567C4E">
      <w:pPr>
        <w:pStyle w:val="Default"/>
        <w:snapToGrid w:val="0"/>
        <w:ind w:firstLine="425"/>
        <w:jc w:val="both"/>
        <w:rPr>
          <w:sz w:val="20"/>
          <w:szCs w:val="20"/>
        </w:rPr>
      </w:pPr>
      <w:r w:rsidRPr="00C60369">
        <w:rPr>
          <w:sz w:val="20"/>
          <w:szCs w:val="20"/>
        </w:rPr>
        <w:t>Between 23 studies 14 study were excluded for all the following measures:</w:t>
      </w:r>
    </w:p>
    <w:p w:rsidR="00B82528" w:rsidRPr="00C60369" w:rsidRDefault="00B82528" w:rsidP="00567C4E">
      <w:pPr>
        <w:pStyle w:val="Default"/>
        <w:numPr>
          <w:ilvl w:val="0"/>
          <w:numId w:val="34"/>
        </w:numPr>
        <w:snapToGrid w:val="0"/>
        <w:ind w:left="0" w:firstLine="425"/>
        <w:jc w:val="both"/>
        <w:rPr>
          <w:sz w:val="20"/>
          <w:szCs w:val="20"/>
        </w:rPr>
      </w:pPr>
      <w:r w:rsidRPr="00C60369">
        <w:rPr>
          <w:sz w:val="20"/>
          <w:szCs w:val="20"/>
        </w:rPr>
        <w:t>Not randomized controlled trials.</w:t>
      </w:r>
    </w:p>
    <w:p w:rsidR="00B82528" w:rsidRPr="00C60369" w:rsidRDefault="00B82528" w:rsidP="00567C4E">
      <w:pPr>
        <w:pStyle w:val="Default"/>
        <w:numPr>
          <w:ilvl w:val="0"/>
          <w:numId w:val="34"/>
        </w:numPr>
        <w:snapToGrid w:val="0"/>
        <w:ind w:left="0" w:firstLine="425"/>
        <w:jc w:val="both"/>
        <w:rPr>
          <w:sz w:val="20"/>
          <w:szCs w:val="20"/>
        </w:rPr>
      </w:pPr>
      <w:r w:rsidRPr="00C60369">
        <w:rPr>
          <w:sz w:val="20"/>
          <w:szCs w:val="20"/>
        </w:rPr>
        <w:t>Early and late RRT criteria are unclear.</w:t>
      </w:r>
    </w:p>
    <w:p w:rsidR="00B82528" w:rsidRPr="00C60369" w:rsidRDefault="00B82528" w:rsidP="00567C4E">
      <w:pPr>
        <w:pStyle w:val="Default"/>
        <w:numPr>
          <w:ilvl w:val="0"/>
          <w:numId w:val="34"/>
        </w:numPr>
        <w:snapToGrid w:val="0"/>
        <w:ind w:left="0" w:firstLine="425"/>
        <w:jc w:val="both"/>
        <w:rPr>
          <w:sz w:val="20"/>
          <w:szCs w:val="20"/>
        </w:rPr>
      </w:pPr>
      <w:r w:rsidRPr="00C60369">
        <w:rPr>
          <w:sz w:val="20"/>
          <w:szCs w:val="20"/>
        </w:rPr>
        <w:t>Lack of mortality data.</w:t>
      </w:r>
    </w:p>
    <w:p w:rsidR="00B82528" w:rsidRPr="00C60369" w:rsidRDefault="00B82528" w:rsidP="00567C4E">
      <w:pPr>
        <w:pStyle w:val="Default"/>
        <w:numPr>
          <w:ilvl w:val="0"/>
          <w:numId w:val="34"/>
        </w:numPr>
        <w:snapToGrid w:val="0"/>
        <w:ind w:left="0" w:firstLine="425"/>
        <w:jc w:val="both"/>
        <w:rPr>
          <w:sz w:val="20"/>
          <w:szCs w:val="20"/>
        </w:rPr>
      </w:pPr>
      <w:r w:rsidRPr="00C60369">
        <w:rPr>
          <w:sz w:val="20"/>
          <w:szCs w:val="20"/>
        </w:rPr>
        <w:t>Studies without clear comparison of the outcomes.</w:t>
      </w:r>
    </w:p>
    <w:p w:rsidR="00B82528" w:rsidRPr="00C60369" w:rsidRDefault="00B82528" w:rsidP="00567C4E">
      <w:pPr>
        <w:pStyle w:val="Default"/>
        <w:snapToGrid w:val="0"/>
        <w:ind w:firstLine="425"/>
        <w:jc w:val="both"/>
        <w:rPr>
          <w:sz w:val="20"/>
          <w:szCs w:val="20"/>
        </w:rPr>
      </w:pPr>
      <w:r w:rsidRPr="00C60369">
        <w:rPr>
          <w:sz w:val="20"/>
          <w:szCs w:val="20"/>
        </w:rPr>
        <w:t>While the other 9 studies were included in the current meta-analysis as they fulfilled the inclusion criteria.</w:t>
      </w:r>
    </w:p>
    <w:p w:rsidR="00DC493E" w:rsidRPr="00C60369" w:rsidRDefault="00DC493E" w:rsidP="00567C4E">
      <w:pPr>
        <w:pStyle w:val="Default"/>
        <w:snapToGrid w:val="0"/>
        <w:jc w:val="both"/>
        <w:rPr>
          <w:b/>
          <w:bCs/>
          <w:sz w:val="20"/>
          <w:szCs w:val="20"/>
        </w:rPr>
      </w:pPr>
      <w:r w:rsidRPr="00C60369">
        <w:rPr>
          <w:b/>
          <w:bCs/>
          <w:sz w:val="20"/>
          <w:szCs w:val="20"/>
        </w:rPr>
        <w:t>Characteristics of the studies:</w:t>
      </w:r>
    </w:p>
    <w:p w:rsidR="00567C4E" w:rsidRPr="00C60369" w:rsidRDefault="00567C4E" w:rsidP="00567C4E">
      <w:pPr>
        <w:pStyle w:val="Default"/>
        <w:snapToGrid w:val="0"/>
        <w:jc w:val="center"/>
        <w:rPr>
          <w:b/>
          <w:sz w:val="20"/>
          <w:szCs w:val="20"/>
        </w:rPr>
        <w:sectPr w:rsidR="00567C4E" w:rsidRPr="00C60369" w:rsidSect="00567C4E">
          <w:type w:val="continuous"/>
          <w:pgSz w:w="12240" w:h="15840"/>
          <w:pgMar w:top="1440" w:right="1440" w:bottom="1440" w:left="1440" w:header="720" w:footer="720" w:gutter="0"/>
          <w:cols w:num="2" w:space="550"/>
          <w:rtlGutter/>
          <w:docGrid w:linePitch="360"/>
        </w:sectPr>
      </w:pPr>
    </w:p>
    <w:p w:rsidR="00DC493E" w:rsidRPr="00C60369" w:rsidRDefault="00DC493E" w:rsidP="00567C4E">
      <w:pPr>
        <w:pStyle w:val="Default"/>
        <w:snapToGrid w:val="0"/>
        <w:jc w:val="center"/>
        <w:rPr>
          <w:b/>
          <w:sz w:val="20"/>
          <w:szCs w:val="20"/>
        </w:rPr>
      </w:pPr>
    </w:p>
    <w:p w:rsidR="00DC493E" w:rsidRPr="00C60369" w:rsidRDefault="00DC493E" w:rsidP="00567C4E">
      <w:pPr>
        <w:pStyle w:val="Default"/>
        <w:snapToGrid w:val="0"/>
        <w:jc w:val="center"/>
        <w:rPr>
          <w:b/>
          <w:sz w:val="20"/>
          <w:szCs w:val="20"/>
        </w:rPr>
      </w:pPr>
      <w:r w:rsidRPr="00C60369">
        <w:rPr>
          <w:b/>
          <w:sz w:val="20"/>
          <w:szCs w:val="20"/>
        </w:rPr>
        <w:t>Table (1):</w:t>
      </w:r>
      <w:r w:rsidRPr="00C60369">
        <w:rPr>
          <w:bCs/>
          <w:sz w:val="20"/>
          <w:szCs w:val="20"/>
        </w:rPr>
        <w:t xml:space="preserve"> Basic Characteristics of Studies Included in Meta-analysis.</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4A0"/>
      </w:tblPr>
      <w:tblGrid>
        <w:gridCol w:w="2601"/>
        <w:gridCol w:w="1003"/>
        <w:gridCol w:w="979"/>
        <w:gridCol w:w="1116"/>
        <w:gridCol w:w="2154"/>
        <w:gridCol w:w="525"/>
        <w:gridCol w:w="592"/>
        <w:gridCol w:w="504"/>
      </w:tblGrid>
      <w:tr w:rsidR="00062324" w:rsidRPr="00C60369" w:rsidTr="00C60369">
        <w:trPr>
          <w:jc w:val="center"/>
        </w:trPr>
        <w:tc>
          <w:tcPr>
            <w:tcW w:w="1373" w:type="pct"/>
            <w:vMerge w:val="restart"/>
            <w:shd w:val="clear" w:color="auto" w:fill="BFBFBF" w:themeFill="background1" w:themeFillShade="BF"/>
            <w:vAlign w:val="center"/>
          </w:tcPr>
          <w:p w:rsidR="00DC493E" w:rsidRPr="00C60369" w:rsidRDefault="00DC493E" w:rsidP="00567C4E">
            <w:pPr>
              <w:pStyle w:val="Default"/>
              <w:snapToGrid w:val="0"/>
              <w:jc w:val="both"/>
              <w:rPr>
                <w:b/>
                <w:sz w:val="18"/>
                <w:szCs w:val="18"/>
              </w:rPr>
            </w:pPr>
            <w:r w:rsidRPr="00C60369">
              <w:rPr>
                <w:b/>
                <w:sz w:val="18"/>
                <w:szCs w:val="18"/>
              </w:rPr>
              <w:t>Study</w:t>
            </w:r>
          </w:p>
        </w:tc>
        <w:tc>
          <w:tcPr>
            <w:tcW w:w="529" w:type="pct"/>
            <w:vMerge w:val="restart"/>
            <w:shd w:val="clear" w:color="auto" w:fill="BFBFBF" w:themeFill="background1" w:themeFillShade="BF"/>
            <w:vAlign w:val="center"/>
          </w:tcPr>
          <w:p w:rsidR="00DC493E" w:rsidRPr="00C60369" w:rsidRDefault="00DC493E" w:rsidP="00567C4E">
            <w:pPr>
              <w:pStyle w:val="Default"/>
              <w:snapToGrid w:val="0"/>
              <w:jc w:val="both"/>
              <w:rPr>
                <w:b/>
                <w:sz w:val="18"/>
                <w:szCs w:val="18"/>
              </w:rPr>
            </w:pPr>
            <w:r w:rsidRPr="00C60369">
              <w:rPr>
                <w:b/>
                <w:sz w:val="18"/>
                <w:szCs w:val="18"/>
              </w:rPr>
              <w:t>Country</w:t>
            </w:r>
          </w:p>
        </w:tc>
        <w:tc>
          <w:tcPr>
            <w:tcW w:w="517" w:type="pct"/>
            <w:vMerge w:val="restart"/>
            <w:shd w:val="clear" w:color="auto" w:fill="BFBFBF" w:themeFill="background1" w:themeFillShade="BF"/>
            <w:vAlign w:val="center"/>
          </w:tcPr>
          <w:p w:rsidR="00DC493E" w:rsidRPr="00C60369" w:rsidRDefault="00DC493E" w:rsidP="00567C4E">
            <w:pPr>
              <w:pStyle w:val="Default"/>
              <w:snapToGrid w:val="0"/>
              <w:jc w:val="both"/>
              <w:rPr>
                <w:b/>
                <w:sz w:val="18"/>
                <w:szCs w:val="18"/>
              </w:rPr>
            </w:pPr>
            <w:r w:rsidRPr="00C60369">
              <w:rPr>
                <w:b/>
                <w:sz w:val="18"/>
                <w:szCs w:val="18"/>
              </w:rPr>
              <w:t>Period</w:t>
            </w:r>
          </w:p>
        </w:tc>
        <w:tc>
          <w:tcPr>
            <w:tcW w:w="589" w:type="pct"/>
            <w:vMerge w:val="restart"/>
            <w:shd w:val="clear" w:color="auto" w:fill="BFBFBF" w:themeFill="background1" w:themeFillShade="BF"/>
            <w:vAlign w:val="center"/>
          </w:tcPr>
          <w:p w:rsidR="00DC493E" w:rsidRPr="00C60369" w:rsidRDefault="00DC493E" w:rsidP="00567C4E">
            <w:pPr>
              <w:pStyle w:val="Default"/>
              <w:snapToGrid w:val="0"/>
              <w:jc w:val="both"/>
              <w:rPr>
                <w:b/>
                <w:sz w:val="18"/>
                <w:szCs w:val="18"/>
              </w:rPr>
            </w:pPr>
            <w:r w:rsidRPr="00C60369">
              <w:rPr>
                <w:b/>
                <w:sz w:val="18"/>
                <w:szCs w:val="18"/>
              </w:rPr>
              <w:t>Study design</w:t>
            </w:r>
          </w:p>
        </w:tc>
        <w:tc>
          <w:tcPr>
            <w:tcW w:w="1137" w:type="pct"/>
            <w:vMerge w:val="restart"/>
            <w:shd w:val="clear" w:color="auto" w:fill="BFBFBF" w:themeFill="background1" w:themeFillShade="BF"/>
            <w:vAlign w:val="center"/>
          </w:tcPr>
          <w:p w:rsidR="00DC493E" w:rsidRPr="00C60369" w:rsidRDefault="00DC493E" w:rsidP="00567C4E">
            <w:pPr>
              <w:pStyle w:val="Default"/>
              <w:snapToGrid w:val="0"/>
              <w:jc w:val="both"/>
              <w:rPr>
                <w:b/>
                <w:sz w:val="18"/>
                <w:szCs w:val="18"/>
              </w:rPr>
            </w:pPr>
            <w:r w:rsidRPr="00C60369">
              <w:rPr>
                <w:b/>
                <w:sz w:val="18"/>
                <w:szCs w:val="18"/>
              </w:rPr>
              <w:t>Duration of follow up (days)</w:t>
            </w:r>
          </w:p>
        </w:tc>
        <w:tc>
          <w:tcPr>
            <w:tcW w:w="855" w:type="pct"/>
            <w:gridSpan w:val="3"/>
            <w:shd w:val="clear" w:color="auto" w:fill="BFBFBF" w:themeFill="background1" w:themeFillShade="BF"/>
            <w:vAlign w:val="center"/>
          </w:tcPr>
          <w:p w:rsidR="00DC493E" w:rsidRPr="00C60369" w:rsidRDefault="00DC493E" w:rsidP="00567C4E">
            <w:pPr>
              <w:pStyle w:val="Default"/>
              <w:snapToGrid w:val="0"/>
              <w:jc w:val="both"/>
              <w:rPr>
                <w:b/>
                <w:sz w:val="18"/>
                <w:szCs w:val="18"/>
              </w:rPr>
            </w:pPr>
            <w:r w:rsidRPr="00C60369">
              <w:rPr>
                <w:b/>
                <w:sz w:val="18"/>
                <w:szCs w:val="18"/>
              </w:rPr>
              <w:t>Number of patients</w:t>
            </w:r>
          </w:p>
        </w:tc>
      </w:tr>
      <w:tr w:rsidR="00062324" w:rsidRPr="00C60369" w:rsidTr="00C60369">
        <w:trPr>
          <w:jc w:val="center"/>
        </w:trPr>
        <w:tc>
          <w:tcPr>
            <w:tcW w:w="1373" w:type="pct"/>
            <w:vMerge/>
            <w:shd w:val="clear" w:color="auto" w:fill="BFBFBF" w:themeFill="background1" w:themeFillShade="BF"/>
            <w:vAlign w:val="center"/>
          </w:tcPr>
          <w:p w:rsidR="00DC493E" w:rsidRPr="00C60369" w:rsidRDefault="00DC493E" w:rsidP="00567C4E">
            <w:pPr>
              <w:pStyle w:val="Default"/>
              <w:snapToGrid w:val="0"/>
              <w:jc w:val="both"/>
              <w:rPr>
                <w:sz w:val="18"/>
                <w:szCs w:val="18"/>
              </w:rPr>
            </w:pPr>
          </w:p>
        </w:tc>
        <w:tc>
          <w:tcPr>
            <w:tcW w:w="529" w:type="pct"/>
            <w:vMerge/>
            <w:shd w:val="clear" w:color="auto" w:fill="BFBFBF" w:themeFill="background1" w:themeFillShade="BF"/>
            <w:vAlign w:val="center"/>
          </w:tcPr>
          <w:p w:rsidR="00DC493E" w:rsidRPr="00C60369" w:rsidRDefault="00DC493E" w:rsidP="00567C4E">
            <w:pPr>
              <w:pStyle w:val="Default"/>
              <w:snapToGrid w:val="0"/>
              <w:jc w:val="both"/>
              <w:rPr>
                <w:sz w:val="18"/>
                <w:szCs w:val="18"/>
              </w:rPr>
            </w:pPr>
          </w:p>
        </w:tc>
        <w:tc>
          <w:tcPr>
            <w:tcW w:w="517" w:type="pct"/>
            <w:vMerge/>
            <w:shd w:val="clear" w:color="auto" w:fill="BFBFBF" w:themeFill="background1" w:themeFillShade="BF"/>
            <w:vAlign w:val="center"/>
          </w:tcPr>
          <w:p w:rsidR="00DC493E" w:rsidRPr="00C60369" w:rsidRDefault="00DC493E" w:rsidP="00567C4E">
            <w:pPr>
              <w:pStyle w:val="Default"/>
              <w:snapToGrid w:val="0"/>
              <w:jc w:val="both"/>
              <w:rPr>
                <w:sz w:val="18"/>
                <w:szCs w:val="18"/>
              </w:rPr>
            </w:pPr>
          </w:p>
        </w:tc>
        <w:tc>
          <w:tcPr>
            <w:tcW w:w="589" w:type="pct"/>
            <w:vMerge/>
            <w:shd w:val="clear" w:color="auto" w:fill="BFBFBF" w:themeFill="background1" w:themeFillShade="BF"/>
            <w:vAlign w:val="center"/>
          </w:tcPr>
          <w:p w:rsidR="00DC493E" w:rsidRPr="00C60369" w:rsidRDefault="00DC493E" w:rsidP="00567C4E">
            <w:pPr>
              <w:pStyle w:val="Default"/>
              <w:snapToGrid w:val="0"/>
              <w:jc w:val="both"/>
              <w:rPr>
                <w:sz w:val="18"/>
                <w:szCs w:val="18"/>
              </w:rPr>
            </w:pPr>
          </w:p>
        </w:tc>
        <w:tc>
          <w:tcPr>
            <w:tcW w:w="1137" w:type="pct"/>
            <w:vMerge/>
            <w:shd w:val="clear" w:color="auto" w:fill="BFBFBF" w:themeFill="background1" w:themeFillShade="BF"/>
            <w:vAlign w:val="center"/>
          </w:tcPr>
          <w:p w:rsidR="00DC493E" w:rsidRPr="00C60369" w:rsidRDefault="00DC493E" w:rsidP="00567C4E">
            <w:pPr>
              <w:pStyle w:val="Default"/>
              <w:snapToGrid w:val="0"/>
              <w:jc w:val="both"/>
              <w:rPr>
                <w:sz w:val="18"/>
                <w:szCs w:val="18"/>
              </w:rPr>
            </w:pPr>
          </w:p>
        </w:tc>
        <w:tc>
          <w:tcPr>
            <w:tcW w:w="277" w:type="pct"/>
            <w:shd w:val="clear" w:color="auto" w:fill="BFBFBF" w:themeFill="background1" w:themeFillShade="BF"/>
            <w:vAlign w:val="center"/>
          </w:tcPr>
          <w:p w:rsidR="00DC493E" w:rsidRPr="00C60369" w:rsidRDefault="00DC493E" w:rsidP="00567C4E">
            <w:pPr>
              <w:pStyle w:val="Default"/>
              <w:snapToGrid w:val="0"/>
              <w:jc w:val="both"/>
              <w:rPr>
                <w:b/>
                <w:sz w:val="18"/>
                <w:szCs w:val="18"/>
              </w:rPr>
            </w:pPr>
            <w:r w:rsidRPr="00C60369">
              <w:rPr>
                <w:b/>
                <w:sz w:val="18"/>
                <w:szCs w:val="18"/>
              </w:rPr>
              <w:t>Total</w:t>
            </w:r>
          </w:p>
        </w:tc>
        <w:tc>
          <w:tcPr>
            <w:tcW w:w="312" w:type="pct"/>
            <w:shd w:val="clear" w:color="auto" w:fill="BFBFBF" w:themeFill="background1" w:themeFillShade="BF"/>
            <w:vAlign w:val="center"/>
          </w:tcPr>
          <w:p w:rsidR="00DC493E" w:rsidRPr="00C60369" w:rsidRDefault="00DC493E" w:rsidP="00567C4E">
            <w:pPr>
              <w:pStyle w:val="Default"/>
              <w:snapToGrid w:val="0"/>
              <w:jc w:val="both"/>
              <w:rPr>
                <w:b/>
                <w:sz w:val="20"/>
                <w:szCs w:val="20"/>
              </w:rPr>
            </w:pPr>
            <w:r w:rsidRPr="00C60369">
              <w:rPr>
                <w:b/>
                <w:sz w:val="20"/>
                <w:szCs w:val="20"/>
              </w:rPr>
              <w:t>Early</w:t>
            </w:r>
          </w:p>
        </w:tc>
        <w:tc>
          <w:tcPr>
            <w:tcW w:w="265" w:type="pct"/>
            <w:shd w:val="clear" w:color="auto" w:fill="BFBFBF" w:themeFill="background1" w:themeFillShade="BF"/>
            <w:vAlign w:val="center"/>
          </w:tcPr>
          <w:p w:rsidR="00DC493E" w:rsidRPr="00C60369" w:rsidRDefault="00DC493E" w:rsidP="00567C4E">
            <w:pPr>
              <w:pStyle w:val="Default"/>
              <w:snapToGrid w:val="0"/>
              <w:jc w:val="both"/>
              <w:rPr>
                <w:b/>
                <w:sz w:val="20"/>
                <w:szCs w:val="20"/>
              </w:rPr>
            </w:pPr>
            <w:r w:rsidRPr="00C60369">
              <w:rPr>
                <w:b/>
                <w:sz w:val="20"/>
                <w:szCs w:val="20"/>
              </w:rPr>
              <w:t>Late</w:t>
            </w:r>
          </w:p>
        </w:tc>
      </w:tr>
      <w:tr w:rsidR="00062324" w:rsidRPr="00C60369" w:rsidTr="00C60369">
        <w:trPr>
          <w:jc w:val="center"/>
        </w:trPr>
        <w:tc>
          <w:tcPr>
            <w:tcW w:w="1373" w:type="pct"/>
            <w:shd w:val="clear" w:color="000000" w:fill="auto"/>
            <w:vAlign w:val="center"/>
          </w:tcPr>
          <w:p w:rsidR="00DC493E" w:rsidRPr="00C60369" w:rsidRDefault="00DC493E" w:rsidP="00567C4E">
            <w:pPr>
              <w:pStyle w:val="Default"/>
              <w:snapToGrid w:val="0"/>
              <w:jc w:val="both"/>
              <w:rPr>
                <w:b/>
                <w:sz w:val="20"/>
                <w:szCs w:val="20"/>
              </w:rPr>
            </w:pPr>
            <w:proofErr w:type="spellStart"/>
            <w:r w:rsidRPr="00C60369">
              <w:rPr>
                <w:b/>
                <w:sz w:val="20"/>
                <w:szCs w:val="20"/>
              </w:rPr>
              <w:t>Bouman</w:t>
            </w:r>
            <w:proofErr w:type="spellEnd"/>
            <w:r w:rsidRPr="00C60369">
              <w:rPr>
                <w:b/>
                <w:sz w:val="20"/>
                <w:szCs w:val="20"/>
              </w:rPr>
              <w:t xml:space="preserve"> et al., 2002 (10)</w:t>
            </w:r>
          </w:p>
        </w:tc>
        <w:tc>
          <w:tcPr>
            <w:tcW w:w="529" w:type="pct"/>
            <w:vAlign w:val="center"/>
          </w:tcPr>
          <w:p w:rsidR="00DC493E" w:rsidRPr="00C60369" w:rsidRDefault="00DC493E" w:rsidP="00567C4E">
            <w:pPr>
              <w:pStyle w:val="Default"/>
              <w:snapToGrid w:val="0"/>
              <w:jc w:val="both"/>
              <w:rPr>
                <w:sz w:val="20"/>
                <w:szCs w:val="20"/>
              </w:rPr>
            </w:pPr>
            <w:r w:rsidRPr="00C60369">
              <w:rPr>
                <w:sz w:val="20"/>
                <w:szCs w:val="20"/>
              </w:rPr>
              <w:t>Netherland</w:t>
            </w:r>
          </w:p>
        </w:tc>
        <w:tc>
          <w:tcPr>
            <w:tcW w:w="517" w:type="pct"/>
            <w:vAlign w:val="center"/>
          </w:tcPr>
          <w:p w:rsidR="00DC493E" w:rsidRPr="00C60369" w:rsidRDefault="00DC493E" w:rsidP="00567C4E">
            <w:pPr>
              <w:pStyle w:val="Default"/>
              <w:snapToGrid w:val="0"/>
              <w:jc w:val="both"/>
              <w:rPr>
                <w:sz w:val="20"/>
                <w:szCs w:val="20"/>
              </w:rPr>
            </w:pPr>
            <w:r w:rsidRPr="00C60369">
              <w:rPr>
                <w:sz w:val="20"/>
                <w:szCs w:val="20"/>
              </w:rPr>
              <w:t>1998-2000</w:t>
            </w:r>
          </w:p>
        </w:tc>
        <w:tc>
          <w:tcPr>
            <w:tcW w:w="589" w:type="pct"/>
            <w:vAlign w:val="center"/>
          </w:tcPr>
          <w:p w:rsidR="00DC493E" w:rsidRPr="00C60369" w:rsidRDefault="00DC493E" w:rsidP="00567C4E">
            <w:pPr>
              <w:pStyle w:val="Default"/>
              <w:snapToGrid w:val="0"/>
              <w:jc w:val="both"/>
              <w:rPr>
                <w:sz w:val="20"/>
                <w:szCs w:val="20"/>
              </w:rPr>
            </w:pPr>
            <w:r w:rsidRPr="00C60369">
              <w:rPr>
                <w:sz w:val="20"/>
                <w:szCs w:val="20"/>
              </w:rPr>
              <w:t>Two center</w:t>
            </w:r>
          </w:p>
        </w:tc>
        <w:tc>
          <w:tcPr>
            <w:tcW w:w="1137" w:type="pct"/>
            <w:vAlign w:val="center"/>
          </w:tcPr>
          <w:p w:rsidR="00DC493E" w:rsidRPr="00C60369" w:rsidRDefault="00DC493E" w:rsidP="00567C4E">
            <w:pPr>
              <w:pStyle w:val="Default"/>
              <w:snapToGrid w:val="0"/>
              <w:jc w:val="both"/>
              <w:rPr>
                <w:sz w:val="20"/>
                <w:szCs w:val="20"/>
              </w:rPr>
            </w:pPr>
            <w:r w:rsidRPr="00C60369">
              <w:rPr>
                <w:sz w:val="20"/>
                <w:szCs w:val="20"/>
              </w:rPr>
              <w:t>28</w:t>
            </w:r>
          </w:p>
        </w:tc>
        <w:tc>
          <w:tcPr>
            <w:tcW w:w="277" w:type="pct"/>
            <w:shd w:val="clear" w:color="000000" w:fill="auto"/>
            <w:vAlign w:val="center"/>
          </w:tcPr>
          <w:p w:rsidR="00DC493E" w:rsidRPr="00C60369" w:rsidRDefault="00DC493E" w:rsidP="00567C4E">
            <w:pPr>
              <w:pStyle w:val="Default"/>
              <w:snapToGrid w:val="0"/>
              <w:jc w:val="both"/>
              <w:rPr>
                <w:sz w:val="20"/>
                <w:szCs w:val="20"/>
              </w:rPr>
            </w:pPr>
            <w:r w:rsidRPr="00C60369">
              <w:rPr>
                <w:sz w:val="20"/>
                <w:szCs w:val="20"/>
              </w:rPr>
              <w:t>106</w:t>
            </w:r>
          </w:p>
        </w:tc>
        <w:tc>
          <w:tcPr>
            <w:tcW w:w="312" w:type="pct"/>
            <w:shd w:val="clear" w:color="000000" w:fill="auto"/>
            <w:vAlign w:val="center"/>
          </w:tcPr>
          <w:p w:rsidR="00DC493E" w:rsidRPr="00C60369" w:rsidRDefault="00DC493E" w:rsidP="00567C4E">
            <w:pPr>
              <w:pStyle w:val="Default"/>
              <w:snapToGrid w:val="0"/>
              <w:jc w:val="both"/>
              <w:rPr>
                <w:sz w:val="20"/>
                <w:szCs w:val="20"/>
              </w:rPr>
            </w:pPr>
            <w:r w:rsidRPr="00C60369">
              <w:rPr>
                <w:sz w:val="20"/>
                <w:szCs w:val="20"/>
              </w:rPr>
              <w:t>70</w:t>
            </w:r>
          </w:p>
        </w:tc>
        <w:tc>
          <w:tcPr>
            <w:tcW w:w="265" w:type="pct"/>
            <w:shd w:val="clear" w:color="000000" w:fill="auto"/>
            <w:vAlign w:val="center"/>
          </w:tcPr>
          <w:p w:rsidR="00DC493E" w:rsidRPr="00C60369" w:rsidRDefault="00DC493E" w:rsidP="00567C4E">
            <w:pPr>
              <w:pStyle w:val="Default"/>
              <w:snapToGrid w:val="0"/>
              <w:jc w:val="both"/>
              <w:rPr>
                <w:sz w:val="20"/>
                <w:szCs w:val="20"/>
              </w:rPr>
            </w:pPr>
            <w:r w:rsidRPr="00C60369">
              <w:rPr>
                <w:sz w:val="20"/>
                <w:szCs w:val="20"/>
              </w:rPr>
              <w:t>36</w:t>
            </w:r>
          </w:p>
        </w:tc>
      </w:tr>
      <w:tr w:rsidR="00062324" w:rsidRPr="00C60369" w:rsidTr="00C60369">
        <w:trPr>
          <w:jc w:val="center"/>
        </w:trPr>
        <w:tc>
          <w:tcPr>
            <w:tcW w:w="1373" w:type="pct"/>
            <w:shd w:val="clear" w:color="000000" w:fill="auto"/>
            <w:vAlign w:val="center"/>
          </w:tcPr>
          <w:p w:rsidR="00DC493E" w:rsidRPr="00C60369" w:rsidRDefault="00DC493E" w:rsidP="00567C4E">
            <w:pPr>
              <w:pStyle w:val="Default"/>
              <w:snapToGrid w:val="0"/>
              <w:jc w:val="both"/>
              <w:rPr>
                <w:b/>
                <w:sz w:val="20"/>
                <w:szCs w:val="20"/>
              </w:rPr>
            </w:pPr>
            <w:proofErr w:type="spellStart"/>
            <w:r w:rsidRPr="00C60369">
              <w:rPr>
                <w:b/>
                <w:sz w:val="20"/>
                <w:szCs w:val="20"/>
              </w:rPr>
              <w:t>Durmaz</w:t>
            </w:r>
            <w:proofErr w:type="spellEnd"/>
            <w:r w:rsidRPr="00C60369">
              <w:rPr>
                <w:b/>
                <w:sz w:val="20"/>
                <w:szCs w:val="20"/>
              </w:rPr>
              <w:t xml:space="preserve"> et al.,2003 (11)</w:t>
            </w:r>
          </w:p>
        </w:tc>
        <w:tc>
          <w:tcPr>
            <w:tcW w:w="529" w:type="pct"/>
            <w:vAlign w:val="center"/>
          </w:tcPr>
          <w:p w:rsidR="00DC493E" w:rsidRPr="00C60369" w:rsidRDefault="00DC493E" w:rsidP="00567C4E">
            <w:pPr>
              <w:pStyle w:val="Default"/>
              <w:snapToGrid w:val="0"/>
              <w:jc w:val="both"/>
              <w:rPr>
                <w:sz w:val="20"/>
                <w:szCs w:val="20"/>
              </w:rPr>
            </w:pPr>
            <w:r w:rsidRPr="00C60369">
              <w:rPr>
                <w:sz w:val="20"/>
                <w:szCs w:val="20"/>
              </w:rPr>
              <w:t>Turkey</w:t>
            </w:r>
          </w:p>
        </w:tc>
        <w:tc>
          <w:tcPr>
            <w:tcW w:w="517" w:type="pct"/>
            <w:vAlign w:val="center"/>
          </w:tcPr>
          <w:p w:rsidR="00DC493E" w:rsidRPr="00C60369" w:rsidRDefault="00DC493E" w:rsidP="00567C4E">
            <w:pPr>
              <w:pStyle w:val="Default"/>
              <w:snapToGrid w:val="0"/>
              <w:jc w:val="both"/>
              <w:rPr>
                <w:sz w:val="20"/>
                <w:szCs w:val="20"/>
              </w:rPr>
            </w:pPr>
            <w:r w:rsidRPr="00C60369">
              <w:rPr>
                <w:sz w:val="20"/>
                <w:szCs w:val="20"/>
              </w:rPr>
              <w:t>1999–2001</w:t>
            </w:r>
          </w:p>
        </w:tc>
        <w:tc>
          <w:tcPr>
            <w:tcW w:w="589" w:type="pct"/>
            <w:vAlign w:val="center"/>
          </w:tcPr>
          <w:p w:rsidR="00DC493E" w:rsidRPr="00C60369" w:rsidRDefault="00DC493E" w:rsidP="00567C4E">
            <w:pPr>
              <w:pStyle w:val="Default"/>
              <w:snapToGrid w:val="0"/>
              <w:jc w:val="both"/>
              <w:rPr>
                <w:sz w:val="20"/>
                <w:szCs w:val="20"/>
              </w:rPr>
            </w:pPr>
            <w:r w:rsidRPr="00C60369">
              <w:rPr>
                <w:sz w:val="20"/>
                <w:szCs w:val="20"/>
              </w:rPr>
              <w:t>Single center</w:t>
            </w:r>
          </w:p>
        </w:tc>
        <w:tc>
          <w:tcPr>
            <w:tcW w:w="1137" w:type="pct"/>
            <w:vAlign w:val="center"/>
          </w:tcPr>
          <w:p w:rsidR="00DC493E" w:rsidRPr="00C60369" w:rsidRDefault="00DC493E" w:rsidP="00567C4E">
            <w:pPr>
              <w:pStyle w:val="Default"/>
              <w:snapToGrid w:val="0"/>
              <w:jc w:val="both"/>
              <w:rPr>
                <w:sz w:val="20"/>
                <w:szCs w:val="20"/>
              </w:rPr>
            </w:pPr>
            <w:r w:rsidRPr="00C60369">
              <w:rPr>
                <w:sz w:val="20"/>
                <w:szCs w:val="20"/>
              </w:rPr>
              <w:t>30</w:t>
            </w:r>
          </w:p>
        </w:tc>
        <w:tc>
          <w:tcPr>
            <w:tcW w:w="277" w:type="pct"/>
            <w:shd w:val="clear" w:color="000000" w:fill="auto"/>
            <w:vAlign w:val="center"/>
          </w:tcPr>
          <w:p w:rsidR="00DC493E" w:rsidRPr="00C60369" w:rsidRDefault="00DC493E" w:rsidP="00567C4E">
            <w:pPr>
              <w:pStyle w:val="Default"/>
              <w:snapToGrid w:val="0"/>
              <w:jc w:val="both"/>
              <w:rPr>
                <w:sz w:val="20"/>
                <w:szCs w:val="20"/>
              </w:rPr>
            </w:pPr>
            <w:r w:rsidRPr="00C60369">
              <w:rPr>
                <w:sz w:val="20"/>
                <w:szCs w:val="20"/>
              </w:rPr>
              <w:t>44</w:t>
            </w:r>
          </w:p>
        </w:tc>
        <w:tc>
          <w:tcPr>
            <w:tcW w:w="312" w:type="pct"/>
            <w:shd w:val="clear" w:color="000000" w:fill="auto"/>
            <w:vAlign w:val="center"/>
          </w:tcPr>
          <w:p w:rsidR="00DC493E" w:rsidRPr="00C60369" w:rsidRDefault="00DC493E" w:rsidP="00567C4E">
            <w:pPr>
              <w:pStyle w:val="Default"/>
              <w:snapToGrid w:val="0"/>
              <w:jc w:val="both"/>
              <w:rPr>
                <w:sz w:val="20"/>
                <w:szCs w:val="20"/>
              </w:rPr>
            </w:pPr>
            <w:r w:rsidRPr="00C60369">
              <w:rPr>
                <w:sz w:val="20"/>
                <w:szCs w:val="20"/>
              </w:rPr>
              <w:t>21</w:t>
            </w:r>
          </w:p>
        </w:tc>
        <w:tc>
          <w:tcPr>
            <w:tcW w:w="265" w:type="pct"/>
            <w:shd w:val="clear" w:color="000000" w:fill="auto"/>
            <w:vAlign w:val="center"/>
          </w:tcPr>
          <w:p w:rsidR="00DC493E" w:rsidRPr="00C60369" w:rsidRDefault="00DC493E" w:rsidP="00567C4E">
            <w:pPr>
              <w:pStyle w:val="Default"/>
              <w:snapToGrid w:val="0"/>
              <w:jc w:val="both"/>
              <w:rPr>
                <w:sz w:val="20"/>
                <w:szCs w:val="20"/>
              </w:rPr>
            </w:pPr>
            <w:r w:rsidRPr="00C60369">
              <w:rPr>
                <w:sz w:val="20"/>
                <w:szCs w:val="20"/>
              </w:rPr>
              <w:t>23</w:t>
            </w:r>
          </w:p>
        </w:tc>
      </w:tr>
      <w:tr w:rsidR="00062324" w:rsidRPr="00C60369" w:rsidTr="00C60369">
        <w:trPr>
          <w:jc w:val="center"/>
        </w:trPr>
        <w:tc>
          <w:tcPr>
            <w:tcW w:w="1373" w:type="pct"/>
            <w:shd w:val="clear" w:color="000000" w:fill="auto"/>
            <w:vAlign w:val="center"/>
          </w:tcPr>
          <w:p w:rsidR="00DC493E" w:rsidRPr="00C60369" w:rsidRDefault="00DC493E" w:rsidP="00567C4E">
            <w:pPr>
              <w:pStyle w:val="Default"/>
              <w:snapToGrid w:val="0"/>
              <w:jc w:val="both"/>
              <w:rPr>
                <w:b/>
                <w:sz w:val="20"/>
                <w:szCs w:val="20"/>
              </w:rPr>
            </w:pPr>
            <w:proofErr w:type="spellStart"/>
            <w:r w:rsidRPr="00C60369">
              <w:rPr>
                <w:b/>
                <w:sz w:val="20"/>
                <w:szCs w:val="20"/>
              </w:rPr>
              <w:t>Sugahara</w:t>
            </w:r>
            <w:proofErr w:type="spellEnd"/>
            <w:r w:rsidRPr="00C60369">
              <w:rPr>
                <w:b/>
                <w:sz w:val="20"/>
                <w:szCs w:val="20"/>
              </w:rPr>
              <w:t xml:space="preserve"> and suzuki,2004 (12)</w:t>
            </w:r>
          </w:p>
        </w:tc>
        <w:tc>
          <w:tcPr>
            <w:tcW w:w="529" w:type="pct"/>
            <w:vAlign w:val="center"/>
          </w:tcPr>
          <w:p w:rsidR="00DC493E" w:rsidRPr="00C60369" w:rsidRDefault="00DC493E" w:rsidP="00567C4E">
            <w:pPr>
              <w:pStyle w:val="Default"/>
              <w:snapToGrid w:val="0"/>
              <w:jc w:val="both"/>
              <w:rPr>
                <w:sz w:val="20"/>
                <w:szCs w:val="20"/>
              </w:rPr>
            </w:pPr>
            <w:r w:rsidRPr="00C60369">
              <w:rPr>
                <w:sz w:val="20"/>
                <w:szCs w:val="20"/>
              </w:rPr>
              <w:t>Japan</w:t>
            </w:r>
          </w:p>
        </w:tc>
        <w:tc>
          <w:tcPr>
            <w:tcW w:w="517" w:type="pct"/>
            <w:vAlign w:val="center"/>
          </w:tcPr>
          <w:p w:rsidR="00DC493E" w:rsidRPr="00C60369" w:rsidRDefault="00DC493E" w:rsidP="00567C4E">
            <w:pPr>
              <w:pStyle w:val="Default"/>
              <w:snapToGrid w:val="0"/>
              <w:jc w:val="both"/>
              <w:rPr>
                <w:sz w:val="20"/>
                <w:szCs w:val="20"/>
              </w:rPr>
            </w:pPr>
            <w:r w:rsidRPr="00C60369">
              <w:rPr>
                <w:sz w:val="20"/>
                <w:szCs w:val="20"/>
              </w:rPr>
              <w:t>1995–1997</w:t>
            </w:r>
          </w:p>
        </w:tc>
        <w:tc>
          <w:tcPr>
            <w:tcW w:w="589" w:type="pct"/>
            <w:vAlign w:val="center"/>
          </w:tcPr>
          <w:p w:rsidR="00DC493E" w:rsidRPr="00C60369" w:rsidRDefault="00DC493E" w:rsidP="00567C4E">
            <w:pPr>
              <w:pStyle w:val="Default"/>
              <w:snapToGrid w:val="0"/>
              <w:jc w:val="both"/>
              <w:rPr>
                <w:sz w:val="20"/>
                <w:szCs w:val="20"/>
              </w:rPr>
            </w:pPr>
            <w:r w:rsidRPr="00C60369">
              <w:rPr>
                <w:sz w:val="20"/>
                <w:szCs w:val="20"/>
              </w:rPr>
              <w:t>Single center</w:t>
            </w:r>
          </w:p>
        </w:tc>
        <w:tc>
          <w:tcPr>
            <w:tcW w:w="1137" w:type="pct"/>
            <w:vAlign w:val="center"/>
          </w:tcPr>
          <w:p w:rsidR="00DC493E" w:rsidRPr="00C60369" w:rsidRDefault="00DC493E" w:rsidP="00567C4E">
            <w:pPr>
              <w:pStyle w:val="Default"/>
              <w:snapToGrid w:val="0"/>
              <w:jc w:val="both"/>
              <w:rPr>
                <w:sz w:val="20"/>
                <w:szCs w:val="20"/>
              </w:rPr>
            </w:pPr>
            <w:r w:rsidRPr="00C60369">
              <w:rPr>
                <w:sz w:val="20"/>
                <w:szCs w:val="20"/>
              </w:rPr>
              <w:t>14</w:t>
            </w:r>
          </w:p>
        </w:tc>
        <w:tc>
          <w:tcPr>
            <w:tcW w:w="277" w:type="pct"/>
            <w:shd w:val="clear" w:color="000000" w:fill="auto"/>
            <w:vAlign w:val="center"/>
          </w:tcPr>
          <w:p w:rsidR="00DC493E" w:rsidRPr="00C60369" w:rsidRDefault="00DC493E" w:rsidP="00567C4E">
            <w:pPr>
              <w:pStyle w:val="Default"/>
              <w:snapToGrid w:val="0"/>
              <w:jc w:val="both"/>
              <w:rPr>
                <w:sz w:val="20"/>
                <w:szCs w:val="20"/>
              </w:rPr>
            </w:pPr>
            <w:r w:rsidRPr="00C60369">
              <w:rPr>
                <w:sz w:val="20"/>
                <w:szCs w:val="20"/>
              </w:rPr>
              <w:t>28</w:t>
            </w:r>
          </w:p>
        </w:tc>
        <w:tc>
          <w:tcPr>
            <w:tcW w:w="312" w:type="pct"/>
            <w:shd w:val="clear" w:color="000000" w:fill="auto"/>
            <w:vAlign w:val="center"/>
          </w:tcPr>
          <w:p w:rsidR="00DC493E" w:rsidRPr="00C60369" w:rsidRDefault="00DC493E" w:rsidP="00567C4E">
            <w:pPr>
              <w:pStyle w:val="Default"/>
              <w:snapToGrid w:val="0"/>
              <w:jc w:val="both"/>
              <w:rPr>
                <w:sz w:val="20"/>
                <w:szCs w:val="20"/>
              </w:rPr>
            </w:pPr>
            <w:r w:rsidRPr="00C60369">
              <w:rPr>
                <w:sz w:val="20"/>
                <w:szCs w:val="20"/>
              </w:rPr>
              <w:t>14</w:t>
            </w:r>
          </w:p>
        </w:tc>
        <w:tc>
          <w:tcPr>
            <w:tcW w:w="265" w:type="pct"/>
            <w:shd w:val="clear" w:color="000000" w:fill="auto"/>
            <w:vAlign w:val="center"/>
          </w:tcPr>
          <w:p w:rsidR="00DC493E" w:rsidRPr="00C60369" w:rsidRDefault="00DC493E" w:rsidP="00567C4E">
            <w:pPr>
              <w:pStyle w:val="Default"/>
              <w:snapToGrid w:val="0"/>
              <w:jc w:val="both"/>
              <w:rPr>
                <w:sz w:val="20"/>
                <w:szCs w:val="20"/>
              </w:rPr>
            </w:pPr>
            <w:r w:rsidRPr="00C60369">
              <w:rPr>
                <w:sz w:val="20"/>
                <w:szCs w:val="20"/>
              </w:rPr>
              <w:t>14</w:t>
            </w:r>
          </w:p>
        </w:tc>
      </w:tr>
      <w:tr w:rsidR="00062324" w:rsidRPr="00C60369" w:rsidTr="00C60369">
        <w:trPr>
          <w:jc w:val="center"/>
        </w:trPr>
        <w:tc>
          <w:tcPr>
            <w:tcW w:w="1373" w:type="pct"/>
            <w:shd w:val="clear" w:color="000000" w:fill="auto"/>
            <w:vAlign w:val="center"/>
          </w:tcPr>
          <w:p w:rsidR="00DC493E" w:rsidRPr="00C60369" w:rsidRDefault="00DC493E" w:rsidP="00567C4E">
            <w:pPr>
              <w:pStyle w:val="Default"/>
              <w:snapToGrid w:val="0"/>
              <w:jc w:val="both"/>
              <w:rPr>
                <w:b/>
                <w:sz w:val="20"/>
                <w:szCs w:val="20"/>
              </w:rPr>
            </w:pPr>
            <w:proofErr w:type="spellStart"/>
            <w:r w:rsidRPr="00C60369">
              <w:rPr>
                <w:b/>
                <w:sz w:val="20"/>
                <w:szCs w:val="20"/>
              </w:rPr>
              <w:t>Payen</w:t>
            </w:r>
            <w:proofErr w:type="spellEnd"/>
            <w:r w:rsidRPr="00C60369">
              <w:rPr>
                <w:b/>
                <w:sz w:val="20"/>
                <w:szCs w:val="20"/>
              </w:rPr>
              <w:t xml:space="preserve"> et al.,2009 (13)</w:t>
            </w:r>
          </w:p>
        </w:tc>
        <w:tc>
          <w:tcPr>
            <w:tcW w:w="529" w:type="pct"/>
            <w:vAlign w:val="center"/>
          </w:tcPr>
          <w:p w:rsidR="00DC493E" w:rsidRPr="00C60369" w:rsidRDefault="00DC493E" w:rsidP="00567C4E">
            <w:pPr>
              <w:pStyle w:val="Default"/>
              <w:snapToGrid w:val="0"/>
              <w:jc w:val="both"/>
              <w:rPr>
                <w:sz w:val="20"/>
                <w:szCs w:val="20"/>
              </w:rPr>
            </w:pPr>
            <w:r w:rsidRPr="00C60369">
              <w:rPr>
                <w:sz w:val="20"/>
                <w:szCs w:val="20"/>
              </w:rPr>
              <w:t>France</w:t>
            </w:r>
          </w:p>
        </w:tc>
        <w:tc>
          <w:tcPr>
            <w:tcW w:w="517" w:type="pct"/>
            <w:vAlign w:val="center"/>
          </w:tcPr>
          <w:p w:rsidR="00DC493E" w:rsidRPr="00C60369" w:rsidRDefault="00DC493E" w:rsidP="00567C4E">
            <w:pPr>
              <w:pStyle w:val="Default"/>
              <w:snapToGrid w:val="0"/>
              <w:jc w:val="both"/>
              <w:rPr>
                <w:sz w:val="20"/>
                <w:szCs w:val="20"/>
              </w:rPr>
            </w:pPr>
            <w:r w:rsidRPr="00C60369">
              <w:rPr>
                <w:sz w:val="20"/>
                <w:szCs w:val="20"/>
              </w:rPr>
              <w:t>1997-2000</w:t>
            </w:r>
          </w:p>
        </w:tc>
        <w:tc>
          <w:tcPr>
            <w:tcW w:w="589" w:type="pct"/>
            <w:vAlign w:val="center"/>
          </w:tcPr>
          <w:p w:rsidR="00DC493E" w:rsidRPr="00C60369" w:rsidRDefault="00DC493E" w:rsidP="00567C4E">
            <w:pPr>
              <w:pStyle w:val="Default"/>
              <w:snapToGrid w:val="0"/>
              <w:jc w:val="both"/>
              <w:rPr>
                <w:sz w:val="20"/>
                <w:szCs w:val="20"/>
              </w:rPr>
            </w:pPr>
            <w:r w:rsidRPr="00C60369">
              <w:rPr>
                <w:sz w:val="20"/>
                <w:szCs w:val="20"/>
              </w:rPr>
              <w:t>Multi center</w:t>
            </w:r>
          </w:p>
        </w:tc>
        <w:tc>
          <w:tcPr>
            <w:tcW w:w="1137" w:type="pct"/>
            <w:vAlign w:val="center"/>
          </w:tcPr>
          <w:p w:rsidR="00DC493E" w:rsidRPr="00C60369" w:rsidRDefault="00DC493E" w:rsidP="00567C4E">
            <w:pPr>
              <w:pStyle w:val="Default"/>
              <w:snapToGrid w:val="0"/>
              <w:jc w:val="both"/>
              <w:rPr>
                <w:sz w:val="20"/>
                <w:szCs w:val="20"/>
              </w:rPr>
            </w:pPr>
            <w:r w:rsidRPr="00C60369">
              <w:rPr>
                <w:sz w:val="20"/>
                <w:szCs w:val="20"/>
              </w:rPr>
              <w:t>28</w:t>
            </w:r>
          </w:p>
        </w:tc>
        <w:tc>
          <w:tcPr>
            <w:tcW w:w="277" w:type="pct"/>
            <w:shd w:val="clear" w:color="000000" w:fill="auto"/>
            <w:vAlign w:val="center"/>
          </w:tcPr>
          <w:p w:rsidR="00DC493E" w:rsidRPr="00C60369" w:rsidRDefault="00DC493E" w:rsidP="00567C4E">
            <w:pPr>
              <w:pStyle w:val="Default"/>
              <w:snapToGrid w:val="0"/>
              <w:jc w:val="both"/>
              <w:rPr>
                <w:sz w:val="20"/>
                <w:szCs w:val="20"/>
              </w:rPr>
            </w:pPr>
            <w:r w:rsidRPr="00C60369">
              <w:rPr>
                <w:sz w:val="20"/>
                <w:szCs w:val="20"/>
              </w:rPr>
              <w:t>76</w:t>
            </w:r>
          </w:p>
        </w:tc>
        <w:tc>
          <w:tcPr>
            <w:tcW w:w="312" w:type="pct"/>
            <w:shd w:val="clear" w:color="000000" w:fill="auto"/>
            <w:vAlign w:val="center"/>
          </w:tcPr>
          <w:p w:rsidR="00DC493E" w:rsidRPr="00C60369" w:rsidRDefault="00DC493E" w:rsidP="00567C4E">
            <w:pPr>
              <w:pStyle w:val="Default"/>
              <w:snapToGrid w:val="0"/>
              <w:jc w:val="both"/>
              <w:rPr>
                <w:sz w:val="20"/>
                <w:szCs w:val="20"/>
              </w:rPr>
            </w:pPr>
            <w:r w:rsidRPr="00C60369">
              <w:rPr>
                <w:sz w:val="20"/>
                <w:szCs w:val="20"/>
              </w:rPr>
              <w:t>37</w:t>
            </w:r>
          </w:p>
        </w:tc>
        <w:tc>
          <w:tcPr>
            <w:tcW w:w="265" w:type="pct"/>
            <w:shd w:val="clear" w:color="000000" w:fill="auto"/>
            <w:vAlign w:val="center"/>
          </w:tcPr>
          <w:p w:rsidR="00DC493E" w:rsidRPr="00C60369" w:rsidRDefault="00DC493E" w:rsidP="00567C4E">
            <w:pPr>
              <w:pStyle w:val="Default"/>
              <w:snapToGrid w:val="0"/>
              <w:jc w:val="both"/>
              <w:rPr>
                <w:sz w:val="20"/>
                <w:szCs w:val="20"/>
              </w:rPr>
            </w:pPr>
            <w:r w:rsidRPr="00C60369">
              <w:rPr>
                <w:sz w:val="20"/>
                <w:szCs w:val="20"/>
              </w:rPr>
              <w:t>39</w:t>
            </w:r>
          </w:p>
        </w:tc>
      </w:tr>
      <w:tr w:rsidR="00062324" w:rsidRPr="00C60369" w:rsidTr="00C60369">
        <w:trPr>
          <w:jc w:val="center"/>
        </w:trPr>
        <w:tc>
          <w:tcPr>
            <w:tcW w:w="1373" w:type="pct"/>
            <w:shd w:val="clear" w:color="000000" w:fill="auto"/>
            <w:vAlign w:val="center"/>
          </w:tcPr>
          <w:p w:rsidR="00DC493E" w:rsidRPr="00C60369" w:rsidRDefault="00DC493E" w:rsidP="00567C4E">
            <w:pPr>
              <w:pStyle w:val="Default"/>
              <w:snapToGrid w:val="0"/>
              <w:jc w:val="both"/>
              <w:rPr>
                <w:b/>
                <w:sz w:val="20"/>
                <w:szCs w:val="20"/>
              </w:rPr>
            </w:pPr>
            <w:proofErr w:type="spellStart"/>
            <w:r w:rsidRPr="00C60369">
              <w:rPr>
                <w:b/>
                <w:sz w:val="20"/>
                <w:szCs w:val="20"/>
              </w:rPr>
              <w:t>Jamale</w:t>
            </w:r>
            <w:proofErr w:type="spellEnd"/>
            <w:r w:rsidRPr="00C60369">
              <w:rPr>
                <w:b/>
                <w:sz w:val="20"/>
                <w:szCs w:val="20"/>
              </w:rPr>
              <w:t xml:space="preserve"> et al.,2013 (14)</w:t>
            </w:r>
          </w:p>
        </w:tc>
        <w:tc>
          <w:tcPr>
            <w:tcW w:w="529" w:type="pct"/>
            <w:vAlign w:val="center"/>
          </w:tcPr>
          <w:p w:rsidR="00DC493E" w:rsidRPr="00C60369" w:rsidRDefault="00DC493E" w:rsidP="00567C4E">
            <w:pPr>
              <w:pStyle w:val="Default"/>
              <w:snapToGrid w:val="0"/>
              <w:jc w:val="both"/>
              <w:rPr>
                <w:sz w:val="20"/>
                <w:szCs w:val="20"/>
              </w:rPr>
            </w:pPr>
            <w:r w:rsidRPr="00C60369">
              <w:rPr>
                <w:sz w:val="20"/>
                <w:szCs w:val="20"/>
              </w:rPr>
              <w:t>India</w:t>
            </w:r>
          </w:p>
        </w:tc>
        <w:tc>
          <w:tcPr>
            <w:tcW w:w="517" w:type="pct"/>
            <w:vAlign w:val="center"/>
          </w:tcPr>
          <w:p w:rsidR="00DC493E" w:rsidRPr="00C60369" w:rsidRDefault="00DC493E" w:rsidP="00567C4E">
            <w:pPr>
              <w:pStyle w:val="Default"/>
              <w:snapToGrid w:val="0"/>
              <w:jc w:val="both"/>
              <w:rPr>
                <w:sz w:val="20"/>
                <w:szCs w:val="20"/>
              </w:rPr>
            </w:pPr>
            <w:r w:rsidRPr="00C60369">
              <w:rPr>
                <w:sz w:val="20"/>
                <w:szCs w:val="20"/>
              </w:rPr>
              <w:t>2010–2012</w:t>
            </w:r>
          </w:p>
        </w:tc>
        <w:tc>
          <w:tcPr>
            <w:tcW w:w="589" w:type="pct"/>
            <w:vAlign w:val="center"/>
          </w:tcPr>
          <w:p w:rsidR="00DC493E" w:rsidRPr="00C60369" w:rsidRDefault="00DC493E" w:rsidP="00567C4E">
            <w:pPr>
              <w:pStyle w:val="Default"/>
              <w:snapToGrid w:val="0"/>
              <w:jc w:val="both"/>
              <w:rPr>
                <w:sz w:val="20"/>
                <w:szCs w:val="20"/>
              </w:rPr>
            </w:pPr>
            <w:r w:rsidRPr="00C60369">
              <w:rPr>
                <w:sz w:val="20"/>
                <w:szCs w:val="20"/>
              </w:rPr>
              <w:t>Single center</w:t>
            </w:r>
          </w:p>
        </w:tc>
        <w:tc>
          <w:tcPr>
            <w:tcW w:w="1137" w:type="pct"/>
            <w:vAlign w:val="center"/>
          </w:tcPr>
          <w:p w:rsidR="00DC493E" w:rsidRPr="00C60369" w:rsidRDefault="00DC493E" w:rsidP="00567C4E">
            <w:pPr>
              <w:pStyle w:val="Default"/>
              <w:snapToGrid w:val="0"/>
              <w:jc w:val="both"/>
              <w:rPr>
                <w:sz w:val="20"/>
                <w:szCs w:val="20"/>
              </w:rPr>
            </w:pPr>
            <w:r w:rsidRPr="00C60369">
              <w:rPr>
                <w:sz w:val="20"/>
                <w:szCs w:val="20"/>
              </w:rPr>
              <w:t>90</w:t>
            </w:r>
          </w:p>
        </w:tc>
        <w:tc>
          <w:tcPr>
            <w:tcW w:w="277" w:type="pct"/>
            <w:shd w:val="clear" w:color="000000" w:fill="auto"/>
            <w:vAlign w:val="center"/>
          </w:tcPr>
          <w:p w:rsidR="00DC493E" w:rsidRPr="00C60369" w:rsidRDefault="00DC493E" w:rsidP="00567C4E">
            <w:pPr>
              <w:pStyle w:val="Default"/>
              <w:snapToGrid w:val="0"/>
              <w:jc w:val="both"/>
              <w:rPr>
                <w:sz w:val="20"/>
                <w:szCs w:val="20"/>
              </w:rPr>
            </w:pPr>
            <w:r w:rsidRPr="00C60369">
              <w:rPr>
                <w:sz w:val="20"/>
                <w:szCs w:val="20"/>
              </w:rPr>
              <w:t>208</w:t>
            </w:r>
          </w:p>
        </w:tc>
        <w:tc>
          <w:tcPr>
            <w:tcW w:w="312" w:type="pct"/>
            <w:shd w:val="clear" w:color="000000" w:fill="auto"/>
            <w:vAlign w:val="center"/>
          </w:tcPr>
          <w:p w:rsidR="00DC493E" w:rsidRPr="00C60369" w:rsidRDefault="00DC493E" w:rsidP="00567C4E">
            <w:pPr>
              <w:pStyle w:val="Default"/>
              <w:snapToGrid w:val="0"/>
              <w:jc w:val="both"/>
              <w:rPr>
                <w:sz w:val="20"/>
                <w:szCs w:val="20"/>
              </w:rPr>
            </w:pPr>
            <w:r w:rsidRPr="00C60369">
              <w:rPr>
                <w:sz w:val="20"/>
                <w:szCs w:val="20"/>
              </w:rPr>
              <w:t>102</w:t>
            </w:r>
          </w:p>
        </w:tc>
        <w:tc>
          <w:tcPr>
            <w:tcW w:w="265" w:type="pct"/>
            <w:shd w:val="clear" w:color="000000" w:fill="auto"/>
            <w:vAlign w:val="center"/>
          </w:tcPr>
          <w:p w:rsidR="00DC493E" w:rsidRPr="00C60369" w:rsidRDefault="00DC493E" w:rsidP="00567C4E">
            <w:pPr>
              <w:pStyle w:val="Default"/>
              <w:snapToGrid w:val="0"/>
              <w:jc w:val="both"/>
              <w:rPr>
                <w:sz w:val="20"/>
                <w:szCs w:val="20"/>
              </w:rPr>
            </w:pPr>
            <w:r w:rsidRPr="00C60369">
              <w:rPr>
                <w:sz w:val="20"/>
                <w:szCs w:val="20"/>
              </w:rPr>
              <w:t>106</w:t>
            </w:r>
          </w:p>
        </w:tc>
      </w:tr>
      <w:tr w:rsidR="00062324" w:rsidRPr="00C60369" w:rsidTr="00C60369">
        <w:trPr>
          <w:jc w:val="center"/>
        </w:trPr>
        <w:tc>
          <w:tcPr>
            <w:tcW w:w="1373" w:type="pct"/>
            <w:shd w:val="clear" w:color="000000" w:fill="auto"/>
            <w:vAlign w:val="center"/>
          </w:tcPr>
          <w:p w:rsidR="00DC493E" w:rsidRPr="00C60369" w:rsidRDefault="00DC493E" w:rsidP="00567C4E">
            <w:pPr>
              <w:pStyle w:val="Default"/>
              <w:snapToGrid w:val="0"/>
              <w:jc w:val="both"/>
              <w:rPr>
                <w:b/>
                <w:sz w:val="20"/>
                <w:szCs w:val="20"/>
              </w:rPr>
            </w:pPr>
            <w:proofErr w:type="spellStart"/>
            <w:r w:rsidRPr="00C60369">
              <w:rPr>
                <w:b/>
                <w:sz w:val="20"/>
                <w:szCs w:val="20"/>
              </w:rPr>
              <w:t>Combes</w:t>
            </w:r>
            <w:proofErr w:type="spellEnd"/>
            <w:r w:rsidRPr="00C60369">
              <w:rPr>
                <w:b/>
                <w:sz w:val="20"/>
                <w:szCs w:val="20"/>
              </w:rPr>
              <w:t xml:space="preserve"> et al.,2015 (15)</w:t>
            </w:r>
          </w:p>
        </w:tc>
        <w:tc>
          <w:tcPr>
            <w:tcW w:w="529" w:type="pct"/>
            <w:vAlign w:val="center"/>
          </w:tcPr>
          <w:p w:rsidR="00DC493E" w:rsidRPr="00C60369" w:rsidRDefault="00DC493E" w:rsidP="00567C4E">
            <w:pPr>
              <w:pStyle w:val="Default"/>
              <w:snapToGrid w:val="0"/>
              <w:jc w:val="both"/>
              <w:rPr>
                <w:sz w:val="20"/>
                <w:szCs w:val="20"/>
              </w:rPr>
            </w:pPr>
            <w:r w:rsidRPr="00C60369">
              <w:rPr>
                <w:sz w:val="20"/>
                <w:szCs w:val="20"/>
              </w:rPr>
              <w:t>France</w:t>
            </w:r>
          </w:p>
        </w:tc>
        <w:tc>
          <w:tcPr>
            <w:tcW w:w="517" w:type="pct"/>
            <w:vAlign w:val="center"/>
          </w:tcPr>
          <w:p w:rsidR="00DC493E" w:rsidRPr="00C60369" w:rsidRDefault="00DC493E" w:rsidP="00567C4E">
            <w:pPr>
              <w:pStyle w:val="Default"/>
              <w:snapToGrid w:val="0"/>
              <w:jc w:val="both"/>
              <w:rPr>
                <w:sz w:val="20"/>
                <w:szCs w:val="20"/>
              </w:rPr>
            </w:pPr>
            <w:r w:rsidRPr="00C60369">
              <w:rPr>
                <w:sz w:val="20"/>
                <w:szCs w:val="20"/>
              </w:rPr>
              <w:t>2009–2012</w:t>
            </w:r>
          </w:p>
        </w:tc>
        <w:tc>
          <w:tcPr>
            <w:tcW w:w="589" w:type="pct"/>
            <w:vAlign w:val="center"/>
          </w:tcPr>
          <w:p w:rsidR="00DC493E" w:rsidRPr="00C60369" w:rsidRDefault="00DC493E" w:rsidP="00567C4E">
            <w:pPr>
              <w:pStyle w:val="Default"/>
              <w:snapToGrid w:val="0"/>
              <w:jc w:val="both"/>
              <w:rPr>
                <w:sz w:val="20"/>
                <w:szCs w:val="20"/>
              </w:rPr>
            </w:pPr>
            <w:r w:rsidRPr="00C60369">
              <w:rPr>
                <w:sz w:val="20"/>
                <w:szCs w:val="20"/>
              </w:rPr>
              <w:t>Multi center</w:t>
            </w:r>
          </w:p>
        </w:tc>
        <w:tc>
          <w:tcPr>
            <w:tcW w:w="1137" w:type="pct"/>
            <w:vAlign w:val="center"/>
          </w:tcPr>
          <w:p w:rsidR="00DC493E" w:rsidRPr="00C60369" w:rsidRDefault="00DC493E" w:rsidP="00567C4E">
            <w:pPr>
              <w:pStyle w:val="Default"/>
              <w:snapToGrid w:val="0"/>
              <w:jc w:val="both"/>
              <w:rPr>
                <w:sz w:val="20"/>
                <w:szCs w:val="20"/>
              </w:rPr>
            </w:pPr>
            <w:r w:rsidRPr="00C60369">
              <w:rPr>
                <w:sz w:val="20"/>
                <w:szCs w:val="20"/>
              </w:rPr>
              <w:t>90</w:t>
            </w:r>
          </w:p>
        </w:tc>
        <w:tc>
          <w:tcPr>
            <w:tcW w:w="277" w:type="pct"/>
            <w:shd w:val="clear" w:color="000000" w:fill="auto"/>
            <w:vAlign w:val="center"/>
          </w:tcPr>
          <w:p w:rsidR="00DC493E" w:rsidRPr="00C60369" w:rsidRDefault="00DC493E" w:rsidP="00567C4E">
            <w:pPr>
              <w:pStyle w:val="Default"/>
              <w:snapToGrid w:val="0"/>
              <w:jc w:val="both"/>
              <w:rPr>
                <w:sz w:val="20"/>
                <w:szCs w:val="20"/>
              </w:rPr>
            </w:pPr>
            <w:r w:rsidRPr="00C60369">
              <w:rPr>
                <w:sz w:val="20"/>
                <w:szCs w:val="20"/>
              </w:rPr>
              <w:t>224</w:t>
            </w:r>
          </w:p>
        </w:tc>
        <w:tc>
          <w:tcPr>
            <w:tcW w:w="312" w:type="pct"/>
            <w:shd w:val="clear" w:color="000000" w:fill="auto"/>
            <w:vAlign w:val="center"/>
          </w:tcPr>
          <w:p w:rsidR="00DC493E" w:rsidRPr="00C60369" w:rsidRDefault="00DC493E" w:rsidP="00567C4E">
            <w:pPr>
              <w:pStyle w:val="Default"/>
              <w:snapToGrid w:val="0"/>
              <w:jc w:val="both"/>
              <w:rPr>
                <w:sz w:val="20"/>
                <w:szCs w:val="20"/>
              </w:rPr>
            </w:pPr>
            <w:r w:rsidRPr="00C60369">
              <w:rPr>
                <w:sz w:val="20"/>
                <w:szCs w:val="20"/>
              </w:rPr>
              <w:t>112</w:t>
            </w:r>
          </w:p>
        </w:tc>
        <w:tc>
          <w:tcPr>
            <w:tcW w:w="265" w:type="pct"/>
            <w:shd w:val="clear" w:color="000000" w:fill="auto"/>
            <w:vAlign w:val="center"/>
          </w:tcPr>
          <w:p w:rsidR="00DC493E" w:rsidRPr="00C60369" w:rsidRDefault="00DC493E" w:rsidP="00567C4E">
            <w:pPr>
              <w:pStyle w:val="Default"/>
              <w:snapToGrid w:val="0"/>
              <w:jc w:val="both"/>
              <w:rPr>
                <w:sz w:val="20"/>
                <w:szCs w:val="20"/>
              </w:rPr>
            </w:pPr>
            <w:r w:rsidRPr="00C60369">
              <w:rPr>
                <w:sz w:val="20"/>
                <w:szCs w:val="20"/>
              </w:rPr>
              <w:t>112</w:t>
            </w:r>
          </w:p>
        </w:tc>
      </w:tr>
      <w:tr w:rsidR="00062324" w:rsidRPr="00C60369" w:rsidTr="00C60369">
        <w:trPr>
          <w:jc w:val="center"/>
        </w:trPr>
        <w:tc>
          <w:tcPr>
            <w:tcW w:w="1373" w:type="pct"/>
            <w:shd w:val="clear" w:color="000000" w:fill="auto"/>
            <w:vAlign w:val="center"/>
          </w:tcPr>
          <w:p w:rsidR="00DC493E" w:rsidRPr="00C60369" w:rsidRDefault="00DC493E" w:rsidP="00567C4E">
            <w:pPr>
              <w:pStyle w:val="Default"/>
              <w:snapToGrid w:val="0"/>
              <w:jc w:val="both"/>
              <w:rPr>
                <w:b/>
                <w:sz w:val="20"/>
                <w:szCs w:val="20"/>
              </w:rPr>
            </w:pPr>
            <w:r w:rsidRPr="00C60369">
              <w:rPr>
                <w:b/>
                <w:sz w:val="20"/>
                <w:szCs w:val="20"/>
              </w:rPr>
              <w:t>Wald et al.,2015 (16)</w:t>
            </w:r>
          </w:p>
        </w:tc>
        <w:tc>
          <w:tcPr>
            <w:tcW w:w="529" w:type="pct"/>
            <w:vAlign w:val="center"/>
          </w:tcPr>
          <w:p w:rsidR="00DC493E" w:rsidRPr="00C60369" w:rsidRDefault="00DC493E" w:rsidP="00567C4E">
            <w:pPr>
              <w:pStyle w:val="Default"/>
              <w:snapToGrid w:val="0"/>
              <w:jc w:val="both"/>
              <w:rPr>
                <w:sz w:val="20"/>
                <w:szCs w:val="20"/>
              </w:rPr>
            </w:pPr>
            <w:r w:rsidRPr="00C60369">
              <w:rPr>
                <w:sz w:val="20"/>
                <w:szCs w:val="20"/>
              </w:rPr>
              <w:t>Canada</w:t>
            </w:r>
          </w:p>
        </w:tc>
        <w:tc>
          <w:tcPr>
            <w:tcW w:w="517" w:type="pct"/>
            <w:vAlign w:val="center"/>
          </w:tcPr>
          <w:p w:rsidR="00DC493E" w:rsidRPr="00C60369" w:rsidRDefault="00DC493E" w:rsidP="00567C4E">
            <w:pPr>
              <w:pStyle w:val="Default"/>
              <w:snapToGrid w:val="0"/>
              <w:jc w:val="both"/>
              <w:rPr>
                <w:sz w:val="20"/>
                <w:szCs w:val="20"/>
              </w:rPr>
            </w:pPr>
            <w:r w:rsidRPr="00C60369">
              <w:rPr>
                <w:sz w:val="20"/>
                <w:szCs w:val="20"/>
              </w:rPr>
              <w:t>2012–2013</w:t>
            </w:r>
          </w:p>
        </w:tc>
        <w:tc>
          <w:tcPr>
            <w:tcW w:w="589" w:type="pct"/>
            <w:vAlign w:val="center"/>
          </w:tcPr>
          <w:p w:rsidR="00DC493E" w:rsidRPr="00C60369" w:rsidRDefault="00DC493E" w:rsidP="00567C4E">
            <w:pPr>
              <w:pStyle w:val="Default"/>
              <w:snapToGrid w:val="0"/>
              <w:jc w:val="both"/>
              <w:rPr>
                <w:sz w:val="20"/>
                <w:szCs w:val="20"/>
              </w:rPr>
            </w:pPr>
            <w:r w:rsidRPr="00C60369">
              <w:rPr>
                <w:sz w:val="20"/>
                <w:szCs w:val="20"/>
              </w:rPr>
              <w:t>Multi center</w:t>
            </w:r>
          </w:p>
        </w:tc>
        <w:tc>
          <w:tcPr>
            <w:tcW w:w="1137" w:type="pct"/>
            <w:vAlign w:val="center"/>
          </w:tcPr>
          <w:p w:rsidR="00DC493E" w:rsidRPr="00C60369" w:rsidRDefault="00DC493E" w:rsidP="00567C4E">
            <w:pPr>
              <w:pStyle w:val="Default"/>
              <w:snapToGrid w:val="0"/>
              <w:jc w:val="both"/>
              <w:rPr>
                <w:sz w:val="20"/>
                <w:szCs w:val="20"/>
              </w:rPr>
            </w:pPr>
            <w:r w:rsidRPr="00C60369">
              <w:rPr>
                <w:sz w:val="20"/>
                <w:szCs w:val="20"/>
              </w:rPr>
              <w:t>90</w:t>
            </w:r>
          </w:p>
        </w:tc>
        <w:tc>
          <w:tcPr>
            <w:tcW w:w="277" w:type="pct"/>
            <w:shd w:val="clear" w:color="000000" w:fill="auto"/>
            <w:vAlign w:val="center"/>
          </w:tcPr>
          <w:p w:rsidR="00DC493E" w:rsidRPr="00C60369" w:rsidRDefault="00DC493E" w:rsidP="00567C4E">
            <w:pPr>
              <w:pStyle w:val="Default"/>
              <w:snapToGrid w:val="0"/>
              <w:jc w:val="both"/>
              <w:rPr>
                <w:sz w:val="20"/>
                <w:szCs w:val="20"/>
              </w:rPr>
            </w:pPr>
            <w:r w:rsidRPr="00C60369">
              <w:rPr>
                <w:sz w:val="20"/>
                <w:szCs w:val="20"/>
              </w:rPr>
              <w:t>100</w:t>
            </w:r>
          </w:p>
        </w:tc>
        <w:tc>
          <w:tcPr>
            <w:tcW w:w="312" w:type="pct"/>
            <w:shd w:val="clear" w:color="000000" w:fill="auto"/>
            <w:vAlign w:val="center"/>
          </w:tcPr>
          <w:p w:rsidR="00DC493E" w:rsidRPr="00C60369" w:rsidRDefault="00DC493E" w:rsidP="00567C4E">
            <w:pPr>
              <w:pStyle w:val="Default"/>
              <w:snapToGrid w:val="0"/>
              <w:jc w:val="both"/>
              <w:rPr>
                <w:sz w:val="20"/>
                <w:szCs w:val="20"/>
              </w:rPr>
            </w:pPr>
            <w:r w:rsidRPr="00C60369">
              <w:rPr>
                <w:sz w:val="20"/>
                <w:szCs w:val="20"/>
              </w:rPr>
              <w:t>48</w:t>
            </w:r>
          </w:p>
        </w:tc>
        <w:tc>
          <w:tcPr>
            <w:tcW w:w="265" w:type="pct"/>
            <w:shd w:val="clear" w:color="000000" w:fill="auto"/>
            <w:vAlign w:val="center"/>
          </w:tcPr>
          <w:p w:rsidR="00DC493E" w:rsidRPr="00C60369" w:rsidRDefault="00DC493E" w:rsidP="00567C4E">
            <w:pPr>
              <w:pStyle w:val="Default"/>
              <w:snapToGrid w:val="0"/>
              <w:jc w:val="both"/>
              <w:rPr>
                <w:sz w:val="20"/>
                <w:szCs w:val="20"/>
              </w:rPr>
            </w:pPr>
            <w:r w:rsidRPr="00C60369">
              <w:rPr>
                <w:sz w:val="20"/>
                <w:szCs w:val="20"/>
              </w:rPr>
              <w:t>52</w:t>
            </w:r>
          </w:p>
        </w:tc>
      </w:tr>
      <w:tr w:rsidR="00062324" w:rsidRPr="00C60369" w:rsidTr="00C60369">
        <w:trPr>
          <w:jc w:val="center"/>
        </w:trPr>
        <w:tc>
          <w:tcPr>
            <w:tcW w:w="1373" w:type="pct"/>
            <w:shd w:val="clear" w:color="000000" w:fill="auto"/>
            <w:vAlign w:val="center"/>
          </w:tcPr>
          <w:p w:rsidR="00DC493E" w:rsidRPr="00C60369" w:rsidRDefault="00DC493E" w:rsidP="00567C4E">
            <w:pPr>
              <w:pStyle w:val="Default"/>
              <w:snapToGrid w:val="0"/>
              <w:jc w:val="both"/>
              <w:rPr>
                <w:b/>
                <w:sz w:val="20"/>
                <w:szCs w:val="20"/>
              </w:rPr>
            </w:pPr>
            <w:proofErr w:type="spellStart"/>
            <w:r w:rsidRPr="00C60369">
              <w:rPr>
                <w:b/>
                <w:sz w:val="20"/>
                <w:szCs w:val="20"/>
              </w:rPr>
              <w:t>Gaudry</w:t>
            </w:r>
            <w:proofErr w:type="spellEnd"/>
            <w:r w:rsidRPr="00C60369">
              <w:rPr>
                <w:b/>
                <w:sz w:val="20"/>
                <w:szCs w:val="20"/>
              </w:rPr>
              <w:t xml:space="preserve"> et al.,2016</w:t>
            </w:r>
          </w:p>
        </w:tc>
        <w:tc>
          <w:tcPr>
            <w:tcW w:w="529" w:type="pct"/>
            <w:vAlign w:val="center"/>
          </w:tcPr>
          <w:p w:rsidR="00DC493E" w:rsidRPr="00C60369" w:rsidRDefault="00DC493E" w:rsidP="00567C4E">
            <w:pPr>
              <w:pStyle w:val="Default"/>
              <w:snapToGrid w:val="0"/>
              <w:jc w:val="both"/>
              <w:rPr>
                <w:sz w:val="20"/>
                <w:szCs w:val="20"/>
              </w:rPr>
            </w:pPr>
            <w:r w:rsidRPr="00C60369">
              <w:rPr>
                <w:sz w:val="20"/>
                <w:szCs w:val="20"/>
              </w:rPr>
              <w:t>France</w:t>
            </w:r>
          </w:p>
        </w:tc>
        <w:tc>
          <w:tcPr>
            <w:tcW w:w="517" w:type="pct"/>
            <w:vAlign w:val="center"/>
          </w:tcPr>
          <w:p w:rsidR="00DC493E" w:rsidRPr="00C60369" w:rsidRDefault="00DC493E" w:rsidP="00567C4E">
            <w:pPr>
              <w:pStyle w:val="Default"/>
              <w:snapToGrid w:val="0"/>
              <w:jc w:val="both"/>
              <w:rPr>
                <w:sz w:val="20"/>
                <w:szCs w:val="20"/>
              </w:rPr>
            </w:pPr>
            <w:r w:rsidRPr="00C60369">
              <w:rPr>
                <w:sz w:val="20"/>
                <w:szCs w:val="20"/>
              </w:rPr>
              <w:t>2013–2016</w:t>
            </w:r>
          </w:p>
        </w:tc>
        <w:tc>
          <w:tcPr>
            <w:tcW w:w="589" w:type="pct"/>
            <w:vAlign w:val="center"/>
          </w:tcPr>
          <w:p w:rsidR="00DC493E" w:rsidRPr="00C60369" w:rsidRDefault="00DC493E" w:rsidP="00567C4E">
            <w:pPr>
              <w:pStyle w:val="Default"/>
              <w:snapToGrid w:val="0"/>
              <w:jc w:val="both"/>
              <w:rPr>
                <w:sz w:val="20"/>
                <w:szCs w:val="20"/>
              </w:rPr>
            </w:pPr>
            <w:r w:rsidRPr="00C60369">
              <w:rPr>
                <w:sz w:val="20"/>
                <w:szCs w:val="20"/>
              </w:rPr>
              <w:t>Multi center</w:t>
            </w:r>
          </w:p>
        </w:tc>
        <w:tc>
          <w:tcPr>
            <w:tcW w:w="1137" w:type="pct"/>
            <w:vAlign w:val="center"/>
          </w:tcPr>
          <w:p w:rsidR="00DC493E" w:rsidRPr="00C60369" w:rsidRDefault="00DC493E" w:rsidP="00567C4E">
            <w:pPr>
              <w:pStyle w:val="Default"/>
              <w:snapToGrid w:val="0"/>
              <w:jc w:val="both"/>
              <w:rPr>
                <w:sz w:val="20"/>
                <w:szCs w:val="20"/>
              </w:rPr>
            </w:pPr>
            <w:r w:rsidRPr="00C60369">
              <w:rPr>
                <w:sz w:val="20"/>
                <w:szCs w:val="20"/>
              </w:rPr>
              <w:t>60</w:t>
            </w:r>
          </w:p>
        </w:tc>
        <w:tc>
          <w:tcPr>
            <w:tcW w:w="277" w:type="pct"/>
            <w:shd w:val="clear" w:color="000000" w:fill="auto"/>
            <w:vAlign w:val="center"/>
          </w:tcPr>
          <w:p w:rsidR="00DC493E" w:rsidRPr="00C60369" w:rsidRDefault="00DC493E" w:rsidP="00567C4E">
            <w:pPr>
              <w:pStyle w:val="Default"/>
              <w:snapToGrid w:val="0"/>
              <w:jc w:val="both"/>
              <w:rPr>
                <w:sz w:val="20"/>
                <w:szCs w:val="20"/>
              </w:rPr>
            </w:pPr>
            <w:r w:rsidRPr="00C60369">
              <w:rPr>
                <w:sz w:val="20"/>
                <w:szCs w:val="20"/>
              </w:rPr>
              <w:t>619</w:t>
            </w:r>
          </w:p>
        </w:tc>
        <w:tc>
          <w:tcPr>
            <w:tcW w:w="312" w:type="pct"/>
            <w:shd w:val="clear" w:color="000000" w:fill="auto"/>
            <w:vAlign w:val="center"/>
          </w:tcPr>
          <w:p w:rsidR="00DC493E" w:rsidRPr="00C60369" w:rsidRDefault="00DC493E" w:rsidP="00567C4E">
            <w:pPr>
              <w:pStyle w:val="Default"/>
              <w:snapToGrid w:val="0"/>
              <w:jc w:val="both"/>
              <w:rPr>
                <w:sz w:val="20"/>
                <w:szCs w:val="20"/>
              </w:rPr>
            </w:pPr>
            <w:r w:rsidRPr="00C60369">
              <w:rPr>
                <w:sz w:val="20"/>
                <w:szCs w:val="20"/>
              </w:rPr>
              <w:t>311</w:t>
            </w:r>
          </w:p>
        </w:tc>
        <w:tc>
          <w:tcPr>
            <w:tcW w:w="265" w:type="pct"/>
            <w:shd w:val="clear" w:color="000000" w:fill="auto"/>
            <w:vAlign w:val="center"/>
          </w:tcPr>
          <w:p w:rsidR="00DC493E" w:rsidRPr="00C60369" w:rsidRDefault="00DC493E" w:rsidP="00567C4E">
            <w:pPr>
              <w:pStyle w:val="Default"/>
              <w:snapToGrid w:val="0"/>
              <w:jc w:val="both"/>
              <w:rPr>
                <w:sz w:val="20"/>
                <w:szCs w:val="20"/>
              </w:rPr>
            </w:pPr>
            <w:r w:rsidRPr="00C60369">
              <w:rPr>
                <w:sz w:val="20"/>
                <w:szCs w:val="20"/>
              </w:rPr>
              <w:t>308</w:t>
            </w:r>
          </w:p>
        </w:tc>
      </w:tr>
      <w:tr w:rsidR="00062324" w:rsidRPr="00C60369" w:rsidTr="00C60369">
        <w:trPr>
          <w:jc w:val="center"/>
        </w:trPr>
        <w:tc>
          <w:tcPr>
            <w:tcW w:w="1373" w:type="pct"/>
            <w:shd w:val="clear" w:color="000000" w:fill="auto"/>
            <w:vAlign w:val="center"/>
          </w:tcPr>
          <w:p w:rsidR="00DC493E" w:rsidRPr="00C60369" w:rsidRDefault="00DC493E" w:rsidP="00567C4E">
            <w:pPr>
              <w:pStyle w:val="Default"/>
              <w:snapToGrid w:val="0"/>
              <w:jc w:val="both"/>
              <w:rPr>
                <w:b/>
                <w:sz w:val="20"/>
                <w:szCs w:val="20"/>
              </w:rPr>
            </w:pPr>
            <w:proofErr w:type="spellStart"/>
            <w:r w:rsidRPr="00C60369">
              <w:rPr>
                <w:b/>
                <w:sz w:val="20"/>
                <w:szCs w:val="20"/>
              </w:rPr>
              <w:t>Zarbock</w:t>
            </w:r>
            <w:proofErr w:type="spellEnd"/>
            <w:r w:rsidRPr="00C60369">
              <w:rPr>
                <w:b/>
                <w:sz w:val="20"/>
                <w:szCs w:val="20"/>
              </w:rPr>
              <w:t xml:space="preserve"> et al.,2016</w:t>
            </w:r>
          </w:p>
        </w:tc>
        <w:tc>
          <w:tcPr>
            <w:tcW w:w="529" w:type="pct"/>
            <w:vAlign w:val="center"/>
          </w:tcPr>
          <w:p w:rsidR="00DC493E" w:rsidRPr="00C60369" w:rsidRDefault="00DC493E" w:rsidP="00567C4E">
            <w:pPr>
              <w:pStyle w:val="Default"/>
              <w:snapToGrid w:val="0"/>
              <w:jc w:val="both"/>
              <w:rPr>
                <w:sz w:val="20"/>
                <w:szCs w:val="20"/>
              </w:rPr>
            </w:pPr>
            <w:r w:rsidRPr="00C60369">
              <w:rPr>
                <w:sz w:val="20"/>
                <w:szCs w:val="20"/>
              </w:rPr>
              <w:t>Germany</w:t>
            </w:r>
          </w:p>
        </w:tc>
        <w:tc>
          <w:tcPr>
            <w:tcW w:w="517" w:type="pct"/>
            <w:vAlign w:val="center"/>
          </w:tcPr>
          <w:p w:rsidR="00DC493E" w:rsidRPr="00C60369" w:rsidRDefault="00DC493E" w:rsidP="00567C4E">
            <w:pPr>
              <w:pStyle w:val="Default"/>
              <w:snapToGrid w:val="0"/>
              <w:jc w:val="both"/>
              <w:rPr>
                <w:sz w:val="20"/>
                <w:szCs w:val="20"/>
              </w:rPr>
            </w:pPr>
            <w:r w:rsidRPr="00C60369">
              <w:rPr>
                <w:sz w:val="20"/>
                <w:szCs w:val="20"/>
              </w:rPr>
              <w:t>2013–2015</w:t>
            </w:r>
          </w:p>
        </w:tc>
        <w:tc>
          <w:tcPr>
            <w:tcW w:w="589" w:type="pct"/>
            <w:vAlign w:val="center"/>
          </w:tcPr>
          <w:p w:rsidR="00DC493E" w:rsidRPr="00C60369" w:rsidRDefault="00DC493E" w:rsidP="00567C4E">
            <w:pPr>
              <w:pStyle w:val="Default"/>
              <w:snapToGrid w:val="0"/>
              <w:jc w:val="both"/>
              <w:rPr>
                <w:sz w:val="20"/>
                <w:szCs w:val="20"/>
              </w:rPr>
            </w:pPr>
            <w:r w:rsidRPr="00C60369">
              <w:rPr>
                <w:sz w:val="20"/>
                <w:szCs w:val="20"/>
              </w:rPr>
              <w:t>Single center</w:t>
            </w:r>
          </w:p>
        </w:tc>
        <w:tc>
          <w:tcPr>
            <w:tcW w:w="1137" w:type="pct"/>
            <w:vAlign w:val="center"/>
          </w:tcPr>
          <w:p w:rsidR="00DC493E" w:rsidRPr="00C60369" w:rsidRDefault="00DC493E" w:rsidP="00567C4E">
            <w:pPr>
              <w:pStyle w:val="Default"/>
              <w:snapToGrid w:val="0"/>
              <w:jc w:val="both"/>
              <w:rPr>
                <w:sz w:val="20"/>
                <w:szCs w:val="20"/>
              </w:rPr>
            </w:pPr>
            <w:r w:rsidRPr="00C60369">
              <w:rPr>
                <w:sz w:val="20"/>
                <w:szCs w:val="20"/>
              </w:rPr>
              <w:t>90</w:t>
            </w:r>
          </w:p>
        </w:tc>
        <w:tc>
          <w:tcPr>
            <w:tcW w:w="277" w:type="pct"/>
            <w:shd w:val="clear" w:color="000000" w:fill="auto"/>
            <w:vAlign w:val="center"/>
          </w:tcPr>
          <w:p w:rsidR="00DC493E" w:rsidRPr="00C60369" w:rsidRDefault="00DC493E" w:rsidP="00567C4E">
            <w:pPr>
              <w:pStyle w:val="Default"/>
              <w:snapToGrid w:val="0"/>
              <w:jc w:val="both"/>
              <w:rPr>
                <w:sz w:val="20"/>
                <w:szCs w:val="20"/>
              </w:rPr>
            </w:pPr>
            <w:r w:rsidRPr="00C60369">
              <w:rPr>
                <w:sz w:val="20"/>
                <w:szCs w:val="20"/>
              </w:rPr>
              <w:t>231</w:t>
            </w:r>
          </w:p>
        </w:tc>
        <w:tc>
          <w:tcPr>
            <w:tcW w:w="312" w:type="pct"/>
            <w:shd w:val="clear" w:color="000000" w:fill="auto"/>
            <w:vAlign w:val="center"/>
          </w:tcPr>
          <w:p w:rsidR="00DC493E" w:rsidRPr="00C60369" w:rsidRDefault="00DC493E" w:rsidP="00567C4E">
            <w:pPr>
              <w:pStyle w:val="Default"/>
              <w:snapToGrid w:val="0"/>
              <w:jc w:val="both"/>
              <w:rPr>
                <w:sz w:val="20"/>
                <w:szCs w:val="20"/>
              </w:rPr>
            </w:pPr>
            <w:r w:rsidRPr="00C60369">
              <w:rPr>
                <w:sz w:val="20"/>
                <w:szCs w:val="20"/>
              </w:rPr>
              <w:t>112</w:t>
            </w:r>
          </w:p>
        </w:tc>
        <w:tc>
          <w:tcPr>
            <w:tcW w:w="265" w:type="pct"/>
            <w:shd w:val="clear" w:color="000000" w:fill="auto"/>
            <w:vAlign w:val="center"/>
          </w:tcPr>
          <w:p w:rsidR="00DC493E" w:rsidRPr="00C60369" w:rsidRDefault="00DC493E" w:rsidP="00567C4E">
            <w:pPr>
              <w:pStyle w:val="Default"/>
              <w:snapToGrid w:val="0"/>
              <w:jc w:val="both"/>
              <w:rPr>
                <w:sz w:val="20"/>
                <w:szCs w:val="20"/>
              </w:rPr>
            </w:pPr>
            <w:r w:rsidRPr="00C60369">
              <w:rPr>
                <w:sz w:val="20"/>
                <w:szCs w:val="20"/>
              </w:rPr>
              <w:t>119</w:t>
            </w:r>
          </w:p>
        </w:tc>
      </w:tr>
    </w:tbl>
    <w:p w:rsidR="00DC493E" w:rsidRPr="00C60369" w:rsidRDefault="00DC493E" w:rsidP="00567C4E">
      <w:pPr>
        <w:pStyle w:val="Default"/>
        <w:snapToGrid w:val="0"/>
        <w:jc w:val="center"/>
        <w:rPr>
          <w:b/>
          <w:sz w:val="20"/>
          <w:szCs w:val="20"/>
        </w:rPr>
      </w:pPr>
    </w:p>
    <w:p w:rsidR="00DC493E" w:rsidRPr="00C60369" w:rsidRDefault="00DC493E" w:rsidP="00567C4E">
      <w:pPr>
        <w:pStyle w:val="Default"/>
        <w:snapToGrid w:val="0"/>
        <w:jc w:val="center"/>
        <w:rPr>
          <w:b/>
          <w:sz w:val="20"/>
          <w:szCs w:val="20"/>
        </w:rPr>
      </w:pPr>
      <w:r w:rsidRPr="00C60369">
        <w:rPr>
          <w:b/>
          <w:sz w:val="20"/>
          <w:szCs w:val="20"/>
        </w:rPr>
        <w:lastRenderedPageBreak/>
        <w:t xml:space="preserve">Table (2): </w:t>
      </w:r>
      <w:r w:rsidRPr="00C60369">
        <w:rPr>
          <w:bCs/>
          <w:sz w:val="20"/>
          <w:szCs w:val="20"/>
        </w:rPr>
        <w:t>Age and sex among the included studies</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4A0"/>
      </w:tblPr>
      <w:tblGrid>
        <w:gridCol w:w="3970"/>
        <w:gridCol w:w="974"/>
        <w:gridCol w:w="1436"/>
        <w:gridCol w:w="1224"/>
        <w:gridCol w:w="1010"/>
        <w:gridCol w:w="860"/>
      </w:tblGrid>
      <w:tr w:rsidR="00DC493E" w:rsidRPr="00C60369" w:rsidTr="00567C4E">
        <w:trPr>
          <w:jc w:val="center"/>
        </w:trPr>
        <w:tc>
          <w:tcPr>
            <w:tcW w:w="2095" w:type="pct"/>
            <w:vMerge w:val="restart"/>
            <w:shd w:val="clear" w:color="auto" w:fill="D9D9D9" w:themeFill="background1" w:themeFillShade="D9"/>
            <w:vAlign w:val="center"/>
          </w:tcPr>
          <w:p w:rsidR="00DC493E" w:rsidRPr="00C60369" w:rsidRDefault="00DC493E" w:rsidP="00567C4E">
            <w:pPr>
              <w:pStyle w:val="Default"/>
              <w:snapToGrid w:val="0"/>
              <w:jc w:val="both"/>
              <w:rPr>
                <w:b/>
                <w:sz w:val="20"/>
                <w:szCs w:val="20"/>
              </w:rPr>
            </w:pPr>
            <w:r w:rsidRPr="00C60369">
              <w:rPr>
                <w:b/>
                <w:sz w:val="20"/>
                <w:szCs w:val="20"/>
              </w:rPr>
              <w:t>Study</w:t>
            </w:r>
          </w:p>
        </w:tc>
        <w:tc>
          <w:tcPr>
            <w:tcW w:w="514" w:type="pct"/>
            <w:vMerge w:val="restart"/>
            <w:shd w:val="clear" w:color="auto" w:fill="D9D9D9" w:themeFill="background1" w:themeFillShade="D9"/>
            <w:vAlign w:val="center"/>
          </w:tcPr>
          <w:p w:rsidR="00DC493E" w:rsidRPr="00C60369" w:rsidRDefault="00DC493E" w:rsidP="00567C4E">
            <w:pPr>
              <w:pStyle w:val="Default"/>
              <w:snapToGrid w:val="0"/>
              <w:jc w:val="both"/>
              <w:rPr>
                <w:b/>
                <w:sz w:val="20"/>
                <w:szCs w:val="20"/>
              </w:rPr>
            </w:pPr>
            <w:r w:rsidRPr="00C60369">
              <w:rPr>
                <w:b/>
                <w:sz w:val="20"/>
                <w:szCs w:val="20"/>
              </w:rPr>
              <w:t>Total</w:t>
            </w:r>
          </w:p>
        </w:tc>
        <w:tc>
          <w:tcPr>
            <w:tcW w:w="1404" w:type="pct"/>
            <w:gridSpan w:val="2"/>
            <w:shd w:val="clear" w:color="auto" w:fill="D9D9D9" w:themeFill="background1" w:themeFillShade="D9"/>
            <w:vAlign w:val="center"/>
          </w:tcPr>
          <w:p w:rsidR="00DC493E" w:rsidRPr="00C60369" w:rsidRDefault="00DC493E" w:rsidP="00567C4E">
            <w:pPr>
              <w:pStyle w:val="Default"/>
              <w:snapToGrid w:val="0"/>
              <w:jc w:val="both"/>
              <w:rPr>
                <w:b/>
                <w:sz w:val="20"/>
                <w:szCs w:val="20"/>
              </w:rPr>
            </w:pPr>
            <w:r w:rsidRPr="00C60369">
              <w:rPr>
                <w:b/>
                <w:sz w:val="20"/>
                <w:szCs w:val="20"/>
              </w:rPr>
              <w:t>Mean age (years)</w:t>
            </w:r>
          </w:p>
        </w:tc>
        <w:tc>
          <w:tcPr>
            <w:tcW w:w="987" w:type="pct"/>
            <w:gridSpan w:val="2"/>
            <w:shd w:val="clear" w:color="auto" w:fill="D9D9D9" w:themeFill="background1" w:themeFillShade="D9"/>
            <w:vAlign w:val="center"/>
          </w:tcPr>
          <w:p w:rsidR="00DC493E" w:rsidRPr="00C60369" w:rsidRDefault="00DC493E" w:rsidP="00567C4E">
            <w:pPr>
              <w:pStyle w:val="Default"/>
              <w:snapToGrid w:val="0"/>
              <w:jc w:val="both"/>
              <w:rPr>
                <w:b/>
                <w:sz w:val="20"/>
                <w:szCs w:val="20"/>
              </w:rPr>
            </w:pPr>
            <w:r w:rsidRPr="00C60369">
              <w:rPr>
                <w:b/>
                <w:sz w:val="20"/>
                <w:szCs w:val="20"/>
              </w:rPr>
              <w:t>Male %</w:t>
            </w:r>
          </w:p>
        </w:tc>
      </w:tr>
      <w:tr w:rsidR="00062324" w:rsidRPr="00C60369" w:rsidTr="00567C4E">
        <w:trPr>
          <w:jc w:val="center"/>
        </w:trPr>
        <w:tc>
          <w:tcPr>
            <w:tcW w:w="2095" w:type="pct"/>
            <w:vMerge/>
            <w:shd w:val="clear" w:color="auto" w:fill="D9D9D9" w:themeFill="background1" w:themeFillShade="D9"/>
            <w:vAlign w:val="center"/>
          </w:tcPr>
          <w:p w:rsidR="00DC493E" w:rsidRPr="00C60369" w:rsidRDefault="00DC493E" w:rsidP="00567C4E">
            <w:pPr>
              <w:pStyle w:val="Default"/>
              <w:snapToGrid w:val="0"/>
              <w:jc w:val="both"/>
              <w:rPr>
                <w:sz w:val="20"/>
                <w:szCs w:val="20"/>
              </w:rPr>
            </w:pPr>
          </w:p>
        </w:tc>
        <w:tc>
          <w:tcPr>
            <w:tcW w:w="514" w:type="pct"/>
            <w:vMerge/>
            <w:shd w:val="clear" w:color="auto" w:fill="D9D9D9" w:themeFill="background1" w:themeFillShade="D9"/>
            <w:vAlign w:val="center"/>
          </w:tcPr>
          <w:p w:rsidR="00DC493E" w:rsidRPr="00C60369" w:rsidRDefault="00DC493E" w:rsidP="00567C4E">
            <w:pPr>
              <w:pStyle w:val="Default"/>
              <w:snapToGrid w:val="0"/>
              <w:jc w:val="both"/>
              <w:rPr>
                <w:sz w:val="20"/>
                <w:szCs w:val="20"/>
              </w:rPr>
            </w:pPr>
          </w:p>
        </w:tc>
        <w:tc>
          <w:tcPr>
            <w:tcW w:w="758" w:type="pct"/>
            <w:shd w:val="clear" w:color="auto" w:fill="D9D9D9" w:themeFill="background1" w:themeFillShade="D9"/>
            <w:vAlign w:val="center"/>
          </w:tcPr>
          <w:p w:rsidR="00DC493E" w:rsidRPr="00C60369" w:rsidRDefault="00DC493E" w:rsidP="00567C4E">
            <w:pPr>
              <w:pStyle w:val="Default"/>
              <w:snapToGrid w:val="0"/>
              <w:jc w:val="both"/>
              <w:rPr>
                <w:b/>
                <w:sz w:val="20"/>
                <w:szCs w:val="20"/>
              </w:rPr>
            </w:pPr>
            <w:r w:rsidRPr="00C60369">
              <w:rPr>
                <w:b/>
                <w:sz w:val="20"/>
                <w:szCs w:val="20"/>
              </w:rPr>
              <w:t>Early</w:t>
            </w:r>
          </w:p>
        </w:tc>
        <w:tc>
          <w:tcPr>
            <w:tcW w:w="646" w:type="pct"/>
            <w:shd w:val="clear" w:color="auto" w:fill="D9D9D9" w:themeFill="background1" w:themeFillShade="D9"/>
            <w:vAlign w:val="center"/>
          </w:tcPr>
          <w:p w:rsidR="00DC493E" w:rsidRPr="00C60369" w:rsidRDefault="00DC493E" w:rsidP="00567C4E">
            <w:pPr>
              <w:pStyle w:val="Default"/>
              <w:snapToGrid w:val="0"/>
              <w:jc w:val="both"/>
              <w:rPr>
                <w:b/>
                <w:sz w:val="20"/>
                <w:szCs w:val="20"/>
              </w:rPr>
            </w:pPr>
            <w:r w:rsidRPr="00C60369">
              <w:rPr>
                <w:b/>
                <w:sz w:val="20"/>
                <w:szCs w:val="20"/>
              </w:rPr>
              <w:t>Late</w:t>
            </w:r>
          </w:p>
        </w:tc>
        <w:tc>
          <w:tcPr>
            <w:tcW w:w="533" w:type="pct"/>
            <w:shd w:val="clear" w:color="auto" w:fill="D9D9D9" w:themeFill="background1" w:themeFillShade="D9"/>
            <w:vAlign w:val="center"/>
          </w:tcPr>
          <w:p w:rsidR="00DC493E" w:rsidRPr="00C60369" w:rsidRDefault="00DC493E" w:rsidP="00567C4E">
            <w:pPr>
              <w:pStyle w:val="Default"/>
              <w:snapToGrid w:val="0"/>
              <w:jc w:val="both"/>
              <w:rPr>
                <w:b/>
                <w:sz w:val="20"/>
                <w:szCs w:val="20"/>
              </w:rPr>
            </w:pPr>
            <w:r w:rsidRPr="00C60369">
              <w:rPr>
                <w:b/>
                <w:sz w:val="20"/>
                <w:szCs w:val="20"/>
              </w:rPr>
              <w:t>Early</w:t>
            </w:r>
          </w:p>
        </w:tc>
        <w:tc>
          <w:tcPr>
            <w:tcW w:w="454" w:type="pct"/>
            <w:shd w:val="clear" w:color="auto" w:fill="D9D9D9" w:themeFill="background1" w:themeFillShade="D9"/>
            <w:vAlign w:val="center"/>
          </w:tcPr>
          <w:p w:rsidR="00DC493E" w:rsidRPr="00C60369" w:rsidRDefault="00DC493E" w:rsidP="00567C4E">
            <w:pPr>
              <w:pStyle w:val="Default"/>
              <w:snapToGrid w:val="0"/>
              <w:jc w:val="both"/>
              <w:rPr>
                <w:b/>
                <w:sz w:val="20"/>
                <w:szCs w:val="20"/>
              </w:rPr>
            </w:pPr>
            <w:r w:rsidRPr="00C60369">
              <w:rPr>
                <w:b/>
                <w:sz w:val="20"/>
                <w:szCs w:val="20"/>
              </w:rPr>
              <w:t>Late</w:t>
            </w:r>
          </w:p>
        </w:tc>
      </w:tr>
      <w:tr w:rsidR="00062324" w:rsidRPr="00C60369" w:rsidTr="00567C4E">
        <w:trPr>
          <w:jc w:val="center"/>
        </w:trPr>
        <w:tc>
          <w:tcPr>
            <w:tcW w:w="2095" w:type="pct"/>
            <w:shd w:val="clear" w:color="000000" w:fill="auto"/>
            <w:vAlign w:val="center"/>
          </w:tcPr>
          <w:p w:rsidR="00DC493E" w:rsidRPr="00C60369" w:rsidRDefault="00DC493E" w:rsidP="00567C4E">
            <w:pPr>
              <w:pStyle w:val="Default"/>
              <w:snapToGrid w:val="0"/>
              <w:jc w:val="both"/>
              <w:rPr>
                <w:b/>
                <w:sz w:val="20"/>
                <w:szCs w:val="20"/>
              </w:rPr>
            </w:pPr>
            <w:proofErr w:type="spellStart"/>
            <w:r w:rsidRPr="00C60369">
              <w:rPr>
                <w:b/>
                <w:sz w:val="20"/>
                <w:szCs w:val="20"/>
              </w:rPr>
              <w:t>Bouman</w:t>
            </w:r>
            <w:proofErr w:type="spellEnd"/>
            <w:r w:rsidRPr="00C60369">
              <w:rPr>
                <w:b/>
                <w:sz w:val="20"/>
                <w:szCs w:val="20"/>
              </w:rPr>
              <w:t xml:space="preserve"> et al., 2002</w:t>
            </w:r>
          </w:p>
        </w:tc>
        <w:tc>
          <w:tcPr>
            <w:tcW w:w="514" w:type="pct"/>
            <w:vAlign w:val="center"/>
          </w:tcPr>
          <w:p w:rsidR="00DC493E" w:rsidRPr="00C60369" w:rsidRDefault="00DC493E" w:rsidP="00567C4E">
            <w:pPr>
              <w:pStyle w:val="Default"/>
              <w:snapToGrid w:val="0"/>
              <w:jc w:val="both"/>
              <w:rPr>
                <w:sz w:val="20"/>
                <w:szCs w:val="20"/>
              </w:rPr>
            </w:pPr>
            <w:r w:rsidRPr="00C60369">
              <w:rPr>
                <w:sz w:val="20"/>
                <w:szCs w:val="20"/>
              </w:rPr>
              <w:t>106</w:t>
            </w:r>
          </w:p>
        </w:tc>
        <w:tc>
          <w:tcPr>
            <w:tcW w:w="758" w:type="pct"/>
            <w:vAlign w:val="center"/>
          </w:tcPr>
          <w:p w:rsidR="00DC493E" w:rsidRPr="00C60369" w:rsidRDefault="00DC493E" w:rsidP="00567C4E">
            <w:pPr>
              <w:pStyle w:val="Default"/>
              <w:snapToGrid w:val="0"/>
              <w:jc w:val="both"/>
              <w:rPr>
                <w:sz w:val="20"/>
                <w:szCs w:val="20"/>
              </w:rPr>
            </w:pPr>
            <w:r w:rsidRPr="00C60369">
              <w:rPr>
                <w:sz w:val="20"/>
                <w:szCs w:val="20"/>
              </w:rPr>
              <w:t>68</w:t>
            </w:r>
          </w:p>
        </w:tc>
        <w:tc>
          <w:tcPr>
            <w:tcW w:w="646" w:type="pct"/>
            <w:vAlign w:val="center"/>
          </w:tcPr>
          <w:p w:rsidR="00DC493E" w:rsidRPr="00C60369" w:rsidRDefault="00DC493E" w:rsidP="00567C4E">
            <w:pPr>
              <w:pStyle w:val="Default"/>
              <w:snapToGrid w:val="0"/>
              <w:jc w:val="both"/>
              <w:rPr>
                <w:sz w:val="20"/>
                <w:szCs w:val="20"/>
              </w:rPr>
            </w:pPr>
            <w:r w:rsidRPr="00C60369">
              <w:rPr>
                <w:sz w:val="20"/>
                <w:szCs w:val="20"/>
              </w:rPr>
              <w:t>67</w:t>
            </w:r>
          </w:p>
        </w:tc>
        <w:tc>
          <w:tcPr>
            <w:tcW w:w="533" w:type="pct"/>
            <w:shd w:val="clear" w:color="000000" w:fill="auto"/>
            <w:vAlign w:val="center"/>
          </w:tcPr>
          <w:p w:rsidR="00DC493E" w:rsidRPr="00C60369" w:rsidRDefault="00DC493E" w:rsidP="00567C4E">
            <w:pPr>
              <w:pStyle w:val="Default"/>
              <w:snapToGrid w:val="0"/>
              <w:jc w:val="both"/>
              <w:rPr>
                <w:sz w:val="20"/>
                <w:szCs w:val="20"/>
              </w:rPr>
            </w:pPr>
            <w:r w:rsidRPr="00C60369">
              <w:rPr>
                <w:sz w:val="20"/>
                <w:szCs w:val="20"/>
              </w:rPr>
              <w:t>57</w:t>
            </w:r>
          </w:p>
        </w:tc>
        <w:tc>
          <w:tcPr>
            <w:tcW w:w="454" w:type="pct"/>
            <w:vAlign w:val="center"/>
          </w:tcPr>
          <w:p w:rsidR="00DC493E" w:rsidRPr="00C60369" w:rsidRDefault="00DC493E" w:rsidP="00567C4E">
            <w:pPr>
              <w:pStyle w:val="Default"/>
              <w:snapToGrid w:val="0"/>
              <w:jc w:val="both"/>
              <w:rPr>
                <w:sz w:val="20"/>
                <w:szCs w:val="20"/>
              </w:rPr>
            </w:pPr>
            <w:r w:rsidRPr="00C60369">
              <w:rPr>
                <w:sz w:val="20"/>
                <w:szCs w:val="20"/>
              </w:rPr>
              <w:t>61</w:t>
            </w:r>
          </w:p>
        </w:tc>
      </w:tr>
      <w:tr w:rsidR="00062324" w:rsidRPr="00C60369" w:rsidTr="00567C4E">
        <w:trPr>
          <w:jc w:val="center"/>
        </w:trPr>
        <w:tc>
          <w:tcPr>
            <w:tcW w:w="2095" w:type="pct"/>
            <w:shd w:val="clear" w:color="000000" w:fill="auto"/>
            <w:vAlign w:val="center"/>
          </w:tcPr>
          <w:p w:rsidR="00DC493E" w:rsidRPr="00C60369" w:rsidRDefault="00DC493E" w:rsidP="00567C4E">
            <w:pPr>
              <w:pStyle w:val="Default"/>
              <w:snapToGrid w:val="0"/>
              <w:jc w:val="both"/>
              <w:rPr>
                <w:b/>
                <w:sz w:val="20"/>
                <w:szCs w:val="20"/>
              </w:rPr>
            </w:pPr>
            <w:proofErr w:type="spellStart"/>
            <w:r w:rsidRPr="00C60369">
              <w:rPr>
                <w:b/>
                <w:sz w:val="20"/>
                <w:szCs w:val="20"/>
              </w:rPr>
              <w:t>Durmaz</w:t>
            </w:r>
            <w:proofErr w:type="spellEnd"/>
            <w:r w:rsidRPr="00C60369">
              <w:rPr>
                <w:b/>
                <w:sz w:val="20"/>
                <w:szCs w:val="20"/>
              </w:rPr>
              <w:t xml:space="preserve"> et al.,2003</w:t>
            </w:r>
          </w:p>
        </w:tc>
        <w:tc>
          <w:tcPr>
            <w:tcW w:w="514" w:type="pct"/>
            <w:vAlign w:val="center"/>
          </w:tcPr>
          <w:p w:rsidR="00DC493E" w:rsidRPr="00C60369" w:rsidRDefault="00DC493E" w:rsidP="00567C4E">
            <w:pPr>
              <w:pStyle w:val="Default"/>
              <w:snapToGrid w:val="0"/>
              <w:jc w:val="both"/>
              <w:rPr>
                <w:sz w:val="20"/>
                <w:szCs w:val="20"/>
              </w:rPr>
            </w:pPr>
            <w:r w:rsidRPr="00C60369">
              <w:rPr>
                <w:sz w:val="20"/>
                <w:szCs w:val="20"/>
              </w:rPr>
              <w:t>44</w:t>
            </w:r>
          </w:p>
        </w:tc>
        <w:tc>
          <w:tcPr>
            <w:tcW w:w="758" w:type="pct"/>
            <w:vAlign w:val="center"/>
          </w:tcPr>
          <w:p w:rsidR="00DC493E" w:rsidRPr="00C60369" w:rsidRDefault="00DC493E" w:rsidP="00567C4E">
            <w:pPr>
              <w:pStyle w:val="Default"/>
              <w:snapToGrid w:val="0"/>
              <w:jc w:val="both"/>
              <w:rPr>
                <w:sz w:val="20"/>
                <w:szCs w:val="20"/>
              </w:rPr>
            </w:pPr>
            <w:r w:rsidRPr="00C60369">
              <w:rPr>
                <w:sz w:val="20"/>
                <w:szCs w:val="20"/>
              </w:rPr>
              <w:t>58</w:t>
            </w:r>
          </w:p>
        </w:tc>
        <w:tc>
          <w:tcPr>
            <w:tcW w:w="646" w:type="pct"/>
            <w:vAlign w:val="center"/>
          </w:tcPr>
          <w:p w:rsidR="00DC493E" w:rsidRPr="00C60369" w:rsidRDefault="00DC493E" w:rsidP="00567C4E">
            <w:pPr>
              <w:pStyle w:val="Default"/>
              <w:snapToGrid w:val="0"/>
              <w:jc w:val="both"/>
              <w:rPr>
                <w:sz w:val="20"/>
                <w:szCs w:val="20"/>
              </w:rPr>
            </w:pPr>
            <w:r w:rsidRPr="00C60369">
              <w:rPr>
                <w:sz w:val="20"/>
                <w:szCs w:val="20"/>
              </w:rPr>
              <w:t>54</w:t>
            </w:r>
          </w:p>
        </w:tc>
        <w:tc>
          <w:tcPr>
            <w:tcW w:w="533" w:type="pct"/>
            <w:shd w:val="clear" w:color="000000" w:fill="auto"/>
            <w:vAlign w:val="center"/>
          </w:tcPr>
          <w:p w:rsidR="00DC493E" w:rsidRPr="00C60369" w:rsidRDefault="00DC493E" w:rsidP="00567C4E">
            <w:pPr>
              <w:pStyle w:val="Default"/>
              <w:snapToGrid w:val="0"/>
              <w:jc w:val="both"/>
              <w:rPr>
                <w:sz w:val="20"/>
                <w:szCs w:val="20"/>
              </w:rPr>
            </w:pPr>
            <w:r w:rsidRPr="00C60369">
              <w:rPr>
                <w:sz w:val="20"/>
                <w:szCs w:val="20"/>
              </w:rPr>
              <w:t>76</w:t>
            </w:r>
          </w:p>
        </w:tc>
        <w:tc>
          <w:tcPr>
            <w:tcW w:w="454" w:type="pct"/>
            <w:vAlign w:val="center"/>
          </w:tcPr>
          <w:p w:rsidR="00DC493E" w:rsidRPr="00C60369" w:rsidRDefault="00DC493E" w:rsidP="00567C4E">
            <w:pPr>
              <w:pStyle w:val="Default"/>
              <w:snapToGrid w:val="0"/>
              <w:jc w:val="both"/>
              <w:rPr>
                <w:sz w:val="20"/>
                <w:szCs w:val="20"/>
              </w:rPr>
            </w:pPr>
            <w:r w:rsidRPr="00C60369">
              <w:rPr>
                <w:sz w:val="20"/>
                <w:szCs w:val="20"/>
              </w:rPr>
              <w:t>83</w:t>
            </w:r>
          </w:p>
        </w:tc>
      </w:tr>
      <w:tr w:rsidR="00062324" w:rsidRPr="00C60369" w:rsidTr="00567C4E">
        <w:trPr>
          <w:jc w:val="center"/>
        </w:trPr>
        <w:tc>
          <w:tcPr>
            <w:tcW w:w="2095" w:type="pct"/>
            <w:shd w:val="clear" w:color="000000" w:fill="auto"/>
            <w:vAlign w:val="center"/>
          </w:tcPr>
          <w:p w:rsidR="00DC493E" w:rsidRPr="00C60369" w:rsidRDefault="00DC493E" w:rsidP="00567C4E">
            <w:pPr>
              <w:pStyle w:val="Default"/>
              <w:snapToGrid w:val="0"/>
              <w:jc w:val="both"/>
              <w:rPr>
                <w:b/>
                <w:sz w:val="20"/>
                <w:szCs w:val="20"/>
              </w:rPr>
            </w:pPr>
            <w:proofErr w:type="spellStart"/>
            <w:r w:rsidRPr="00C60369">
              <w:rPr>
                <w:b/>
                <w:sz w:val="20"/>
                <w:szCs w:val="20"/>
              </w:rPr>
              <w:t>Sugahara</w:t>
            </w:r>
            <w:proofErr w:type="spellEnd"/>
            <w:r w:rsidRPr="00C60369">
              <w:rPr>
                <w:b/>
                <w:sz w:val="20"/>
                <w:szCs w:val="20"/>
              </w:rPr>
              <w:t xml:space="preserve"> and suzuki,2004</w:t>
            </w:r>
          </w:p>
        </w:tc>
        <w:tc>
          <w:tcPr>
            <w:tcW w:w="514" w:type="pct"/>
            <w:vAlign w:val="center"/>
          </w:tcPr>
          <w:p w:rsidR="00DC493E" w:rsidRPr="00C60369" w:rsidRDefault="00DC493E" w:rsidP="00567C4E">
            <w:pPr>
              <w:pStyle w:val="Default"/>
              <w:snapToGrid w:val="0"/>
              <w:jc w:val="both"/>
              <w:rPr>
                <w:sz w:val="20"/>
                <w:szCs w:val="20"/>
              </w:rPr>
            </w:pPr>
            <w:r w:rsidRPr="00C60369">
              <w:rPr>
                <w:sz w:val="20"/>
                <w:szCs w:val="20"/>
              </w:rPr>
              <w:t>28</w:t>
            </w:r>
          </w:p>
        </w:tc>
        <w:tc>
          <w:tcPr>
            <w:tcW w:w="758" w:type="pct"/>
            <w:vAlign w:val="center"/>
          </w:tcPr>
          <w:p w:rsidR="00DC493E" w:rsidRPr="00C60369" w:rsidRDefault="00DC493E" w:rsidP="00567C4E">
            <w:pPr>
              <w:pStyle w:val="Default"/>
              <w:snapToGrid w:val="0"/>
              <w:jc w:val="both"/>
              <w:rPr>
                <w:sz w:val="20"/>
                <w:szCs w:val="20"/>
              </w:rPr>
            </w:pPr>
            <w:r w:rsidRPr="00C60369">
              <w:rPr>
                <w:sz w:val="20"/>
                <w:szCs w:val="20"/>
              </w:rPr>
              <w:t>65</w:t>
            </w:r>
          </w:p>
        </w:tc>
        <w:tc>
          <w:tcPr>
            <w:tcW w:w="646" w:type="pct"/>
            <w:vAlign w:val="center"/>
          </w:tcPr>
          <w:p w:rsidR="00DC493E" w:rsidRPr="00C60369" w:rsidRDefault="00DC493E" w:rsidP="00567C4E">
            <w:pPr>
              <w:pStyle w:val="Default"/>
              <w:snapToGrid w:val="0"/>
              <w:jc w:val="both"/>
              <w:rPr>
                <w:sz w:val="20"/>
                <w:szCs w:val="20"/>
              </w:rPr>
            </w:pPr>
            <w:r w:rsidRPr="00C60369">
              <w:rPr>
                <w:sz w:val="20"/>
                <w:szCs w:val="20"/>
              </w:rPr>
              <w:t>64</w:t>
            </w:r>
          </w:p>
        </w:tc>
        <w:tc>
          <w:tcPr>
            <w:tcW w:w="533" w:type="pct"/>
            <w:shd w:val="clear" w:color="000000" w:fill="auto"/>
            <w:vAlign w:val="center"/>
          </w:tcPr>
          <w:p w:rsidR="00DC493E" w:rsidRPr="00C60369" w:rsidRDefault="00DC493E" w:rsidP="00567C4E">
            <w:pPr>
              <w:pStyle w:val="Default"/>
              <w:snapToGrid w:val="0"/>
              <w:jc w:val="both"/>
              <w:rPr>
                <w:sz w:val="20"/>
                <w:szCs w:val="20"/>
              </w:rPr>
            </w:pPr>
            <w:r w:rsidRPr="00C60369">
              <w:rPr>
                <w:sz w:val="20"/>
                <w:szCs w:val="20"/>
              </w:rPr>
              <w:t>64</w:t>
            </w:r>
          </w:p>
        </w:tc>
        <w:tc>
          <w:tcPr>
            <w:tcW w:w="454" w:type="pct"/>
            <w:vAlign w:val="center"/>
          </w:tcPr>
          <w:p w:rsidR="00DC493E" w:rsidRPr="00C60369" w:rsidRDefault="00DC493E" w:rsidP="00567C4E">
            <w:pPr>
              <w:pStyle w:val="Default"/>
              <w:snapToGrid w:val="0"/>
              <w:jc w:val="both"/>
              <w:rPr>
                <w:sz w:val="20"/>
                <w:szCs w:val="20"/>
              </w:rPr>
            </w:pPr>
            <w:r w:rsidRPr="00C60369">
              <w:rPr>
                <w:sz w:val="20"/>
                <w:szCs w:val="20"/>
              </w:rPr>
              <w:t>64</w:t>
            </w:r>
          </w:p>
        </w:tc>
      </w:tr>
      <w:tr w:rsidR="00062324" w:rsidRPr="00C60369" w:rsidTr="00567C4E">
        <w:trPr>
          <w:jc w:val="center"/>
        </w:trPr>
        <w:tc>
          <w:tcPr>
            <w:tcW w:w="2095" w:type="pct"/>
            <w:shd w:val="clear" w:color="000000" w:fill="auto"/>
            <w:vAlign w:val="center"/>
          </w:tcPr>
          <w:p w:rsidR="00DC493E" w:rsidRPr="00C60369" w:rsidRDefault="00DC493E" w:rsidP="00567C4E">
            <w:pPr>
              <w:pStyle w:val="Default"/>
              <w:snapToGrid w:val="0"/>
              <w:jc w:val="both"/>
              <w:rPr>
                <w:b/>
                <w:sz w:val="20"/>
                <w:szCs w:val="20"/>
              </w:rPr>
            </w:pPr>
            <w:proofErr w:type="spellStart"/>
            <w:r w:rsidRPr="00C60369">
              <w:rPr>
                <w:b/>
                <w:sz w:val="20"/>
                <w:szCs w:val="20"/>
              </w:rPr>
              <w:t>Payen</w:t>
            </w:r>
            <w:proofErr w:type="spellEnd"/>
            <w:r w:rsidRPr="00C60369">
              <w:rPr>
                <w:b/>
                <w:sz w:val="20"/>
                <w:szCs w:val="20"/>
              </w:rPr>
              <w:t xml:space="preserve"> et al.,2009</w:t>
            </w:r>
          </w:p>
        </w:tc>
        <w:tc>
          <w:tcPr>
            <w:tcW w:w="514" w:type="pct"/>
            <w:vAlign w:val="center"/>
          </w:tcPr>
          <w:p w:rsidR="00DC493E" w:rsidRPr="00C60369" w:rsidRDefault="00DC493E" w:rsidP="00567C4E">
            <w:pPr>
              <w:pStyle w:val="Default"/>
              <w:snapToGrid w:val="0"/>
              <w:jc w:val="both"/>
              <w:rPr>
                <w:sz w:val="20"/>
                <w:szCs w:val="20"/>
              </w:rPr>
            </w:pPr>
            <w:r w:rsidRPr="00C60369">
              <w:rPr>
                <w:sz w:val="20"/>
                <w:szCs w:val="20"/>
              </w:rPr>
              <w:t>76</w:t>
            </w:r>
          </w:p>
        </w:tc>
        <w:tc>
          <w:tcPr>
            <w:tcW w:w="758" w:type="pct"/>
            <w:vAlign w:val="center"/>
          </w:tcPr>
          <w:p w:rsidR="00DC493E" w:rsidRPr="00C60369" w:rsidRDefault="00DC493E" w:rsidP="00567C4E">
            <w:pPr>
              <w:pStyle w:val="Default"/>
              <w:snapToGrid w:val="0"/>
              <w:jc w:val="both"/>
              <w:rPr>
                <w:sz w:val="20"/>
                <w:szCs w:val="20"/>
              </w:rPr>
            </w:pPr>
            <w:r w:rsidRPr="00C60369">
              <w:rPr>
                <w:sz w:val="20"/>
                <w:szCs w:val="20"/>
              </w:rPr>
              <w:t>58</w:t>
            </w:r>
          </w:p>
        </w:tc>
        <w:tc>
          <w:tcPr>
            <w:tcW w:w="646" w:type="pct"/>
            <w:vAlign w:val="center"/>
          </w:tcPr>
          <w:p w:rsidR="00DC493E" w:rsidRPr="00C60369" w:rsidRDefault="00DC493E" w:rsidP="00567C4E">
            <w:pPr>
              <w:pStyle w:val="Default"/>
              <w:snapToGrid w:val="0"/>
              <w:jc w:val="both"/>
              <w:rPr>
                <w:sz w:val="20"/>
                <w:szCs w:val="20"/>
              </w:rPr>
            </w:pPr>
            <w:r w:rsidRPr="00C60369">
              <w:rPr>
                <w:sz w:val="20"/>
                <w:szCs w:val="20"/>
              </w:rPr>
              <w:t>59</w:t>
            </w:r>
          </w:p>
        </w:tc>
        <w:tc>
          <w:tcPr>
            <w:tcW w:w="533" w:type="pct"/>
            <w:shd w:val="clear" w:color="000000" w:fill="auto"/>
            <w:vAlign w:val="center"/>
          </w:tcPr>
          <w:p w:rsidR="00DC493E" w:rsidRPr="00C60369" w:rsidRDefault="00DC493E" w:rsidP="00567C4E">
            <w:pPr>
              <w:pStyle w:val="Default"/>
              <w:snapToGrid w:val="0"/>
              <w:jc w:val="both"/>
              <w:rPr>
                <w:sz w:val="20"/>
                <w:szCs w:val="20"/>
              </w:rPr>
            </w:pPr>
            <w:r w:rsidRPr="00C60369">
              <w:rPr>
                <w:sz w:val="20"/>
                <w:szCs w:val="20"/>
              </w:rPr>
              <w:t>73</w:t>
            </w:r>
          </w:p>
        </w:tc>
        <w:tc>
          <w:tcPr>
            <w:tcW w:w="454" w:type="pct"/>
            <w:vAlign w:val="center"/>
          </w:tcPr>
          <w:p w:rsidR="00DC493E" w:rsidRPr="00C60369" w:rsidRDefault="00DC493E" w:rsidP="00567C4E">
            <w:pPr>
              <w:pStyle w:val="Default"/>
              <w:snapToGrid w:val="0"/>
              <w:jc w:val="both"/>
              <w:rPr>
                <w:sz w:val="20"/>
                <w:szCs w:val="20"/>
              </w:rPr>
            </w:pPr>
            <w:r w:rsidRPr="00C60369">
              <w:rPr>
                <w:sz w:val="20"/>
                <w:szCs w:val="20"/>
              </w:rPr>
              <w:t>69</w:t>
            </w:r>
          </w:p>
        </w:tc>
      </w:tr>
      <w:tr w:rsidR="00062324" w:rsidRPr="00C60369" w:rsidTr="00567C4E">
        <w:trPr>
          <w:jc w:val="center"/>
        </w:trPr>
        <w:tc>
          <w:tcPr>
            <w:tcW w:w="2095" w:type="pct"/>
            <w:shd w:val="clear" w:color="000000" w:fill="auto"/>
            <w:vAlign w:val="center"/>
          </w:tcPr>
          <w:p w:rsidR="00DC493E" w:rsidRPr="00C60369" w:rsidRDefault="00DC493E" w:rsidP="00567C4E">
            <w:pPr>
              <w:pStyle w:val="Default"/>
              <w:snapToGrid w:val="0"/>
              <w:jc w:val="both"/>
              <w:rPr>
                <w:b/>
                <w:sz w:val="20"/>
                <w:szCs w:val="20"/>
              </w:rPr>
            </w:pPr>
            <w:proofErr w:type="spellStart"/>
            <w:r w:rsidRPr="00C60369">
              <w:rPr>
                <w:b/>
                <w:sz w:val="20"/>
                <w:szCs w:val="20"/>
              </w:rPr>
              <w:t>Jamale</w:t>
            </w:r>
            <w:proofErr w:type="spellEnd"/>
            <w:r w:rsidRPr="00C60369">
              <w:rPr>
                <w:b/>
                <w:sz w:val="20"/>
                <w:szCs w:val="20"/>
              </w:rPr>
              <w:t xml:space="preserve"> et al.,2013</w:t>
            </w:r>
          </w:p>
        </w:tc>
        <w:tc>
          <w:tcPr>
            <w:tcW w:w="514" w:type="pct"/>
            <w:vAlign w:val="center"/>
          </w:tcPr>
          <w:p w:rsidR="00DC493E" w:rsidRPr="00C60369" w:rsidRDefault="00DC493E" w:rsidP="00567C4E">
            <w:pPr>
              <w:pStyle w:val="Default"/>
              <w:snapToGrid w:val="0"/>
              <w:jc w:val="both"/>
              <w:rPr>
                <w:sz w:val="20"/>
                <w:szCs w:val="20"/>
              </w:rPr>
            </w:pPr>
            <w:r w:rsidRPr="00C60369">
              <w:rPr>
                <w:sz w:val="20"/>
                <w:szCs w:val="20"/>
              </w:rPr>
              <w:t>208</w:t>
            </w:r>
          </w:p>
        </w:tc>
        <w:tc>
          <w:tcPr>
            <w:tcW w:w="758" w:type="pct"/>
            <w:vAlign w:val="center"/>
          </w:tcPr>
          <w:p w:rsidR="00DC493E" w:rsidRPr="00C60369" w:rsidRDefault="00DC493E" w:rsidP="00567C4E">
            <w:pPr>
              <w:pStyle w:val="Default"/>
              <w:snapToGrid w:val="0"/>
              <w:jc w:val="both"/>
              <w:rPr>
                <w:sz w:val="20"/>
                <w:szCs w:val="20"/>
              </w:rPr>
            </w:pPr>
            <w:r w:rsidRPr="00C60369">
              <w:rPr>
                <w:sz w:val="20"/>
                <w:szCs w:val="20"/>
              </w:rPr>
              <w:t>43</w:t>
            </w:r>
          </w:p>
        </w:tc>
        <w:tc>
          <w:tcPr>
            <w:tcW w:w="646" w:type="pct"/>
            <w:vAlign w:val="center"/>
          </w:tcPr>
          <w:p w:rsidR="00DC493E" w:rsidRPr="00C60369" w:rsidRDefault="00DC493E" w:rsidP="00567C4E">
            <w:pPr>
              <w:pStyle w:val="Default"/>
              <w:snapToGrid w:val="0"/>
              <w:jc w:val="both"/>
              <w:rPr>
                <w:sz w:val="20"/>
                <w:szCs w:val="20"/>
              </w:rPr>
            </w:pPr>
            <w:r w:rsidRPr="00C60369">
              <w:rPr>
                <w:sz w:val="20"/>
                <w:szCs w:val="20"/>
              </w:rPr>
              <w:t>42</w:t>
            </w:r>
          </w:p>
        </w:tc>
        <w:tc>
          <w:tcPr>
            <w:tcW w:w="533" w:type="pct"/>
            <w:shd w:val="clear" w:color="000000" w:fill="auto"/>
            <w:vAlign w:val="center"/>
          </w:tcPr>
          <w:p w:rsidR="00DC493E" w:rsidRPr="00C60369" w:rsidRDefault="00DC493E" w:rsidP="00567C4E">
            <w:pPr>
              <w:pStyle w:val="Default"/>
              <w:snapToGrid w:val="0"/>
              <w:jc w:val="both"/>
              <w:rPr>
                <w:sz w:val="20"/>
                <w:szCs w:val="20"/>
              </w:rPr>
            </w:pPr>
            <w:r w:rsidRPr="00C60369">
              <w:rPr>
                <w:sz w:val="20"/>
                <w:szCs w:val="20"/>
              </w:rPr>
              <w:t>61</w:t>
            </w:r>
          </w:p>
        </w:tc>
        <w:tc>
          <w:tcPr>
            <w:tcW w:w="454" w:type="pct"/>
            <w:vAlign w:val="center"/>
          </w:tcPr>
          <w:p w:rsidR="00DC493E" w:rsidRPr="00C60369" w:rsidRDefault="00DC493E" w:rsidP="00567C4E">
            <w:pPr>
              <w:pStyle w:val="Default"/>
              <w:snapToGrid w:val="0"/>
              <w:jc w:val="both"/>
              <w:rPr>
                <w:sz w:val="20"/>
                <w:szCs w:val="20"/>
              </w:rPr>
            </w:pPr>
            <w:r w:rsidRPr="00C60369">
              <w:rPr>
                <w:sz w:val="20"/>
                <w:szCs w:val="20"/>
              </w:rPr>
              <w:t>75</w:t>
            </w:r>
          </w:p>
        </w:tc>
      </w:tr>
      <w:tr w:rsidR="00062324" w:rsidRPr="00C60369" w:rsidTr="00567C4E">
        <w:trPr>
          <w:jc w:val="center"/>
        </w:trPr>
        <w:tc>
          <w:tcPr>
            <w:tcW w:w="2095" w:type="pct"/>
            <w:shd w:val="clear" w:color="000000" w:fill="auto"/>
            <w:vAlign w:val="center"/>
          </w:tcPr>
          <w:p w:rsidR="00DC493E" w:rsidRPr="00C60369" w:rsidRDefault="00DC493E" w:rsidP="00567C4E">
            <w:pPr>
              <w:pStyle w:val="Default"/>
              <w:snapToGrid w:val="0"/>
              <w:jc w:val="both"/>
              <w:rPr>
                <w:b/>
                <w:sz w:val="20"/>
                <w:szCs w:val="20"/>
              </w:rPr>
            </w:pPr>
            <w:proofErr w:type="spellStart"/>
            <w:r w:rsidRPr="00C60369">
              <w:rPr>
                <w:b/>
                <w:sz w:val="20"/>
                <w:szCs w:val="20"/>
              </w:rPr>
              <w:t>Combes</w:t>
            </w:r>
            <w:proofErr w:type="spellEnd"/>
            <w:r w:rsidRPr="00C60369">
              <w:rPr>
                <w:b/>
                <w:sz w:val="20"/>
                <w:szCs w:val="20"/>
              </w:rPr>
              <w:t xml:space="preserve"> et al.,2015</w:t>
            </w:r>
          </w:p>
        </w:tc>
        <w:tc>
          <w:tcPr>
            <w:tcW w:w="514" w:type="pct"/>
            <w:vAlign w:val="center"/>
          </w:tcPr>
          <w:p w:rsidR="00DC493E" w:rsidRPr="00C60369" w:rsidRDefault="00DC493E" w:rsidP="00567C4E">
            <w:pPr>
              <w:pStyle w:val="Default"/>
              <w:snapToGrid w:val="0"/>
              <w:jc w:val="both"/>
              <w:rPr>
                <w:sz w:val="20"/>
                <w:szCs w:val="20"/>
              </w:rPr>
            </w:pPr>
            <w:r w:rsidRPr="00C60369">
              <w:rPr>
                <w:sz w:val="20"/>
                <w:szCs w:val="20"/>
              </w:rPr>
              <w:t>224</w:t>
            </w:r>
          </w:p>
        </w:tc>
        <w:tc>
          <w:tcPr>
            <w:tcW w:w="758" w:type="pct"/>
            <w:vAlign w:val="center"/>
          </w:tcPr>
          <w:p w:rsidR="00DC493E" w:rsidRPr="00C60369" w:rsidRDefault="00DC493E" w:rsidP="00567C4E">
            <w:pPr>
              <w:pStyle w:val="Default"/>
              <w:snapToGrid w:val="0"/>
              <w:jc w:val="both"/>
              <w:rPr>
                <w:sz w:val="20"/>
                <w:szCs w:val="20"/>
              </w:rPr>
            </w:pPr>
            <w:r w:rsidRPr="00C60369">
              <w:rPr>
                <w:sz w:val="20"/>
                <w:szCs w:val="20"/>
              </w:rPr>
              <w:t>61</w:t>
            </w:r>
          </w:p>
        </w:tc>
        <w:tc>
          <w:tcPr>
            <w:tcW w:w="646" w:type="pct"/>
            <w:vAlign w:val="center"/>
          </w:tcPr>
          <w:p w:rsidR="00DC493E" w:rsidRPr="00C60369" w:rsidRDefault="00DC493E" w:rsidP="00567C4E">
            <w:pPr>
              <w:pStyle w:val="Default"/>
              <w:snapToGrid w:val="0"/>
              <w:jc w:val="both"/>
              <w:rPr>
                <w:sz w:val="20"/>
                <w:szCs w:val="20"/>
              </w:rPr>
            </w:pPr>
            <w:r w:rsidRPr="00C60369">
              <w:rPr>
                <w:sz w:val="20"/>
                <w:szCs w:val="20"/>
              </w:rPr>
              <w:t>58</w:t>
            </w:r>
          </w:p>
        </w:tc>
        <w:tc>
          <w:tcPr>
            <w:tcW w:w="533" w:type="pct"/>
            <w:shd w:val="clear" w:color="000000" w:fill="auto"/>
            <w:vAlign w:val="center"/>
          </w:tcPr>
          <w:p w:rsidR="00DC493E" w:rsidRPr="00C60369" w:rsidRDefault="00DC493E" w:rsidP="00567C4E">
            <w:pPr>
              <w:pStyle w:val="Default"/>
              <w:snapToGrid w:val="0"/>
              <w:jc w:val="both"/>
              <w:rPr>
                <w:sz w:val="20"/>
                <w:szCs w:val="20"/>
              </w:rPr>
            </w:pPr>
            <w:r w:rsidRPr="00C60369">
              <w:rPr>
                <w:sz w:val="20"/>
                <w:szCs w:val="20"/>
              </w:rPr>
              <w:t>79</w:t>
            </w:r>
          </w:p>
        </w:tc>
        <w:tc>
          <w:tcPr>
            <w:tcW w:w="454" w:type="pct"/>
            <w:vAlign w:val="center"/>
          </w:tcPr>
          <w:p w:rsidR="00DC493E" w:rsidRPr="00C60369" w:rsidRDefault="00DC493E" w:rsidP="00567C4E">
            <w:pPr>
              <w:pStyle w:val="Default"/>
              <w:snapToGrid w:val="0"/>
              <w:jc w:val="both"/>
              <w:rPr>
                <w:sz w:val="20"/>
                <w:szCs w:val="20"/>
              </w:rPr>
            </w:pPr>
            <w:r w:rsidRPr="00C60369">
              <w:rPr>
                <w:sz w:val="20"/>
                <w:szCs w:val="20"/>
              </w:rPr>
              <w:t>80</w:t>
            </w:r>
          </w:p>
        </w:tc>
      </w:tr>
      <w:tr w:rsidR="00062324" w:rsidRPr="00C60369" w:rsidTr="00567C4E">
        <w:trPr>
          <w:jc w:val="center"/>
        </w:trPr>
        <w:tc>
          <w:tcPr>
            <w:tcW w:w="2095" w:type="pct"/>
            <w:shd w:val="clear" w:color="000000" w:fill="auto"/>
            <w:vAlign w:val="center"/>
          </w:tcPr>
          <w:p w:rsidR="00DC493E" w:rsidRPr="00C60369" w:rsidRDefault="00DC493E" w:rsidP="00567C4E">
            <w:pPr>
              <w:pStyle w:val="Default"/>
              <w:snapToGrid w:val="0"/>
              <w:jc w:val="both"/>
              <w:rPr>
                <w:b/>
                <w:sz w:val="20"/>
                <w:szCs w:val="20"/>
              </w:rPr>
            </w:pPr>
            <w:r w:rsidRPr="00C60369">
              <w:rPr>
                <w:b/>
                <w:sz w:val="20"/>
                <w:szCs w:val="20"/>
              </w:rPr>
              <w:t>Wald et al.,2015</w:t>
            </w:r>
          </w:p>
        </w:tc>
        <w:tc>
          <w:tcPr>
            <w:tcW w:w="514" w:type="pct"/>
            <w:vAlign w:val="center"/>
          </w:tcPr>
          <w:p w:rsidR="00DC493E" w:rsidRPr="00C60369" w:rsidRDefault="00DC493E" w:rsidP="00567C4E">
            <w:pPr>
              <w:pStyle w:val="Default"/>
              <w:snapToGrid w:val="0"/>
              <w:jc w:val="both"/>
              <w:rPr>
                <w:sz w:val="20"/>
                <w:szCs w:val="20"/>
              </w:rPr>
            </w:pPr>
            <w:r w:rsidRPr="00C60369">
              <w:rPr>
                <w:sz w:val="20"/>
                <w:szCs w:val="20"/>
              </w:rPr>
              <w:t>100</w:t>
            </w:r>
          </w:p>
        </w:tc>
        <w:tc>
          <w:tcPr>
            <w:tcW w:w="758" w:type="pct"/>
            <w:vAlign w:val="center"/>
          </w:tcPr>
          <w:p w:rsidR="00DC493E" w:rsidRPr="00C60369" w:rsidRDefault="00DC493E" w:rsidP="00567C4E">
            <w:pPr>
              <w:pStyle w:val="Default"/>
              <w:snapToGrid w:val="0"/>
              <w:jc w:val="both"/>
              <w:rPr>
                <w:sz w:val="20"/>
                <w:szCs w:val="20"/>
              </w:rPr>
            </w:pPr>
            <w:r w:rsidRPr="00C60369">
              <w:rPr>
                <w:sz w:val="20"/>
                <w:szCs w:val="20"/>
              </w:rPr>
              <w:t>62</w:t>
            </w:r>
          </w:p>
        </w:tc>
        <w:tc>
          <w:tcPr>
            <w:tcW w:w="646" w:type="pct"/>
            <w:vAlign w:val="center"/>
          </w:tcPr>
          <w:p w:rsidR="00DC493E" w:rsidRPr="00C60369" w:rsidRDefault="00DC493E" w:rsidP="00567C4E">
            <w:pPr>
              <w:pStyle w:val="Default"/>
              <w:snapToGrid w:val="0"/>
              <w:jc w:val="both"/>
              <w:rPr>
                <w:sz w:val="20"/>
                <w:szCs w:val="20"/>
              </w:rPr>
            </w:pPr>
            <w:r w:rsidRPr="00C60369">
              <w:rPr>
                <w:sz w:val="20"/>
                <w:szCs w:val="20"/>
              </w:rPr>
              <w:t>64</w:t>
            </w:r>
          </w:p>
        </w:tc>
        <w:tc>
          <w:tcPr>
            <w:tcW w:w="533" w:type="pct"/>
            <w:shd w:val="clear" w:color="000000" w:fill="auto"/>
            <w:vAlign w:val="center"/>
          </w:tcPr>
          <w:p w:rsidR="00DC493E" w:rsidRPr="00C60369" w:rsidRDefault="00DC493E" w:rsidP="00567C4E">
            <w:pPr>
              <w:pStyle w:val="Default"/>
              <w:snapToGrid w:val="0"/>
              <w:jc w:val="both"/>
              <w:rPr>
                <w:sz w:val="20"/>
                <w:szCs w:val="20"/>
              </w:rPr>
            </w:pPr>
            <w:r w:rsidRPr="00C60369">
              <w:rPr>
                <w:sz w:val="20"/>
                <w:szCs w:val="20"/>
              </w:rPr>
              <w:t>73</w:t>
            </w:r>
          </w:p>
        </w:tc>
        <w:tc>
          <w:tcPr>
            <w:tcW w:w="454" w:type="pct"/>
            <w:vAlign w:val="center"/>
          </w:tcPr>
          <w:p w:rsidR="00DC493E" w:rsidRPr="00C60369" w:rsidRDefault="00DC493E" w:rsidP="00567C4E">
            <w:pPr>
              <w:pStyle w:val="Default"/>
              <w:snapToGrid w:val="0"/>
              <w:jc w:val="both"/>
              <w:rPr>
                <w:sz w:val="20"/>
                <w:szCs w:val="20"/>
              </w:rPr>
            </w:pPr>
            <w:r w:rsidRPr="00C60369">
              <w:rPr>
                <w:sz w:val="20"/>
                <w:szCs w:val="20"/>
              </w:rPr>
              <w:t>71</w:t>
            </w:r>
          </w:p>
        </w:tc>
      </w:tr>
      <w:tr w:rsidR="00062324" w:rsidRPr="00C60369" w:rsidTr="00567C4E">
        <w:trPr>
          <w:jc w:val="center"/>
        </w:trPr>
        <w:tc>
          <w:tcPr>
            <w:tcW w:w="2095" w:type="pct"/>
            <w:shd w:val="clear" w:color="000000" w:fill="auto"/>
            <w:vAlign w:val="center"/>
          </w:tcPr>
          <w:p w:rsidR="00DC493E" w:rsidRPr="00C60369" w:rsidRDefault="00DC493E" w:rsidP="00567C4E">
            <w:pPr>
              <w:pStyle w:val="Default"/>
              <w:snapToGrid w:val="0"/>
              <w:jc w:val="both"/>
              <w:rPr>
                <w:b/>
                <w:sz w:val="20"/>
                <w:szCs w:val="20"/>
              </w:rPr>
            </w:pPr>
            <w:proofErr w:type="spellStart"/>
            <w:r w:rsidRPr="00C60369">
              <w:rPr>
                <w:b/>
                <w:sz w:val="20"/>
                <w:szCs w:val="20"/>
              </w:rPr>
              <w:t>Gaudry</w:t>
            </w:r>
            <w:proofErr w:type="spellEnd"/>
            <w:r w:rsidRPr="00C60369">
              <w:rPr>
                <w:b/>
                <w:sz w:val="20"/>
                <w:szCs w:val="20"/>
              </w:rPr>
              <w:t xml:space="preserve"> et al.,2016</w:t>
            </w:r>
          </w:p>
        </w:tc>
        <w:tc>
          <w:tcPr>
            <w:tcW w:w="514" w:type="pct"/>
            <w:vAlign w:val="center"/>
          </w:tcPr>
          <w:p w:rsidR="00DC493E" w:rsidRPr="00C60369" w:rsidRDefault="00DC493E" w:rsidP="00567C4E">
            <w:pPr>
              <w:pStyle w:val="Default"/>
              <w:snapToGrid w:val="0"/>
              <w:jc w:val="both"/>
              <w:rPr>
                <w:sz w:val="20"/>
                <w:szCs w:val="20"/>
              </w:rPr>
            </w:pPr>
            <w:r w:rsidRPr="00C60369">
              <w:rPr>
                <w:sz w:val="20"/>
                <w:szCs w:val="20"/>
              </w:rPr>
              <w:t>619</w:t>
            </w:r>
          </w:p>
        </w:tc>
        <w:tc>
          <w:tcPr>
            <w:tcW w:w="758" w:type="pct"/>
            <w:vAlign w:val="center"/>
          </w:tcPr>
          <w:p w:rsidR="00DC493E" w:rsidRPr="00C60369" w:rsidRDefault="00DC493E" w:rsidP="00567C4E">
            <w:pPr>
              <w:pStyle w:val="Default"/>
              <w:snapToGrid w:val="0"/>
              <w:jc w:val="both"/>
              <w:rPr>
                <w:sz w:val="20"/>
                <w:szCs w:val="20"/>
              </w:rPr>
            </w:pPr>
            <w:r w:rsidRPr="00C60369">
              <w:rPr>
                <w:sz w:val="20"/>
                <w:szCs w:val="20"/>
              </w:rPr>
              <w:t>65</w:t>
            </w:r>
          </w:p>
        </w:tc>
        <w:tc>
          <w:tcPr>
            <w:tcW w:w="646" w:type="pct"/>
            <w:vAlign w:val="center"/>
          </w:tcPr>
          <w:p w:rsidR="00DC493E" w:rsidRPr="00C60369" w:rsidRDefault="00DC493E" w:rsidP="00567C4E">
            <w:pPr>
              <w:pStyle w:val="Default"/>
              <w:snapToGrid w:val="0"/>
              <w:jc w:val="both"/>
              <w:rPr>
                <w:sz w:val="20"/>
                <w:szCs w:val="20"/>
              </w:rPr>
            </w:pPr>
            <w:r w:rsidRPr="00C60369">
              <w:rPr>
                <w:sz w:val="20"/>
                <w:szCs w:val="20"/>
              </w:rPr>
              <w:t>67</w:t>
            </w:r>
          </w:p>
        </w:tc>
        <w:tc>
          <w:tcPr>
            <w:tcW w:w="533" w:type="pct"/>
            <w:shd w:val="clear" w:color="000000" w:fill="auto"/>
            <w:vAlign w:val="center"/>
          </w:tcPr>
          <w:p w:rsidR="00DC493E" w:rsidRPr="00C60369" w:rsidRDefault="00DC493E" w:rsidP="00567C4E">
            <w:pPr>
              <w:pStyle w:val="Default"/>
              <w:snapToGrid w:val="0"/>
              <w:jc w:val="both"/>
              <w:rPr>
                <w:sz w:val="20"/>
                <w:szCs w:val="20"/>
              </w:rPr>
            </w:pPr>
            <w:r w:rsidRPr="00C60369">
              <w:rPr>
                <w:sz w:val="20"/>
                <w:szCs w:val="20"/>
              </w:rPr>
              <w:t>67</w:t>
            </w:r>
          </w:p>
        </w:tc>
        <w:tc>
          <w:tcPr>
            <w:tcW w:w="454" w:type="pct"/>
            <w:vAlign w:val="center"/>
          </w:tcPr>
          <w:p w:rsidR="00DC493E" w:rsidRPr="00C60369" w:rsidRDefault="00DC493E" w:rsidP="00567C4E">
            <w:pPr>
              <w:pStyle w:val="Default"/>
              <w:snapToGrid w:val="0"/>
              <w:jc w:val="both"/>
              <w:rPr>
                <w:sz w:val="20"/>
                <w:szCs w:val="20"/>
              </w:rPr>
            </w:pPr>
            <w:r w:rsidRPr="00C60369">
              <w:rPr>
                <w:sz w:val="20"/>
                <w:szCs w:val="20"/>
              </w:rPr>
              <w:t>64</w:t>
            </w:r>
          </w:p>
        </w:tc>
      </w:tr>
      <w:tr w:rsidR="00062324" w:rsidRPr="00C60369" w:rsidTr="00567C4E">
        <w:trPr>
          <w:jc w:val="center"/>
        </w:trPr>
        <w:tc>
          <w:tcPr>
            <w:tcW w:w="2095" w:type="pct"/>
            <w:shd w:val="clear" w:color="000000" w:fill="auto"/>
            <w:vAlign w:val="center"/>
          </w:tcPr>
          <w:p w:rsidR="00DC493E" w:rsidRPr="00C60369" w:rsidRDefault="00DC493E" w:rsidP="00567C4E">
            <w:pPr>
              <w:pStyle w:val="Default"/>
              <w:snapToGrid w:val="0"/>
              <w:jc w:val="both"/>
              <w:rPr>
                <w:b/>
                <w:sz w:val="20"/>
                <w:szCs w:val="20"/>
              </w:rPr>
            </w:pPr>
            <w:proofErr w:type="spellStart"/>
            <w:r w:rsidRPr="00C60369">
              <w:rPr>
                <w:b/>
                <w:sz w:val="20"/>
                <w:szCs w:val="20"/>
              </w:rPr>
              <w:t>Zarbock</w:t>
            </w:r>
            <w:proofErr w:type="spellEnd"/>
            <w:r w:rsidRPr="00C60369">
              <w:rPr>
                <w:b/>
                <w:sz w:val="20"/>
                <w:szCs w:val="20"/>
              </w:rPr>
              <w:t xml:space="preserve"> et al.,2016</w:t>
            </w:r>
          </w:p>
        </w:tc>
        <w:tc>
          <w:tcPr>
            <w:tcW w:w="514" w:type="pct"/>
            <w:vAlign w:val="center"/>
          </w:tcPr>
          <w:p w:rsidR="00DC493E" w:rsidRPr="00C60369" w:rsidRDefault="00DC493E" w:rsidP="00567C4E">
            <w:pPr>
              <w:pStyle w:val="Default"/>
              <w:snapToGrid w:val="0"/>
              <w:jc w:val="both"/>
              <w:rPr>
                <w:sz w:val="20"/>
                <w:szCs w:val="20"/>
              </w:rPr>
            </w:pPr>
            <w:r w:rsidRPr="00C60369">
              <w:rPr>
                <w:sz w:val="20"/>
                <w:szCs w:val="20"/>
              </w:rPr>
              <w:t>231</w:t>
            </w:r>
          </w:p>
        </w:tc>
        <w:tc>
          <w:tcPr>
            <w:tcW w:w="758" w:type="pct"/>
            <w:vAlign w:val="center"/>
          </w:tcPr>
          <w:p w:rsidR="00DC493E" w:rsidRPr="00C60369" w:rsidRDefault="00DC493E" w:rsidP="00567C4E">
            <w:pPr>
              <w:pStyle w:val="Default"/>
              <w:snapToGrid w:val="0"/>
              <w:jc w:val="both"/>
              <w:rPr>
                <w:sz w:val="20"/>
                <w:szCs w:val="20"/>
              </w:rPr>
            </w:pPr>
            <w:r w:rsidRPr="00C60369">
              <w:rPr>
                <w:sz w:val="20"/>
                <w:szCs w:val="20"/>
              </w:rPr>
              <w:t>66</w:t>
            </w:r>
          </w:p>
        </w:tc>
        <w:tc>
          <w:tcPr>
            <w:tcW w:w="646" w:type="pct"/>
            <w:vAlign w:val="center"/>
          </w:tcPr>
          <w:p w:rsidR="00DC493E" w:rsidRPr="00C60369" w:rsidRDefault="00DC493E" w:rsidP="00567C4E">
            <w:pPr>
              <w:pStyle w:val="Default"/>
              <w:snapToGrid w:val="0"/>
              <w:jc w:val="both"/>
              <w:rPr>
                <w:sz w:val="20"/>
                <w:szCs w:val="20"/>
              </w:rPr>
            </w:pPr>
            <w:r w:rsidRPr="00C60369">
              <w:rPr>
                <w:sz w:val="20"/>
                <w:szCs w:val="20"/>
              </w:rPr>
              <w:t>68</w:t>
            </w:r>
          </w:p>
        </w:tc>
        <w:tc>
          <w:tcPr>
            <w:tcW w:w="533" w:type="pct"/>
            <w:shd w:val="clear" w:color="000000" w:fill="auto"/>
            <w:vAlign w:val="center"/>
          </w:tcPr>
          <w:p w:rsidR="00DC493E" w:rsidRPr="00C60369" w:rsidRDefault="00DC493E" w:rsidP="00567C4E">
            <w:pPr>
              <w:pStyle w:val="Default"/>
              <w:snapToGrid w:val="0"/>
              <w:jc w:val="both"/>
              <w:rPr>
                <w:sz w:val="20"/>
                <w:szCs w:val="20"/>
              </w:rPr>
            </w:pPr>
            <w:r w:rsidRPr="00C60369">
              <w:rPr>
                <w:sz w:val="20"/>
                <w:szCs w:val="20"/>
              </w:rPr>
              <w:t>70</w:t>
            </w:r>
          </w:p>
        </w:tc>
        <w:tc>
          <w:tcPr>
            <w:tcW w:w="454" w:type="pct"/>
            <w:vAlign w:val="center"/>
          </w:tcPr>
          <w:p w:rsidR="00DC493E" w:rsidRPr="00C60369" w:rsidRDefault="00DC493E" w:rsidP="00567C4E">
            <w:pPr>
              <w:pStyle w:val="Default"/>
              <w:snapToGrid w:val="0"/>
              <w:jc w:val="both"/>
              <w:rPr>
                <w:sz w:val="20"/>
                <w:szCs w:val="20"/>
              </w:rPr>
            </w:pPr>
            <w:r w:rsidRPr="00C60369">
              <w:rPr>
                <w:sz w:val="20"/>
                <w:szCs w:val="20"/>
              </w:rPr>
              <w:t>57</w:t>
            </w:r>
          </w:p>
        </w:tc>
      </w:tr>
    </w:tbl>
    <w:p w:rsidR="00DC493E" w:rsidRPr="00C60369" w:rsidRDefault="00DC493E" w:rsidP="00567C4E">
      <w:pPr>
        <w:pStyle w:val="Default"/>
        <w:snapToGrid w:val="0"/>
        <w:ind w:firstLine="425"/>
        <w:jc w:val="both"/>
        <w:rPr>
          <w:sz w:val="20"/>
          <w:szCs w:val="20"/>
        </w:rPr>
      </w:pPr>
    </w:p>
    <w:p w:rsidR="00567C4E" w:rsidRPr="00C60369" w:rsidRDefault="00567C4E" w:rsidP="00567C4E">
      <w:pPr>
        <w:pStyle w:val="Default"/>
        <w:snapToGrid w:val="0"/>
        <w:ind w:firstLine="425"/>
        <w:jc w:val="both"/>
        <w:rPr>
          <w:sz w:val="20"/>
          <w:szCs w:val="20"/>
        </w:rPr>
        <w:sectPr w:rsidR="00567C4E" w:rsidRPr="00C60369" w:rsidSect="00062324">
          <w:type w:val="continuous"/>
          <w:pgSz w:w="12240" w:h="15840"/>
          <w:pgMar w:top="1440" w:right="1440" w:bottom="1440" w:left="1440" w:header="720" w:footer="720" w:gutter="0"/>
          <w:cols w:space="720"/>
          <w:rtlGutter/>
          <w:docGrid w:linePitch="360"/>
        </w:sectPr>
      </w:pPr>
    </w:p>
    <w:p w:rsidR="00062324" w:rsidRPr="00C60369" w:rsidRDefault="00DC493E" w:rsidP="00567C4E">
      <w:pPr>
        <w:pStyle w:val="Default"/>
        <w:snapToGrid w:val="0"/>
        <w:ind w:firstLine="425"/>
        <w:jc w:val="both"/>
        <w:rPr>
          <w:b/>
          <w:bCs/>
          <w:sz w:val="20"/>
          <w:szCs w:val="20"/>
        </w:rPr>
      </w:pPr>
      <w:r w:rsidRPr="00C60369">
        <w:rPr>
          <w:sz w:val="20"/>
          <w:szCs w:val="20"/>
        </w:rPr>
        <w:lastRenderedPageBreak/>
        <w:t xml:space="preserve">A total of 1636 patients were enrolled. Of these studies, four of the studies were multi-center studies </w:t>
      </w:r>
      <w:r w:rsidRPr="00C60369">
        <w:rPr>
          <w:b/>
          <w:bCs/>
          <w:i/>
          <w:iCs/>
          <w:sz w:val="20"/>
          <w:szCs w:val="20"/>
        </w:rPr>
        <w:t>(</w:t>
      </w:r>
      <w:proofErr w:type="spellStart"/>
      <w:r w:rsidRPr="00C60369">
        <w:rPr>
          <w:b/>
          <w:bCs/>
          <w:i/>
          <w:iCs/>
          <w:sz w:val="20"/>
          <w:szCs w:val="20"/>
        </w:rPr>
        <w:t>Payen</w:t>
      </w:r>
      <w:proofErr w:type="spellEnd"/>
      <w:r w:rsidRPr="00C60369">
        <w:rPr>
          <w:b/>
          <w:bCs/>
          <w:i/>
          <w:iCs/>
          <w:sz w:val="20"/>
          <w:szCs w:val="20"/>
        </w:rPr>
        <w:t xml:space="preserve"> et al., 2009- </w:t>
      </w:r>
      <w:proofErr w:type="spellStart"/>
      <w:r w:rsidRPr="00C60369">
        <w:rPr>
          <w:b/>
          <w:bCs/>
          <w:i/>
          <w:iCs/>
          <w:sz w:val="20"/>
          <w:szCs w:val="20"/>
        </w:rPr>
        <w:t>Combes</w:t>
      </w:r>
      <w:proofErr w:type="spellEnd"/>
      <w:r w:rsidRPr="00C60369">
        <w:rPr>
          <w:b/>
          <w:bCs/>
          <w:i/>
          <w:iCs/>
          <w:sz w:val="20"/>
          <w:szCs w:val="20"/>
        </w:rPr>
        <w:t xml:space="preserve"> et al., 2015- Wald et al., 2015- </w:t>
      </w:r>
      <w:proofErr w:type="spellStart"/>
      <w:r w:rsidRPr="00C60369">
        <w:rPr>
          <w:b/>
          <w:bCs/>
          <w:i/>
          <w:iCs/>
          <w:sz w:val="20"/>
          <w:szCs w:val="20"/>
        </w:rPr>
        <w:t>Guadry</w:t>
      </w:r>
      <w:proofErr w:type="spellEnd"/>
      <w:r w:rsidRPr="00C60369">
        <w:rPr>
          <w:b/>
          <w:bCs/>
          <w:i/>
          <w:iCs/>
          <w:sz w:val="20"/>
          <w:szCs w:val="20"/>
        </w:rPr>
        <w:t xml:space="preserve"> et al., 2016).</w:t>
      </w:r>
    </w:p>
    <w:p w:rsidR="00DC493E" w:rsidRPr="00C60369" w:rsidRDefault="00062324" w:rsidP="00567C4E">
      <w:pPr>
        <w:pStyle w:val="Default"/>
        <w:snapToGrid w:val="0"/>
        <w:ind w:firstLine="425"/>
        <w:jc w:val="both"/>
        <w:rPr>
          <w:sz w:val="20"/>
          <w:szCs w:val="20"/>
        </w:rPr>
      </w:pPr>
      <w:r w:rsidRPr="00C60369">
        <w:rPr>
          <w:sz w:val="20"/>
          <w:szCs w:val="20"/>
        </w:rPr>
        <w:t>F</w:t>
      </w:r>
      <w:r w:rsidR="00DC493E" w:rsidRPr="00C60369">
        <w:rPr>
          <w:sz w:val="20"/>
          <w:szCs w:val="20"/>
        </w:rPr>
        <w:t xml:space="preserve">our were single-center studies </w:t>
      </w:r>
      <w:r w:rsidR="00DC493E" w:rsidRPr="00C60369">
        <w:rPr>
          <w:b/>
          <w:bCs/>
          <w:i/>
          <w:iCs/>
          <w:sz w:val="20"/>
          <w:szCs w:val="20"/>
        </w:rPr>
        <w:t>(</w:t>
      </w:r>
      <w:proofErr w:type="spellStart"/>
      <w:r w:rsidR="00DC493E" w:rsidRPr="00C60369">
        <w:rPr>
          <w:b/>
          <w:bCs/>
          <w:i/>
          <w:iCs/>
          <w:sz w:val="20"/>
          <w:szCs w:val="20"/>
        </w:rPr>
        <w:t>Durmaz</w:t>
      </w:r>
      <w:proofErr w:type="spellEnd"/>
      <w:r w:rsidR="00DC493E" w:rsidRPr="00C60369">
        <w:rPr>
          <w:b/>
          <w:bCs/>
          <w:i/>
          <w:iCs/>
          <w:sz w:val="20"/>
          <w:szCs w:val="20"/>
        </w:rPr>
        <w:t xml:space="preserve"> et al., 2003- </w:t>
      </w:r>
      <w:proofErr w:type="spellStart"/>
      <w:r w:rsidR="00DC493E" w:rsidRPr="00C60369">
        <w:rPr>
          <w:b/>
          <w:bCs/>
          <w:i/>
          <w:iCs/>
          <w:sz w:val="20"/>
          <w:szCs w:val="20"/>
        </w:rPr>
        <w:t>Sugahara</w:t>
      </w:r>
      <w:proofErr w:type="spellEnd"/>
      <w:r w:rsidR="00DC493E" w:rsidRPr="00C60369">
        <w:rPr>
          <w:b/>
          <w:bCs/>
          <w:i/>
          <w:iCs/>
          <w:sz w:val="20"/>
          <w:szCs w:val="20"/>
        </w:rPr>
        <w:t xml:space="preserve"> and suzuki,2004- </w:t>
      </w:r>
      <w:proofErr w:type="spellStart"/>
      <w:r w:rsidR="00DC493E" w:rsidRPr="00C60369">
        <w:rPr>
          <w:b/>
          <w:bCs/>
          <w:i/>
          <w:iCs/>
          <w:sz w:val="20"/>
          <w:szCs w:val="20"/>
        </w:rPr>
        <w:t>Jamale</w:t>
      </w:r>
      <w:proofErr w:type="spellEnd"/>
      <w:r w:rsidR="00DC493E" w:rsidRPr="00C60369">
        <w:rPr>
          <w:b/>
          <w:bCs/>
          <w:i/>
          <w:iCs/>
          <w:sz w:val="20"/>
          <w:szCs w:val="20"/>
        </w:rPr>
        <w:t xml:space="preserve"> et al., 2013- </w:t>
      </w:r>
      <w:proofErr w:type="spellStart"/>
      <w:r w:rsidR="00DC493E" w:rsidRPr="00C60369">
        <w:rPr>
          <w:b/>
          <w:bCs/>
          <w:i/>
          <w:iCs/>
          <w:sz w:val="20"/>
          <w:szCs w:val="20"/>
        </w:rPr>
        <w:t>Zarbock</w:t>
      </w:r>
      <w:proofErr w:type="spellEnd"/>
      <w:r w:rsidR="00DC493E" w:rsidRPr="00C60369">
        <w:rPr>
          <w:b/>
          <w:bCs/>
          <w:i/>
          <w:iCs/>
          <w:sz w:val="20"/>
          <w:szCs w:val="20"/>
        </w:rPr>
        <w:t xml:space="preserve"> et al., 2016)</w:t>
      </w:r>
      <w:r w:rsidR="00E87DF2" w:rsidRPr="00C60369">
        <w:rPr>
          <w:b/>
          <w:bCs/>
          <w:i/>
          <w:iCs/>
          <w:sz w:val="20"/>
          <w:szCs w:val="20"/>
        </w:rPr>
        <w:t xml:space="preserve">, </w:t>
      </w:r>
      <w:r w:rsidR="00E87DF2" w:rsidRPr="00C60369">
        <w:rPr>
          <w:sz w:val="20"/>
          <w:szCs w:val="20"/>
        </w:rPr>
        <w:t>a</w:t>
      </w:r>
      <w:r w:rsidR="00DC493E" w:rsidRPr="00C60369">
        <w:rPr>
          <w:sz w:val="20"/>
          <w:szCs w:val="20"/>
        </w:rPr>
        <w:t>nd one was a two-center stud</w:t>
      </w:r>
      <w:r w:rsidRPr="00C60369">
        <w:rPr>
          <w:sz w:val="20"/>
          <w:szCs w:val="20"/>
        </w:rPr>
        <w:t xml:space="preserve">y </w:t>
      </w:r>
      <w:r w:rsidRPr="00C60369">
        <w:rPr>
          <w:b/>
          <w:bCs/>
          <w:i/>
          <w:iCs/>
          <w:sz w:val="20"/>
          <w:szCs w:val="20"/>
        </w:rPr>
        <w:t>(</w:t>
      </w:r>
      <w:proofErr w:type="spellStart"/>
      <w:r w:rsidR="00DC493E" w:rsidRPr="00C60369">
        <w:rPr>
          <w:b/>
          <w:bCs/>
          <w:i/>
          <w:iCs/>
          <w:sz w:val="20"/>
          <w:szCs w:val="20"/>
        </w:rPr>
        <w:t>Bouman</w:t>
      </w:r>
      <w:proofErr w:type="spellEnd"/>
      <w:r w:rsidR="00DC493E" w:rsidRPr="00C60369">
        <w:rPr>
          <w:b/>
          <w:bCs/>
          <w:i/>
          <w:iCs/>
          <w:sz w:val="20"/>
          <w:szCs w:val="20"/>
        </w:rPr>
        <w:t xml:space="preserve"> et al., 2002).</w:t>
      </w:r>
    </w:p>
    <w:p w:rsidR="00DC493E" w:rsidRPr="00C60369" w:rsidRDefault="00DC493E" w:rsidP="00567C4E">
      <w:pPr>
        <w:pStyle w:val="Default"/>
        <w:snapToGrid w:val="0"/>
        <w:ind w:firstLine="425"/>
        <w:jc w:val="both"/>
        <w:rPr>
          <w:sz w:val="20"/>
          <w:szCs w:val="20"/>
        </w:rPr>
      </w:pPr>
      <w:r w:rsidRPr="00C60369">
        <w:rPr>
          <w:sz w:val="20"/>
          <w:szCs w:val="20"/>
        </w:rPr>
        <w:t xml:space="preserve">Three studies examined only patients following cardiac surgery </w:t>
      </w:r>
      <w:r w:rsidRPr="00C60369">
        <w:rPr>
          <w:b/>
          <w:bCs/>
          <w:i/>
          <w:iCs/>
          <w:sz w:val="20"/>
          <w:szCs w:val="20"/>
        </w:rPr>
        <w:t>(</w:t>
      </w:r>
      <w:proofErr w:type="spellStart"/>
      <w:r w:rsidRPr="00C60369">
        <w:rPr>
          <w:b/>
          <w:bCs/>
          <w:i/>
          <w:iCs/>
          <w:sz w:val="20"/>
          <w:szCs w:val="20"/>
        </w:rPr>
        <w:t>Durmaz</w:t>
      </w:r>
      <w:proofErr w:type="spellEnd"/>
      <w:r w:rsidRPr="00C60369">
        <w:rPr>
          <w:b/>
          <w:bCs/>
          <w:i/>
          <w:iCs/>
          <w:sz w:val="20"/>
          <w:szCs w:val="20"/>
        </w:rPr>
        <w:t xml:space="preserve"> et al., 2003- </w:t>
      </w:r>
      <w:proofErr w:type="spellStart"/>
      <w:r w:rsidRPr="00C60369">
        <w:rPr>
          <w:b/>
          <w:bCs/>
          <w:i/>
          <w:iCs/>
          <w:sz w:val="20"/>
          <w:szCs w:val="20"/>
        </w:rPr>
        <w:t>Sugahara</w:t>
      </w:r>
      <w:proofErr w:type="spellEnd"/>
      <w:r w:rsidRPr="00C60369">
        <w:rPr>
          <w:b/>
          <w:bCs/>
          <w:i/>
          <w:iCs/>
          <w:sz w:val="20"/>
          <w:szCs w:val="20"/>
        </w:rPr>
        <w:t xml:space="preserve"> and </w:t>
      </w:r>
      <w:r w:rsidRPr="00C60369">
        <w:rPr>
          <w:b/>
          <w:bCs/>
          <w:i/>
          <w:iCs/>
          <w:sz w:val="20"/>
          <w:szCs w:val="20"/>
        </w:rPr>
        <w:lastRenderedPageBreak/>
        <w:t>suzuki,2004-Combes et al., 2015)</w:t>
      </w:r>
      <w:r w:rsidRPr="00C60369">
        <w:rPr>
          <w:i/>
          <w:iCs/>
          <w:sz w:val="20"/>
          <w:szCs w:val="20"/>
        </w:rPr>
        <w:t>,</w:t>
      </w:r>
      <w:r w:rsidRPr="00C60369">
        <w:rPr>
          <w:sz w:val="20"/>
          <w:szCs w:val="20"/>
        </w:rPr>
        <w:t xml:space="preserve"> whereas the remaining six studies were mixed with medical or surgical patients.</w:t>
      </w:r>
    </w:p>
    <w:p w:rsidR="00DC493E" w:rsidRPr="00C60369" w:rsidRDefault="00DC493E" w:rsidP="00567C4E">
      <w:pPr>
        <w:pStyle w:val="Default"/>
        <w:snapToGrid w:val="0"/>
        <w:ind w:firstLine="425"/>
        <w:jc w:val="both"/>
        <w:rPr>
          <w:sz w:val="20"/>
          <w:szCs w:val="20"/>
        </w:rPr>
      </w:pPr>
      <w:r w:rsidRPr="00C60369">
        <w:rPr>
          <w:sz w:val="20"/>
          <w:szCs w:val="20"/>
        </w:rPr>
        <w:t xml:space="preserve">The follow-up time reported in these studies ranged from 14 to 90 days </w:t>
      </w:r>
      <w:r w:rsidRPr="00C60369">
        <w:rPr>
          <w:b/>
          <w:bCs/>
          <w:sz w:val="20"/>
          <w:szCs w:val="20"/>
        </w:rPr>
        <w:t>(table 1)</w:t>
      </w:r>
      <w:r w:rsidR="00E87DF2" w:rsidRPr="00C60369">
        <w:rPr>
          <w:sz w:val="20"/>
          <w:szCs w:val="20"/>
        </w:rPr>
        <w:t>. A</w:t>
      </w:r>
      <w:r w:rsidRPr="00C60369">
        <w:rPr>
          <w:sz w:val="20"/>
          <w:szCs w:val="20"/>
        </w:rPr>
        <w:t xml:space="preserve">ge and sex are demonstrated in </w:t>
      </w:r>
      <w:r w:rsidRPr="00C60369">
        <w:rPr>
          <w:b/>
          <w:bCs/>
          <w:sz w:val="20"/>
          <w:szCs w:val="20"/>
        </w:rPr>
        <w:t>(table 2).</w:t>
      </w:r>
    </w:p>
    <w:p w:rsidR="008119DE" w:rsidRPr="00C60369" w:rsidRDefault="00DC493E" w:rsidP="00567C4E">
      <w:pPr>
        <w:pStyle w:val="Default"/>
        <w:snapToGrid w:val="0"/>
        <w:ind w:firstLine="425"/>
        <w:jc w:val="both"/>
        <w:rPr>
          <w:sz w:val="20"/>
          <w:szCs w:val="20"/>
        </w:rPr>
      </w:pPr>
      <w:r w:rsidRPr="00C60369">
        <w:rPr>
          <w:sz w:val="20"/>
          <w:szCs w:val="20"/>
        </w:rPr>
        <w:t xml:space="preserve">The definition of early and late initiation of RRT for each specific study is outlined in </w:t>
      </w:r>
      <w:r w:rsidRPr="00C60369">
        <w:rPr>
          <w:b/>
          <w:bCs/>
          <w:sz w:val="20"/>
          <w:szCs w:val="20"/>
        </w:rPr>
        <w:t>(Table 3).</w:t>
      </w:r>
    </w:p>
    <w:p w:rsidR="00567C4E" w:rsidRPr="00C60369" w:rsidRDefault="00567C4E" w:rsidP="00567C4E">
      <w:pPr>
        <w:pStyle w:val="Default"/>
        <w:snapToGrid w:val="0"/>
        <w:jc w:val="center"/>
        <w:rPr>
          <w:sz w:val="20"/>
          <w:szCs w:val="20"/>
        </w:rPr>
        <w:sectPr w:rsidR="00567C4E" w:rsidRPr="00C60369" w:rsidSect="00567C4E">
          <w:type w:val="continuous"/>
          <w:pgSz w:w="12240" w:h="15840"/>
          <w:pgMar w:top="1440" w:right="1440" w:bottom="1440" w:left="1440" w:header="720" w:footer="720" w:gutter="0"/>
          <w:cols w:num="2" w:space="550"/>
          <w:rtlGutter/>
          <w:docGrid w:linePitch="360"/>
        </w:sectPr>
      </w:pPr>
    </w:p>
    <w:p w:rsidR="00DC493E" w:rsidRPr="00C60369" w:rsidRDefault="00DC493E" w:rsidP="00567C4E">
      <w:pPr>
        <w:pStyle w:val="Default"/>
        <w:snapToGrid w:val="0"/>
        <w:jc w:val="center"/>
        <w:rPr>
          <w:sz w:val="20"/>
          <w:szCs w:val="20"/>
        </w:rPr>
      </w:pPr>
    </w:p>
    <w:p w:rsidR="00DC493E" w:rsidRPr="00C60369" w:rsidRDefault="00DC493E" w:rsidP="00567C4E">
      <w:pPr>
        <w:pStyle w:val="Default"/>
        <w:snapToGrid w:val="0"/>
        <w:jc w:val="center"/>
        <w:rPr>
          <w:b/>
          <w:bCs/>
          <w:sz w:val="20"/>
          <w:szCs w:val="20"/>
        </w:rPr>
      </w:pPr>
      <w:r w:rsidRPr="00C60369">
        <w:rPr>
          <w:b/>
          <w:bCs/>
          <w:sz w:val="20"/>
          <w:szCs w:val="20"/>
        </w:rPr>
        <w:t xml:space="preserve">Table (3): </w:t>
      </w:r>
      <w:r w:rsidRPr="00C60369">
        <w:rPr>
          <w:sz w:val="20"/>
          <w:szCs w:val="20"/>
        </w:rPr>
        <w:t>Definition of Early and Late RRT in Studies Included in the Meta-analysis</w:t>
      </w:r>
    </w:p>
    <w:tbl>
      <w:tblPr>
        <w:tblStyle w:val="TableGrid"/>
        <w:tblW w:w="0" w:type="auto"/>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left w:w="57" w:type="dxa"/>
          <w:right w:w="57" w:type="dxa"/>
        </w:tblCellMar>
        <w:tblLook w:val="04A0"/>
      </w:tblPr>
      <w:tblGrid>
        <w:gridCol w:w="1436"/>
        <w:gridCol w:w="2757"/>
        <w:gridCol w:w="3489"/>
        <w:gridCol w:w="1792"/>
      </w:tblGrid>
      <w:tr w:rsidR="00DC493E" w:rsidRPr="00C60369" w:rsidTr="00567C4E">
        <w:trPr>
          <w:jc w:val="center"/>
        </w:trPr>
        <w:tc>
          <w:tcPr>
            <w:tcW w:w="0" w:type="auto"/>
            <w:shd w:val="clear" w:color="auto" w:fill="BFBFBF" w:themeFill="background1" w:themeFillShade="BF"/>
            <w:vAlign w:val="center"/>
          </w:tcPr>
          <w:p w:rsidR="00DC493E" w:rsidRPr="00C60369" w:rsidRDefault="00DC493E" w:rsidP="00567C4E">
            <w:pPr>
              <w:pStyle w:val="Default"/>
              <w:snapToGrid w:val="0"/>
              <w:jc w:val="both"/>
              <w:rPr>
                <w:b/>
                <w:bCs/>
                <w:sz w:val="20"/>
                <w:szCs w:val="20"/>
              </w:rPr>
            </w:pPr>
            <w:r w:rsidRPr="00C60369">
              <w:rPr>
                <w:b/>
                <w:bCs/>
                <w:sz w:val="20"/>
                <w:szCs w:val="20"/>
              </w:rPr>
              <w:t>Author</w:t>
            </w:r>
          </w:p>
        </w:tc>
        <w:tc>
          <w:tcPr>
            <w:tcW w:w="0" w:type="auto"/>
            <w:shd w:val="clear" w:color="auto" w:fill="BFBFBF" w:themeFill="background1" w:themeFillShade="BF"/>
            <w:vAlign w:val="center"/>
          </w:tcPr>
          <w:p w:rsidR="00DC493E" w:rsidRPr="00C60369" w:rsidRDefault="00DC493E" w:rsidP="00567C4E">
            <w:pPr>
              <w:pStyle w:val="Default"/>
              <w:snapToGrid w:val="0"/>
              <w:jc w:val="both"/>
              <w:rPr>
                <w:b/>
                <w:bCs/>
                <w:sz w:val="20"/>
                <w:szCs w:val="20"/>
              </w:rPr>
            </w:pPr>
            <w:r w:rsidRPr="00C60369">
              <w:rPr>
                <w:b/>
                <w:bCs/>
                <w:sz w:val="20"/>
                <w:szCs w:val="20"/>
              </w:rPr>
              <w:t>Early criteria</w:t>
            </w:r>
          </w:p>
        </w:tc>
        <w:tc>
          <w:tcPr>
            <w:tcW w:w="0" w:type="auto"/>
            <w:shd w:val="clear" w:color="auto" w:fill="BFBFBF" w:themeFill="background1" w:themeFillShade="BF"/>
            <w:vAlign w:val="center"/>
          </w:tcPr>
          <w:p w:rsidR="00DC493E" w:rsidRPr="00C60369" w:rsidRDefault="00DC493E" w:rsidP="00567C4E">
            <w:pPr>
              <w:pStyle w:val="Default"/>
              <w:snapToGrid w:val="0"/>
              <w:jc w:val="both"/>
              <w:rPr>
                <w:b/>
                <w:bCs/>
                <w:sz w:val="20"/>
                <w:szCs w:val="20"/>
              </w:rPr>
            </w:pPr>
            <w:r w:rsidRPr="00C60369">
              <w:rPr>
                <w:b/>
                <w:bCs/>
                <w:sz w:val="20"/>
                <w:szCs w:val="20"/>
              </w:rPr>
              <w:t>Late criteria</w:t>
            </w:r>
          </w:p>
        </w:tc>
        <w:tc>
          <w:tcPr>
            <w:tcW w:w="0" w:type="auto"/>
            <w:shd w:val="clear" w:color="auto" w:fill="BFBFBF" w:themeFill="background1" w:themeFillShade="BF"/>
            <w:vAlign w:val="center"/>
          </w:tcPr>
          <w:p w:rsidR="00DC493E" w:rsidRPr="00C60369" w:rsidRDefault="00DC493E" w:rsidP="00567C4E">
            <w:pPr>
              <w:pStyle w:val="Default"/>
              <w:snapToGrid w:val="0"/>
              <w:jc w:val="both"/>
              <w:rPr>
                <w:b/>
                <w:bCs/>
                <w:sz w:val="20"/>
                <w:szCs w:val="20"/>
              </w:rPr>
            </w:pPr>
            <w:r w:rsidRPr="00C60369">
              <w:rPr>
                <w:b/>
                <w:bCs/>
                <w:sz w:val="20"/>
                <w:szCs w:val="20"/>
              </w:rPr>
              <w:t>MODALITY</w:t>
            </w:r>
          </w:p>
        </w:tc>
      </w:tr>
      <w:tr w:rsidR="00DC493E" w:rsidRPr="00C60369" w:rsidTr="00567C4E">
        <w:trPr>
          <w:jc w:val="center"/>
        </w:trPr>
        <w:tc>
          <w:tcPr>
            <w:tcW w:w="0" w:type="auto"/>
            <w:shd w:val="clear" w:color="auto" w:fill="auto"/>
            <w:vAlign w:val="center"/>
          </w:tcPr>
          <w:p w:rsidR="00DC493E" w:rsidRPr="00C60369" w:rsidRDefault="00DC493E" w:rsidP="00567C4E">
            <w:pPr>
              <w:pStyle w:val="Default"/>
              <w:snapToGrid w:val="0"/>
              <w:jc w:val="both"/>
              <w:rPr>
                <w:sz w:val="20"/>
                <w:szCs w:val="20"/>
              </w:rPr>
            </w:pPr>
            <w:r w:rsidRPr="00C60369">
              <w:rPr>
                <w:sz w:val="20"/>
                <w:szCs w:val="20"/>
              </w:rPr>
              <w:t>Bouman2002</w:t>
            </w:r>
          </w:p>
        </w:tc>
        <w:tc>
          <w:tcPr>
            <w:tcW w:w="0" w:type="auto"/>
            <w:shd w:val="clear" w:color="auto" w:fill="auto"/>
            <w:vAlign w:val="center"/>
          </w:tcPr>
          <w:p w:rsidR="00DC493E" w:rsidRPr="00C60369" w:rsidRDefault="00DC493E" w:rsidP="00567C4E">
            <w:pPr>
              <w:pStyle w:val="Default"/>
              <w:snapToGrid w:val="0"/>
              <w:jc w:val="both"/>
              <w:rPr>
                <w:sz w:val="20"/>
                <w:szCs w:val="20"/>
              </w:rPr>
            </w:pPr>
            <w:r w:rsidRPr="00C60369">
              <w:rPr>
                <w:sz w:val="20"/>
                <w:szCs w:val="20"/>
              </w:rPr>
              <w:t>RRT within 12 h if urine output &lt;30 ml/h</w:t>
            </w:r>
            <w:r w:rsidR="00E87DF2" w:rsidRPr="00C60369">
              <w:rPr>
                <w:sz w:val="20"/>
                <w:szCs w:val="20"/>
              </w:rPr>
              <w:t>, C</w:t>
            </w:r>
            <w:r w:rsidRPr="00C60369">
              <w:rPr>
                <w:sz w:val="20"/>
                <w:szCs w:val="20"/>
              </w:rPr>
              <w:t>r clearance &lt;20 ml/min, and mechanical ventilation</w:t>
            </w:r>
          </w:p>
        </w:tc>
        <w:tc>
          <w:tcPr>
            <w:tcW w:w="0" w:type="auto"/>
            <w:shd w:val="clear" w:color="auto" w:fill="auto"/>
            <w:vAlign w:val="center"/>
          </w:tcPr>
          <w:p w:rsidR="00DC493E" w:rsidRPr="00C60369" w:rsidRDefault="00DC493E" w:rsidP="00567C4E">
            <w:pPr>
              <w:pStyle w:val="Default"/>
              <w:snapToGrid w:val="0"/>
              <w:jc w:val="both"/>
              <w:rPr>
                <w:sz w:val="20"/>
                <w:szCs w:val="20"/>
              </w:rPr>
            </w:pPr>
            <w:r w:rsidRPr="00C60369">
              <w:rPr>
                <w:sz w:val="20"/>
                <w:szCs w:val="20"/>
              </w:rPr>
              <w:t xml:space="preserve">Urea &gt; 40 </w:t>
            </w:r>
            <w:proofErr w:type="spellStart"/>
            <w:r w:rsidRPr="00C60369">
              <w:rPr>
                <w:sz w:val="20"/>
                <w:szCs w:val="20"/>
              </w:rPr>
              <w:t>mmol</w:t>
            </w:r>
            <w:proofErr w:type="spellEnd"/>
            <w:r w:rsidRPr="00C60369">
              <w:rPr>
                <w:sz w:val="20"/>
                <w:szCs w:val="20"/>
              </w:rPr>
              <w:t xml:space="preserve">/L or K &gt; 6.5 </w:t>
            </w:r>
            <w:proofErr w:type="spellStart"/>
            <w:r w:rsidRPr="00C60369">
              <w:rPr>
                <w:sz w:val="20"/>
                <w:szCs w:val="20"/>
              </w:rPr>
              <w:t>mmol</w:t>
            </w:r>
            <w:proofErr w:type="spellEnd"/>
            <w:r w:rsidRPr="00C60369">
              <w:rPr>
                <w:sz w:val="20"/>
                <w:szCs w:val="20"/>
              </w:rPr>
              <w:t>/L or severe pulmonary edema</w:t>
            </w:r>
          </w:p>
        </w:tc>
        <w:tc>
          <w:tcPr>
            <w:tcW w:w="0" w:type="auto"/>
            <w:shd w:val="clear" w:color="auto" w:fill="auto"/>
            <w:vAlign w:val="center"/>
          </w:tcPr>
          <w:p w:rsidR="00DC493E" w:rsidRPr="00C60369" w:rsidRDefault="00DC493E" w:rsidP="00567C4E">
            <w:pPr>
              <w:pStyle w:val="Default"/>
              <w:snapToGrid w:val="0"/>
              <w:jc w:val="both"/>
              <w:rPr>
                <w:sz w:val="20"/>
                <w:szCs w:val="20"/>
              </w:rPr>
            </w:pPr>
            <w:r w:rsidRPr="00C60369">
              <w:rPr>
                <w:sz w:val="20"/>
                <w:szCs w:val="20"/>
              </w:rPr>
              <w:t>CVVH</w:t>
            </w:r>
          </w:p>
        </w:tc>
      </w:tr>
      <w:tr w:rsidR="00DC493E" w:rsidRPr="00C60369" w:rsidTr="00567C4E">
        <w:trPr>
          <w:jc w:val="center"/>
        </w:trPr>
        <w:tc>
          <w:tcPr>
            <w:tcW w:w="0" w:type="auto"/>
            <w:shd w:val="clear" w:color="auto" w:fill="auto"/>
            <w:vAlign w:val="center"/>
          </w:tcPr>
          <w:p w:rsidR="00DC493E" w:rsidRPr="00C60369" w:rsidRDefault="00DC493E" w:rsidP="00567C4E">
            <w:pPr>
              <w:pStyle w:val="Default"/>
              <w:snapToGrid w:val="0"/>
              <w:jc w:val="both"/>
              <w:rPr>
                <w:sz w:val="20"/>
                <w:szCs w:val="20"/>
              </w:rPr>
            </w:pPr>
            <w:proofErr w:type="spellStart"/>
            <w:r w:rsidRPr="00C60369">
              <w:rPr>
                <w:sz w:val="20"/>
                <w:szCs w:val="20"/>
              </w:rPr>
              <w:t>Durmaz</w:t>
            </w:r>
            <w:proofErr w:type="spellEnd"/>
            <w:r w:rsidRPr="00C60369">
              <w:rPr>
                <w:sz w:val="20"/>
                <w:szCs w:val="20"/>
              </w:rPr>
              <w:t xml:space="preserve"> 2003</w:t>
            </w:r>
          </w:p>
        </w:tc>
        <w:tc>
          <w:tcPr>
            <w:tcW w:w="0" w:type="auto"/>
            <w:shd w:val="clear" w:color="auto" w:fill="auto"/>
            <w:vAlign w:val="center"/>
          </w:tcPr>
          <w:p w:rsidR="00DC493E" w:rsidRPr="00C60369" w:rsidRDefault="00DC493E" w:rsidP="00567C4E">
            <w:pPr>
              <w:pStyle w:val="Default"/>
              <w:snapToGrid w:val="0"/>
              <w:jc w:val="both"/>
              <w:rPr>
                <w:sz w:val="20"/>
                <w:szCs w:val="20"/>
              </w:rPr>
            </w:pPr>
            <w:r w:rsidRPr="00C60369">
              <w:rPr>
                <w:sz w:val="20"/>
                <w:szCs w:val="20"/>
              </w:rPr>
              <w:t xml:space="preserve">Preoperative prophylactic RRT in all patients and postoperative </w:t>
            </w:r>
            <w:r w:rsidR="00E87DF2" w:rsidRPr="00C60369">
              <w:rPr>
                <w:sz w:val="20"/>
                <w:szCs w:val="20"/>
              </w:rPr>
              <w:t>s C</w:t>
            </w:r>
            <w:r w:rsidRPr="00C60369">
              <w:rPr>
                <w:sz w:val="20"/>
                <w:szCs w:val="20"/>
              </w:rPr>
              <w:t>r increased &gt;10%</w:t>
            </w:r>
          </w:p>
        </w:tc>
        <w:tc>
          <w:tcPr>
            <w:tcW w:w="0" w:type="auto"/>
            <w:shd w:val="clear" w:color="auto" w:fill="auto"/>
            <w:vAlign w:val="center"/>
          </w:tcPr>
          <w:p w:rsidR="00DC493E" w:rsidRPr="00C60369" w:rsidRDefault="00DC493E" w:rsidP="00567C4E">
            <w:pPr>
              <w:pStyle w:val="Default"/>
              <w:snapToGrid w:val="0"/>
              <w:jc w:val="both"/>
              <w:rPr>
                <w:sz w:val="20"/>
                <w:szCs w:val="20"/>
              </w:rPr>
            </w:pPr>
            <w:r w:rsidRPr="00C60369">
              <w:rPr>
                <w:sz w:val="20"/>
                <w:szCs w:val="20"/>
              </w:rPr>
              <w:t xml:space="preserve">Postoperative </w:t>
            </w:r>
            <w:proofErr w:type="spellStart"/>
            <w:r w:rsidRPr="00C60369">
              <w:rPr>
                <w:sz w:val="20"/>
                <w:szCs w:val="20"/>
              </w:rPr>
              <w:t>sCr</w:t>
            </w:r>
            <w:proofErr w:type="spellEnd"/>
            <w:r w:rsidRPr="00C60369">
              <w:rPr>
                <w:sz w:val="20"/>
                <w:szCs w:val="20"/>
              </w:rPr>
              <w:t xml:space="preserve"> increased &gt;50% or urine output &lt;400 ml/24 h</w:t>
            </w:r>
          </w:p>
        </w:tc>
        <w:tc>
          <w:tcPr>
            <w:tcW w:w="0" w:type="auto"/>
            <w:shd w:val="clear" w:color="auto" w:fill="auto"/>
            <w:vAlign w:val="center"/>
          </w:tcPr>
          <w:p w:rsidR="00DC493E" w:rsidRPr="00C60369" w:rsidRDefault="00DC493E" w:rsidP="00567C4E">
            <w:pPr>
              <w:pStyle w:val="Default"/>
              <w:snapToGrid w:val="0"/>
              <w:jc w:val="both"/>
              <w:rPr>
                <w:sz w:val="20"/>
                <w:szCs w:val="20"/>
              </w:rPr>
            </w:pPr>
            <w:r w:rsidRPr="00C60369">
              <w:rPr>
                <w:sz w:val="20"/>
                <w:szCs w:val="20"/>
              </w:rPr>
              <w:t>IHD</w:t>
            </w:r>
          </w:p>
        </w:tc>
      </w:tr>
      <w:tr w:rsidR="00DC493E" w:rsidRPr="00C60369" w:rsidTr="00567C4E">
        <w:trPr>
          <w:jc w:val="center"/>
        </w:trPr>
        <w:tc>
          <w:tcPr>
            <w:tcW w:w="0" w:type="auto"/>
            <w:shd w:val="clear" w:color="auto" w:fill="auto"/>
            <w:vAlign w:val="center"/>
          </w:tcPr>
          <w:p w:rsidR="00DC493E" w:rsidRPr="00C60369" w:rsidRDefault="00DC493E" w:rsidP="00567C4E">
            <w:pPr>
              <w:pStyle w:val="Default"/>
              <w:snapToGrid w:val="0"/>
              <w:jc w:val="both"/>
              <w:rPr>
                <w:sz w:val="20"/>
                <w:szCs w:val="20"/>
              </w:rPr>
            </w:pPr>
            <w:proofErr w:type="spellStart"/>
            <w:r w:rsidRPr="00C60369">
              <w:rPr>
                <w:sz w:val="20"/>
                <w:szCs w:val="20"/>
              </w:rPr>
              <w:t>Sugahara</w:t>
            </w:r>
            <w:proofErr w:type="spellEnd"/>
            <w:r w:rsidRPr="00C60369">
              <w:rPr>
                <w:sz w:val="20"/>
                <w:szCs w:val="20"/>
              </w:rPr>
              <w:t xml:space="preserve"> and suzuki,2004</w:t>
            </w:r>
          </w:p>
        </w:tc>
        <w:tc>
          <w:tcPr>
            <w:tcW w:w="0" w:type="auto"/>
            <w:shd w:val="clear" w:color="auto" w:fill="auto"/>
            <w:vAlign w:val="center"/>
          </w:tcPr>
          <w:p w:rsidR="00DC493E" w:rsidRPr="00C60369" w:rsidRDefault="00DC493E" w:rsidP="00567C4E">
            <w:pPr>
              <w:pStyle w:val="Default"/>
              <w:snapToGrid w:val="0"/>
              <w:jc w:val="both"/>
              <w:rPr>
                <w:sz w:val="20"/>
                <w:szCs w:val="20"/>
              </w:rPr>
            </w:pPr>
            <w:r w:rsidRPr="00C60369">
              <w:rPr>
                <w:sz w:val="20"/>
                <w:szCs w:val="20"/>
              </w:rPr>
              <w:t>Urine output &lt;30 ml/h for 3 h or urine output &lt;750 ml/day</w:t>
            </w:r>
          </w:p>
        </w:tc>
        <w:tc>
          <w:tcPr>
            <w:tcW w:w="0" w:type="auto"/>
            <w:shd w:val="clear" w:color="auto" w:fill="auto"/>
            <w:vAlign w:val="center"/>
          </w:tcPr>
          <w:p w:rsidR="00DC493E" w:rsidRPr="00C60369" w:rsidRDefault="00DC493E" w:rsidP="00567C4E">
            <w:pPr>
              <w:pStyle w:val="Default"/>
              <w:snapToGrid w:val="0"/>
              <w:jc w:val="both"/>
              <w:rPr>
                <w:sz w:val="20"/>
                <w:szCs w:val="20"/>
              </w:rPr>
            </w:pPr>
            <w:r w:rsidRPr="00C60369">
              <w:rPr>
                <w:sz w:val="20"/>
                <w:szCs w:val="20"/>
              </w:rPr>
              <w:t>Urine output &lt;20 ml/h for 2 h or urine output &lt;500 ml/day</w:t>
            </w:r>
          </w:p>
        </w:tc>
        <w:tc>
          <w:tcPr>
            <w:tcW w:w="0" w:type="auto"/>
            <w:shd w:val="clear" w:color="auto" w:fill="auto"/>
            <w:vAlign w:val="center"/>
          </w:tcPr>
          <w:p w:rsidR="00DC493E" w:rsidRPr="00C60369" w:rsidRDefault="00DC493E" w:rsidP="00567C4E">
            <w:pPr>
              <w:pStyle w:val="Default"/>
              <w:snapToGrid w:val="0"/>
              <w:jc w:val="both"/>
              <w:rPr>
                <w:sz w:val="20"/>
                <w:szCs w:val="20"/>
              </w:rPr>
            </w:pPr>
            <w:r w:rsidRPr="00C60369">
              <w:rPr>
                <w:sz w:val="20"/>
                <w:szCs w:val="20"/>
              </w:rPr>
              <w:t>CVVH</w:t>
            </w:r>
          </w:p>
        </w:tc>
      </w:tr>
      <w:tr w:rsidR="00DC493E" w:rsidRPr="00C60369" w:rsidTr="00567C4E">
        <w:trPr>
          <w:jc w:val="center"/>
        </w:trPr>
        <w:tc>
          <w:tcPr>
            <w:tcW w:w="0" w:type="auto"/>
            <w:shd w:val="clear" w:color="auto" w:fill="auto"/>
            <w:vAlign w:val="center"/>
          </w:tcPr>
          <w:p w:rsidR="00DC493E" w:rsidRPr="00C60369" w:rsidRDefault="00DC493E" w:rsidP="00567C4E">
            <w:pPr>
              <w:pStyle w:val="Default"/>
              <w:snapToGrid w:val="0"/>
              <w:jc w:val="both"/>
              <w:rPr>
                <w:sz w:val="20"/>
                <w:szCs w:val="20"/>
              </w:rPr>
            </w:pPr>
            <w:r w:rsidRPr="00C60369">
              <w:rPr>
                <w:sz w:val="20"/>
                <w:szCs w:val="20"/>
              </w:rPr>
              <w:t>Payen2009</w:t>
            </w:r>
          </w:p>
        </w:tc>
        <w:tc>
          <w:tcPr>
            <w:tcW w:w="0" w:type="auto"/>
            <w:shd w:val="clear" w:color="auto" w:fill="auto"/>
            <w:vAlign w:val="center"/>
          </w:tcPr>
          <w:p w:rsidR="00DC493E" w:rsidRPr="00C60369" w:rsidRDefault="00DC493E" w:rsidP="00567C4E">
            <w:pPr>
              <w:pStyle w:val="Default"/>
              <w:snapToGrid w:val="0"/>
              <w:jc w:val="both"/>
              <w:rPr>
                <w:sz w:val="20"/>
                <w:szCs w:val="20"/>
              </w:rPr>
            </w:pPr>
            <w:r w:rsidRPr="00C60369">
              <w:rPr>
                <w:sz w:val="20"/>
                <w:szCs w:val="20"/>
              </w:rPr>
              <w:t>RRT for 96-h period within 24 h of diagnosis of severe sepsis</w:t>
            </w:r>
          </w:p>
        </w:tc>
        <w:tc>
          <w:tcPr>
            <w:tcW w:w="0" w:type="auto"/>
            <w:shd w:val="clear" w:color="auto" w:fill="auto"/>
            <w:vAlign w:val="center"/>
          </w:tcPr>
          <w:p w:rsidR="00DC493E" w:rsidRPr="00C60369" w:rsidRDefault="00DC493E" w:rsidP="00567C4E">
            <w:pPr>
              <w:pStyle w:val="Default"/>
              <w:snapToGrid w:val="0"/>
              <w:jc w:val="both"/>
              <w:rPr>
                <w:sz w:val="20"/>
                <w:szCs w:val="20"/>
              </w:rPr>
            </w:pPr>
            <w:r w:rsidRPr="00C60369">
              <w:rPr>
                <w:sz w:val="20"/>
                <w:szCs w:val="20"/>
              </w:rPr>
              <w:t>Classic indications for RR</w:t>
            </w:r>
            <w:r w:rsidR="00062324" w:rsidRPr="00C60369">
              <w:rPr>
                <w:sz w:val="20"/>
                <w:szCs w:val="20"/>
              </w:rPr>
              <w:t>T (</w:t>
            </w:r>
            <w:proofErr w:type="spellStart"/>
            <w:r w:rsidRPr="00C60369">
              <w:rPr>
                <w:sz w:val="20"/>
                <w:szCs w:val="20"/>
              </w:rPr>
              <w:t>azotemia</w:t>
            </w:r>
            <w:proofErr w:type="spellEnd"/>
            <w:r w:rsidRPr="00C60369">
              <w:rPr>
                <w:sz w:val="20"/>
                <w:szCs w:val="20"/>
              </w:rPr>
              <w:t xml:space="preserve">, fluid overload, acidosis, and </w:t>
            </w:r>
            <w:proofErr w:type="spellStart"/>
            <w:r w:rsidRPr="00C60369">
              <w:rPr>
                <w:sz w:val="20"/>
                <w:szCs w:val="20"/>
              </w:rPr>
              <w:t>hyperkalemia</w:t>
            </w:r>
            <w:proofErr w:type="spellEnd"/>
            <w:r w:rsidRPr="00C60369">
              <w:rPr>
                <w:sz w:val="20"/>
                <w:szCs w:val="20"/>
              </w:rPr>
              <w:t>)</w:t>
            </w:r>
          </w:p>
        </w:tc>
        <w:tc>
          <w:tcPr>
            <w:tcW w:w="0" w:type="auto"/>
            <w:shd w:val="clear" w:color="auto" w:fill="auto"/>
            <w:vAlign w:val="center"/>
          </w:tcPr>
          <w:p w:rsidR="00DC493E" w:rsidRPr="00C60369" w:rsidRDefault="00DC493E" w:rsidP="00567C4E">
            <w:pPr>
              <w:pStyle w:val="Default"/>
              <w:snapToGrid w:val="0"/>
              <w:jc w:val="both"/>
              <w:rPr>
                <w:sz w:val="20"/>
                <w:szCs w:val="20"/>
              </w:rPr>
            </w:pPr>
            <w:r w:rsidRPr="00C60369">
              <w:rPr>
                <w:sz w:val="20"/>
                <w:szCs w:val="20"/>
              </w:rPr>
              <w:t>CVVH</w:t>
            </w:r>
          </w:p>
        </w:tc>
      </w:tr>
      <w:tr w:rsidR="00DC493E" w:rsidRPr="00C60369" w:rsidTr="00567C4E">
        <w:trPr>
          <w:jc w:val="center"/>
        </w:trPr>
        <w:tc>
          <w:tcPr>
            <w:tcW w:w="0" w:type="auto"/>
            <w:shd w:val="clear" w:color="auto" w:fill="auto"/>
            <w:vAlign w:val="center"/>
          </w:tcPr>
          <w:p w:rsidR="00DC493E" w:rsidRPr="00C60369" w:rsidRDefault="00DC493E" w:rsidP="00567C4E">
            <w:pPr>
              <w:pStyle w:val="Default"/>
              <w:snapToGrid w:val="0"/>
              <w:jc w:val="both"/>
              <w:rPr>
                <w:sz w:val="20"/>
                <w:szCs w:val="20"/>
              </w:rPr>
            </w:pPr>
            <w:r w:rsidRPr="00C60369">
              <w:rPr>
                <w:sz w:val="20"/>
                <w:szCs w:val="20"/>
              </w:rPr>
              <w:t>Jamale2013</w:t>
            </w:r>
          </w:p>
        </w:tc>
        <w:tc>
          <w:tcPr>
            <w:tcW w:w="0" w:type="auto"/>
            <w:shd w:val="clear" w:color="auto" w:fill="auto"/>
            <w:vAlign w:val="center"/>
          </w:tcPr>
          <w:p w:rsidR="00DC493E" w:rsidRPr="00C60369" w:rsidRDefault="00DC493E" w:rsidP="00567C4E">
            <w:pPr>
              <w:pStyle w:val="Default"/>
              <w:snapToGrid w:val="0"/>
              <w:jc w:val="both"/>
              <w:rPr>
                <w:sz w:val="20"/>
                <w:szCs w:val="20"/>
              </w:rPr>
            </w:pPr>
            <w:r w:rsidRPr="00C60369">
              <w:rPr>
                <w:sz w:val="20"/>
                <w:szCs w:val="20"/>
              </w:rPr>
              <w:t>Serum urea nitrogen &gt;70 mg/</w:t>
            </w:r>
            <w:proofErr w:type="spellStart"/>
            <w:r w:rsidRPr="00C60369">
              <w:rPr>
                <w:sz w:val="20"/>
                <w:szCs w:val="20"/>
              </w:rPr>
              <w:t>dL</w:t>
            </w:r>
            <w:proofErr w:type="spellEnd"/>
            <w:r w:rsidRPr="00C60369">
              <w:rPr>
                <w:sz w:val="20"/>
                <w:szCs w:val="20"/>
              </w:rPr>
              <w:t xml:space="preserve"> and/or </w:t>
            </w:r>
            <w:proofErr w:type="spellStart"/>
            <w:r w:rsidRPr="00C60369">
              <w:rPr>
                <w:sz w:val="20"/>
                <w:szCs w:val="20"/>
              </w:rPr>
              <w:t>creatinine</w:t>
            </w:r>
            <w:proofErr w:type="spellEnd"/>
            <w:r w:rsidRPr="00C60369">
              <w:rPr>
                <w:sz w:val="20"/>
                <w:szCs w:val="20"/>
              </w:rPr>
              <w:t>&gt;7 mg/</w:t>
            </w:r>
            <w:proofErr w:type="spellStart"/>
            <w:r w:rsidRPr="00C60369">
              <w:rPr>
                <w:sz w:val="20"/>
                <w:szCs w:val="20"/>
              </w:rPr>
              <w:t>dL</w:t>
            </w:r>
            <w:proofErr w:type="spellEnd"/>
          </w:p>
        </w:tc>
        <w:tc>
          <w:tcPr>
            <w:tcW w:w="0" w:type="auto"/>
            <w:shd w:val="clear" w:color="auto" w:fill="auto"/>
            <w:vAlign w:val="center"/>
          </w:tcPr>
          <w:p w:rsidR="00DC493E" w:rsidRPr="00C60369" w:rsidRDefault="00DC493E" w:rsidP="00567C4E">
            <w:pPr>
              <w:pStyle w:val="Default"/>
              <w:snapToGrid w:val="0"/>
              <w:jc w:val="both"/>
              <w:rPr>
                <w:sz w:val="20"/>
                <w:szCs w:val="20"/>
              </w:rPr>
            </w:pPr>
            <w:r w:rsidRPr="00C60369">
              <w:rPr>
                <w:sz w:val="20"/>
                <w:szCs w:val="20"/>
              </w:rPr>
              <w:t>Classic indications for RRT or Uremic nausea and anorexia</w:t>
            </w:r>
          </w:p>
        </w:tc>
        <w:tc>
          <w:tcPr>
            <w:tcW w:w="0" w:type="auto"/>
            <w:shd w:val="clear" w:color="auto" w:fill="auto"/>
            <w:vAlign w:val="center"/>
          </w:tcPr>
          <w:p w:rsidR="00DC493E" w:rsidRPr="00C60369" w:rsidRDefault="00DC493E" w:rsidP="00567C4E">
            <w:pPr>
              <w:pStyle w:val="Default"/>
              <w:snapToGrid w:val="0"/>
              <w:jc w:val="both"/>
              <w:rPr>
                <w:sz w:val="20"/>
                <w:szCs w:val="20"/>
              </w:rPr>
            </w:pPr>
            <w:r w:rsidRPr="00C60369">
              <w:rPr>
                <w:sz w:val="20"/>
                <w:szCs w:val="20"/>
              </w:rPr>
              <w:t>IHD</w:t>
            </w:r>
          </w:p>
        </w:tc>
      </w:tr>
      <w:tr w:rsidR="00DC493E" w:rsidRPr="00C60369" w:rsidTr="00567C4E">
        <w:trPr>
          <w:jc w:val="center"/>
        </w:trPr>
        <w:tc>
          <w:tcPr>
            <w:tcW w:w="0" w:type="auto"/>
            <w:shd w:val="clear" w:color="auto" w:fill="auto"/>
            <w:vAlign w:val="center"/>
          </w:tcPr>
          <w:p w:rsidR="00DC493E" w:rsidRPr="00C60369" w:rsidRDefault="00DC493E" w:rsidP="00567C4E">
            <w:pPr>
              <w:pStyle w:val="Default"/>
              <w:snapToGrid w:val="0"/>
              <w:jc w:val="both"/>
              <w:rPr>
                <w:sz w:val="20"/>
                <w:szCs w:val="20"/>
              </w:rPr>
            </w:pPr>
            <w:r w:rsidRPr="00C60369">
              <w:rPr>
                <w:sz w:val="20"/>
                <w:szCs w:val="20"/>
              </w:rPr>
              <w:t>Combes2015</w:t>
            </w:r>
          </w:p>
        </w:tc>
        <w:tc>
          <w:tcPr>
            <w:tcW w:w="0" w:type="auto"/>
            <w:shd w:val="clear" w:color="auto" w:fill="auto"/>
            <w:vAlign w:val="center"/>
          </w:tcPr>
          <w:p w:rsidR="00DC493E" w:rsidRPr="00C60369" w:rsidRDefault="00DC493E" w:rsidP="00567C4E">
            <w:pPr>
              <w:pStyle w:val="Default"/>
              <w:snapToGrid w:val="0"/>
              <w:jc w:val="both"/>
              <w:rPr>
                <w:sz w:val="20"/>
                <w:szCs w:val="20"/>
              </w:rPr>
            </w:pPr>
            <w:r w:rsidRPr="00C60369">
              <w:rPr>
                <w:sz w:val="20"/>
                <w:szCs w:val="20"/>
              </w:rPr>
              <w:t>RRT within 24 h of diagnosis of post-cardiac surgery shock</w:t>
            </w:r>
          </w:p>
        </w:tc>
        <w:tc>
          <w:tcPr>
            <w:tcW w:w="0" w:type="auto"/>
            <w:shd w:val="clear" w:color="auto" w:fill="auto"/>
            <w:vAlign w:val="center"/>
          </w:tcPr>
          <w:p w:rsidR="00DC493E" w:rsidRPr="00C60369" w:rsidRDefault="00DC493E" w:rsidP="00567C4E">
            <w:pPr>
              <w:pStyle w:val="Default"/>
              <w:snapToGrid w:val="0"/>
              <w:jc w:val="both"/>
              <w:rPr>
                <w:sz w:val="20"/>
                <w:szCs w:val="20"/>
              </w:rPr>
            </w:pPr>
            <w:proofErr w:type="spellStart"/>
            <w:r w:rsidRPr="00C60369">
              <w:rPr>
                <w:sz w:val="20"/>
                <w:szCs w:val="20"/>
              </w:rPr>
              <w:t>Creatinine</w:t>
            </w:r>
            <w:proofErr w:type="spellEnd"/>
            <w:r w:rsidRPr="00C60369">
              <w:rPr>
                <w:sz w:val="20"/>
                <w:szCs w:val="20"/>
              </w:rPr>
              <w:t>&gt;4 mg/</w:t>
            </w:r>
            <w:proofErr w:type="spellStart"/>
            <w:r w:rsidRPr="00C60369">
              <w:rPr>
                <w:sz w:val="20"/>
                <w:szCs w:val="20"/>
              </w:rPr>
              <w:t>dL</w:t>
            </w:r>
            <w:proofErr w:type="spellEnd"/>
            <w:r w:rsidRPr="00C60369">
              <w:rPr>
                <w:sz w:val="20"/>
                <w:szCs w:val="20"/>
              </w:rPr>
              <w:t xml:space="preserve"> or preoperative </w:t>
            </w:r>
            <w:proofErr w:type="spellStart"/>
            <w:r w:rsidRPr="00C60369">
              <w:rPr>
                <w:sz w:val="20"/>
                <w:szCs w:val="20"/>
              </w:rPr>
              <w:t>creatinine</w:t>
            </w:r>
            <w:proofErr w:type="spellEnd"/>
            <w:r w:rsidRPr="00C60369">
              <w:rPr>
                <w:sz w:val="20"/>
                <w:szCs w:val="20"/>
              </w:rPr>
              <w:t xml:space="preserve"> × 3 or UOP&lt;0.3 ml/kg/h /24 h</w:t>
            </w:r>
            <w:r w:rsidR="00062324" w:rsidRPr="00C60369">
              <w:rPr>
                <w:sz w:val="20"/>
                <w:szCs w:val="20"/>
              </w:rPr>
              <w:t xml:space="preserve"> </w:t>
            </w:r>
            <w:r w:rsidRPr="00C60369">
              <w:rPr>
                <w:sz w:val="20"/>
                <w:szCs w:val="20"/>
              </w:rPr>
              <w:t xml:space="preserve">or urea &gt;36 </w:t>
            </w:r>
            <w:proofErr w:type="spellStart"/>
            <w:r w:rsidRPr="00C60369">
              <w:rPr>
                <w:sz w:val="20"/>
                <w:szCs w:val="20"/>
              </w:rPr>
              <w:t>mmol</w:t>
            </w:r>
            <w:proofErr w:type="spellEnd"/>
            <w:r w:rsidRPr="00C60369">
              <w:rPr>
                <w:sz w:val="20"/>
                <w:szCs w:val="20"/>
              </w:rPr>
              <w:t xml:space="preserve">/L or life-threatening </w:t>
            </w:r>
            <w:proofErr w:type="spellStart"/>
            <w:r w:rsidRPr="00C60369">
              <w:rPr>
                <w:sz w:val="20"/>
                <w:szCs w:val="20"/>
              </w:rPr>
              <w:t>hyperkalemia</w:t>
            </w:r>
            <w:proofErr w:type="spellEnd"/>
          </w:p>
        </w:tc>
        <w:tc>
          <w:tcPr>
            <w:tcW w:w="0" w:type="auto"/>
            <w:shd w:val="clear" w:color="auto" w:fill="auto"/>
            <w:vAlign w:val="center"/>
          </w:tcPr>
          <w:p w:rsidR="00DC493E" w:rsidRPr="00C60369" w:rsidRDefault="00DC493E" w:rsidP="00567C4E">
            <w:pPr>
              <w:pStyle w:val="Default"/>
              <w:snapToGrid w:val="0"/>
              <w:jc w:val="both"/>
              <w:rPr>
                <w:sz w:val="20"/>
                <w:szCs w:val="20"/>
              </w:rPr>
            </w:pPr>
            <w:r w:rsidRPr="00C60369">
              <w:rPr>
                <w:sz w:val="20"/>
                <w:szCs w:val="20"/>
              </w:rPr>
              <w:t>CVVH</w:t>
            </w:r>
          </w:p>
        </w:tc>
      </w:tr>
      <w:tr w:rsidR="00DC493E" w:rsidRPr="00C60369" w:rsidTr="00567C4E">
        <w:trPr>
          <w:jc w:val="center"/>
        </w:trPr>
        <w:tc>
          <w:tcPr>
            <w:tcW w:w="0" w:type="auto"/>
            <w:shd w:val="clear" w:color="auto" w:fill="auto"/>
            <w:vAlign w:val="center"/>
          </w:tcPr>
          <w:p w:rsidR="00DC493E" w:rsidRPr="00C60369" w:rsidRDefault="00DC493E" w:rsidP="00567C4E">
            <w:pPr>
              <w:pStyle w:val="Default"/>
              <w:snapToGrid w:val="0"/>
              <w:jc w:val="both"/>
              <w:rPr>
                <w:sz w:val="20"/>
                <w:szCs w:val="20"/>
              </w:rPr>
            </w:pPr>
            <w:r w:rsidRPr="00C60369">
              <w:rPr>
                <w:sz w:val="20"/>
                <w:szCs w:val="20"/>
              </w:rPr>
              <w:t>Wald2015</w:t>
            </w:r>
          </w:p>
        </w:tc>
        <w:tc>
          <w:tcPr>
            <w:tcW w:w="0" w:type="auto"/>
            <w:shd w:val="clear" w:color="auto" w:fill="auto"/>
            <w:vAlign w:val="center"/>
          </w:tcPr>
          <w:p w:rsidR="00DC493E" w:rsidRPr="00C60369" w:rsidRDefault="00DC493E" w:rsidP="00567C4E">
            <w:pPr>
              <w:pStyle w:val="Default"/>
              <w:snapToGrid w:val="0"/>
              <w:jc w:val="both"/>
              <w:rPr>
                <w:sz w:val="20"/>
                <w:szCs w:val="20"/>
              </w:rPr>
            </w:pPr>
            <w:proofErr w:type="spellStart"/>
            <w:r w:rsidRPr="00C60369">
              <w:rPr>
                <w:sz w:val="20"/>
                <w:szCs w:val="20"/>
              </w:rPr>
              <w:t>sCr</w:t>
            </w:r>
            <w:proofErr w:type="spellEnd"/>
            <w:r w:rsidRPr="00C60369">
              <w:rPr>
                <w:sz w:val="20"/>
                <w:szCs w:val="20"/>
              </w:rPr>
              <w:t xml:space="preserve"> increased &gt;200%, urine output &lt;6 ml/kg</w:t>
            </w:r>
          </w:p>
          <w:p w:rsidR="00DC493E" w:rsidRPr="00C60369" w:rsidRDefault="00DC493E" w:rsidP="00567C4E">
            <w:pPr>
              <w:pStyle w:val="Default"/>
              <w:snapToGrid w:val="0"/>
              <w:jc w:val="both"/>
              <w:rPr>
                <w:sz w:val="20"/>
                <w:szCs w:val="20"/>
              </w:rPr>
            </w:pPr>
            <w:r w:rsidRPr="00C60369">
              <w:rPr>
                <w:sz w:val="20"/>
                <w:szCs w:val="20"/>
              </w:rPr>
              <w:t xml:space="preserve">within 12 h, or NGAL ≥ 400 </w:t>
            </w:r>
            <w:proofErr w:type="spellStart"/>
            <w:r w:rsidRPr="00C60369">
              <w:rPr>
                <w:sz w:val="20"/>
                <w:szCs w:val="20"/>
              </w:rPr>
              <w:t>ng</w:t>
            </w:r>
            <w:proofErr w:type="spellEnd"/>
            <w:r w:rsidRPr="00C60369">
              <w:rPr>
                <w:sz w:val="20"/>
                <w:szCs w:val="20"/>
              </w:rPr>
              <w:t>/ml</w:t>
            </w:r>
          </w:p>
        </w:tc>
        <w:tc>
          <w:tcPr>
            <w:tcW w:w="0" w:type="auto"/>
            <w:shd w:val="clear" w:color="auto" w:fill="auto"/>
            <w:vAlign w:val="center"/>
          </w:tcPr>
          <w:p w:rsidR="00DC493E" w:rsidRPr="00C60369" w:rsidRDefault="00DC493E" w:rsidP="00567C4E">
            <w:pPr>
              <w:pStyle w:val="Default"/>
              <w:snapToGrid w:val="0"/>
              <w:jc w:val="both"/>
              <w:rPr>
                <w:sz w:val="20"/>
                <w:szCs w:val="20"/>
              </w:rPr>
            </w:pPr>
            <w:r w:rsidRPr="00C60369">
              <w:rPr>
                <w:sz w:val="20"/>
                <w:szCs w:val="20"/>
              </w:rPr>
              <w:t xml:space="preserve">K &gt; 6.0 </w:t>
            </w:r>
            <w:proofErr w:type="spellStart"/>
            <w:r w:rsidRPr="00C60369">
              <w:rPr>
                <w:sz w:val="20"/>
                <w:szCs w:val="20"/>
              </w:rPr>
              <w:t>mmol</w:t>
            </w:r>
            <w:proofErr w:type="spellEnd"/>
            <w:r w:rsidRPr="00C60369">
              <w:rPr>
                <w:sz w:val="20"/>
                <w:szCs w:val="20"/>
              </w:rPr>
              <w:t xml:space="preserve">/L or serum bicarbonate &lt;10 </w:t>
            </w:r>
            <w:proofErr w:type="spellStart"/>
            <w:r w:rsidRPr="00C60369">
              <w:rPr>
                <w:sz w:val="20"/>
                <w:szCs w:val="20"/>
              </w:rPr>
              <w:t>mmol</w:t>
            </w:r>
            <w:proofErr w:type="spellEnd"/>
            <w:r w:rsidRPr="00C60369">
              <w:rPr>
                <w:sz w:val="20"/>
                <w:szCs w:val="20"/>
              </w:rPr>
              <w:t>/L or pulmonary</w:t>
            </w:r>
          </w:p>
          <w:p w:rsidR="00DC493E" w:rsidRPr="00C60369" w:rsidRDefault="00DC493E" w:rsidP="00567C4E">
            <w:pPr>
              <w:pStyle w:val="Default"/>
              <w:snapToGrid w:val="0"/>
              <w:jc w:val="both"/>
              <w:rPr>
                <w:sz w:val="20"/>
                <w:szCs w:val="20"/>
              </w:rPr>
            </w:pPr>
            <w:r w:rsidRPr="00C60369">
              <w:rPr>
                <w:sz w:val="20"/>
                <w:szCs w:val="20"/>
              </w:rPr>
              <w:t>Edema</w:t>
            </w:r>
          </w:p>
        </w:tc>
        <w:tc>
          <w:tcPr>
            <w:tcW w:w="0" w:type="auto"/>
            <w:shd w:val="clear" w:color="auto" w:fill="auto"/>
            <w:vAlign w:val="center"/>
          </w:tcPr>
          <w:p w:rsidR="00DC493E" w:rsidRPr="00C60369" w:rsidRDefault="00DC493E" w:rsidP="00567C4E">
            <w:pPr>
              <w:pStyle w:val="Default"/>
              <w:snapToGrid w:val="0"/>
              <w:jc w:val="both"/>
              <w:rPr>
                <w:sz w:val="20"/>
                <w:szCs w:val="20"/>
              </w:rPr>
            </w:pPr>
            <w:r w:rsidRPr="00C60369">
              <w:rPr>
                <w:sz w:val="20"/>
                <w:szCs w:val="20"/>
              </w:rPr>
              <w:t>IHD/CVVH/SLEDD</w:t>
            </w:r>
          </w:p>
        </w:tc>
      </w:tr>
      <w:tr w:rsidR="00DC493E" w:rsidRPr="00C60369" w:rsidTr="00567C4E">
        <w:trPr>
          <w:jc w:val="center"/>
        </w:trPr>
        <w:tc>
          <w:tcPr>
            <w:tcW w:w="0" w:type="auto"/>
            <w:shd w:val="clear" w:color="auto" w:fill="auto"/>
            <w:vAlign w:val="center"/>
          </w:tcPr>
          <w:p w:rsidR="00DC493E" w:rsidRPr="00C60369" w:rsidRDefault="00DC493E" w:rsidP="00567C4E">
            <w:pPr>
              <w:pStyle w:val="Default"/>
              <w:snapToGrid w:val="0"/>
              <w:jc w:val="both"/>
              <w:rPr>
                <w:sz w:val="20"/>
                <w:szCs w:val="20"/>
              </w:rPr>
            </w:pPr>
            <w:r w:rsidRPr="00C60369">
              <w:rPr>
                <w:sz w:val="20"/>
                <w:szCs w:val="20"/>
              </w:rPr>
              <w:t>Gaudry2016</w:t>
            </w:r>
          </w:p>
        </w:tc>
        <w:tc>
          <w:tcPr>
            <w:tcW w:w="0" w:type="auto"/>
            <w:shd w:val="clear" w:color="auto" w:fill="auto"/>
            <w:vAlign w:val="center"/>
          </w:tcPr>
          <w:p w:rsidR="00DC493E" w:rsidRPr="00C60369" w:rsidRDefault="00DC493E" w:rsidP="00567C4E">
            <w:pPr>
              <w:pStyle w:val="Default"/>
              <w:snapToGrid w:val="0"/>
              <w:jc w:val="both"/>
              <w:rPr>
                <w:sz w:val="20"/>
                <w:szCs w:val="20"/>
              </w:rPr>
            </w:pPr>
            <w:r w:rsidRPr="00C60369">
              <w:rPr>
                <w:sz w:val="20"/>
                <w:szCs w:val="20"/>
              </w:rPr>
              <w:t>RRT within 6 h of diagnosis of KDIGO stage 3</w:t>
            </w:r>
          </w:p>
        </w:tc>
        <w:tc>
          <w:tcPr>
            <w:tcW w:w="0" w:type="auto"/>
            <w:shd w:val="clear" w:color="auto" w:fill="auto"/>
            <w:vAlign w:val="center"/>
          </w:tcPr>
          <w:p w:rsidR="00DC493E" w:rsidRPr="00C60369" w:rsidRDefault="00DC493E" w:rsidP="00567C4E">
            <w:pPr>
              <w:pStyle w:val="Default"/>
              <w:snapToGrid w:val="0"/>
              <w:jc w:val="both"/>
              <w:rPr>
                <w:sz w:val="20"/>
                <w:szCs w:val="20"/>
              </w:rPr>
            </w:pPr>
            <w:r w:rsidRPr="00C60369">
              <w:rPr>
                <w:sz w:val="20"/>
                <w:szCs w:val="20"/>
              </w:rPr>
              <w:t xml:space="preserve">K &gt; 6.0 </w:t>
            </w:r>
            <w:proofErr w:type="spellStart"/>
            <w:r w:rsidRPr="00C60369">
              <w:rPr>
                <w:sz w:val="20"/>
                <w:szCs w:val="20"/>
              </w:rPr>
              <w:t>mmol</w:t>
            </w:r>
            <w:proofErr w:type="spellEnd"/>
            <w:r w:rsidRPr="00C60369">
              <w:rPr>
                <w:sz w:val="20"/>
                <w:szCs w:val="20"/>
              </w:rPr>
              <w:t>/L or PH &lt; 7.15 or pulmonary edema or blood urea</w:t>
            </w:r>
          </w:p>
          <w:p w:rsidR="00DC493E" w:rsidRPr="00C60369" w:rsidRDefault="00DC493E" w:rsidP="00567C4E">
            <w:pPr>
              <w:pStyle w:val="Default"/>
              <w:snapToGrid w:val="0"/>
              <w:jc w:val="both"/>
              <w:rPr>
                <w:sz w:val="20"/>
                <w:szCs w:val="20"/>
              </w:rPr>
            </w:pPr>
            <w:r w:rsidRPr="00C60369">
              <w:rPr>
                <w:sz w:val="20"/>
                <w:szCs w:val="20"/>
              </w:rPr>
              <w:t>nitrogen &gt;112 mg/</w:t>
            </w:r>
            <w:proofErr w:type="spellStart"/>
            <w:r w:rsidRPr="00C60369">
              <w:rPr>
                <w:sz w:val="20"/>
                <w:szCs w:val="20"/>
              </w:rPr>
              <w:t>dL</w:t>
            </w:r>
            <w:proofErr w:type="spellEnd"/>
            <w:r w:rsidRPr="00C60369">
              <w:rPr>
                <w:sz w:val="20"/>
                <w:szCs w:val="20"/>
              </w:rPr>
              <w:t xml:space="preserve"> or </w:t>
            </w:r>
            <w:proofErr w:type="spellStart"/>
            <w:r w:rsidRPr="00C60369">
              <w:rPr>
                <w:sz w:val="20"/>
                <w:szCs w:val="20"/>
              </w:rPr>
              <w:t>oliguria</w:t>
            </w:r>
            <w:proofErr w:type="spellEnd"/>
            <w:r w:rsidRPr="00C60369">
              <w:rPr>
                <w:sz w:val="20"/>
                <w:szCs w:val="20"/>
              </w:rPr>
              <w:t xml:space="preserve"> &gt;72 h</w:t>
            </w:r>
          </w:p>
        </w:tc>
        <w:tc>
          <w:tcPr>
            <w:tcW w:w="0" w:type="auto"/>
            <w:shd w:val="clear" w:color="auto" w:fill="auto"/>
            <w:vAlign w:val="center"/>
          </w:tcPr>
          <w:p w:rsidR="00DC493E" w:rsidRPr="00C60369" w:rsidRDefault="00DC493E" w:rsidP="00567C4E">
            <w:pPr>
              <w:pStyle w:val="Default"/>
              <w:snapToGrid w:val="0"/>
              <w:jc w:val="both"/>
              <w:rPr>
                <w:sz w:val="20"/>
                <w:szCs w:val="20"/>
              </w:rPr>
            </w:pPr>
            <w:r w:rsidRPr="00C60369">
              <w:rPr>
                <w:sz w:val="20"/>
                <w:szCs w:val="20"/>
              </w:rPr>
              <w:t>IHD/CVVH</w:t>
            </w:r>
          </w:p>
        </w:tc>
      </w:tr>
      <w:tr w:rsidR="00DC493E" w:rsidRPr="00C60369" w:rsidTr="00567C4E">
        <w:trPr>
          <w:jc w:val="center"/>
        </w:trPr>
        <w:tc>
          <w:tcPr>
            <w:tcW w:w="0" w:type="auto"/>
            <w:shd w:val="clear" w:color="auto" w:fill="auto"/>
            <w:vAlign w:val="center"/>
          </w:tcPr>
          <w:p w:rsidR="00DC493E" w:rsidRPr="00C60369" w:rsidRDefault="00DC493E" w:rsidP="00567C4E">
            <w:pPr>
              <w:pStyle w:val="Default"/>
              <w:snapToGrid w:val="0"/>
              <w:jc w:val="both"/>
              <w:rPr>
                <w:sz w:val="20"/>
                <w:szCs w:val="20"/>
              </w:rPr>
            </w:pPr>
            <w:r w:rsidRPr="00C60369">
              <w:rPr>
                <w:sz w:val="20"/>
                <w:szCs w:val="20"/>
              </w:rPr>
              <w:t>Zarbock2016</w:t>
            </w:r>
          </w:p>
        </w:tc>
        <w:tc>
          <w:tcPr>
            <w:tcW w:w="0" w:type="auto"/>
            <w:shd w:val="clear" w:color="auto" w:fill="auto"/>
            <w:vAlign w:val="center"/>
          </w:tcPr>
          <w:p w:rsidR="00DC493E" w:rsidRPr="00C60369" w:rsidRDefault="00DC493E" w:rsidP="00567C4E">
            <w:pPr>
              <w:pStyle w:val="Default"/>
              <w:snapToGrid w:val="0"/>
              <w:jc w:val="both"/>
              <w:rPr>
                <w:sz w:val="20"/>
                <w:szCs w:val="20"/>
              </w:rPr>
            </w:pPr>
            <w:r w:rsidRPr="00C60369">
              <w:rPr>
                <w:sz w:val="20"/>
                <w:szCs w:val="20"/>
              </w:rPr>
              <w:t>RRT within 8 h of diagnosis of KDIGO stage 2</w:t>
            </w:r>
          </w:p>
        </w:tc>
        <w:tc>
          <w:tcPr>
            <w:tcW w:w="0" w:type="auto"/>
            <w:shd w:val="clear" w:color="auto" w:fill="auto"/>
            <w:vAlign w:val="center"/>
          </w:tcPr>
          <w:p w:rsidR="00DC493E" w:rsidRPr="00C60369" w:rsidRDefault="00DC493E" w:rsidP="00567C4E">
            <w:pPr>
              <w:pStyle w:val="Default"/>
              <w:snapToGrid w:val="0"/>
              <w:jc w:val="both"/>
              <w:rPr>
                <w:sz w:val="20"/>
                <w:szCs w:val="20"/>
              </w:rPr>
            </w:pPr>
            <w:r w:rsidRPr="00C60369">
              <w:rPr>
                <w:sz w:val="20"/>
                <w:szCs w:val="20"/>
              </w:rPr>
              <w:t>RRT within 12 h of KDIGO stage 3 or no RRT</w:t>
            </w:r>
          </w:p>
        </w:tc>
        <w:tc>
          <w:tcPr>
            <w:tcW w:w="0" w:type="auto"/>
            <w:shd w:val="clear" w:color="auto" w:fill="auto"/>
            <w:vAlign w:val="center"/>
          </w:tcPr>
          <w:p w:rsidR="00DC493E" w:rsidRPr="00C60369" w:rsidRDefault="00DC493E" w:rsidP="00567C4E">
            <w:pPr>
              <w:pStyle w:val="Default"/>
              <w:snapToGrid w:val="0"/>
              <w:jc w:val="both"/>
              <w:rPr>
                <w:sz w:val="20"/>
                <w:szCs w:val="20"/>
              </w:rPr>
            </w:pPr>
            <w:r w:rsidRPr="00C60369">
              <w:rPr>
                <w:sz w:val="20"/>
                <w:szCs w:val="20"/>
              </w:rPr>
              <w:t>CVVH</w:t>
            </w:r>
          </w:p>
        </w:tc>
      </w:tr>
    </w:tbl>
    <w:p w:rsidR="00DC493E" w:rsidRDefault="00DC493E" w:rsidP="00567C4E">
      <w:pPr>
        <w:pStyle w:val="Default"/>
        <w:snapToGrid w:val="0"/>
        <w:jc w:val="both"/>
        <w:rPr>
          <w:rFonts w:hint="eastAsia"/>
          <w:b/>
          <w:bCs/>
          <w:sz w:val="20"/>
          <w:szCs w:val="20"/>
          <w:lang w:eastAsia="zh-CN"/>
        </w:rPr>
      </w:pPr>
    </w:p>
    <w:p w:rsidR="00C60369" w:rsidRPr="00C60369" w:rsidRDefault="00C60369" w:rsidP="00567C4E">
      <w:pPr>
        <w:pStyle w:val="Default"/>
        <w:snapToGrid w:val="0"/>
        <w:jc w:val="both"/>
        <w:rPr>
          <w:rFonts w:hint="eastAsia"/>
          <w:b/>
          <w:bCs/>
          <w:sz w:val="20"/>
          <w:szCs w:val="20"/>
          <w:lang w:eastAsia="zh-CN"/>
        </w:rPr>
      </w:pPr>
    </w:p>
    <w:p w:rsidR="00567C4E" w:rsidRPr="00C60369" w:rsidRDefault="00567C4E" w:rsidP="00567C4E">
      <w:pPr>
        <w:pStyle w:val="Default"/>
        <w:snapToGrid w:val="0"/>
        <w:ind w:firstLine="425"/>
        <w:jc w:val="both"/>
        <w:rPr>
          <w:sz w:val="20"/>
          <w:szCs w:val="20"/>
        </w:rPr>
        <w:sectPr w:rsidR="00567C4E" w:rsidRPr="00C60369" w:rsidSect="00062324">
          <w:type w:val="continuous"/>
          <w:pgSz w:w="12240" w:h="15840"/>
          <w:pgMar w:top="1440" w:right="1440" w:bottom="1440" w:left="1440" w:header="720" w:footer="720" w:gutter="0"/>
          <w:cols w:space="720"/>
          <w:rtlGutter/>
          <w:docGrid w:linePitch="360"/>
        </w:sectPr>
      </w:pPr>
    </w:p>
    <w:p w:rsidR="00DC493E" w:rsidRPr="00C60369" w:rsidRDefault="00DC493E" w:rsidP="00567C4E">
      <w:pPr>
        <w:pStyle w:val="Default"/>
        <w:snapToGrid w:val="0"/>
        <w:ind w:firstLine="425"/>
        <w:jc w:val="both"/>
        <w:rPr>
          <w:sz w:val="20"/>
          <w:szCs w:val="20"/>
        </w:rPr>
      </w:pPr>
      <w:r w:rsidRPr="00C60369">
        <w:rPr>
          <w:sz w:val="20"/>
          <w:szCs w:val="20"/>
        </w:rPr>
        <w:lastRenderedPageBreak/>
        <w:t xml:space="preserve">Five studies used urine output and/or serum </w:t>
      </w:r>
      <w:proofErr w:type="spellStart"/>
      <w:r w:rsidRPr="00C60369">
        <w:rPr>
          <w:sz w:val="20"/>
          <w:szCs w:val="20"/>
        </w:rPr>
        <w:t>creatinine</w:t>
      </w:r>
      <w:proofErr w:type="spellEnd"/>
      <w:r w:rsidRPr="00C60369">
        <w:rPr>
          <w:sz w:val="20"/>
          <w:szCs w:val="20"/>
        </w:rPr>
        <w:t xml:space="preserve"> or serum urea nitrogen or </w:t>
      </w:r>
      <w:proofErr w:type="spellStart"/>
      <w:r w:rsidRPr="00C60369">
        <w:rPr>
          <w:sz w:val="20"/>
          <w:szCs w:val="20"/>
        </w:rPr>
        <w:t>creatinine</w:t>
      </w:r>
      <w:proofErr w:type="spellEnd"/>
      <w:r w:rsidRPr="00C60369">
        <w:rPr>
          <w:sz w:val="20"/>
          <w:szCs w:val="20"/>
        </w:rPr>
        <w:t xml:space="preserve"> clearance for defining early and late RRT </w:t>
      </w:r>
      <w:r w:rsidRPr="00C60369">
        <w:rPr>
          <w:b/>
          <w:bCs/>
          <w:i/>
          <w:iCs/>
          <w:sz w:val="20"/>
          <w:szCs w:val="20"/>
        </w:rPr>
        <w:t>(Wald et al., 2015-Durmaz et al., 2003-Sugahara and suzuki,2004-Jamale et al., 2013-Bouman et al., 2002)</w:t>
      </w:r>
      <w:r w:rsidRPr="00C60369">
        <w:rPr>
          <w:i/>
          <w:iCs/>
          <w:sz w:val="20"/>
          <w:szCs w:val="20"/>
        </w:rPr>
        <w:t>,</w:t>
      </w:r>
      <w:r w:rsidRPr="00C60369">
        <w:rPr>
          <w:sz w:val="20"/>
          <w:szCs w:val="20"/>
        </w:rPr>
        <w:t xml:space="preserve"> two studies started early RRT with diagnosis of severe sepsis or post-cardiac surgery shock </w:t>
      </w:r>
      <w:r w:rsidRPr="00C60369">
        <w:rPr>
          <w:b/>
          <w:bCs/>
          <w:i/>
          <w:iCs/>
          <w:sz w:val="20"/>
          <w:szCs w:val="20"/>
        </w:rPr>
        <w:t>(</w:t>
      </w:r>
      <w:proofErr w:type="spellStart"/>
      <w:r w:rsidRPr="00C60369">
        <w:rPr>
          <w:b/>
          <w:bCs/>
          <w:i/>
          <w:iCs/>
          <w:sz w:val="20"/>
          <w:szCs w:val="20"/>
        </w:rPr>
        <w:t>Payen</w:t>
      </w:r>
      <w:proofErr w:type="spellEnd"/>
      <w:r w:rsidRPr="00C60369">
        <w:rPr>
          <w:b/>
          <w:bCs/>
          <w:i/>
          <w:iCs/>
          <w:sz w:val="20"/>
          <w:szCs w:val="20"/>
        </w:rPr>
        <w:t xml:space="preserve"> et al., 2009-Combes et al., 2015)</w:t>
      </w:r>
      <w:r w:rsidRPr="00C60369">
        <w:rPr>
          <w:sz w:val="20"/>
          <w:szCs w:val="20"/>
        </w:rPr>
        <w:t xml:space="preserve"> and the latest two studies in 2016 used Kidney Disease: Improving Global Outcomes (KIDGO) stage 2 or stage 3 to define early RRT </w:t>
      </w:r>
      <w:r w:rsidRPr="00C60369">
        <w:rPr>
          <w:b/>
          <w:bCs/>
          <w:i/>
          <w:iCs/>
          <w:sz w:val="20"/>
          <w:szCs w:val="20"/>
        </w:rPr>
        <w:t>(</w:t>
      </w:r>
      <w:proofErr w:type="spellStart"/>
      <w:r w:rsidRPr="00C60369">
        <w:rPr>
          <w:b/>
          <w:bCs/>
          <w:i/>
          <w:iCs/>
          <w:sz w:val="20"/>
          <w:szCs w:val="20"/>
        </w:rPr>
        <w:t>Gaudry</w:t>
      </w:r>
      <w:proofErr w:type="spellEnd"/>
      <w:r w:rsidRPr="00C60369">
        <w:rPr>
          <w:b/>
          <w:bCs/>
          <w:i/>
          <w:iCs/>
          <w:sz w:val="20"/>
          <w:szCs w:val="20"/>
        </w:rPr>
        <w:t xml:space="preserve"> et al., 2016-Zarbock et al., 2016).</w:t>
      </w:r>
    </w:p>
    <w:p w:rsidR="00DC493E" w:rsidRPr="00C60369" w:rsidRDefault="00DC493E" w:rsidP="00567C4E">
      <w:pPr>
        <w:pStyle w:val="Default"/>
        <w:snapToGrid w:val="0"/>
        <w:ind w:firstLine="425"/>
        <w:jc w:val="both"/>
        <w:rPr>
          <w:sz w:val="20"/>
          <w:szCs w:val="20"/>
        </w:rPr>
      </w:pPr>
      <w:r w:rsidRPr="00C60369">
        <w:rPr>
          <w:sz w:val="20"/>
          <w:szCs w:val="20"/>
        </w:rPr>
        <w:t xml:space="preserve">In most of the studies, late RRT was defined as a classic indication, including </w:t>
      </w:r>
      <w:proofErr w:type="spellStart"/>
      <w:r w:rsidRPr="00C60369">
        <w:rPr>
          <w:sz w:val="20"/>
          <w:szCs w:val="20"/>
        </w:rPr>
        <w:t>azotemia</w:t>
      </w:r>
      <w:proofErr w:type="spellEnd"/>
      <w:r w:rsidRPr="00C60369">
        <w:rPr>
          <w:sz w:val="20"/>
          <w:szCs w:val="20"/>
        </w:rPr>
        <w:t xml:space="preserve">, </w:t>
      </w:r>
      <w:proofErr w:type="spellStart"/>
      <w:r w:rsidRPr="00C60369">
        <w:rPr>
          <w:sz w:val="20"/>
          <w:szCs w:val="20"/>
        </w:rPr>
        <w:t>oliguria</w:t>
      </w:r>
      <w:proofErr w:type="spellEnd"/>
      <w:r w:rsidRPr="00C60369">
        <w:rPr>
          <w:sz w:val="20"/>
          <w:szCs w:val="20"/>
        </w:rPr>
        <w:t xml:space="preserve">, pulmonary edema, </w:t>
      </w:r>
      <w:proofErr w:type="spellStart"/>
      <w:r w:rsidRPr="00C60369">
        <w:rPr>
          <w:sz w:val="20"/>
          <w:szCs w:val="20"/>
        </w:rPr>
        <w:t>hyperkalemia</w:t>
      </w:r>
      <w:proofErr w:type="spellEnd"/>
      <w:r w:rsidRPr="00C60369">
        <w:rPr>
          <w:sz w:val="20"/>
          <w:szCs w:val="20"/>
        </w:rPr>
        <w:t xml:space="preserve"> and metabolic acidosis. The individual studies defined early and late RRT by using variable cutoff values in serum </w:t>
      </w:r>
      <w:proofErr w:type="spellStart"/>
      <w:r w:rsidRPr="00C60369">
        <w:rPr>
          <w:sz w:val="20"/>
          <w:szCs w:val="20"/>
        </w:rPr>
        <w:t>creatinine</w:t>
      </w:r>
      <w:proofErr w:type="spellEnd"/>
      <w:r w:rsidRPr="00C60369">
        <w:rPr>
          <w:sz w:val="20"/>
          <w:szCs w:val="20"/>
        </w:rPr>
        <w:t xml:space="preserve"> or urine output </w:t>
      </w:r>
      <w:r w:rsidRPr="00C60369">
        <w:rPr>
          <w:b/>
          <w:bCs/>
          <w:sz w:val="20"/>
          <w:szCs w:val="20"/>
        </w:rPr>
        <w:t>(table 3).</w:t>
      </w:r>
    </w:p>
    <w:p w:rsidR="00DC493E" w:rsidRPr="00C60369" w:rsidRDefault="00DC493E" w:rsidP="00E87DF2">
      <w:pPr>
        <w:pStyle w:val="Default"/>
        <w:snapToGrid w:val="0"/>
        <w:jc w:val="both"/>
        <w:rPr>
          <w:sz w:val="20"/>
          <w:szCs w:val="20"/>
        </w:rPr>
      </w:pPr>
      <w:r w:rsidRPr="00C60369">
        <w:rPr>
          <w:b/>
          <w:bCs/>
          <w:sz w:val="20"/>
          <w:szCs w:val="20"/>
        </w:rPr>
        <w:t>Interventions</w:t>
      </w:r>
      <w:r w:rsidRPr="00C60369">
        <w:rPr>
          <w:sz w:val="20"/>
          <w:szCs w:val="20"/>
        </w:rPr>
        <w:t>:</w:t>
      </w:r>
    </w:p>
    <w:p w:rsidR="00062324" w:rsidRPr="00C60369" w:rsidRDefault="00DC493E" w:rsidP="00567C4E">
      <w:pPr>
        <w:pStyle w:val="Default"/>
        <w:snapToGrid w:val="0"/>
        <w:ind w:firstLine="425"/>
        <w:jc w:val="both"/>
        <w:rPr>
          <w:sz w:val="20"/>
          <w:szCs w:val="20"/>
        </w:rPr>
      </w:pPr>
      <w:r w:rsidRPr="00C60369">
        <w:rPr>
          <w:sz w:val="20"/>
          <w:szCs w:val="20"/>
        </w:rPr>
        <w:t>In the current meta-analysis, we considered all studies reporting the timing of renal replacement therapy early versus late in all medical and surgical patients</w:t>
      </w:r>
      <w:r w:rsidR="00E87DF2" w:rsidRPr="00C60369">
        <w:rPr>
          <w:sz w:val="20"/>
          <w:szCs w:val="20"/>
        </w:rPr>
        <w:t>. T</w:t>
      </w:r>
      <w:r w:rsidRPr="00C60369">
        <w:rPr>
          <w:sz w:val="20"/>
          <w:szCs w:val="20"/>
        </w:rPr>
        <w:t>he modality of RRT varied significantly among the individual studies</w:t>
      </w:r>
      <w:r w:rsidRPr="00C60369">
        <w:rPr>
          <w:b/>
          <w:bCs/>
          <w:sz w:val="20"/>
          <w:szCs w:val="20"/>
        </w:rPr>
        <w:t xml:space="preserve"> (table 3)</w:t>
      </w:r>
      <w:r w:rsidRPr="00C60369">
        <w:rPr>
          <w:sz w:val="20"/>
          <w:szCs w:val="20"/>
        </w:rPr>
        <w:t>.</w:t>
      </w:r>
    </w:p>
    <w:p w:rsidR="00DC493E" w:rsidRPr="00C60369" w:rsidRDefault="00062324" w:rsidP="00567C4E">
      <w:pPr>
        <w:pStyle w:val="Default"/>
        <w:snapToGrid w:val="0"/>
        <w:ind w:firstLine="425"/>
        <w:jc w:val="both"/>
        <w:rPr>
          <w:b/>
          <w:bCs/>
          <w:sz w:val="20"/>
          <w:szCs w:val="20"/>
        </w:rPr>
      </w:pPr>
      <w:r w:rsidRPr="00C60369">
        <w:rPr>
          <w:sz w:val="20"/>
          <w:szCs w:val="20"/>
        </w:rPr>
        <w:t>T</w:t>
      </w:r>
      <w:r w:rsidR="00DC493E" w:rsidRPr="00C60369">
        <w:rPr>
          <w:sz w:val="20"/>
          <w:szCs w:val="20"/>
        </w:rPr>
        <w:t xml:space="preserve">he modality of continuous vena-venous </w:t>
      </w:r>
      <w:proofErr w:type="spellStart"/>
      <w:r w:rsidR="00DC493E" w:rsidRPr="00C60369">
        <w:rPr>
          <w:sz w:val="20"/>
          <w:szCs w:val="20"/>
        </w:rPr>
        <w:t>hemofiltration</w:t>
      </w:r>
      <w:proofErr w:type="spellEnd"/>
      <w:r w:rsidR="00DC493E" w:rsidRPr="00C60369">
        <w:rPr>
          <w:sz w:val="20"/>
          <w:szCs w:val="20"/>
        </w:rPr>
        <w:t xml:space="preserve"> (CVVH) was used in five studies </w:t>
      </w:r>
      <w:r w:rsidR="00DC493E" w:rsidRPr="00C60369">
        <w:rPr>
          <w:b/>
          <w:bCs/>
          <w:i/>
          <w:iCs/>
          <w:sz w:val="20"/>
          <w:szCs w:val="20"/>
        </w:rPr>
        <w:t>(</w:t>
      </w:r>
      <w:proofErr w:type="spellStart"/>
      <w:r w:rsidR="00DC493E" w:rsidRPr="00C60369">
        <w:rPr>
          <w:b/>
          <w:bCs/>
          <w:i/>
          <w:iCs/>
          <w:sz w:val="20"/>
          <w:szCs w:val="20"/>
        </w:rPr>
        <w:t>Bouman</w:t>
      </w:r>
      <w:proofErr w:type="spellEnd"/>
      <w:r w:rsidR="00DC493E" w:rsidRPr="00C60369">
        <w:rPr>
          <w:b/>
          <w:bCs/>
          <w:i/>
          <w:iCs/>
          <w:sz w:val="20"/>
          <w:szCs w:val="20"/>
        </w:rPr>
        <w:t xml:space="preserve"> et al., 2002-Sugahara and suzuki,2004-Payen et al., 2009-Combes et al., 2015 and </w:t>
      </w:r>
      <w:proofErr w:type="spellStart"/>
      <w:r w:rsidR="00DC493E" w:rsidRPr="00C60369">
        <w:rPr>
          <w:b/>
          <w:bCs/>
          <w:i/>
          <w:iCs/>
          <w:sz w:val="20"/>
          <w:szCs w:val="20"/>
        </w:rPr>
        <w:t>Zarbock</w:t>
      </w:r>
      <w:proofErr w:type="spellEnd"/>
      <w:r w:rsidR="00DC493E" w:rsidRPr="00C60369">
        <w:rPr>
          <w:b/>
          <w:bCs/>
          <w:i/>
          <w:iCs/>
          <w:sz w:val="20"/>
          <w:szCs w:val="20"/>
        </w:rPr>
        <w:t xml:space="preserve"> et al., 2016)</w:t>
      </w:r>
      <w:r w:rsidR="00DC493E" w:rsidRPr="00C60369">
        <w:rPr>
          <w:sz w:val="20"/>
          <w:szCs w:val="20"/>
        </w:rPr>
        <w:t xml:space="preserve"> and intermittent </w:t>
      </w:r>
      <w:proofErr w:type="spellStart"/>
      <w:r w:rsidR="00DC493E" w:rsidRPr="00C60369">
        <w:rPr>
          <w:sz w:val="20"/>
          <w:szCs w:val="20"/>
        </w:rPr>
        <w:t>hemodialysis</w:t>
      </w:r>
      <w:proofErr w:type="spellEnd"/>
      <w:r w:rsidR="00DC493E" w:rsidRPr="00C60369">
        <w:rPr>
          <w:sz w:val="20"/>
          <w:szCs w:val="20"/>
        </w:rPr>
        <w:t xml:space="preserve"> (IHD) was used in two studies </w:t>
      </w:r>
      <w:r w:rsidR="00DC493E" w:rsidRPr="00C60369">
        <w:rPr>
          <w:b/>
          <w:bCs/>
          <w:i/>
          <w:iCs/>
          <w:sz w:val="20"/>
          <w:szCs w:val="20"/>
        </w:rPr>
        <w:t>(</w:t>
      </w:r>
      <w:proofErr w:type="spellStart"/>
      <w:r w:rsidR="00DC493E" w:rsidRPr="00C60369">
        <w:rPr>
          <w:b/>
          <w:bCs/>
          <w:i/>
          <w:iCs/>
          <w:sz w:val="20"/>
          <w:szCs w:val="20"/>
        </w:rPr>
        <w:t>Durmaz</w:t>
      </w:r>
      <w:proofErr w:type="spellEnd"/>
      <w:r w:rsidR="00DC493E" w:rsidRPr="00C60369">
        <w:rPr>
          <w:b/>
          <w:bCs/>
          <w:i/>
          <w:iCs/>
          <w:sz w:val="20"/>
          <w:szCs w:val="20"/>
        </w:rPr>
        <w:t xml:space="preserve"> et al., 2003 and </w:t>
      </w:r>
      <w:proofErr w:type="spellStart"/>
      <w:r w:rsidR="00DC493E" w:rsidRPr="00C60369">
        <w:rPr>
          <w:b/>
          <w:bCs/>
          <w:i/>
          <w:iCs/>
          <w:sz w:val="20"/>
          <w:szCs w:val="20"/>
        </w:rPr>
        <w:t>Jamale</w:t>
      </w:r>
      <w:proofErr w:type="spellEnd"/>
      <w:r w:rsidR="00DC493E" w:rsidRPr="00C60369">
        <w:rPr>
          <w:b/>
          <w:bCs/>
          <w:i/>
          <w:iCs/>
          <w:sz w:val="20"/>
          <w:szCs w:val="20"/>
        </w:rPr>
        <w:t xml:space="preserve"> et al., 2013)</w:t>
      </w:r>
      <w:r w:rsidR="00DC493E" w:rsidRPr="00C60369">
        <w:rPr>
          <w:i/>
          <w:iCs/>
          <w:sz w:val="20"/>
          <w:szCs w:val="20"/>
        </w:rPr>
        <w:t>.</w:t>
      </w:r>
      <w:r w:rsidR="00DC493E" w:rsidRPr="00C60369">
        <w:rPr>
          <w:sz w:val="20"/>
          <w:szCs w:val="20"/>
        </w:rPr>
        <w:t xml:space="preserve"> In the remaining two studies, some of the patients received CVVH modality, and the others received IHD or sustained low-efficiency dialysis (SLED) modality </w:t>
      </w:r>
      <w:r w:rsidR="00DC493E" w:rsidRPr="00C60369">
        <w:rPr>
          <w:b/>
          <w:bCs/>
          <w:i/>
          <w:iCs/>
          <w:sz w:val="20"/>
          <w:szCs w:val="20"/>
        </w:rPr>
        <w:t>(</w:t>
      </w:r>
      <w:proofErr w:type="spellStart"/>
      <w:r w:rsidR="00DC493E" w:rsidRPr="00C60369">
        <w:rPr>
          <w:b/>
          <w:bCs/>
          <w:i/>
          <w:iCs/>
          <w:sz w:val="20"/>
          <w:szCs w:val="20"/>
        </w:rPr>
        <w:t>Guadry</w:t>
      </w:r>
      <w:proofErr w:type="spellEnd"/>
      <w:r w:rsidRPr="00C60369">
        <w:rPr>
          <w:b/>
          <w:bCs/>
          <w:i/>
          <w:iCs/>
          <w:sz w:val="20"/>
          <w:szCs w:val="20"/>
        </w:rPr>
        <w:t xml:space="preserve"> </w:t>
      </w:r>
      <w:r w:rsidR="00DC493E" w:rsidRPr="00C60369">
        <w:rPr>
          <w:b/>
          <w:bCs/>
          <w:i/>
          <w:iCs/>
          <w:sz w:val="20"/>
          <w:szCs w:val="20"/>
        </w:rPr>
        <w:t xml:space="preserve">et al., 2016 and </w:t>
      </w:r>
      <w:proofErr w:type="spellStart"/>
      <w:r w:rsidR="00DC493E" w:rsidRPr="00C60369">
        <w:rPr>
          <w:b/>
          <w:bCs/>
          <w:i/>
          <w:iCs/>
          <w:sz w:val="20"/>
          <w:szCs w:val="20"/>
        </w:rPr>
        <w:t>wald</w:t>
      </w:r>
      <w:proofErr w:type="spellEnd"/>
      <w:r w:rsidR="00DC493E" w:rsidRPr="00C60369">
        <w:rPr>
          <w:b/>
          <w:bCs/>
          <w:i/>
          <w:iCs/>
          <w:sz w:val="20"/>
          <w:szCs w:val="20"/>
        </w:rPr>
        <w:t xml:space="preserve"> et al.,</w:t>
      </w:r>
      <w:r w:rsidR="00C60369">
        <w:rPr>
          <w:rFonts w:hint="eastAsia"/>
          <w:b/>
          <w:bCs/>
          <w:i/>
          <w:iCs/>
          <w:sz w:val="20"/>
          <w:szCs w:val="20"/>
          <w:lang w:eastAsia="zh-CN"/>
        </w:rPr>
        <w:t xml:space="preserve"> </w:t>
      </w:r>
      <w:r w:rsidR="00DC493E" w:rsidRPr="00C60369">
        <w:rPr>
          <w:b/>
          <w:bCs/>
          <w:i/>
          <w:iCs/>
          <w:sz w:val="20"/>
          <w:szCs w:val="20"/>
        </w:rPr>
        <w:t>2015).</w:t>
      </w:r>
    </w:p>
    <w:p w:rsidR="00DC493E" w:rsidRPr="00C60369" w:rsidRDefault="00DC493E" w:rsidP="00567C4E">
      <w:pPr>
        <w:pStyle w:val="Default"/>
        <w:snapToGrid w:val="0"/>
        <w:jc w:val="both"/>
        <w:rPr>
          <w:b/>
          <w:i/>
          <w:sz w:val="20"/>
          <w:szCs w:val="20"/>
        </w:rPr>
      </w:pPr>
      <w:r w:rsidRPr="00C60369">
        <w:rPr>
          <w:b/>
          <w:i/>
          <w:sz w:val="20"/>
          <w:szCs w:val="20"/>
        </w:rPr>
        <w:t>Outcome measures:</w:t>
      </w:r>
    </w:p>
    <w:p w:rsidR="00DC493E" w:rsidRPr="00C60369" w:rsidRDefault="00DC493E" w:rsidP="00567C4E">
      <w:pPr>
        <w:pStyle w:val="Default"/>
        <w:snapToGrid w:val="0"/>
        <w:ind w:firstLine="425"/>
        <w:jc w:val="both"/>
        <w:rPr>
          <w:sz w:val="20"/>
          <w:szCs w:val="20"/>
        </w:rPr>
      </w:pPr>
      <w:r w:rsidRPr="00C60369">
        <w:rPr>
          <w:sz w:val="20"/>
          <w:szCs w:val="20"/>
        </w:rPr>
        <w:t>The primary outcome was</w:t>
      </w:r>
    </w:p>
    <w:p w:rsidR="00DC493E" w:rsidRPr="00C60369" w:rsidRDefault="00DC493E" w:rsidP="00567C4E">
      <w:pPr>
        <w:pStyle w:val="Default"/>
        <w:numPr>
          <w:ilvl w:val="0"/>
          <w:numId w:val="36"/>
        </w:numPr>
        <w:snapToGrid w:val="0"/>
        <w:ind w:left="0" w:firstLine="425"/>
        <w:jc w:val="both"/>
        <w:rPr>
          <w:sz w:val="20"/>
          <w:szCs w:val="20"/>
        </w:rPr>
      </w:pPr>
      <w:r w:rsidRPr="00C60369">
        <w:rPr>
          <w:sz w:val="20"/>
          <w:szCs w:val="20"/>
        </w:rPr>
        <w:t>Mortality, Including 14-day mortality, 28-day mortality, 30-day mortality, 60-day mortality, 90-day mortality, ICU mortality, and in-hospital mortality. The longest follow-up mortality reported in the individual studies was extracted for the pooling analysis.</w:t>
      </w:r>
    </w:p>
    <w:p w:rsidR="00DC493E" w:rsidRPr="00C60369" w:rsidRDefault="00DC493E" w:rsidP="00567C4E">
      <w:pPr>
        <w:pStyle w:val="Default"/>
        <w:snapToGrid w:val="0"/>
        <w:ind w:firstLine="425"/>
        <w:jc w:val="both"/>
        <w:rPr>
          <w:sz w:val="20"/>
          <w:szCs w:val="20"/>
        </w:rPr>
      </w:pPr>
      <w:r w:rsidRPr="00C60369">
        <w:rPr>
          <w:sz w:val="20"/>
          <w:szCs w:val="20"/>
        </w:rPr>
        <w:t>Secondary outcomes included</w:t>
      </w:r>
    </w:p>
    <w:p w:rsidR="00DC493E" w:rsidRPr="00C60369" w:rsidRDefault="00DC493E" w:rsidP="00567C4E">
      <w:pPr>
        <w:pStyle w:val="Default"/>
        <w:numPr>
          <w:ilvl w:val="0"/>
          <w:numId w:val="36"/>
        </w:numPr>
        <w:snapToGrid w:val="0"/>
        <w:ind w:left="0" w:firstLine="425"/>
        <w:jc w:val="both"/>
        <w:rPr>
          <w:sz w:val="20"/>
          <w:szCs w:val="20"/>
        </w:rPr>
      </w:pPr>
      <w:r w:rsidRPr="00C60369">
        <w:rPr>
          <w:sz w:val="20"/>
          <w:szCs w:val="20"/>
        </w:rPr>
        <w:lastRenderedPageBreak/>
        <w:t>The ICU length of stay (LOS</w:t>
      </w:r>
      <w:r w:rsidR="00E87DF2" w:rsidRPr="00C60369">
        <w:rPr>
          <w:sz w:val="20"/>
          <w:szCs w:val="20"/>
        </w:rPr>
        <w:t>) i</w:t>
      </w:r>
      <w:r w:rsidRPr="00C60369">
        <w:rPr>
          <w:sz w:val="20"/>
          <w:szCs w:val="20"/>
        </w:rPr>
        <w:t>n survivors and non survivors</w:t>
      </w:r>
    </w:p>
    <w:p w:rsidR="00DC493E" w:rsidRPr="00C60369" w:rsidRDefault="00DC493E" w:rsidP="00567C4E">
      <w:pPr>
        <w:pStyle w:val="Default"/>
        <w:numPr>
          <w:ilvl w:val="0"/>
          <w:numId w:val="36"/>
        </w:numPr>
        <w:snapToGrid w:val="0"/>
        <w:ind w:left="0" w:firstLine="425"/>
        <w:jc w:val="both"/>
        <w:rPr>
          <w:sz w:val="20"/>
          <w:szCs w:val="20"/>
        </w:rPr>
      </w:pPr>
      <w:r w:rsidRPr="00C60369">
        <w:rPr>
          <w:sz w:val="20"/>
          <w:szCs w:val="20"/>
        </w:rPr>
        <w:t>Hospital LOS in survivors and non survivors</w:t>
      </w:r>
    </w:p>
    <w:p w:rsidR="00DC493E" w:rsidRPr="00C60369" w:rsidRDefault="00DC493E" w:rsidP="00567C4E">
      <w:pPr>
        <w:pStyle w:val="Default"/>
        <w:numPr>
          <w:ilvl w:val="0"/>
          <w:numId w:val="36"/>
        </w:numPr>
        <w:snapToGrid w:val="0"/>
        <w:ind w:left="0" w:firstLine="425"/>
        <w:jc w:val="both"/>
        <w:rPr>
          <w:sz w:val="20"/>
          <w:szCs w:val="20"/>
        </w:rPr>
      </w:pPr>
      <w:r w:rsidRPr="00C60369">
        <w:rPr>
          <w:sz w:val="20"/>
          <w:szCs w:val="20"/>
        </w:rPr>
        <w:t>Renal function recovery</w:t>
      </w:r>
    </w:p>
    <w:p w:rsidR="00DC493E" w:rsidRPr="00C60369" w:rsidRDefault="00DC493E" w:rsidP="00567C4E">
      <w:pPr>
        <w:pStyle w:val="Default"/>
        <w:numPr>
          <w:ilvl w:val="0"/>
          <w:numId w:val="36"/>
        </w:numPr>
        <w:snapToGrid w:val="0"/>
        <w:ind w:left="0" w:firstLine="425"/>
        <w:jc w:val="both"/>
        <w:rPr>
          <w:sz w:val="20"/>
          <w:szCs w:val="20"/>
        </w:rPr>
      </w:pPr>
      <w:r w:rsidRPr="00C60369">
        <w:rPr>
          <w:sz w:val="20"/>
          <w:szCs w:val="20"/>
        </w:rPr>
        <w:t>Renal replacement therapy dependence.</w:t>
      </w:r>
    </w:p>
    <w:p w:rsidR="00C60369" w:rsidRDefault="00C60369" w:rsidP="00567C4E">
      <w:pPr>
        <w:pStyle w:val="Default"/>
        <w:snapToGrid w:val="0"/>
        <w:jc w:val="both"/>
        <w:rPr>
          <w:rFonts w:hint="eastAsia"/>
          <w:b/>
          <w:bCs/>
          <w:sz w:val="20"/>
          <w:szCs w:val="20"/>
          <w:lang w:eastAsia="zh-CN"/>
        </w:rPr>
      </w:pPr>
    </w:p>
    <w:p w:rsidR="00DC493E" w:rsidRPr="00C60369" w:rsidRDefault="00DC493E" w:rsidP="00567C4E">
      <w:pPr>
        <w:pStyle w:val="Default"/>
        <w:snapToGrid w:val="0"/>
        <w:jc w:val="both"/>
        <w:rPr>
          <w:b/>
          <w:bCs/>
          <w:sz w:val="20"/>
          <w:szCs w:val="20"/>
        </w:rPr>
      </w:pPr>
      <w:r w:rsidRPr="00C60369">
        <w:rPr>
          <w:b/>
          <w:bCs/>
          <w:sz w:val="20"/>
          <w:szCs w:val="20"/>
        </w:rPr>
        <w:t>Study selection:</w:t>
      </w:r>
    </w:p>
    <w:p w:rsidR="00DC493E" w:rsidRPr="00C60369" w:rsidRDefault="00DC493E" w:rsidP="00567C4E">
      <w:pPr>
        <w:pStyle w:val="Default"/>
        <w:snapToGrid w:val="0"/>
        <w:ind w:firstLine="425"/>
        <w:jc w:val="both"/>
        <w:rPr>
          <w:sz w:val="20"/>
          <w:szCs w:val="20"/>
        </w:rPr>
      </w:pPr>
      <w:r w:rsidRPr="00C60369">
        <w:rPr>
          <w:sz w:val="20"/>
          <w:szCs w:val="20"/>
        </w:rPr>
        <w:t>One reviewer (MO) checked all identified titles and abstracts and other reviewer (HM) validated this check</w:t>
      </w:r>
      <w:r w:rsidR="00E87DF2" w:rsidRPr="00C60369">
        <w:rPr>
          <w:sz w:val="20"/>
          <w:szCs w:val="20"/>
        </w:rPr>
        <w:t>. T</w:t>
      </w:r>
      <w:r w:rsidRPr="00C60369">
        <w:rPr>
          <w:sz w:val="20"/>
          <w:szCs w:val="20"/>
        </w:rPr>
        <w:t>he 2 reviewers examined all potential trials and graded their methodological quality. Any disagreement within or between reviewers was resolved by discussion with each other.</w:t>
      </w:r>
    </w:p>
    <w:p w:rsidR="00DC493E" w:rsidRPr="00C60369" w:rsidRDefault="00DC493E" w:rsidP="00567C4E">
      <w:pPr>
        <w:pStyle w:val="Default"/>
        <w:snapToGrid w:val="0"/>
        <w:jc w:val="both"/>
        <w:rPr>
          <w:sz w:val="20"/>
          <w:szCs w:val="20"/>
        </w:rPr>
      </w:pPr>
      <w:r w:rsidRPr="00C60369">
        <w:rPr>
          <w:b/>
          <w:bCs/>
          <w:sz w:val="20"/>
          <w:szCs w:val="20"/>
        </w:rPr>
        <w:t>Data extraction:</w:t>
      </w:r>
    </w:p>
    <w:p w:rsidR="00DC493E" w:rsidRPr="00C60369" w:rsidRDefault="00DC493E" w:rsidP="00567C4E">
      <w:pPr>
        <w:pStyle w:val="Default"/>
        <w:snapToGrid w:val="0"/>
        <w:ind w:firstLine="425"/>
        <w:jc w:val="both"/>
        <w:rPr>
          <w:sz w:val="20"/>
          <w:szCs w:val="20"/>
        </w:rPr>
      </w:pPr>
      <w:r w:rsidRPr="00C60369">
        <w:rPr>
          <w:sz w:val="20"/>
          <w:szCs w:val="20"/>
        </w:rPr>
        <w:t>One reviewer (MO) drew up a standard data extraction form and other reviewer (HM) validated it.</w:t>
      </w:r>
    </w:p>
    <w:p w:rsidR="00C60369" w:rsidRDefault="00C60369" w:rsidP="00567C4E">
      <w:pPr>
        <w:pStyle w:val="Default"/>
        <w:snapToGrid w:val="0"/>
        <w:jc w:val="both"/>
        <w:rPr>
          <w:rFonts w:hint="eastAsia"/>
          <w:b/>
          <w:sz w:val="20"/>
          <w:szCs w:val="20"/>
          <w:lang w:eastAsia="zh-CN"/>
        </w:rPr>
      </w:pPr>
    </w:p>
    <w:p w:rsidR="00DC493E" w:rsidRPr="00C60369" w:rsidRDefault="00DC493E" w:rsidP="00567C4E">
      <w:pPr>
        <w:pStyle w:val="Default"/>
        <w:snapToGrid w:val="0"/>
        <w:jc w:val="both"/>
        <w:rPr>
          <w:b/>
          <w:sz w:val="20"/>
          <w:szCs w:val="20"/>
        </w:rPr>
      </w:pPr>
      <w:r w:rsidRPr="00C60369">
        <w:rPr>
          <w:b/>
          <w:sz w:val="20"/>
          <w:szCs w:val="20"/>
        </w:rPr>
        <w:t>Statistical Methods for Meta-Analysis:</w:t>
      </w:r>
    </w:p>
    <w:p w:rsidR="00DC493E" w:rsidRPr="00C60369" w:rsidRDefault="00DC493E" w:rsidP="00567C4E">
      <w:pPr>
        <w:pStyle w:val="Default"/>
        <w:snapToGrid w:val="0"/>
        <w:ind w:firstLine="425"/>
        <w:jc w:val="both"/>
        <w:rPr>
          <w:b/>
          <w:bCs/>
          <w:sz w:val="20"/>
          <w:szCs w:val="20"/>
        </w:rPr>
      </w:pPr>
      <w:r w:rsidRPr="00C60369">
        <w:rPr>
          <w:sz w:val="20"/>
          <w:szCs w:val="20"/>
        </w:rPr>
        <w:t xml:space="preserve">Meta-analysis was performed using Comprehensive Meta-Analysis version 3.0 software. In case of quantitative outcomes </w:t>
      </w:r>
      <w:proofErr w:type="spellStart"/>
      <w:r w:rsidRPr="00C60369">
        <w:rPr>
          <w:sz w:val="20"/>
          <w:szCs w:val="20"/>
        </w:rPr>
        <w:t>Mean±SD</w:t>
      </w:r>
      <w:proofErr w:type="spellEnd"/>
      <w:r w:rsidRPr="00C60369">
        <w:rPr>
          <w:sz w:val="20"/>
          <w:szCs w:val="20"/>
        </w:rPr>
        <w:t xml:space="preserve"> and total sample count were collected then the mean differences were pooled to calculate the weighted mean, while in case of qualitative outcomes, events and total sample count were collected then the relative rates were pooled to calculate the weighted relative rate. Forest plots were used to present the individual and weighted estimates. Heterogeneity (I</w:t>
      </w:r>
      <w:r w:rsidRPr="00C60369">
        <w:rPr>
          <w:sz w:val="20"/>
          <w:szCs w:val="20"/>
          <w:vertAlign w:val="superscript"/>
        </w:rPr>
        <w:t>2</w:t>
      </w:r>
      <w:r w:rsidRPr="00C60369">
        <w:rPr>
          <w:sz w:val="20"/>
          <w:szCs w:val="20"/>
        </w:rPr>
        <w:t>) index was calculated to test variation of pooled estimates for each outcome, and presented by Funnel plot. The level of significance was taken at P value &lt; 0.050 is significant, otherwise is non-significant.</w:t>
      </w:r>
    </w:p>
    <w:p w:rsidR="00DC493E" w:rsidRPr="00C60369" w:rsidRDefault="00DC493E" w:rsidP="00567C4E">
      <w:pPr>
        <w:pStyle w:val="Default"/>
        <w:snapToGrid w:val="0"/>
        <w:jc w:val="both"/>
        <w:rPr>
          <w:b/>
          <w:bCs/>
          <w:sz w:val="20"/>
          <w:szCs w:val="20"/>
        </w:rPr>
      </w:pPr>
    </w:p>
    <w:p w:rsidR="00DC493E" w:rsidRPr="00C60369" w:rsidRDefault="00DC493E" w:rsidP="00567C4E">
      <w:pPr>
        <w:bidi w:val="0"/>
        <w:snapToGrid w:val="0"/>
        <w:spacing w:after="0" w:line="240" w:lineRule="auto"/>
        <w:jc w:val="both"/>
        <w:rPr>
          <w:rFonts w:ascii="Times New Roman" w:eastAsia="Calibri" w:hAnsi="Times New Roman" w:cs="Times New Roman"/>
          <w:sz w:val="20"/>
          <w:szCs w:val="20"/>
        </w:rPr>
      </w:pPr>
      <w:r w:rsidRPr="00C60369">
        <w:rPr>
          <w:rFonts w:ascii="Times New Roman" w:eastAsia="Calibri" w:hAnsi="Times New Roman" w:cs="Times New Roman"/>
          <w:b/>
          <w:bCs/>
          <w:sz w:val="20"/>
          <w:szCs w:val="20"/>
        </w:rPr>
        <w:t>3. Results:</w:t>
      </w:r>
    </w:p>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bCs/>
          <w:i/>
          <w:iCs/>
          <w:color w:val="000000"/>
          <w:sz w:val="20"/>
          <w:szCs w:val="20"/>
        </w:rPr>
      </w:pPr>
      <w:r w:rsidRPr="00C60369">
        <w:rPr>
          <w:rFonts w:ascii="Times New Roman" w:eastAsia="Times New Roman" w:hAnsi="Times New Roman" w:cs="Times New Roman"/>
          <w:b/>
          <w:bCs/>
          <w:i/>
          <w:iCs/>
          <w:color w:val="000000"/>
          <w:sz w:val="20"/>
          <w:szCs w:val="20"/>
        </w:rPr>
        <w:t>Primary outcome:</w:t>
      </w:r>
    </w:p>
    <w:p w:rsidR="00DC493E" w:rsidRPr="00C60369" w:rsidRDefault="00DC493E" w:rsidP="00567C4E">
      <w:pPr>
        <w:autoSpaceDE w:val="0"/>
        <w:autoSpaceDN w:val="0"/>
        <w:bidi w:val="0"/>
        <w:snapToGrid w:val="0"/>
        <w:spacing w:after="0" w:line="240" w:lineRule="auto"/>
        <w:ind w:firstLine="425"/>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 xml:space="preserve">1-Mortality </w:t>
      </w:r>
    </w:p>
    <w:p w:rsidR="00DC493E" w:rsidRPr="00C60369" w:rsidRDefault="00DC493E" w:rsidP="00567C4E">
      <w:pPr>
        <w:autoSpaceDE w:val="0"/>
        <w:autoSpaceDN w:val="0"/>
        <w:bidi w:val="0"/>
        <w:snapToGrid w:val="0"/>
        <w:spacing w:after="0" w:line="240" w:lineRule="auto"/>
        <w:ind w:firstLine="425"/>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 xml:space="preserve">Table (4) and figure (1,2) show that: The </w:t>
      </w:r>
      <w:r w:rsidRPr="00C60369">
        <w:rPr>
          <w:rFonts w:ascii="Times New Roman" w:eastAsia="Times New Roman" w:hAnsi="Times New Roman" w:cs="Times New Roman"/>
          <w:bCs/>
          <w:color w:val="000000"/>
          <w:sz w:val="20"/>
          <w:szCs w:val="20"/>
        </w:rPr>
        <w:t>mortality</w:t>
      </w:r>
      <w:r w:rsidRPr="00C60369">
        <w:rPr>
          <w:rFonts w:ascii="Times New Roman" w:eastAsia="Times New Roman" w:hAnsi="Times New Roman" w:cs="Times New Roman"/>
          <w:color w:val="000000"/>
          <w:sz w:val="20"/>
          <w:szCs w:val="20"/>
        </w:rPr>
        <w:t xml:space="preserve"> was reported in the nine included studies. There was significant heterogeneity among these studies. Thus, we performed the statistics using a random-effects model, and the results showed that </w:t>
      </w:r>
      <w:r w:rsidRPr="00C60369">
        <w:rPr>
          <w:rFonts w:ascii="Times New Roman" w:eastAsia="Times New Roman" w:hAnsi="Times New Roman" w:cs="Times New Roman"/>
          <w:bCs/>
          <w:color w:val="000000"/>
          <w:sz w:val="20"/>
          <w:szCs w:val="20"/>
        </w:rPr>
        <w:t>mortality</w:t>
      </w:r>
      <w:r w:rsidRPr="00C60369">
        <w:rPr>
          <w:rFonts w:ascii="Times New Roman" w:eastAsia="Times New Roman" w:hAnsi="Times New Roman" w:cs="Times New Roman"/>
          <w:color w:val="000000"/>
          <w:sz w:val="20"/>
          <w:szCs w:val="20"/>
        </w:rPr>
        <w:t xml:space="preserve"> was not significantly different between early and late interventions.</w:t>
      </w:r>
    </w:p>
    <w:p w:rsidR="00567C4E" w:rsidRPr="00C60369" w:rsidRDefault="00567C4E" w:rsidP="00567C4E">
      <w:pPr>
        <w:autoSpaceDE w:val="0"/>
        <w:autoSpaceDN w:val="0"/>
        <w:bidi w:val="0"/>
        <w:snapToGrid w:val="0"/>
        <w:spacing w:after="0" w:line="240" w:lineRule="auto"/>
        <w:jc w:val="center"/>
        <w:rPr>
          <w:rFonts w:ascii="Times New Roman" w:eastAsia="Times New Roman" w:hAnsi="Times New Roman" w:cs="Times New Roman"/>
          <w:b/>
          <w:color w:val="000000"/>
          <w:sz w:val="20"/>
          <w:szCs w:val="20"/>
        </w:rPr>
        <w:sectPr w:rsidR="00567C4E" w:rsidRPr="00C60369" w:rsidSect="00567C4E">
          <w:type w:val="continuous"/>
          <w:pgSz w:w="12240" w:h="15840"/>
          <w:pgMar w:top="1440" w:right="1440" w:bottom="1440" w:left="1440" w:header="720" w:footer="720" w:gutter="0"/>
          <w:cols w:num="2" w:space="550"/>
          <w:rtlGutter/>
          <w:docGrid w:linePitch="360"/>
        </w:sectPr>
      </w:pPr>
    </w:p>
    <w:p w:rsidR="00DC493E" w:rsidRPr="00C60369" w:rsidRDefault="00DC493E" w:rsidP="00567C4E">
      <w:pPr>
        <w:autoSpaceDE w:val="0"/>
        <w:autoSpaceDN w:val="0"/>
        <w:bidi w:val="0"/>
        <w:snapToGrid w:val="0"/>
        <w:spacing w:after="0" w:line="240" w:lineRule="auto"/>
        <w:jc w:val="center"/>
        <w:rPr>
          <w:rFonts w:ascii="Times New Roman" w:eastAsia="Times New Roman" w:hAnsi="Times New Roman" w:cs="Times New Roman"/>
          <w:b/>
          <w:color w:val="000000"/>
          <w:sz w:val="20"/>
          <w:szCs w:val="20"/>
        </w:rPr>
      </w:pPr>
    </w:p>
    <w:p w:rsidR="00C60369" w:rsidRDefault="00C60369" w:rsidP="00567C4E">
      <w:pPr>
        <w:autoSpaceDE w:val="0"/>
        <w:autoSpaceDN w:val="0"/>
        <w:bidi w:val="0"/>
        <w:snapToGrid w:val="0"/>
        <w:spacing w:after="0" w:line="240" w:lineRule="auto"/>
        <w:jc w:val="center"/>
        <w:rPr>
          <w:rFonts w:ascii="Times New Roman" w:hAnsi="Times New Roman" w:cs="Times New Roman" w:hint="eastAsia"/>
          <w:b/>
          <w:color w:val="000000"/>
          <w:sz w:val="20"/>
          <w:szCs w:val="20"/>
          <w:lang w:eastAsia="zh-CN"/>
        </w:rPr>
      </w:pPr>
    </w:p>
    <w:p w:rsidR="00C60369" w:rsidRDefault="00C60369" w:rsidP="00C60369">
      <w:pPr>
        <w:autoSpaceDE w:val="0"/>
        <w:autoSpaceDN w:val="0"/>
        <w:bidi w:val="0"/>
        <w:snapToGrid w:val="0"/>
        <w:spacing w:after="0" w:line="240" w:lineRule="auto"/>
        <w:jc w:val="center"/>
        <w:rPr>
          <w:rFonts w:ascii="Times New Roman" w:hAnsi="Times New Roman" w:cs="Times New Roman" w:hint="eastAsia"/>
          <w:b/>
          <w:color w:val="000000"/>
          <w:sz w:val="20"/>
          <w:szCs w:val="20"/>
          <w:lang w:eastAsia="zh-CN"/>
        </w:rPr>
      </w:pPr>
    </w:p>
    <w:p w:rsidR="00C60369" w:rsidRDefault="00C60369" w:rsidP="00C60369">
      <w:pPr>
        <w:autoSpaceDE w:val="0"/>
        <w:autoSpaceDN w:val="0"/>
        <w:bidi w:val="0"/>
        <w:snapToGrid w:val="0"/>
        <w:spacing w:after="0" w:line="240" w:lineRule="auto"/>
        <w:jc w:val="center"/>
        <w:rPr>
          <w:rFonts w:ascii="Times New Roman" w:hAnsi="Times New Roman" w:cs="Times New Roman" w:hint="eastAsia"/>
          <w:b/>
          <w:color w:val="000000"/>
          <w:sz w:val="20"/>
          <w:szCs w:val="20"/>
          <w:lang w:eastAsia="zh-CN"/>
        </w:rPr>
      </w:pPr>
    </w:p>
    <w:p w:rsidR="00C60369" w:rsidRDefault="00C60369" w:rsidP="00C60369">
      <w:pPr>
        <w:autoSpaceDE w:val="0"/>
        <w:autoSpaceDN w:val="0"/>
        <w:bidi w:val="0"/>
        <w:snapToGrid w:val="0"/>
        <w:spacing w:after="0" w:line="240" w:lineRule="auto"/>
        <w:jc w:val="center"/>
        <w:rPr>
          <w:rFonts w:ascii="Times New Roman" w:hAnsi="Times New Roman" w:cs="Times New Roman" w:hint="eastAsia"/>
          <w:b/>
          <w:color w:val="000000"/>
          <w:sz w:val="20"/>
          <w:szCs w:val="20"/>
          <w:lang w:eastAsia="zh-CN"/>
        </w:rPr>
      </w:pPr>
    </w:p>
    <w:p w:rsidR="00C60369" w:rsidRDefault="00C60369" w:rsidP="00C60369">
      <w:pPr>
        <w:autoSpaceDE w:val="0"/>
        <w:autoSpaceDN w:val="0"/>
        <w:bidi w:val="0"/>
        <w:snapToGrid w:val="0"/>
        <w:spacing w:after="0" w:line="240" w:lineRule="auto"/>
        <w:jc w:val="center"/>
        <w:rPr>
          <w:rFonts w:ascii="Times New Roman" w:hAnsi="Times New Roman" w:cs="Times New Roman" w:hint="eastAsia"/>
          <w:b/>
          <w:color w:val="000000"/>
          <w:sz w:val="20"/>
          <w:szCs w:val="20"/>
          <w:lang w:eastAsia="zh-CN"/>
        </w:rPr>
      </w:pPr>
    </w:p>
    <w:p w:rsidR="00C60369" w:rsidRDefault="00C60369" w:rsidP="00C60369">
      <w:pPr>
        <w:autoSpaceDE w:val="0"/>
        <w:autoSpaceDN w:val="0"/>
        <w:bidi w:val="0"/>
        <w:snapToGrid w:val="0"/>
        <w:spacing w:after="0" w:line="240" w:lineRule="auto"/>
        <w:jc w:val="center"/>
        <w:rPr>
          <w:rFonts w:ascii="Times New Roman" w:hAnsi="Times New Roman" w:cs="Times New Roman" w:hint="eastAsia"/>
          <w:b/>
          <w:color w:val="000000"/>
          <w:sz w:val="20"/>
          <w:szCs w:val="20"/>
          <w:lang w:eastAsia="zh-CN"/>
        </w:rPr>
      </w:pPr>
    </w:p>
    <w:p w:rsidR="00C60369" w:rsidRDefault="00C60369" w:rsidP="00C60369">
      <w:pPr>
        <w:autoSpaceDE w:val="0"/>
        <w:autoSpaceDN w:val="0"/>
        <w:bidi w:val="0"/>
        <w:snapToGrid w:val="0"/>
        <w:spacing w:after="0" w:line="240" w:lineRule="auto"/>
        <w:jc w:val="center"/>
        <w:rPr>
          <w:rFonts w:ascii="Times New Roman" w:hAnsi="Times New Roman" w:cs="Times New Roman" w:hint="eastAsia"/>
          <w:b/>
          <w:color w:val="000000"/>
          <w:sz w:val="20"/>
          <w:szCs w:val="20"/>
          <w:lang w:eastAsia="zh-CN"/>
        </w:rPr>
      </w:pPr>
    </w:p>
    <w:p w:rsidR="00C60369" w:rsidRDefault="00C60369" w:rsidP="00C60369">
      <w:pPr>
        <w:autoSpaceDE w:val="0"/>
        <w:autoSpaceDN w:val="0"/>
        <w:bidi w:val="0"/>
        <w:snapToGrid w:val="0"/>
        <w:spacing w:after="0" w:line="240" w:lineRule="auto"/>
        <w:jc w:val="center"/>
        <w:rPr>
          <w:rFonts w:ascii="Times New Roman" w:hAnsi="Times New Roman" w:cs="Times New Roman" w:hint="eastAsia"/>
          <w:b/>
          <w:color w:val="000000"/>
          <w:sz w:val="20"/>
          <w:szCs w:val="20"/>
          <w:lang w:eastAsia="zh-CN"/>
        </w:rPr>
      </w:pPr>
    </w:p>
    <w:p w:rsidR="00C60369" w:rsidRDefault="00C60369" w:rsidP="00C60369">
      <w:pPr>
        <w:autoSpaceDE w:val="0"/>
        <w:autoSpaceDN w:val="0"/>
        <w:bidi w:val="0"/>
        <w:snapToGrid w:val="0"/>
        <w:spacing w:after="0" w:line="240" w:lineRule="auto"/>
        <w:jc w:val="center"/>
        <w:rPr>
          <w:rFonts w:ascii="Times New Roman" w:hAnsi="Times New Roman" w:cs="Times New Roman" w:hint="eastAsia"/>
          <w:b/>
          <w:color w:val="000000"/>
          <w:sz w:val="20"/>
          <w:szCs w:val="20"/>
          <w:lang w:eastAsia="zh-CN"/>
        </w:rPr>
      </w:pPr>
    </w:p>
    <w:p w:rsidR="00C60369" w:rsidRDefault="00C60369" w:rsidP="00C60369">
      <w:pPr>
        <w:autoSpaceDE w:val="0"/>
        <w:autoSpaceDN w:val="0"/>
        <w:bidi w:val="0"/>
        <w:snapToGrid w:val="0"/>
        <w:spacing w:after="0" w:line="240" w:lineRule="auto"/>
        <w:jc w:val="center"/>
        <w:rPr>
          <w:rFonts w:ascii="Times New Roman" w:hAnsi="Times New Roman" w:cs="Times New Roman" w:hint="eastAsia"/>
          <w:b/>
          <w:color w:val="000000"/>
          <w:sz w:val="20"/>
          <w:szCs w:val="20"/>
          <w:lang w:eastAsia="zh-CN"/>
        </w:rPr>
      </w:pPr>
    </w:p>
    <w:p w:rsidR="00DC493E" w:rsidRPr="00C60369" w:rsidRDefault="00DC493E" w:rsidP="00C60369">
      <w:pPr>
        <w:autoSpaceDE w:val="0"/>
        <w:autoSpaceDN w:val="0"/>
        <w:bidi w:val="0"/>
        <w:snapToGrid w:val="0"/>
        <w:spacing w:after="0" w:line="240" w:lineRule="auto"/>
        <w:jc w:val="center"/>
        <w:rPr>
          <w:rFonts w:ascii="Times New Roman" w:eastAsia="Times New Roman" w:hAnsi="Times New Roman" w:cs="Times New Roman"/>
          <w:color w:val="000000"/>
          <w:sz w:val="20"/>
          <w:szCs w:val="20"/>
        </w:rPr>
      </w:pPr>
      <w:r w:rsidRPr="00C60369">
        <w:rPr>
          <w:rFonts w:ascii="Times New Roman" w:eastAsia="Times New Roman" w:hAnsi="Times New Roman" w:cs="Times New Roman"/>
          <w:b/>
          <w:color w:val="000000"/>
          <w:sz w:val="20"/>
          <w:szCs w:val="20"/>
        </w:rPr>
        <w:lastRenderedPageBreak/>
        <w:t xml:space="preserve">Table (4): </w:t>
      </w:r>
      <w:r w:rsidRPr="00C60369">
        <w:rPr>
          <w:rFonts w:ascii="Times New Roman" w:eastAsia="Times New Roman" w:hAnsi="Times New Roman" w:cs="Times New Roman"/>
          <w:bCs/>
          <w:color w:val="000000"/>
          <w:sz w:val="20"/>
          <w:szCs w:val="20"/>
        </w:rPr>
        <w:t>Meta-analysis for mortality.</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4A0"/>
      </w:tblPr>
      <w:tblGrid>
        <w:gridCol w:w="2676"/>
        <w:gridCol w:w="322"/>
        <w:gridCol w:w="322"/>
        <w:gridCol w:w="612"/>
        <w:gridCol w:w="686"/>
        <w:gridCol w:w="644"/>
        <w:gridCol w:w="468"/>
        <w:gridCol w:w="525"/>
        <w:gridCol w:w="1637"/>
        <w:gridCol w:w="1582"/>
      </w:tblGrid>
      <w:tr w:rsidR="00062324" w:rsidRPr="00C60369" w:rsidTr="00062324">
        <w:trPr>
          <w:jc w:val="center"/>
        </w:trPr>
        <w:tc>
          <w:tcPr>
            <w:tcW w:w="1412" w:type="pct"/>
            <w:vMerge w:val="restart"/>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Study</w:t>
            </w:r>
          </w:p>
        </w:tc>
        <w:tc>
          <w:tcPr>
            <w:tcW w:w="1025" w:type="pct"/>
            <w:gridSpan w:val="4"/>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Early</w:t>
            </w:r>
          </w:p>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(event/total)</w:t>
            </w:r>
          </w:p>
        </w:tc>
        <w:tc>
          <w:tcPr>
            <w:tcW w:w="864" w:type="pct"/>
            <w:gridSpan w:val="3"/>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Late</w:t>
            </w:r>
          </w:p>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(event/total)</w:t>
            </w:r>
          </w:p>
        </w:tc>
        <w:tc>
          <w:tcPr>
            <w:tcW w:w="864" w:type="pct"/>
            <w:vMerge w:val="restart"/>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RR</w:t>
            </w:r>
          </w:p>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(95% CI)</w:t>
            </w:r>
          </w:p>
        </w:tc>
        <w:tc>
          <w:tcPr>
            <w:tcW w:w="835" w:type="pct"/>
            <w:vMerge w:val="restart"/>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P</w:t>
            </w:r>
          </w:p>
        </w:tc>
      </w:tr>
      <w:tr w:rsidR="00062324" w:rsidRPr="00C60369" w:rsidTr="00062324">
        <w:trPr>
          <w:jc w:val="center"/>
        </w:trPr>
        <w:tc>
          <w:tcPr>
            <w:tcW w:w="1412" w:type="pct"/>
            <w:vMerge/>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p>
        </w:tc>
        <w:tc>
          <w:tcPr>
            <w:tcW w:w="340" w:type="pct"/>
            <w:gridSpan w:val="2"/>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Total</w:t>
            </w:r>
          </w:p>
        </w:tc>
        <w:tc>
          <w:tcPr>
            <w:tcW w:w="323" w:type="pct"/>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N</w:t>
            </w:r>
          </w:p>
        </w:tc>
        <w:tc>
          <w:tcPr>
            <w:tcW w:w="362" w:type="pct"/>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w:t>
            </w:r>
          </w:p>
        </w:tc>
        <w:tc>
          <w:tcPr>
            <w:tcW w:w="340" w:type="pct"/>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Total</w:t>
            </w:r>
          </w:p>
        </w:tc>
        <w:tc>
          <w:tcPr>
            <w:tcW w:w="247" w:type="pct"/>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N</w:t>
            </w:r>
          </w:p>
        </w:tc>
        <w:tc>
          <w:tcPr>
            <w:tcW w:w="277" w:type="pct"/>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w:t>
            </w:r>
          </w:p>
        </w:tc>
        <w:tc>
          <w:tcPr>
            <w:tcW w:w="864" w:type="pct"/>
            <w:vMerge/>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p>
        </w:tc>
        <w:tc>
          <w:tcPr>
            <w:tcW w:w="835" w:type="pct"/>
            <w:vMerge/>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p>
        </w:tc>
      </w:tr>
      <w:tr w:rsidR="00062324" w:rsidRPr="00C60369" w:rsidTr="00062324">
        <w:trPr>
          <w:jc w:val="center"/>
        </w:trPr>
        <w:tc>
          <w:tcPr>
            <w:tcW w:w="1412" w:type="pct"/>
            <w:shd w:val="clear" w:color="000000" w:fill="auto"/>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proofErr w:type="spellStart"/>
            <w:r w:rsidRPr="00C60369">
              <w:rPr>
                <w:rFonts w:ascii="Times New Roman" w:eastAsia="Times New Roman" w:hAnsi="Times New Roman" w:cs="Times New Roman"/>
                <w:b/>
                <w:color w:val="000000"/>
                <w:sz w:val="20"/>
                <w:szCs w:val="20"/>
              </w:rPr>
              <w:t>Bouman</w:t>
            </w:r>
            <w:proofErr w:type="spellEnd"/>
            <w:r w:rsidRPr="00C60369">
              <w:rPr>
                <w:rFonts w:ascii="Times New Roman" w:eastAsia="Times New Roman" w:hAnsi="Times New Roman" w:cs="Times New Roman"/>
                <w:b/>
                <w:color w:val="000000"/>
                <w:sz w:val="20"/>
                <w:szCs w:val="20"/>
              </w:rPr>
              <w:t xml:space="preserve"> et al., 2002</w:t>
            </w:r>
          </w:p>
        </w:tc>
        <w:tc>
          <w:tcPr>
            <w:tcW w:w="340" w:type="pct"/>
            <w:gridSpan w:val="2"/>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70</w:t>
            </w:r>
          </w:p>
        </w:tc>
        <w:tc>
          <w:tcPr>
            <w:tcW w:w="323"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31</w:t>
            </w:r>
          </w:p>
        </w:tc>
        <w:tc>
          <w:tcPr>
            <w:tcW w:w="362"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44.3</w:t>
            </w:r>
          </w:p>
        </w:tc>
        <w:tc>
          <w:tcPr>
            <w:tcW w:w="340"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36</w:t>
            </w:r>
          </w:p>
        </w:tc>
        <w:tc>
          <w:tcPr>
            <w:tcW w:w="247"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14</w:t>
            </w:r>
          </w:p>
        </w:tc>
        <w:tc>
          <w:tcPr>
            <w:tcW w:w="277"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38.9</w:t>
            </w:r>
          </w:p>
        </w:tc>
        <w:tc>
          <w:tcPr>
            <w:tcW w:w="864" w:type="pct"/>
            <w:shd w:val="clear" w:color="000000" w:fill="auto"/>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1.14 (0.70–1.85)</w:t>
            </w:r>
          </w:p>
        </w:tc>
        <w:tc>
          <w:tcPr>
            <w:tcW w:w="835"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0.601</w:t>
            </w:r>
          </w:p>
        </w:tc>
      </w:tr>
      <w:tr w:rsidR="00062324" w:rsidRPr="00C60369" w:rsidTr="00062324">
        <w:trPr>
          <w:jc w:val="center"/>
        </w:trPr>
        <w:tc>
          <w:tcPr>
            <w:tcW w:w="1412" w:type="pct"/>
            <w:shd w:val="clear" w:color="000000" w:fill="auto"/>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proofErr w:type="spellStart"/>
            <w:r w:rsidRPr="00C60369">
              <w:rPr>
                <w:rFonts w:ascii="Times New Roman" w:eastAsia="Times New Roman" w:hAnsi="Times New Roman" w:cs="Times New Roman"/>
                <w:b/>
                <w:color w:val="000000"/>
                <w:sz w:val="20"/>
                <w:szCs w:val="20"/>
              </w:rPr>
              <w:t>Durmaz</w:t>
            </w:r>
            <w:proofErr w:type="spellEnd"/>
            <w:r w:rsidRPr="00C60369">
              <w:rPr>
                <w:rFonts w:ascii="Times New Roman" w:eastAsia="Times New Roman" w:hAnsi="Times New Roman" w:cs="Times New Roman"/>
                <w:b/>
                <w:color w:val="000000"/>
                <w:sz w:val="20"/>
                <w:szCs w:val="20"/>
              </w:rPr>
              <w:t xml:space="preserve"> et al., 2003</w:t>
            </w:r>
          </w:p>
        </w:tc>
        <w:tc>
          <w:tcPr>
            <w:tcW w:w="340" w:type="pct"/>
            <w:gridSpan w:val="2"/>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21</w:t>
            </w:r>
          </w:p>
        </w:tc>
        <w:tc>
          <w:tcPr>
            <w:tcW w:w="323"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w:t>
            </w:r>
          </w:p>
        </w:tc>
        <w:tc>
          <w:tcPr>
            <w:tcW w:w="362"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4.8</w:t>
            </w:r>
          </w:p>
        </w:tc>
        <w:tc>
          <w:tcPr>
            <w:tcW w:w="340"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23</w:t>
            </w:r>
          </w:p>
        </w:tc>
        <w:tc>
          <w:tcPr>
            <w:tcW w:w="247"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7</w:t>
            </w:r>
          </w:p>
        </w:tc>
        <w:tc>
          <w:tcPr>
            <w:tcW w:w="277"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30.4</w:t>
            </w:r>
          </w:p>
        </w:tc>
        <w:tc>
          <w:tcPr>
            <w:tcW w:w="864" w:type="pct"/>
            <w:shd w:val="clear" w:color="000000" w:fill="auto"/>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0.16 (0.02–1.17)</w:t>
            </w:r>
          </w:p>
        </w:tc>
        <w:tc>
          <w:tcPr>
            <w:tcW w:w="835"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0.070</w:t>
            </w:r>
          </w:p>
        </w:tc>
      </w:tr>
      <w:tr w:rsidR="00062324" w:rsidRPr="00C60369" w:rsidTr="00062324">
        <w:trPr>
          <w:jc w:val="center"/>
        </w:trPr>
        <w:tc>
          <w:tcPr>
            <w:tcW w:w="1412" w:type="pct"/>
            <w:shd w:val="clear" w:color="000000" w:fill="auto"/>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proofErr w:type="spellStart"/>
            <w:r w:rsidRPr="00C60369">
              <w:rPr>
                <w:rFonts w:ascii="Times New Roman" w:eastAsia="Times New Roman" w:hAnsi="Times New Roman" w:cs="Times New Roman"/>
                <w:b/>
                <w:color w:val="000000"/>
                <w:sz w:val="20"/>
                <w:szCs w:val="20"/>
              </w:rPr>
              <w:t>Sugahara</w:t>
            </w:r>
            <w:proofErr w:type="spellEnd"/>
            <w:r w:rsidRPr="00C60369">
              <w:rPr>
                <w:rFonts w:ascii="Times New Roman" w:eastAsia="Times New Roman" w:hAnsi="Times New Roman" w:cs="Times New Roman"/>
                <w:b/>
                <w:color w:val="000000"/>
                <w:sz w:val="20"/>
                <w:szCs w:val="20"/>
              </w:rPr>
              <w:t xml:space="preserve"> and suzuki,2004</w:t>
            </w:r>
          </w:p>
        </w:tc>
        <w:tc>
          <w:tcPr>
            <w:tcW w:w="340" w:type="pct"/>
            <w:gridSpan w:val="2"/>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14</w:t>
            </w:r>
          </w:p>
        </w:tc>
        <w:tc>
          <w:tcPr>
            <w:tcW w:w="323"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2</w:t>
            </w:r>
          </w:p>
        </w:tc>
        <w:tc>
          <w:tcPr>
            <w:tcW w:w="362"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14.3</w:t>
            </w:r>
          </w:p>
        </w:tc>
        <w:tc>
          <w:tcPr>
            <w:tcW w:w="340"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14</w:t>
            </w:r>
          </w:p>
        </w:tc>
        <w:tc>
          <w:tcPr>
            <w:tcW w:w="247"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12</w:t>
            </w:r>
          </w:p>
        </w:tc>
        <w:tc>
          <w:tcPr>
            <w:tcW w:w="277"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85.7</w:t>
            </w:r>
          </w:p>
        </w:tc>
        <w:tc>
          <w:tcPr>
            <w:tcW w:w="864" w:type="pct"/>
            <w:shd w:val="clear" w:color="000000" w:fill="auto"/>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0.17 (0.05–0.61)</w:t>
            </w:r>
          </w:p>
        </w:tc>
        <w:tc>
          <w:tcPr>
            <w:tcW w:w="835"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0.007*</w:t>
            </w:r>
          </w:p>
        </w:tc>
      </w:tr>
      <w:tr w:rsidR="00062324" w:rsidRPr="00C60369" w:rsidTr="00062324">
        <w:trPr>
          <w:jc w:val="center"/>
        </w:trPr>
        <w:tc>
          <w:tcPr>
            <w:tcW w:w="1412" w:type="pct"/>
            <w:shd w:val="clear" w:color="000000" w:fill="auto"/>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proofErr w:type="spellStart"/>
            <w:r w:rsidRPr="00C60369">
              <w:rPr>
                <w:rFonts w:ascii="Times New Roman" w:eastAsia="Times New Roman" w:hAnsi="Times New Roman" w:cs="Times New Roman"/>
                <w:b/>
                <w:color w:val="000000"/>
                <w:sz w:val="20"/>
                <w:szCs w:val="20"/>
              </w:rPr>
              <w:t>Payen</w:t>
            </w:r>
            <w:proofErr w:type="spellEnd"/>
            <w:r w:rsidRPr="00C60369">
              <w:rPr>
                <w:rFonts w:ascii="Times New Roman" w:eastAsia="Times New Roman" w:hAnsi="Times New Roman" w:cs="Times New Roman"/>
                <w:b/>
                <w:color w:val="000000"/>
                <w:sz w:val="20"/>
                <w:szCs w:val="20"/>
              </w:rPr>
              <w:t xml:space="preserve"> et al., 2009</w:t>
            </w:r>
          </w:p>
        </w:tc>
        <w:tc>
          <w:tcPr>
            <w:tcW w:w="340" w:type="pct"/>
            <w:gridSpan w:val="2"/>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37</w:t>
            </w:r>
          </w:p>
        </w:tc>
        <w:tc>
          <w:tcPr>
            <w:tcW w:w="323"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20</w:t>
            </w:r>
          </w:p>
        </w:tc>
        <w:tc>
          <w:tcPr>
            <w:tcW w:w="362"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54.1</w:t>
            </w:r>
          </w:p>
        </w:tc>
        <w:tc>
          <w:tcPr>
            <w:tcW w:w="340"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39</w:t>
            </w:r>
          </w:p>
        </w:tc>
        <w:tc>
          <w:tcPr>
            <w:tcW w:w="247"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17</w:t>
            </w:r>
          </w:p>
        </w:tc>
        <w:tc>
          <w:tcPr>
            <w:tcW w:w="277"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43.6</w:t>
            </w:r>
          </w:p>
        </w:tc>
        <w:tc>
          <w:tcPr>
            <w:tcW w:w="864" w:type="pct"/>
            <w:shd w:val="clear" w:color="000000" w:fill="auto"/>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1.24 (0.78–1.97)</w:t>
            </w:r>
          </w:p>
        </w:tc>
        <w:tc>
          <w:tcPr>
            <w:tcW w:w="835"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0.364</w:t>
            </w:r>
          </w:p>
        </w:tc>
      </w:tr>
      <w:tr w:rsidR="00062324" w:rsidRPr="00C60369" w:rsidTr="00062324">
        <w:trPr>
          <w:jc w:val="center"/>
        </w:trPr>
        <w:tc>
          <w:tcPr>
            <w:tcW w:w="1412" w:type="pct"/>
            <w:shd w:val="clear" w:color="000000" w:fill="auto"/>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proofErr w:type="spellStart"/>
            <w:r w:rsidRPr="00C60369">
              <w:rPr>
                <w:rFonts w:ascii="Times New Roman" w:eastAsia="Times New Roman" w:hAnsi="Times New Roman" w:cs="Times New Roman"/>
                <w:b/>
                <w:color w:val="000000"/>
                <w:sz w:val="20"/>
                <w:szCs w:val="20"/>
              </w:rPr>
              <w:t>Jamale</w:t>
            </w:r>
            <w:proofErr w:type="spellEnd"/>
            <w:r w:rsidRPr="00C60369">
              <w:rPr>
                <w:rFonts w:ascii="Times New Roman" w:eastAsia="Times New Roman" w:hAnsi="Times New Roman" w:cs="Times New Roman"/>
                <w:b/>
                <w:color w:val="000000"/>
                <w:sz w:val="20"/>
                <w:szCs w:val="20"/>
              </w:rPr>
              <w:t xml:space="preserve"> et al., 2013</w:t>
            </w:r>
          </w:p>
        </w:tc>
        <w:tc>
          <w:tcPr>
            <w:tcW w:w="340" w:type="pct"/>
            <w:gridSpan w:val="2"/>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102</w:t>
            </w:r>
          </w:p>
        </w:tc>
        <w:tc>
          <w:tcPr>
            <w:tcW w:w="323"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21</w:t>
            </w:r>
          </w:p>
        </w:tc>
        <w:tc>
          <w:tcPr>
            <w:tcW w:w="362"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20.6</w:t>
            </w:r>
          </w:p>
        </w:tc>
        <w:tc>
          <w:tcPr>
            <w:tcW w:w="340"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106</w:t>
            </w:r>
          </w:p>
        </w:tc>
        <w:tc>
          <w:tcPr>
            <w:tcW w:w="247"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13</w:t>
            </w:r>
          </w:p>
        </w:tc>
        <w:tc>
          <w:tcPr>
            <w:tcW w:w="277"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12.3</w:t>
            </w:r>
          </w:p>
        </w:tc>
        <w:tc>
          <w:tcPr>
            <w:tcW w:w="864" w:type="pct"/>
            <w:shd w:val="clear" w:color="000000" w:fill="auto"/>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1.68 (0.89–3.17)</w:t>
            </w:r>
          </w:p>
        </w:tc>
        <w:tc>
          <w:tcPr>
            <w:tcW w:w="835"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0.110</w:t>
            </w:r>
          </w:p>
        </w:tc>
      </w:tr>
      <w:tr w:rsidR="00062324" w:rsidRPr="00C60369" w:rsidTr="00062324">
        <w:trPr>
          <w:jc w:val="center"/>
        </w:trPr>
        <w:tc>
          <w:tcPr>
            <w:tcW w:w="1412" w:type="pct"/>
            <w:shd w:val="clear" w:color="000000" w:fill="auto"/>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Wald et al., 2015</w:t>
            </w:r>
          </w:p>
        </w:tc>
        <w:tc>
          <w:tcPr>
            <w:tcW w:w="340" w:type="pct"/>
            <w:gridSpan w:val="2"/>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48</w:t>
            </w:r>
          </w:p>
        </w:tc>
        <w:tc>
          <w:tcPr>
            <w:tcW w:w="323"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18</w:t>
            </w:r>
          </w:p>
        </w:tc>
        <w:tc>
          <w:tcPr>
            <w:tcW w:w="362"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37.5</w:t>
            </w:r>
          </w:p>
        </w:tc>
        <w:tc>
          <w:tcPr>
            <w:tcW w:w="340"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52</w:t>
            </w:r>
          </w:p>
        </w:tc>
        <w:tc>
          <w:tcPr>
            <w:tcW w:w="247"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19</w:t>
            </w:r>
          </w:p>
        </w:tc>
        <w:tc>
          <w:tcPr>
            <w:tcW w:w="277"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36.5</w:t>
            </w:r>
          </w:p>
        </w:tc>
        <w:tc>
          <w:tcPr>
            <w:tcW w:w="864" w:type="pct"/>
            <w:shd w:val="clear" w:color="000000" w:fill="auto"/>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1.03 (0.62–1.71)</w:t>
            </w:r>
          </w:p>
        </w:tc>
        <w:tc>
          <w:tcPr>
            <w:tcW w:w="835"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0.921</w:t>
            </w:r>
          </w:p>
        </w:tc>
      </w:tr>
      <w:tr w:rsidR="00062324" w:rsidRPr="00C60369" w:rsidTr="00062324">
        <w:trPr>
          <w:jc w:val="center"/>
        </w:trPr>
        <w:tc>
          <w:tcPr>
            <w:tcW w:w="1412" w:type="pct"/>
            <w:shd w:val="clear" w:color="000000" w:fill="auto"/>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proofErr w:type="spellStart"/>
            <w:r w:rsidRPr="00C60369">
              <w:rPr>
                <w:rFonts w:ascii="Times New Roman" w:eastAsia="Times New Roman" w:hAnsi="Times New Roman" w:cs="Times New Roman"/>
                <w:b/>
                <w:color w:val="000000"/>
                <w:sz w:val="20"/>
                <w:szCs w:val="20"/>
              </w:rPr>
              <w:t>Combes</w:t>
            </w:r>
            <w:proofErr w:type="spellEnd"/>
            <w:r w:rsidRPr="00C60369">
              <w:rPr>
                <w:rFonts w:ascii="Times New Roman" w:eastAsia="Times New Roman" w:hAnsi="Times New Roman" w:cs="Times New Roman"/>
                <w:b/>
                <w:color w:val="000000"/>
                <w:sz w:val="20"/>
                <w:szCs w:val="20"/>
              </w:rPr>
              <w:t xml:space="preserve"> et al.,2015</w:t>
            </w:r>
          </w:p>
        </w:tc>
        <w:tc>
          <w:tcPr>
            <w:tcW w:w="340" w:type="pct"/>
            <w:gridSpan w:val="2"/>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112</w:t>
            </w:r>
          </w:p>
        </w:tc>
        <w:tc>
          <w:tcPr>
            <w:tcW w:w="323"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51</w:t>
            </w:r>
          </w:p>
        </w:tc>
        <w:tc>
          <w:tcPr>
            <w:tcW w:w="362"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45.5</w:t>
            </w:r>
          </w:p>
        </w:tc>
        <w:tc>
          <w:tcPr>
            <w:tcW w:w="340"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112</w:t>
            </w:r>
          </w:p>
        </w:tc>
        <w:tc>
          <w:tcPr>
            <w:tcW w:w="247"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44</w:t>
            </w:r>
          </w:p>
        </w:tc>
        <w:tc>
          <w:tcPr>
            <w:tcW w:w="277"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39.3</w:t>
            </w:r>
          </w:p>
        </w:tc>
        <w:tc>
          <w:tcPr>
            <w:tcW w:w="864" w:type="pct"/>
            <w:shd w:val="clear" w:color="000000" w:fill="auto"/>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1.16 (0.85–1.58)</w:t>
            </w:r>
          </w:p>
        </w:tc>
        <w:tc>
          <w:tcPr>
            <w:tcW w:w="835"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0.345</w:t>
            </w:r>
          </w:p>
        </w:tc>
      </w:tr>
      <w:tr w:rsidR="00062324" w:rsidRPr="00C60369" w:rsidTr="00062324">
        <w:trPr>
          <w:jc w:val="center"/>
        </w:trPr>
        <w:tc>
          <w:tcPr>
            <w:tcW w:w="1412" w:type="pct"/>
            <w:shd w:val="clear" w:color="000000" w:fill="auto"/>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proofErr w:type="spellStart"/>
            <w:r w:rsidRPr="00C60369">
              <w:rPr>
                <w:rFonts w:ascii="Times New Roman" w:eastAsia="Times New Roman" w:hAnsi="Times New Roman" w:cs="Times New Roman"/>
                <w:b/>
                <w:color w:val="000000"/>
                <w:sz w:val="20"/>
                <w:szCs w:val="20"/>
              </w:rPr>
              <w:t>Gaudry</w:t>
            </w:r>
            <w:proofErr w:type="spellEnd"/>
            <w:r w:rsidRPr="00C60369">
              <w:rPr>
                <w:rFonts w:ascii="Times New Roman" w:eastAsia="Times New Roman" w:hAnsi="Times New Roman" w:cs="Times New Roman"/>
                <w:b/>
                <w:color w:val="000000"/>
                <w:sz w:val="20"/>
                <w:szCs w:val="20"/>
              </w:rPr>
              <w:t xml:space="preserve"> et al., 2016</w:t>
            </w:r>
          </w:p>
        </w:tc>
        <w:tc>
          <w:tcPr>
            <w:tcW w:w="340" w:type="pct"/>
            <w:gridSpan w:val="2"/>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311</w:t>
            </w:r>
          </w:p>
        </w:tc>
        <w:tc>
          <w:tcPr>
            <w:tcW w:w="323"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150</w:t>
            </w:r>
          </w:p>
        </w:tc>
        <w:tc>
          <w:tcPr>
            <w:tcW w:w="362"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48.2</w:t>
            </w:r>
          </w:p>
        </w:tc>
        <w:tc>
          <w:tcPr>
            <w:tcW w:w="340"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308</w:t>
            </w:r>
          </w:p>
        </w:tc>
        <w:tc>
          <w:tcPr>
            <w:tcW w:w="247"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153</w:t>
            </w:r>
          </w:p>
        </w:tc>
        <w:tc>
          <w:tcPr>
            <w:tcW w:w="277"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49.7</w:t>
            </w:r>
          </w:p>
        </w:tc>
        <w:tc>
          <w:tcPr>
            <w:tcW w:w="864" w:type="pct"/>
            <w:shd w:val="clear" w:color="000000" w:fill="auto"/>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0.97 (0.83–1.14)</w:t>
            </w:r>
          </w:p>
        </w:tc>
        <w:tc>
          <w:tcPr>
            <w:tcW w:w="835"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0.719</w:t>
            </w:r>
          </w:p>
        </w:tc>
      </w:tr>
      <w:tr w:rsidR="00062324" w:rsidRPr="00C60369" w:rsidTr="00062324">
        <w:trPr>
          <w:jc w:val="center"/>
        </w:trPr>
        <w:tc>
          <w:tcPr>
            <w:tcW w:w="1412" w:type="pct"/>
            <w:shd w:val="clear" w:color="000000" w:fill="auto"/>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proofErr w:type="spellStart"/>
            <w:r w:rsidRPr="00C60369">
              <w:rPr>
                <w:rFonts w:ascii="Times New Roman" w:eastAsia="Times New Roman" w:hAnsi="Times New Roman" w:cs="Times New Roman"/>
                <w:b/>
                <w:color w:val="000000"/>
                <w:sz w:val="20"/>
                <w:szCs w:val="20"/>
              </w:rPr>
              <w:t>Zarbock</w:t>
            </w:r>
            <w:proofErr w:type="spellEnd"/>
            <w:r w:rsidRPr="00C60369">
              <w:rPr>
                <w:rFonts w:ascii="Times New Roman" w:eastAsia="Times New Roman" w:hAnsi="Times New Roman" w:cs="Times New Roman"/>
                <w:b/>
                <w:color w:val="000000"/>
                <w:sz w:val="20"/>
                <w:szCs w:val="20"/>
              </w:rPr>
              <w:t xml:space="preserve"> et al., 2016</w:t>
            </w:r>
          </w:p>
        </w:tc>
        <w:tc>
          <w:tcPr>
            <w:tcW w:w="340" w:type="pct"/>
            <w:gridSpan w:val="2"/>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112</w:t>
            </w:r>
          </w:p>
        </w:tc>
        <w:tc>
          <w:tcPr>
            <w:tcW w:w="323"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44</w:t>
            </w:r>
          </w:p>
        </w:tc>
        <w:tc>
          <w:tcPr>
            <w:tcW w:w="362"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39.3</w:t>
            </w:r>
          </w:p>
        </w:tc>
        <w:tc>
          <w:tcPr>
            <w:tcW w:w="340"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119</w:t>
            </w:r>
          </w:p>
        </w:tc>
        <w:tc>
          <w:tcPr>
            <w:tcW w:w="247"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65</w:t>
            </w:r>
          </w:p>
        </w:tc>
        <w:tc>
          <w:tcPr>
            <w:tcW w:w="277"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54.6</w:t>
            </w:r>
          </w:p>
        </w:tc>
        <w:tc>
          <w:tcPr>
            <w:tcW w:w="864" w:type="pct"/>
            <w:shd w:val="clear" w:color="000000" w:fill="auto"/>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0.72 (0.54–0.95)</w:t>
            </w:r>
          </w:p>
        </w:tc>
        <w:tc>
          <w:tcPr>
            <w:tcW w:w="835"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0.022*</w:t>
            </w:r>
          </w:p>
        </w:tc>
      </w:tr>
      <w:tr w:rsidR="00062324" w:rsidRPr="00C60369" w:rsidTr="00062324">
        <w:trPr>
          <w:jc w:val="center"/>
        </w:trPr>
        <w:tc>
          <w:tcPr>
            <w:tcW w:w="1412" w:type="pct"/>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Overall effect</w:t>
            </w:r>
          </w:p>
        </w:tc>
        <w:tc>
          <w:tcPr>
            <w:tcW w:w="1025" w:type="pct"/>
            <w:gridSpan w:val="4"/>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w:t>
            </w:r>
          </w:p>
        </w:tc>
        <w:tc>
          <w:tcPr>
            <w:tcW w:w="864" w:type="pct"/>
            <w:gridSpan w:val="3"/>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w:t>
            </w:r>
          </w:p>
        </w:tc>
        <w:tc>
          <w:tcPr>
            <w:tcW w:w="864" w:type="pct"/>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0.97 (0.87–1.09)</w:t>
            </w:r>
          </w:p>
        </w:tc>
        <w:tc>
          <w:tcPr>
            <w:tcW w:w="835" w:type="pct"/>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0.611</w:t>
            </w:r>
            <w:r w:rsidR="009D6667" w:rsidRPr="00C60369">
              <w:rPr>
                <w:rFonts w:ascii="Times New Roman" w:eastAsia="Times New Roman" w:hAnsi="Times New Roman" w:cs="Times New Roman"/>
                <w:color w:val="000000"/>
                <w:sz w:val="20"/>
                <w:szCs w:val="20"/>
              </w:rPr>
              <w:t xml:space="preserve"> </w:t>
            </w:r>
            <w:r w:rsidRPr="00C60369">
              <w:rPr>
                <w:rFonts w:ascii="Times New Roman" w:eastAsia="Times New Roman" w:hAnsi="Times New Roman" w:cs="Times New Roman"/>
                <w:color w:val="000000"/>
                <w:sz w:val="20"/>
                <w:szCs w:val="20"/>
              </w:rPr>
              <w:t>(z=0.509)</w:t>
            </w:r>
          </w:p>
        </w:tc>
      </w:tr>
      <w:tr w:rsidR="00062324" w:rsidRPr="00C60369" w:rsidTr="00062324">
        <w:trPr>
          <w:jc w:val="center"/>
        </w:trPr>
        <w:tc>
          <w:tcPr>
            <w:tcW w:w="1582" w:type="pct"/>
            <w:gridSpan w:val="2"/>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Heterogeneity</w:t>
            </w:r>
          </w:p>
        </w:tc>
        <w:tc>
          <w:tcPr>
            <w:tcW w:w="855" w:type="pct"/>
            <w:gridSpan w:val="3"/>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I</w:t>
            </w:r>
            <w:r w:rsidRPr="00C60369">
              <w:rPr>
                <w:rFonts w:ascii="Times New Roman" w:eastAsia="Times New Roman" w:hAnsi="Times New Roman" w:cs="Times New Roman"/>
                <w:b/>
                <w:color w:val="000000"/>
                <w:sz w:val="20"/>
                <w:szCs w:val="20"/>
                <w:vertAlign w:val="superscript"/>
              </w:rPr>
              <w:t>2</w:t>
            </w:r>
          </w:p>
        </w:tc>
        <w:tc>
          <w:tcPr>
            <w:tcW w:w="864" w:type="pct"/>
            <w:gridSpan w:val="3"/>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60.405</w:t>
            </w:r>
          </w:p>
        </w:tc>
        <w:tc>
          <w:tcPr>
            <w:tcW w:w="864" w:type="pct"/>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P</w:t>
            </w:r>
          </w:p>
        </w:tc>
        <w:tc>
          <w:tcPr>
            <w:tcW w:w="835" w:type="pct"/>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0.010*</w:t>
            </w:r>
          </w:p>
        </w:tc>
      </w:tr>
    </w:tbl>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RR: Relative rate, CI: Confidence interval, *Significant</w:t>
      </w:r>
    </w:p>
    <w:p w:rsidR="00DC493E" w:rsidRPr="00C60369" w:rsidRDefault="00DC493E" w:rsidP="00567C4E">
      <w:pPr>
        <w:autoSpaceDE w:val="0"/>
        <w:autoSpaceDN w:val="0"/>
        <w:bidi w:val="0"/>
        <w:snapToGrid w:val="0"/>
        <w:spacing w:after="0" w:line="240" w:lineRule="auto"/>
        <w:ind w:firstLine="425"/>
        <w:jc w:val="both"/>
        <w:rPr>
          <w:rFonts w:ascii="Times New Roman" w:eastAsia="Times New Roman" w:hAnsi="Times New Roman" w:cs="Times New Roman"/>
          <w:color w:val="000000"/>
          <w:sz w:val="20"/>
          <w:szCs w:val="20"/>
        </w:rPr>
      </w:pPr>
    </w:p>
    <w:p w:rsidR="00DC493E" w:rsidRPr="00C60369" w:rsidRDefault="00DC493E" w:rsidP="00567C4E">
      <w:pPr>
        <w:autoSpaceDE w:val="0"/>
        <w:autoSpaceDN w:val="0"/>
        <w:bidi w:val="0"/>
        <w:snapToGrid w:val="0"/>
        <w:spacing w:after="0" w:line="240" w:lineRule="auto"/>
        <w:jc w:val="center"/>
        <w:rPr>
          <w:rFonts w:ascii="Times New Roman" w:eastAsia="Times New Roman" w:hAnsi="Times New Roman" w:cs="Times New Roman"/>
          <w:color w:val="000000"/>
          <w:sz w:val="20"/>
          <w:szCs w:val="20"/>
        </w:rPr>
      </w:pPr>
      <w:r w:rsidRPr="00C60369">
        <w:rPr>
          <w:rFonts w:ascii="Times New Roman" w:eastAsia="Times New Roman" w:hAnsi="Times New Roman" w:cs="Times New Roman"/>
          <w:noProof/>
          <w:color w:val="000000"/>
          <w:sz w:val="20"/>
          <w:szCs w:val="20"/>
          <w:lang w:eastAsia="zh-CN"/>
        </w:rPr>
        <w:drawing>
          <wp:inline distT="0" distB="0" distL="0" distR="0">
            <wp:extent cx="3373009" cy="2185118"/>
            <wp:effectExtent l="38100" t="57150" r="113141" b="100882"/>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 name="Picture 4"/>
                    <pic:cNvPicPr preferRelativeResize="0">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87310" cy="2194382"/>
                    </a:xfrm>
                    <a:prstGeom prst="rect">
                      <a:avLst/>
                    </a:prstGeom>
                    <a:ln w="38100" cap="sq" cmpd="sng">
                      <a:solidFill>
                        <a:prstClr val="black"/>
                      </a:solidFill>
                      <a:prstDash val="solid"/>
                      <a:miter lim="800000"/>
                    </a:ln>
                    <a:effectLst>
                      <a:outerShdw blurRad="50800" dist="38100" dir="2700000" algn="tl" rotWithShape="0">
                        <a:prstClr val="black">
                          <a:alpha val="43000"/>
                        </a:prstClr>
                      </a:outerShdw>
                    </a:effectLst>
                  </pic:spPr>
                </pic:pic>
              </a:graphicData>
            </a:graphic>
          </wp:inline>
        </w:drawing>
      </w:r>
    </w:p>
    <w:p w:rsidR="00DC493E" w:rsidRPr="00C60369" w:rsidRDefault="00DC493E" w:rsidP="00567C4E">
      <w:pPr>
        <w:autoSpaceDE w:val="0"/>
        <w:autoSpaceDN w:val="0"/>
        <w:bidi w:val="0"/>
        <w:snapToGrid w:val="0"/>
        <w:spacing w:after="0" w:line="240" w:lineRule="auto"/>
        <w:jc w:val="center"/>
        <w:rPr>
          <w:rFonts w:ascii="Times New Roman" w:eastAsia="Times New Roman" w:hAnsi="Times New Roman" w:cs="Times New Roman"/>
          <w:bCs/>
          <w:color w:val="000000"/>
          <w:sz w:val="20"/>
          <w:szCs w:val="20"/>
        </w:rPr>
      </w:pPr>
      <w:r w:rsidRPr="00C60369">
        <w:rPr>
          <w:rFonts w:ascii="Times New Roman" w:eastAsia="Times New Roman" w:hAnsi="Times New Roman" w:cs="Times New Roman"/>
          <w:b/>
          <w:color w:val="000000"/>
          <w:sz w:val="20"/>
          <w:szCs w:val="20"/>
        </w:rPr>
        <w:t xml:space="preserve">Figure (1): </w:t>
      </w:r>
      <w:r w:rsidRPr="00C60369">
        <w:rPr>
          <w:rFonts w:ascii="Times New Roman" w:eastAsia="Times New Roman" w:hAnsi="Times New Roman" w:cs="Times New Roman"/>
          <w:bCs/>
          <w:color w:val="000000"/>
          <w:sz w:val="20"/>
          <w:szCs w:val="20"/>
        </w:rPr>
        <w:t>Forest plot for mortality</w:t>
      </w:r>
    </w:p>
    <w:p w:rsidR="00DC493E" w:rsidRPr="00C60369" w:rsidRDefault="00DC493E" w:rsidP="00567C4E">
      <w:pPr>
        <w:autoSpaceDE w:val="0"/>
        <w:autoSpaceDN w:val="0"/>
        <w:bidi w:val="0"/>
        <w:snapToGrid w:val="0"/>
        <w:spacing w:after="0" w:line="240" w:lineRule="auto"/>
        <w:jc w:val="center"/>
        <w:rPr>
          <w:rFonts w:ascii="Times New Roman" w:eastAsia="Times New Roman" w:hAnsi="Times New Roman" w:cs="Times New Roman"/>
          <w:b/>
          <w:color w:val="000000"/>
          <w:sz w:val="20"/>
          <w:szCs w:val="20"/>
        </w:rPr>
      </w:pPr>
      <w:r w:rsidRPr="00C60369">
        <w:rPr>
          <w:rFonts w:ascii="Times New Roman" w:eastAsia="Times New Roman" w:hAnsi="Times New Roman" w:cs="Times New Roman"/>
          <w:noProof/>
          <w:color w:val="000000"/>
          <w:sz w:val="20"/>
          <w:szCs w:val="20"/>
          <w:lang w:eastAsia="zh-CN"/>
        </w:rPr>
        <w:drawing>
          <wp:inline distT="0" distB="0" distL="0" distR="0">
            <wp:extent cx="3206032" cy="2041994"/>
            <wp:effectExtent l="38100" t="57150" r="108668" b="91606"/>
            <wp:docPr id="14"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C:/Users/mahmoud/AppData/Roaming/PolarisOffice/ETemp/6472_5042280/fImage98881378467.emf"/>
                    <pic:cNvPicPr preferRelativeResize="0">
                      <a:picLocks noChangeAspect="1" noChangeArrowheads="1"/>
                    </pic:cNvPicPr>
                  </pic:nvPicPr>
                  <pic:blipFill>
                    <a:blip r:embed="rId14" cstate="print">
                      <a:lum bright="-20000" contrast="40000"/>
                    </a:blip>
                    <a:srcRect l="6548" t="3846" r="13304" b="3526"/>
                    <a:stretch>
                      <a:fillRect/>
                    </a:stretch>
                  </pic:blipFill>
                  <pic:spPr>
                    <a:xfrm>
                      <a:off x="0" y="0"/>
                      <a:ext cx="3213906" cy="2047009"/>
                    </a:xfrm>
                    <a:prstGeom prst="rect">
                      <a:avLst/>
                    </a:prstGeom>
                    <a:ln w="38100" cap="sq" cmpd="sng">
                      <a:solidFill>
                        <a:prstClr val="black"/>
                      </a:solidFill>
                      <a:prstDash val="solid"/>
                      <a:miter lim="800000"/>
                    </a:ln>
                    <a:effectLst>
                      <a:outerShdw blurRad="50800" dist="38100" dir="2700000" algn="tl" rotWithShape="0">
                        <a:prstClr val="black">
                          <a:alpha val="43000"/>
                        </a:prstClr>
                      </a:outerShdw>
                    </a:effectLst>
                  </pic:spPr>
                </pic:pic>
              </a:graphicData>
            </a:graphic>
          </wp:inline>
        </w:drawing>
      </w:r>
    </w:p>
    <w:p w:rsidR="00DC493E" w:rsidRPr="00C60369" w:rsidRDefault="00DC493E" w:rsidP="00567C4E">
      <w:pPr>
        <w:autoSpaceDE w:val="0"/>
        <w:autoSpaceDN w:val="0"/>
        <w:bidi w:val="0"/>
        <w:snapToGrid w:val="0"/>
        <w:spacing w:after="0" w:line="240" w:lineRule="auto"/>
        <w:jc w:val="center"/>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 xml:space="preserve">Figure (2): </w:t>
      </w:r>
      <w:r w:rsidRPr="00C60369">
        <w:rPr>
          <w:rFonts w:ascii="Times New Roman" w:eastAsia="Times New Roman" w:hAnsi="Times New Roman" w:cs="Times New Roman"/>
          <w:bCs/>
          <w:color w:val="000000"/>
          <w:sz w:val="20"/>
          <w:szCs w:val="20"/>
        </w:rPr>
        <w:t>Funnel plot for mortality</w:t>
      </w:r>
    </w:p>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bCs/>
          <w:color w:val="000000"/>
          <w:sz w:val="20"/>
          <w:szCs w:val="20"/>
        </w:rPr>
      </w:pPr>
    </w:p>
    <w:p w:rsidR="00567C4E" w:rsidRPr="00C60369" w:rsidRDefault="00567C4E" w:rsidP="00567C4E">
      <w:pPr>
        <w:autoSpaceDE w:val="0"/>
        <w:autoSpaceDN w:val="0"/>
        <w:bidi w:val="0"/>
        <w:snapToGrid w:val="0"/>
        <w:spacing w:after="0" w:line="240" w:lineRule="auto"/>
        <w:ind w:firstLine="425"/>
        <w:jc w:val="both"/>
        <w:rPr>
          <w:rFonts w:ascii="Times New Roman" w:eastAsia="Times New Roman" w:hAnsi="Times New Roman" w:cs="Times New Roman"/>
          <w:b/>
          <w:bCs/>
          <w:color w:val="000000"/>
          <w:sz w:val="20"/>
          <w:szCs w:val="20"/>
        </w:rPr>
        <w:sectPr w:rsidR="00567C4E" w:rsidRPr="00C60369" w:rsidSect="00062324">
          <w:type w:val="continuous"/>
          <w:pgSz w:w="12240" w:h="15840"/>
          <w:pgMar w:top="1440" w:right="1440" w:bottom="1440" w:left="1440" w:header="720" w:footer="720" w:gutter="0"/>
          <w:cols w:space="720"/>
          <w:rtlGutter/>
          <w:docGrid w:linePitch="360"/>
        </w:sectPr>
      </w:pPr>
    </w:p>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b/>
          <w:bCs/>
          <w:color w:val="000000"/>
          <w:sz w:val="20"/>
          <w:szCs w:val="20"/>
        </w:rPr>
        <w:lastRenderedPageBreak/>
        <w:t>Secondary outcomes</w:t>
      </w:r>
      <w:r w:rsidRPr="00C60369">
        <w:rPr>
          <w:rFonts w:ascii="Times New Roman" w:eastAsia="Times New Roman" w:hAnsi="Times New Roman" w:cs="Times New Roman"/>
          <w:color w:val="000000"/>
          <w:sz w:val="20"/>
          <w:szCs w:val="20"/>
        </w:rPr>
        <w:t>:</w:t>
      </w:r>
    </w:p>
    <w:p w:rsidR="00DC493E" w:rsidRPr="00C60369" w:rsidRDefault="00DC493E" w:rsidP="00567C4E">
      <w:pPr>
        <w:autoSpaceDE w:val="0"/>
        <w:autoSpaceDN w:val="0"/>
        <w:bidi w:val="0"/>
        <w:snapToGrid w:val="0"/>
        <w:spacing w:after="0" w:line="240" w:lineRule="auto"/>
        <w:ind w:firstLine="425"/>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2- ICU length of stay.</w:t>
      </w:r>
    </w:p>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Survivors</w:t>
      </w:r>
    </w:p>
    <w:p w:rsidR="00DC493E" w:rsidRPr="00C60369" w:rsidRDefault="00DC493E" w:rsidP="00567C4E">
      <w:pPr>
        <w:autoSpaceDE w:val="0"/>
        <w:autoSpaceDN w:val="0"/>
        <w:bidi w:val="0"/>
        <w:snapToGrid w:val="0"/>
        <w:spacing w:after="0" w:line="240" w:lineRule="auto"/>
        <w:ind w:firstLine="425"/>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lastRenderedPageBreak/>
        <w:t xml:space="preserve">Table (5) and figures (3,4) show that: ICU stay among survivors was reported in the four included studies. There was no significant heterogeneity among these studies. Thus, we performed the statistics using a </w:t>
      </w:r>
      <w:r w:rsidRPr="00C60369">
        <w:rPr>
          <w:rFonts w:ascii="Times New Roman" w:eastAsia="Times New Roman" w:hAnsi="Times New Roman" w:cs="Times New Roman"/>
          <w:color w:val="000000"/>
          <w:sz w:val="20"/>
          <w:szCs w:val="20"/>
        </w:rPr>
        <w:lastRenderedPageBreak/>
        <w:t xml:space="preserve">fixed-effects model, and the results showed that ICU stay among survivors was not significantly different </w:t>
      </w:r>
      <w:r w:rsidRPr="00C60369">
        <w:rPr>
          <w:rFonts w:ascii="Times New Roman" w:eastAsia="Times New Roman" w:hAnsi="Times New Roman" w:cs="Times New Roman"/>
          <w:color w:val="000000"/>
          <w:sz w:val="20"/>
          <w:szCs w:val="20"/>
        </w:rPr>
        <w:lastRenderedPageBreak/>
        <w:t>between early and late interventions.</w:t>
      </w:r>
    </w:p>
    <w:p w:rsidR="00567C4E" w:rsidRPr="00C60369" w:rsidRDefault="00567C4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sectPr w:rsidR="00567C4E" w:rsidRPr="00C60369" w:rsidSect="00567C4E">
          <w:type w:val="continuous"/>
          <w:pgSz w:w="12240" w:h="15840"/>
          <w:pgMar w:top="1440" w:right="1440" w:bottom="1440" w:left="1440" w:header="720" w:footer="720" w:gutter="0"/>
          <w:cols w:num="2" w:space="550"/>
          <w:rtlGutter/>
          <w:docGrid w:linePitch="360"/>
        </w:sectPr>
      </w:pPr>
    </w:p>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p>
    <w:p w:rsidR="00C60369" w:rsidRDefault="00C60369" w:rsidP="00567C4E">
      <w:pPr>
        <w:autoSpaceDE w:val="0"/>
        <w:autoSpaceDN w:val="0"/>
        <w:bidi w:val="0"/>
        <w:snapToGrid w:val="0"/>
        <w:spacing w:after="0" w:line="240" w:lineRule="auto"/>
        <w:jc w:val="center"/>
        <w:rPr>
          <w:rFonts w:ascii="Times New Roman" w:hAnsi="Times New Roman" w:cs="Times New Roman" w:hint="eastAsia"/>
          <w:b/>
          <w:color w:val="000000"/>
          <w:sz w:val="20"/>
          <w:szCs w:val="20"/>
          <w:lang w:eastAsia="zh-CN"/>
        </w:rPr>
      </w:pPr>
    </w:p>
    <w:p w:rsidR="00DC493E" w:rsidRPr="00C60369" w:rsidRDefault="00DC493E" w:rsidP="00C60369">
      <w:pPr>
        <w:autoSpaceDE w:val="0"/>
        <w:autoSpaceDN w:val="0"/>
        <w:bidi w:val="0"/>
        <w:snapToGrid w:val="0"/>
        <w:spacing w:after="0" w:line="240" w:lineRule="auto"/>
        <w:jc w:val="center"/>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 xml:space="preserve">Table (5): </w:t>
      </w:r>
      <w:r w:rsidRPr="00C60369">
        <w:rPr>
          <w:rFonts w:ascii="Times New Roman" w:eastAsia="Times New Roman" w:hAnsi="Times New Roman" w:cs="Times New Roman"/>
          <w:bCs/>
          <w:color w:val="000000"/>
          <w:sz w:val="20"/>
          <w:szCs w:val="20"/>
        </w:rPr>
        <w:t>Meta-analysis for ICU stay (days) among survivors.</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FF" w:themeFill="background1"/>
        <w:tblCellMar>
          <w:left w:w="57" w:type="dxa"/>
          <w:right w:w="57" w:type="dxa"/>
        </w:tblCellMar>
        <w:tblLook w:val="04A0"/>
      </w:tblPr>
      <w:tblGrid>
        <w:gridCol w:w="2318"/>
        <w:gridCol w:w="267"/>
        <w:gridCol w:w="267"/>
        <w:gridCol w:w="1249"/>
        <w:gridCol w:w="534"/>
        <w:gridCol w:w="1251"/>
        <w:gridCol w:w="1292"/>
        <w:gridCol w:w="570"/>
        <w:gridCol w:w="568"/>
        <w:gridCol w:w="1158"/>
      </w:tblGrid>
      <w:tr w:rsidR="00DC493E" w:rsidRPr="00C60369" w:rsidTr="00062324">
        <w:trPr>
          <w:tblHeader/>
          <w:jc w:val="center"/>
        </w:trPr>
        <w:tc>
          <w:tcPr>
            <w:tcW w:w="1223" w:type="pct"/>
            <w:vMerge w:val="restart"/>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Study</w:t>
            </w:r>
          </w:p>
        </w:tc>
        <w:tc>
          <w:tcPr>
            <w:tcW w:w="1882" w:type="pct"/>
            <w:gridSpan w:val="5"/>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Effects</w:t>
            </w:r>
          </w:p>
        </w:tc>
        <w:tc>
          <w:tcPr>
            <w:tcW w:w="1283" w:type="pct"/>
            <w:gridSpan w:val="3"/>
            <w:vMerge w:val="restart"/>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Difference</w:t>
            </w:r>
          </w:p>
        </w:tc>
        <w:tc>
          <w:tcPr>
            <w:tcW w:w="612" w:type="pct"/>
            <w:vMerge w:val="restart"/>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P</w:t>
            </w:r>
          </w:p>
        </w:tc>
      </w:tr>
      <w:tr w:rsidR="00062324" w:rsidRPr="00C60369" w:rsidTr="00062324">
        <w:trPr>
          <w:tblHeader/>
          <w:jc w:val="center"/>
        </w:trPr>
        <w:tc>
          <w:tcPr>
            <w:tcW w:w="1223" w:type="pct"/>
            <w:vMerge/>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p>
        </w:tc>
        <w:tc>
          <w:tcPr>
            <w:tcW w:w="941" w:type="pct"/>
            <w:gridSpan w:val="3"/>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Early</w:t>
            </w:r>
          </w:p>
        </w:tc>
        <w:tc>
          <w:tcPr>
            <w:tcW w:w="941" w:type="pct"/>
            <w:gridSpan w:val="2"/>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Late</w:t>
            </w:r>
          </w:p>
        </w:tc>
        <w:tc>
          <w:tcPr>
            <w:tcW w:w="1283" w:type="pct"/>
            <w:gridSpan w:val="3"/>
            <w:vMerge/>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p>
        </w:tc>
        <w:tc>
          <w:tcPr>
            <w:tcW w:w="612" w:type="pct"/>
            <w:vMerge/>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p>
        </w:tc>
      </w:tr>
      <w:tr w:rsidR="00062324" w:rsidRPr="00C60369" w:rsidTr="00062324">
        <w:trPr>
          <w:tblHeader/>
          <w:jc w:val="center"/>
        </w:trPr>
        <w:tc>
          <w:tcPr>
            <w:tcW w:w="1223" w:type="pct"/>
            <w:vMerge/>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p>
        </w:tc>
        <w:tc>
          <w:tcPr>
            <w:tcW w:w="282" w:type="pct"/>
            <w:gridSpan w:val="2"/>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N</w:t>
            </w:r>
          </w:p>
        </w:tc>
        <w:tc>
          <w:tcPr>
            <w:tcW w:w="659" w:type="pct"/>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proofErr w:type="spellStart"/>
            <w:r w:rsidRPr="00C60369">
              <w:rPr>
                <w:rFonts w:ascii="Times New Roman" w:eastAsia="Times New Roman" w:hAnsi="Times New Roman" w:cs="Times New Roman"/>
                <w:b/>
                <w:color w:val="000000"/>
                <w:sz w:val="20"/>
                <w:szCs w:val="20"/>
              </w:rPr>
              <w:t>Mean±SD</w:t>
            </w:r>
            <w:proofErr w:type="spellEnd"/>
          </w:p>
        </w:tc>
        <w:tc>
          <w:tcPr>
            <w:tcW w:w="282" w:type="pct"/>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N</w:t>
            </w:r>
          </w:p>
        </w:tc>
        <w:tc>
          <w:tcPr>
            <w:tcW w:w="659" w:type="pct"/>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proofErr w:type="spellStart"/>
            <w:r w:rsidRPr="00C60369">
              <w:rPr>
                <w:rFonts w:ascii="Times New Roman" w:eastAsia="Times New Roman" w:hAnsi="Times New Roman" w:cs="Times New Roman"/>
                <w:b/>
                <w:color w:val="000000"/>
                <w:sz w:val="20"/>
                <w:szCs w:val="20"/>
              </w:rPr>
              <w:t>Mean±SD</w:t>
            </w:r>
            <w:proofErr w:type="spellEnd"/>
          </w:p>
        </w:tc>
        <w:tc>
          <w:tcPr>
            <w:tcW w:w="682" w:type="pct"/>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proofErr w:type="spellStart"/>
            <w:r w:rsidRPr="00C60369">
              <w:rPr>
                <w:rFonts w:ascii="Times New Roman" w:eastAsia="Times New Roman" w:hAnsi="Times New Roman" w:cs="Times New Roman"/>
                <w:b/>
                <w:color w:val="000000"/>
                <w:sz w:val="20"/>
                <w:szCs w:val="20"/>
              </w:rPr>
              <w:t>Mean±SE</w:t>
            </w:r>
            <w:proofErr w:type="spellEnd"/>
          </w:p>
        </w:tc>
        <w:tc>
          <w:tcPr>
            <w:tcW w:w="600" w:type="pct"/>
            <w:gridSpan w:val="2"/>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95%CI</w:t>
            </w:r>
          </w:p>
        </w:tc>
        <w:tc>
          <w:tcPr>
            <w:tcW w:w="612" w:type="pct"/>
            <w:vMerge/>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p>
        </w:tc>
      </w:tr>
      <w:tr w:rsidR="00062324" w:rsidRPr="00C60369" w:rsidTr="00062324">
        <w:trPr>
          <w:tblHeader/>
          <w:jc w:val="center"/>
        </w:trPr>
        <w:tc>
          <w:tcPr>
            <w:tcW w:w="1223" w:type="pct"/>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proofErr w:type="spellStart"/>
            <w:r w:rsidRPr="00C60369">
              <w:rPr>
                <w:rFonts w:ascii="Times New Roman" w:eastAsia="Times New Roman" w:hAnsi="Times New Roman" w:cs="Times New Roman"/>
                <w:b/>
                <w:color w:val="000000"/>
                <w:sz w:val="20"/>
                <w:szCs w:val="20"/>
              </w:rPr>
              <w:t>Bouman</w:t>
            </w:r>
            <w:proofErr w:type="spellEnd"/>
            <w:r w:rsidRPr="00C60369">
              <w:rPr>
                <w:rFonts w:ascii="Times New Roman" w:eastAsia="Times New Roman" w:hAnsi="Times New Roman" w:cs="Times New Roman"/>
                <w:b/>
                <w:color w:val="000000"/>
                <w:sz w:val="20"/>
                <w:szCs w:val="20"/>
              </w:rPr>
              <w:t xml:space="preserve"> et al., 2002</w:t>
            </w:r>
          </w:p>
        </w:tc>
        <w:tc>
          <w:tcPr>
            <w:tcW w:w="282" w:type="pct"/>
            <w:gridSpan w:val="2"/>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47</w:t>
            </w:r>
          </w:p>
        </w:tc>
        <w:tc>
          <w:tcPr>
            <w:tcW w:w="659" w:type="pct"/>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10.9±19.9</w:t>
            </w:r>
          </w:p>
        </w:tc>
        <w:tc>
          <w:tcPr>
            <w:tcW w:w="282" w:type="pct"/>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26</w:t>
            </w:r>
          </w:p>
        </w:tc>
        <w:tc>
          <w:tcPr>
            <w:tcW w:w="659" w:type="pct"/>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15.0±10.7</w:t>
            </w:r>
          </w:p>
        </w:tc>
        <w:tc>
          <w:tcPr>
            <w:tcW w:w="682" w:type="pct"/>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-4.1±4.2</w:t>
            </w:r>
          </w:p>
        </w:tc>
        <w:tc>
          <w:tcPr>
            <w:tcW w:w="600" w:type="pct"/>
            <w:gridSpan w:val="2"/>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-12.4–4.2</w:t>
            </w:r>
          </w:p>
        </w:tc>
        <w:tc>
          <w:tcPr>
            <w:tcW w:w="612" w:type="pct"/>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0.330</w:t>
            </w:r>
          </w:p>
        </w:tc>
      </w:tr>
      <w:tr w:rsidR="00062324" w:rsidRPr="00C60369" w:rsidTr="00062324">
        <w:trPr>
          <w:tblHeader/>
          <w:jc w:val="center"/>
        </w:trPr>
        <w:tc>
          <w:tcPr>
            <w:tcW w:w="1223" w:type="pct"/>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Wald et al.,2015</w:t>
            </w:r>
          </w:p>
        </w:tc>
        <w:tc>
          <w:tcPr>
            <w:tcW w:w="282" w:type="pct"/>
            <w:gridSpan w:val="2"/>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30</w:t>
            </w:r>
          </w:p>
        </w:tc>
        <w:tc>
          <w:tcPr>
            <w:tcW w:w="659" w:type="pct"/>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11.0±15.9</w:t>
            </w:r>
          </w:p>
        </w:tc>
        <w:tc>
          <w:tcPr>
            <w:tcW w:w="282" w:type="pct"/>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33</w:t>
            </w:r>
          </w:p>
        </w:tc>
        <w:tc>
          <w:tcPr>
            <w:tcW w:w="659" w:type="pct"/>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13.5±17.8</w:t>
            </w:r>
          </w:p>
        </w:tc>
        <w:tc>
          <w:tcPr>
            <w:tcW w:w="682" w:type="pct"/>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-2.5±4.3</w:t>
            </w:r>
          </w:p>
        </w:tc>
        <w:tc>
          <w:tcPr>
            <w:tcW w:w="600" w:type="pct"/>
            <w:gridSpan w:val="2"/>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-10.9–5.9</w:t>
            </w:r>
          </w:p>
        </w:tc>
        <w:tc>
          <w:tcPr>
            <w:tcW w:w="612" w:type="pct"/>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0.558</w:t>
            </w:r>
          </w:p>
        </w:tc>
      </w:tr>
      <w:tr w:rsidR="00062324" w:rsidRPr="00C60369" w:rsidTr="00062324">
        <w:trPr>
          <w:tblHeader/>
          <w:jc w:val="center"/>
        </w:trPr>
        <w:tc>
          <w:tcPr>
            <w:tcW w:w="1223" w:type="pct"/>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proofErr w:type="spellStart"/>
            <w:r w:rsidRPr="00C60369">
              <w:rPr>
                <w:rFonts w:ascii="Times New Roman" w:eastAsia="Times New Roman" w:hAnsi="Times New Roman" w:cs="Times New Roman"/>
                <w:b/>
                <w:color w:val="000000"/>
                <w:sz w:val="20"/>
                <w:szCs w:val="20"/>
              </w:rPr>
              <w:t>Combes</w:t>
            </w:r>
            <w:proofErr w:type="spellEnd"/>
            <w:r w:rsidRPr="00C60369">
              <w:rPr>
                <w:rFonts w:ascii="Times New Roman" w:eastAsia="Times New Roman" w:hAnsi="Times New Roman" w:cs="Times New Roman"/>
                <w:b/>
                <w:color w:val="000000"/>
                <w:sz w:val="20"/>
                <w:szCs w:val="20"/>
              </w:rPr>
              <w:t xml:space="preserve"> et al.,2015</w:t>
            </w:r>
          </w:p>
        </w:tc>
        <w:tc>
          <w:tcPr>
            <w:tcW w:w="282" w:type="pct"/>
            <w:gridSpan w:val="2"/>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63</w:t>
            </w:r>
          </w:p>
        </w:tc>
        <w:tc>
          <w:tcPr>
            <w:tcW w:w="659" w:type="pct"/>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13.0±13.3</w:t>
            </w:r>
          </w:p>
        </w:tc>
        <w:tc>
          <w:tcPr>
            <w:tcW w:w="282" w:type="pct"/>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69</w:t>
            </w:r>
          </w:p>
        </w:tc>
        <w:tc>
          <w:tcPr>
            <w:tcW w:w="659" w:type="pct"/>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13.0±15.6</w:t>
            </w:r>
          </w:p>
        </w:tc>
        <w:tc>
          <w:tcPr>
            <w:tcW w:w="682" w:type="pct"/>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0.0±2.5</w:t>
            </w:r>
          </w:p>
        </w:tc>
        <w:tc>
          <w:tcPr>
            <w:tcW w:w="600" w:type="pct"/>
            <w:gridSpan w:val="2"/>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-5.0–5.0</w:t>
            </w:r>
          </w:p>
        </w:tc>
        <w:tc>
          <w:tcPr>
            <w:tcW w:w="612" w:type="pct"/>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1.000</w:t>
            </w:r>
          </w:p>
        </w:tc>
      </w:tr>
      <w:tr w:rsidR="00062324" w:rsidRPr="00C60369" w:rsidTr="00062324">
        <w:trPr>
          <w:tblHeader/>
          <w:jc w:val="center"/>
        </w:trPr>
        <w:tc>
          <w:tcPr>
            <w:tcW w:w="1223" w:type="pct"/>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proofErr w:type="spellStart"/>
            <w:r w:rsidRPr="00C60369">
              <w:rPr>
                <w:rFonts w:ascii="Times New Roman" w:eastAsia="Times New Roman" w:hAnsi="Times New Roman" w:cs="Times New Roman"/>
                <w:b/>
                <w:color w:val="000000"/>
                <w:sz w:val="20"/>
                <w:szCs w:val="20"/>
              </w:rPr>
              <w:t>Gaudry</w:t>
            </w:r>
            <w:proofErr w:type="spellEnd"/>
            <w:r w:rsidRPr="00C60369">
              <w:rPr>
                <w:rFonts w:ascii="Times New Roman" w:eastAsia="Times New Roman" w:hAnsi="Times New Roman" w:cs="Times New Roman"/>
                <w:b/>
                <w:color w:val="000000"/>
                <w:sz w:val="20"/>
                <w:szCs w:val="20"/>
              </w:rPr>
              <w:t xml:space="preserve"> et al.,2016</w:t>
            </w:r>
          </w:p>
        </w:tc>
        <w:tc>
          <w:tcPr>
            <w:tcW w:w="282" w:type="pct"/>
            <w:gridSpan w:val="2"/>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161</w:t>
            </w:r>
          </w:p>
        </w:tc>
        <w:tc>
          <w:tcPr>
            <w:tcW w:w="659" w:type="pct"/>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13.0±11.1</w:t>
            </w:r>
          </w:p>
        </w:tc>
        <w:tc>
          <w:tcPr>
            <w:tcW w:w="282" w:type="pct"/>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155</w:t>
            </w:r>
          </w:p>
        </w:tc>
        <w:tc>
          <w:tcPr>
            <w:tcW w:w="659" w:type="pct"/>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13.0±11.9</w:t>
            </w:r>
          </w:p>
        </w:tc>
        <w:tc>
          <w:tcPr>
            <w:tcW w:w="682" w:type="pct"/>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0.0±1.3</w:t>
            </w:r>
          </w:p>
        </w:tc>
        <w:tc>
          <w:tcPr>
            <w:tcW w:w="600" w:type="pct"/>
            <w:gridSpan w:val="2"/>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-2.5–2.5</w:t>
            </w:r>
          </w:p>
        </w:tc>
        <w:tc>
          <w:tcPr>
            <w:tcW w:w="612" w:type="pct"/>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1.000</w:t>
            </w:r>
          </w:p>
        </w:tc>
      </w:tr>
      <w:tr w:rsidR="00DC493E" w:rsidRPr="00C60369" w:rsidTr="00062324">
        <w:trPr>
          <w:tblHeader/>
          <w:jc w:val="center"/>
        </w:trPr>
        <w:tc>
          <w:tcPr>
            <w:tcW w:w="3106" w:type="pct"/>
            <w:gridSpan w:val="6"/>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b/>
                <w:color w:val="000000"/>
                <w:sz w:val="20"/>
                <w:szCs w:val="20"/>
              </w:rPr>
              <w:t>Overall effect</w:t>
            </w:r>
          </w:p>
        </w:tc>
        <w:tc>
          <w:tcPr>
            <w:tcW w:w="682" w:type="pct"/>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-0.4±1.1</w:t>
            </w:r>
          </w:p>
        </w:tc>
        <w:tc>
          <w:tcPr>
            <w:tcW w:w="600" w:type="pct"/>
            <w:gridSpan w:val="2"/>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-2.5–1.7</w:t>
            </w:r>
          </w:p>
        </w:tc>
        <w:tc>
          <w:tcPr>
            <w:tcW w:w="612" w:type="pct"/>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0.692</w:t>
            </w:r>
          </w:p>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(z=0.396)</w:t>
            </w:r>
          </w:p>
        </w:tc>
      </w:tr>
      <w:tr w:rsidR="00062324" w:rsidRPr="00C60369" w:rsidTr="00062324">
        <w:trPr>
          <w:tblHeader/>
          <w:jc w:val="center"/>
        </w:trPr>
        <w:tc>
          <w:tcPr>
            <w:tcW w:w="1364" w:type="pct"/>
            <w:gridSpan w:val="2"/>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Heterogeneity</w:t>
            </w:r>
          </w:p>
        </w:tc>
        <w:tc>
          <w:tcPr>
            <w:tcW w:w="800" w:type="pct"/>
            <w:gridSpan w:val="2"/>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I</w:t>
            </w:r>
            <w:r w:rsidRPr="00C60369">
              <w:rPr>
                <w:rFonts w:ascii="Times New Roman" w:eastAsia="Times New Roman" w:hAnsi="Times New Roman" w:cs="Times New Roman"/>
                <w:b/>
                <w:color w:val="000000"/>
                <w:sz w:val="20"/>
                <w:szCs w:val="20"/>
                <w:vertAlign w:val="superscript"/>
              </w:rPr>
              <w:t>2</w:t>
            </w:r>
          </w:p>
        </w:tc>
        <w:tc>
          <w:tcPr>
            <w:tcW w:w="941" w:type="pct"/>
            <w:gridSpan w:val="2"/>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0.000</w:t>
            </w:r>
          </w:p>
        </w:tc>
        <w:tc>
          <w:tcPr>
            <w:tcW w:w="983" w:type="pct"/>
            <w:gridSpan w:val="2"/>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P</w:t>
            </w:r>
          </w:p>
        </w:tc>
        <w:tc>
          <w:tcPr>
            <w:tcW w:w="912" w:type="pct"/>
            <w:gridSpan w:val="2"/>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0.799</w:t>
            </w:r>
          </w:p>
        </w:tc>
      </w:tr>
    </w:tbl>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RR: Relative rate, CI: Confidence interval, *Significant</w:t>
      </w:r>
    </w:p>
    <w:p w:rsidR="009D6667" w:rsidRPr="00C60369" w:rsidRDefault="009D6667" w:rsidP="00567C4E">
      <w:pPr>
        <w:autoSpaceDE w:val="0"/>
        <w:autoSpaceDN w:val="0"/>
        <w:bidi w:val="0"/>
        <w:snapToGrid w:val="0"/>
        <w:spacing w:after="0" w:line="240" w:lineRule="auto"/>
        <w:jc w:val="both"/>
        <w:rPr>
          <w:rFonts w:ascii="Times New Roman" w:hAnsi="Times New Roman" w:cs="Times New Roman"/>
          <w:b/>
          <w:color w:val="000000"/>
          <w:sz w:val="20"/>
          <w:szCs w:val="20"/>
          <w:lang w:eastAsia="zh-CN"/>
        </w:rPr>
      </w:pPr>
    </w:p>
    <w:p w:rsidR="00DC493E" w:rsidRPr="00C60369" w:rsidRDefault="00DC493E" w:rsidP="00567C4E">
      <w:pPr>
        <w:autoSpaceDE w:val="0"/>
        <w:autoSpaceDN w:val="0"/>
        <w:bidi w:val="0"/>
        <w:snapToGrid w:val="0"/>
        <w:spacing w:after="0" w:line="240" w:lineRule="auto"/>
        <w:jc w:val="center"/>
        <w:rPr>
          <w:rFonts w:ascii="Times New Roman" w:eastAsia="Times New Roman" w:hAnsi="Times New Roman" w:cs="Times New Roman"/>
          <w:b/>
          <w:color w:val="000000"/>
          <w:sz w:val="20"/>
          <w:szCs w:val="20"/>
        </w:rPr>
      </w:pPr>
      <w:r w:rsidRPr="00C60369">
        <w:rPr>
          <w:rFonts w:ascii="Times New Roman" w:eastAsia="Times New Roman" w:hAnsi="Times New Roman" w:cs="Times New Roman"/>
          <w:noProof/>
          <w:color w:val="000000"/>
          <w:sz w:val="20"/>
          <w:szCs w:val="20"/>
          <w:lang w:eastAsia="zh-CN"/>
        </w:rPr>
        <w:drawing>
          <wp:inline distT="0" distB="0" distL="0" distR="0">
            <wp:extent cx="3608898" cy="2010189"/>
            <wp:effectExtent l="38100" t="57150" r="105852" b="104361"/>
            <wp:docPr id="15"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C:/Users/mahmoud/AppData/Roaming/PolarisOffice/ETemp/6472_5042280/fImage172841406334.emf"/>
                    <pic:cNvPicPr preferRelativeResize="0">
                      <a:picLocks noChangeAspect="1" noChangeArrowheads="1"/>
                    </pic:cNvPicPr>
                  </pic:nvPicPr>
                  <pic:blipFill>
                    <a:blip r:embed="rId15" cstate="print">
                      <a:lum bright="-20000" contrast="40000"/>
                    </a:blip>
                    <a:srcRect l="3067" t="9059" r="26545" b="59757"/>
                    <a:stretch>
                      <a:fillRect/>
                    </a:stretch>
                  </pic:blipFill>
                  <pic:spPr>
                    <a:xfrm>
                      <a:off x="0" y="0"/>
                      <a:ext cx="3633002" cy="2023615"/>
                    </a:xfrm>
                    <a:prstGeom prst="rect">
                      <a:avLst/>
                    </a:prstGeom>
                    <a:ln w="38100" cap="sq" cmpd="sng">
                      <a:solidFill>
                        <a:prstClr val="black"/>
                      </a:solidFill>
                      <a:prstDash val="solid"/>
                      <a:miter lim="800000"/>
                    </a:ln>
                    <a:effectLst>
                      <a:outerShdw blurRad="50800" dist="38100" dir="2700000" algn="tl" rotWithShape="0">
                        <a:prstClr val="black">
                          <a:alpha val="43000"/>
                        </a:prstClr>
                      </a:outerShdw>
                    </a:effectLst>
                  </pic:spPr>
                </pic:pic>
              </a:graphicData>
            </a:graphic>
          </wp:inline>
        </w:drawing>
      </w:r>
    </w:p>
    <w:p w:rsidR="00DC493E" w:rsidRPr="00C60369" w:rsidRDefault="00DC493E" w:rsidP="00567C4E">
      <w:pPr>
        <w:autoSpaceDE w:val="0"/>
        <w:autoSpaceDN w:val="0"/>
        <w:bidi w:val="0"/>
        <w:snapToGrid w:val="0"/>
        <w:spacing w:after="0" w:line="240" w:lineRule="auto"/>
        <w:jc w:val="center"/>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 xml:space="preserve">Figure (3): </w:t>
      </w:r>
      <w:r w:rsidRPr="00C60369">
        <w:rPr>
          <w:rFonts w:ascii="Times New Roman" w:eastAsia="Times New Roman" w:hAnsi="Times New Roman" w:cs="Times New Roman"/>
          <w:bCs/>
          <w:color w:val="000000"/>
          <w:sz w:val="20"/>
          <w:szCs w:val="20"/>
        </w:rPr>
        <w:t>Forest plot for ICU stay among survivors</w:t>
      </w:r>
    </w:p>
    <w:p w:rsidR="00DC493E" w:rsidRPr="00C60369" w:rsidRDefault="00DC493E" w:rsidP="00567C4E">
      <w:pPr>
        <w:autoSpaceDE w:val="0"/>
        <w:autoSpaceDN w:val="0"/>
        <w:bidi w:val="0"/>
        <w:snapToGrid w:val="0"/>
        <w:spacing w:after="0" w:line="240" w:lineRule="auto"/>
        <w:jc w:val="center"/>
        <w:rPr>
          <w:rFonts w:ascii="Times New Roman" w:eastAsia="Times New Roman" w:hAnsi="Times New Roman" w:cs="Times New Roman"/>
          <w:b/>
          <w:color w:val="000000"/>
          <w:sz w:val="20"/>
          <w:szCs w:val="20"/>
        </w:rPr>
      </w:pPr>
      <w:r w:rsidRPr="00C60369">
        <w:rPr>
          <w:rFonts w:ascii="Times New Roman" w:eastAsia="Times New Roman" w:hAnsi="Times New Roman" w:cs="Times New Roman"/>
          <w:noProof/>
          <w:color w:val="000000"/>
          <w:sz w:val="20"/>
          <w:szCs w:val="20"/>
          <w:lang w:eastAsia="zh-CN"/>
        </w:rPr>
        <w:drawing>
          <wp:inline distT="0" distB="0" distL="0" distR="0">
            <wp:extent cx="3277594" cy="1906822"/>
            <wp:effectExtent l="38100" t="57150" r="113306" b="93428"/>
            <wp:docPr id="16"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C:/Users/mahmoud/AppData/Roaming/PolarisOffice/ETemp/6472_5042280/fImage102721416500.emf"/>
                    <pic:cNvPicPr preferRelativeResize="0">
                      <a:picLocks noChangeAspect="1" noChangeArrowheads="1"/>
                    </pic:cNvPicPr>
                  </pic:nvPicPr>
                  <pic:blipFill>
                    <a:blip r:embed="rId16" cstate="print">
                      <a:lum bright="-20000" contrast="40000"/>
                    </a:blip>
                    <a:srcRect l="6192" t="4154" r="13342" b="3178"/>
                    <a:stretch>
                      <a:fillRect/>
                    </a:stretch>
                  </pic:blipFill>
                  <pic:spPr>
                    <a:xfrm>
                      <a:off x="0" y="0"/>
                      <a:ext cx="3296401" cy="1917764"/>
                    </a:xfrm>
                    <a:prstGeom prst="rect">
                      <a:avLst/>
                    </a:prstGeom>
                    <a:ln w="38100" cap="sq" cmpd="sng">
                      <a:solidFill>
                        <a:prstClr val="black"/>
                      </a:solidFill>
                      <a:prstDash val="solid"/>
                      <a:miter lim="800000"/>
                    </a:ln>
                    <a:effectLst>
                      <a:outerShdw blurRad="50800" dist="38100" dir="2700000" algn="tl" rotWithShape="0">
                        <a:prstClr val="black">
                          <a:alpha val="43000"/>
                        </a:prstClr>
                      </a:outerShdw>
                    </a:effectLst>
                  </pic:spPr>
                </pic:pic>
              </a:graphicData>
            </a:graphic>
          </wp:inline>
        </w:drawing>
      </w:r>
    </w:p>
    <w:p w:rsidR="00DC493E" w:rsidRPr="00C60369" w:rsidRDefault="00DC493E" w:rsidP="00567C4E">
      <w:pPr>
        <w:autoSpaceDE w:val="0"/>
        <w:autoSpaceDN w:val="0"/>
        <w:bidi w:val="0"/>
        <w:snapToGrid w:val="0"/>
        <w:spacing w:after="0" w:line="240" w:lineRule="auto"/>
        <w:jc w:val="center"/>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 xml:space="preserve">Figure (4): </w:t>
      </w:r>
      <w:r w:rsidRPr="00C60369">
        <w:rPr>
          <w:rFonts w:ascii="Times New Roman" w:eastAsia="Times New Roman" w:hAnsi="Times New Roman" w:cs="Times New Roman"/>
          <w:bCs/>
          <w:color w:val="000000"/>
          <w:sz w:val="20"/>
          <w:szCs w:val="20"/>
        </w:rPr>
        <w:t>Funnel plot for ICU stay among survivors</w:t>
      </w:r>
    </w:p>
    <w:p w:rsidR="009D6667" w:rsidRPr="00C60369" w:rsidRDefault="009D6667" w:rsidP="00567C4E">
      <w:pPr>
        <w:autoSpaceDE w:val="0"/>
        <w:autoSpaceDN w:val="0"/>
        <w:bidi w:val="0"/>
        <w:snapToGrid w:val="0"/>
        <w:spacing w:after="0" w:line="240" w:lineRule="auto"/>
        <w:jc w:val="both"/>
        <w:rPr>
          <w:rFonts w:ascii="Times New Roman" w:hAnsi="Times New Roman" w:cs="Times New Roman"/>
          <w:b/>
          <w:color w:val="000000"/>
          <w:sz w:val="20"/>
          <w:szCs w:val="20"/>
          <w:lang w:eastAsia="zh-CN"/>
        </w:rPr>
      </w:pPr>
    </w:p>
    <w:p w:rsidR="00567C4E" w:rsidRPr="00C60369" w:rsidRDefault="00567C4E" w:rsidP="00567C4E">
      <w:pPr>
        <w:autoSpaceDE w:val="0"/>
        <w:autoSpaceDN w:val="0"/>
        <w:bidi w:val="0"/>
        <w:snapToGrid w:val="0"/>
        <w:spacing w:after="0" w:line="240" w:lineRule="auto"/>
        <w:jc w:val="center"/>
        <w:rPr>
          <w:rFonts w:ascii="Times New Roman" w:eastAsia="Times New Roman" w:hAnsi="Times New Roman" w:cs="Times New Roman"/>
          <w:b/>
          <w:color w:val="000000"/>
          <w:sz w:val="20"/>
          <w:szCs w:val="20"/>
        </w:rPr>
        <w:sectPr w:rsidR="00567C4E" w:rsidRPr="00C60369" w:rsidSect="00062324">
          <w:type w:val="continuous"/>
          <w:pgSz w:w="12240" w:h="15840"/>
          <w:pgMar w:top="1440" w:right="1440" w:bottom="1440" w:left="1440" w:header="720" w:footer="720" w:gutter="0"/>
          <w:cols w:space="720"/>
          <w:rtlGutter/>
          <w:docGrid w:linePitch="360"/>
        </w:sectPr>
      </w:pPr>
    </w:p>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lastRenderedPageBreak/>
        <w:t>Non Survivors</w:t>
      </w:r>
    </w:p>
    <w:p w:rsidR="00DC493E" w:rsidRPr="00C60369" w:rsidRDefault="00DC493E" w:rsidP="00567C4E">
      <w:pPr>
        <w:autoSpaceDE w:val="0"/>
        <w:autoSpaceDN w:val="0"/>
        <w:bidi w:val="0"/>
        <w:snapToGrid w:val="0"/>
        <w:spacing w:after="0" w:line="240" w:lineRule="auto"/>
        <w:ind w:firstLine="425"/>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 xml:space="preserve">Table (6) and figure (5) show that: ICU stay among non-survivors was reported in the two included studies. There was no significant heterogeneity among </w:t>
      </w:r>
      <w:r w:rsidRPr="00C60369">
        <w:rPr>
          <w:rFonts w:ascii="Times New Roman" w:eastAsia="Times New Roman" w:hAnsi="Times New Roman" w:cs="Times New Roman"/>
          <w:color w:val="000000"/>
          <w:sz w:val="20"/>
          <w:szCs w:val="20"/>
        </w:rPr>
        <w:lastRenderedPageBreak/>
        <w:t>these studies. Thus, we performed the statistics using a fixed-effects model, and the results showed that ICU stay among non-survivors was not significantly different between early and late interventions.</w:t>
      </w:r>
    </w:p>
    <w:p w:rsidR="00567C4E" w:rsidRPr="00C60369" w:rsidRDefault="00567C4E" w:rsidP="00567C4E">
      <w:pPr>
        <w:autoSpaceDE w:val="0"/>
        <w:autoSpaceDN w:val="0"/>
        <w:bidi w:val="0"/>
        <w:snapToGrid w:val="0"/>
        <w:spacing w:after="0" w:line="240" w:lineRule="auto"/>
        <w:jc w:val="center"/>
        <w:rPr>
          <w:rFonts w:ascii="Times New Roman" w:eastAsia="Times New Roman" w:hAnsi="Times New Roman" w:cs="Times New Roman"/>
          <w:b/>
          <w:color w:val="000000"/>
          <w:sz w:val="20"/>
          <w:szCs w:val="20"/>
        </w:rPr>
        <w:sectPr w:rsidR="00567C4E" w:rsidRPr="00C60369" w:rsidSect="00567C4E">
          <w:type w:val="continuous"/>
          <w:pgSz w:w="12240" w:h="15840"/>
          <w:pgMar w:top="1440" w:right="1440" w:bottom="1440" w:left="1440" w:header="720" w:footer="720" w:gutter="0"/>
          <w:cols w:num="2" w:space="550"/>
          <w:rtlGutter/>
          <w:docGrid w:linePitch="360"/>
        </w:sectPr>
      </w:pPr>
    </w:p>
    <w:p w:rsidR="00DC493E" w:rsidRPr="00C60369" w:rsidRDefault="00DC493E" w:rsidP="00567C4E">
      <w:pPr>
        <w:autoSpaceDE w:val="0"/>
        <w:autoSpaceDN w:val="0"/>
        <w:bidi w:val="0"/>
        <w:snapToGrid w:val="0"/>
        <w:spacing w:after="0" w:line="240" w:lineRule="auto"/>
        <w:jc w:val="center"/>
        <w:rPr>
          <w:rFonts w:ascii="Times New Roman" w:eastAsia="Times New Roman" w:hAnsi="Times New Roman" w:cs="Times New Roman"/>
          <w:b/>
          <w:color w:val="000000"/>
          <w:sz w:val="20"/>
          <w:szCs w:val="20"/>
        </w:rPr>
      </w:pPr>
    </w:p>
    <w:p w:rsidR="00C60369" w:rsidRDefault="00C60369" w:rsidP="00567C4E">
      <w:pPr>
        <w:autoSpaceDE w:val="0"/>
        <w:autoSpaceDN w:val="0"/>
        <w:bidi w:val="0"/>
        <w:snapToGrid w:val="0"/>
        <w:spacing w:after="0" w:line="240" w:lineRule="auto"/>
        <w:jc w:val="center"/>
        <w:rPr>
          <w:rFonts w:ascii="Times New Roman" w:hAnsi="Times New Roman" w:cs="Times New Roman" w:hint="eastAsia"/>
          <w:b/>
          <w:color w:val="000000"/>
          <w:sz w:val="20"/>
          <w:szCs w:val="20"/>
          <w:lang w:eastAsia="zh-CN"/>
        </w:rPr>
      </w:pPr>
    </w:p>
    <w:p w:rsidR="00DC493E" w:rsidRPr="00C60369" w:rsidRDefault="00DC493E" w:rsidP="00C60369">
      <w:pPr>
        <w:autoSpaceDE w:val="0"/>
        <w:autoSpaceDN w:val="0"/>
        <w:bidi w:val="0"/>
        <w:snapToGrid w:val="0"/>
        <w:spacing w:after="0" w:line="240" w:lineRule="auto"/>
        <w:jc w:val="center"/>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lastRenderedPageBreak/>
        <w:t xml:space="preserve">Table (6): </w:t>
      </w:r>
      <w:r w:rsidRPr="00C60369">
        <w:rPr>
          <w:rFonts w:ascii="Times New Roman" w:eastAsia="Times New Roman" w:hAnsi="Times New Roman" w:cs="Times New Roman"/>
          <w:bCs/>
          <w:color w:val="000000"/>
          <w:sz w:val="20"/>
          <w:szCs w:val="20"/>
        </w:rPr>
        <w:t>Meta-analysis for ICU stay (days) among non-survivors.</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FF" w:themeFill="background1"/>
        <w:tblCellMar>
          <w:left w:w="57" w:type="dxa"/>
          <w:right w:w="57" w:type="dxa"/>
        </w:tblCellMar>
        <w:tblLook w:val="04A0"/>
      </w:tblPr>
      <w:tblGrid>
        <w:gridCol w:w="2101"/>
        <w:gridCol w:w="252"/>
        <w:gridCol w:w="256"/>
        <w:gridCol w:w="1188"/>
        <w:gridCol w:w="508"/>
        <w:gridCol w:w="1188"/>
        <w:gridCol w:w="1230"/>
        <w:gridCol w:w="519"/>
        <w:gridCol w:w="519"/>
        <w:gridCol w:w="1713"/>
      </w:tblGrid>
      <w:tr w:rsidR="00DC493E" w:rsidRPr="00C60369" w:rsidTr="00C60369">
        <w:trPr>
          <w:jc w:val="center"/>
        </w:trPr>
        <w:tc>
          <w:tcPr>
            <w:tcW w:w="1109" w:type="pct"/>
            <w:vMerge w:val="restart"/>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Study</w:t>
            </w:r>
          </w:p>
        </w:tc>
        <w:tc>
          <w:tcPr>
            <w:tcW w:w="1789" w:type="pct"/>
            <w:gridSpan w:val="5"/>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Effects</w:t>
            </w:r>
          </w:p>
        </w:tc>
        <w:tc>
          <w:tcPr>
            <w:tcW w:w="1197" w:type="pct"/>
            <w:gridSpan w:val="3"/>
            <w:vMerge w:val="restart"/>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Difference</w:t>
            </w:r>
          </w:p>
        </w:tc>
        <w:tc>
          <w:tcPr>
            <w:tcW w:w="905" w:type="pct"/>
            <w:vMerge w:val="restart"/>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P</w:t>
            </w:r>
          </w:p>
        </w:tc>
      </w:tr>
      <w:tr w:rsidR="00062324" w:rsidRPr="00C60369" w:rsidTr="00C60369">
        <w:trPr>
          <w:jc w:val="center"/>
        </w:trPr>
        <w:tc>
          <w:tcPr>
            <w:tcW w:w="1109" w:type="pct"/>
            <w:vMerge/>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p>
        </w:tc>
        <w:tc>
          <w:tcPr>
            <w:tcW w:w="894" w:type="pct"/>
            <w:gridSpan w:val="3"/>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Early</w:t>
            </w:r>
          </w:p>
        </w:tc>
        <w:tc>
          <w:tcPr>
            <w:tcW w:w="894" w:type="pct"/>
            <w:gridSpan w:val="2"/>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Late</w:t>
            </w:r>
          </w:p>
        </w:tc>
        <w:tc>
          <w:tcPr>
            <w:tcW w:w="1197" w:type="pct"/>
            <w:gridSpan w:val="3"/>
            <w:vMerge/>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p>
        </w:tc>
        <w:tc>
          <w:tcPr>
            <w:tcW w:w="905" w:type="pct"/>
            <w:vMerge/>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p>
        </w:tc>
      </w:tr>
      <w:tr w:rsidR="00062324" w:rsidRPr="00C60369" w:rsidTr="00C60369">
        <w:trPr>
          <w:jc w:val="center"/>
        </w:trPr>
        <w:tc>
          <w:tcPr>
            <w:tcW w:w="1109" w:type="pct"/>
            <w:vMerge/>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p>
        </w:tc>
        <w:tc>
          <w:tcPr>
            <w:tcW w:w="268" w:type="pct"/>
            <w:gridSpan w:val="2"/>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N</w:t>
            </w:r>
          </w:p>
        </w:tc>
        <w:tc>
          <w:tcPr>
            <w:tcW w:w="627" w:type="pct"/>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proofErr w:type="spellStart"/>
            <w:r w:rsidRPr="00C60369">
              <w:rPr>
                <w:rFonts w:ascii="Times New Roman" w:eastAsia="Times New Roman" w:hAnsi="Times New Roman" w:cs="Times New Roman"/>
                <w:b/>
                <w:color w:val="000000"/>
                <w:sz w:val="20"/>
                <w:szCs w:val="20"/>
              </w:rPr>
              <w:t>Mean±SD</w:t>
            </w:r>
            <w:proofErr w:type="spellEnd"/>
          </w:p>
        </w:tc>
        <w:tc>
          <w:tcPr>
            <w:tcW w:w="268" w:type="pct"/>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N</w:t>
            </w:r>
          </w:p>
        </w:tc>
        <w:tc>
          <w:tcPr>
            <w:tcW w:w="627" w:type="pct"/>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proofErr w:type="spellStart"/>
            <w:r w:rsidRPr="00C60369">
              <w:rPr>
                <w:rFonts w:ascii="Times New Roman" w:eastAsia="Times New Roman" w:hAnsi="Times New Roman" w:cs="Times New Roman"/>
                <w:b/>
                <w:color w:val="000000"/>
                <w:sz w:val="20"/>
                <w:szCs w:val="20"/>
              </w:rPr>
              <w:t>Mean±SD</w:t>
            </w:r>
            <w:proofErr w:type="spellEnd"/>
          </w:p>
        </w:tc>
        <w:tc>
          <w:tcPr>
            <w:tcW w:w="649" w:type="pct"/>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proofErr w:type="spellStart"/>
            <w:r w:rsidRPr="00C60369">
              <w:rPr>
                <w:rFonts w:ascii="Times New Roman" w:eastAsia="Times New Roman" w:hAnsi="Times New Roman" w:cs="Times New Roman"/>
                <w:b/>
                <w:color w:val="000000"/>
                <w:sz w:val="20"/>
                <w:szCs w:val="20"/>
              </w:rPr>
              <w:t>Mean±SE</w:t>
            </w:r>
            <w:proofErr w:type="spellEnd"/>
          </w:p>
        </w:tc>
        <w:tc>
          <w:tcPr>
            <w:tcW w:w="548" w:type="pct"/>
            <w:gridSpan w:val="2"/>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95%CI</w:t>
            </w:r>
          </w:p>
        </w:tc>
        <w:tc>
          <w:tcPr>
            <w:tcW w:w="905" w:type="pct"/>
            <w:vMerge/>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p>
        </w:tc>
      </w:tr>
      <w:tr w:rsidR="00062324" w:rsidRPr="00C60369" w:rsidTr="00C60369">
        <w:trPr>
          <w:jc w:val="center"/>
        </w:trPr>
        <w:tc>
          <w:tcPr>
            <w:tcW w:w="1109" w:type="pct"/>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proofErr w:type="spellStart"/>
            <w:r w:rsidRPr="00C60369">
              <w:rPr>
                <w:rFonts w:ascii="Times New Roman" w:eastAsia="Times New Roman" w:hAnsi="Times New Roman" w:cs="Times New Roman"/>
                <w:b/>
                <w:color w:val="000000"/>
                <w:sz w:val="20"/>
                <w:szCs w:val="20"/>
              </w:rPr>
              <w:t>Combes</w:t>
            </w:r>
            <w:proofErr w:type="spellEnd"/>
            <w:r w:rsidRPr="00C60369">
              <w:rPr>
                <w:rFonts w:ascii="Times New Roman" w:eastAsia="Times New Roman" w:hAnsi="Times New Roman" w:cs="Times New Roman"/>
                <w:b/>
                <w:color w:val="000000"/>
                <w:sz w:val="20"/>
                <w:szCs w:val="20"/>
              </w:rPr>
              <w:t xml:space="preserve"> et al.,2015</w:t>
            </w:r>
          </w:p>
        </w:tc>
        <w:tc>
          <w:tcPr>
            <w:tcW w:w="268" w:type="pct"/>
            <w:gridSpan w:val="2"/>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49</w:t>
            </w:r>
          </w:p>
        </w:tc>
        <w:tc>
          <w:tcPr>
            <w:tcW w:w="627" w:type="pct"/>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11.0±14.1</w:t>
            </w:r>
          </w:p>
        </w:tc>
        <w:tc>
          <w:tcPr>
            <w:tcW w:w="268" w:type="pct"/>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44</w:t>
            </w:r>
          </w:p>
        </w:tc>
        <w:tc>
          <w:tcPr>
            <w:tcW w:w="627" w:type="pct"/>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6.0±8.9</w:t>
            </w:r>
          </w:p>
        </w:tc>
        <w:tc>
          <w:tcPr>
            <w:tcW w:w="649" w:type="pct"/>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-5.0±2.5</w:t>
            </w:r>
          </w:p>
        </w:tc>
        <w:tc>
          <w:tcPr>
            <w:tcW w:w="548" w:type="pct"/>
            <w:gridSpan w:val="2"/>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-9.9–-0.1</w:t>
            </w:r>
          </w:p>
        </w:tc>
        <w:tc>
          <w:tcPr>
            <w:tcW w:w="905" w:type="pct"/>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0.044*</w:t>
            </w:r>
          </w:p>
        </w:tc>
      </w:tr>
      <w:tr w:rsidR="00062324" w:rsidRPr="00C60369" w:rsidTr="00C60369">
        <w:trPr>
          <w:jc w:val="center"/>
        </w:trPr>
        <w:tc>
          <w:tcPr>
            <w:tcW w:w="1109" w:type="pct"/>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proofErr w:type="spellStart"/>
            <w:r w:rsidRPr="00C60369">
              <w:rPr>
                <w:rFonts w:ascii="Times New Roman" w:eastAsia="Times New Roman" w:hAnsi="Times New Roman" w:cs="Times New Roman"/>
                <w:b/>
                <w:color w:val="000000"/>
                <w:sz w:val="20"/>
                <w:szCs w:val="20"/>
              </w:rPr>
              <w:t>Gaudry</w:t>
            </w:r>
            <w:proofErr w:type="spellEnd"/>
            <w:r w:rsidRPr="00C60369">
              <w:rPr>
                <w:rFonts w:ascii="Times New Roman" w:eastAsia="Times New Roman" w:hAnsi="Times New Roman" w:cs="Times New Roman"/>
                <w:b/>
                <w:color w:val="000000"/>
                <w:sz w:val="20"/>
                <w:szCs w:val="20"/>
              </w:rPr>
              <w:t xml:space="preserve"> et al.,2016</w:t>
            </w:r>
          </w:p>
        </w:tc>
        <w:tc>
          <w:tcPr>
            <w:tcW w:w="268" w:type="pct"/>
            <w:gridSpan w:val="2"/>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150</w:t>
            </w:r>
          </w:p>
        </w:tc>
        <w:tc>
          <w:tcPr>
            <w:tcW w:w="627" w:type="pct"/>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6.0±8.9</w:t>
            </w:r>
          </w:p>
        </w:tc>
        <w:tc>
          <w:tcPr>
            <w:tcW w:w="268" w:type="pct"/>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153</w:t>
            </w:r>
          </w:p>
        </w:tc>
        <w:tc>
          <w:tcPr>
            <w:tcW w:w="627" w:type="pct"/>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6.0±8.1</w:t>
            </w:r>
          </w:p>
        </w:tc>
        <w:tc>
          <w:tcPr>
            <w:tcW w:w="649" w:type="pct"/>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0.0±1.0</w:t>
            </w:r>
          </w:p>
        </w:tc>
        <w:tc>
          <w:tcPr>
            <w:tcW w:w="548" w:type="pct"/>
            <w:gridSpan w:val="2"/>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-1.9–1.9</w:t>
            </w:r>
          </w:p>
        </w:tc>
        <w:tc>
          <w:tcPr>
            <w:tcW w:w="905" w:type="pct"/>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1.000</w:t>
            </w:r>
          </w:p>
        </w:tc>
      </w:tr>
      <w:tr w:rsidR="00DC493E" w:rsidRPr="00C60369" w:rsidTr="00C60369">
        <w:trPr>
          <w:jc w:val="center"/>
        </w:trPr>
        <w:tc>
          <w:tcPr>
            <w:tcW w:w="2897" w:type="pct"/>
            <w:gridSpan w:val="6"/>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b/>
                <w:color w:val="000000"/>
                <w:sz w:val="20"/>
                <w:szCs w:val="20"/>
              </w:rPr>
              <w:t>Overall effect in increasing survival duration</w:t>
            </w:r>
          </w:p>
        </w:tc>
        <w:tc>
          <w:tcPr>
            <w:tcW w:w="649" w:type="pct"/>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-0.7±0.9</w:t>
            </w:r>
          </w:p>
        </w:tc>
        <w:tc>
          <w:tcPr>
            <w:tcW w:w="548" w:type="pct"/>
            <w:gridSpan w:val="2"/>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-2.5–1.1</w:t>
            </w:r>
          </w:p>
        </w:tc>
        <w:tc>
          <w:tcPr>
            <w:tcW w:w="905" w:type="pct"/>
            <w:shd w:val="clear" w:color="auto" w:fill="FFFFFF" w:themeFill="background1"/>
            <w:vAlign w:val="center"/>
          </w:tcPr>
          <w:p w:rsidR="00DC493E" w:rsidRPr="00C60369" w:rsidRDefault="00DC493E" w:rsidP="00C60369">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0.459</w:t>
            </w:r>
            <w:r w:rsidR="00C60369">
              <w:rPr>
                <w:rFonts w:ascii="Times New Roman" w:hAnsi="Times New Roman" w:cs="Times New Roman" w:hint="eastAsia"/>
                <w:b/>
                <w:color w:val="000000"/>
                <w:sz w:val="20"/>
                <w:szCs w:val="20"/>
                <w:lang w:eastAsia="zh-CN"/>
              </w:rPr>
              <w:t xml:space="preserve"> </w:t>
            </w:r>
            <w:r w:rsidRPr="00C60369">
              <w:rPr>
                <w:rFonts w:ascii="Times New Roman" w:eastAsia="Times New Roman" w:hAnsi="Times New Roman" w:cs="Times New Roman"/>
                <w:b/>
                <w:color w:val="000000"/>
                <w:sz w:val="20"/>
                <w:szCs w:val="20"/>
              </w:rPr>
              <w:t>(z=0.741)</w:t>
            </w:r>
          </w:p>
        </w:tc>
      </w:tr>
      <w:tr w:rsidR="00062324" w:rsidRPr="00C60369" w:rsidTr="00C60369">
        <w:trPr>
          <w:jc w:val="center"/>
        </w:trPr>
        <w:tc>
          <w:tcPr>
            <w:tcW w:w="1242" w:type="pct"/>
            <w:gridSpan w:val="2"/>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Heterogeneity</w:t>
            </w:r>
          </w:p>
        </w:tc>
        <w:tc>
          <w:tcPr>
            <w:tcW w:w="761" w:type="pct"/>
            <w:gridSpan w:val="2"/>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I</w:t>
            </w:r>
            <w:r w:rsidRPr="00C60369">
              <w:rPr>
                <w:rFonts w:ascii="Times New Roman" w:eastAsia="Times New Roman" w:hAnsi="Times New Roman" w:cs="Times New Roman"/>
                <w:b/>
                <w:color w:val="000000"/>
                <w:sz w:val="20"/>
                <w:szCs w:val="20"/>
                <w:vertAlign w:val="superscript"/>
              </w:rPr>
              <w:t>2</w:t>
            </w:r>
          </w:p>
        </w:tc>
        <w:tc>
          <w:tcPr>
            <w:tcW w:w="894" w:type="pct"/>
            <w:gridSpan w:val="2"/>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71.628</w:t>
            </w:r>
          </w:p>
        </w:tc>
        <w:tc>
          <w:tcPr>
            <w:tcW w:w="923" w:type="pct"/>
            <w:gridSpan w:val="2"/>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P</w:t>
            </w:r>
          </w:p>
        </w:tc>
        <w:tc>
          <w:tcPr>
            <w:tcW w:w="1180" w:type="pct"/>
            <w:gridSpan w:val="2"/>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0.060</w:t>
            </w:r>
          </w:p>
        </w:tc>
      </w:tr>
    </w:tbl>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RR: Relative rate, CI: confidence interval, *Significant</w:t>
      </w:r>
    </w:p>
    <w:p w:rsidR="009D6667" w:rsidRPr="00C60369" w:rsidRDefault="009D6667" w:rsidP="00567C4E">
      <w:pPr>
        <w:autoSpaceDE w:val="0"/>
        <w:autoSpaceDN w:val="0"/>
        <w:bidi w:val="0"/>
        <w:snapToGrid w:val="0"/>
        <w:spacing w:after="0" w:line="240" w:lineRule="auto"/>
        <w:ind w:firstLine="425"/>
        <w:jc w:val="both"/>
        <w:rPr>
          <w:rFonts w:ascii="Times New Roman" w:eastAsia="Times New Roman" w:hAnsi="Times New Roman" w:cs="Times New Roman"/>
          <w:bCs/>
          <w:color w:val="000000"/>
          <w:sz w:val="20"/>
          <w:szCs w:val="20"/>
        </w:rPr>
      </w:pPr>
    </w:p>
    <w:p w:rsidR="00DC493E" w:rsidRPr="00C60369" w:rsidRDefault="00DC493E" w:rsidP="00567C4E">
      <w:pPr>
        <w:autoSpaceDE w:val="0"/>
        <w:autoSpaceDN w:val="0"/>
        <w:bidi w:val="0"/>
        <w:snapToGrid w:val="0"/>
        <w:spacing w:after="0" w:line="240" w:lineRule="auto"/>
        <w:ind w:firstLine="425"/>
        <w:jc w:val="both"/>
        <w:rPr>
          <w:rFonts w:ascii="Times New Roman" w:hAnsi="Times New Roman" w:cs="Times New Roman"/>
          <w:bCs/>
          <w:color w:val="000000"/>
          <w:sz w:val="20"/>
          <w:szCs w:val="20"/>
          <w:lang w:eastAsia="zh-CN"/>
        </w:rPr>
      </w:pPr>
      <w:r w:rsidRPr="00C60369">
        <w:rPr>
          <w:rFonts w:ascii="Times New Roman" w:eastAsia="Times New Roman" w:hAnsi="Times New Roman" w:cs="Times New Roman"/>
          <w:bCs/>
          <w:color w:val="000000"/>
          <w:sz w:val="20"/>
          <w:szCs w:val="20"/>
        </w:rPr>
        <w:t>Funnel plot for ICU stay among non-survivors could not be performed as the included studied were less than three.</w:t>
      </w:r>
    </w:p>
    <w:p w:rsidR="00DC493E" w:rsidRPr="00C60369" w:rsidRDefault="00DC493E" w:rsidP="00567C4E">
      <w:pPr>
        <w:autoSpaceDE w:val="0"/>
        <w:autoSpaceDN w:val="0"/>
        <w:bidi w:val="0"/>
        <w:snapToGrid w:val="0"/>
        <w:spacing w:after="0" w:line="240" w:lineRule="auto"/>
        <w:jc w:val="center"/>
        <w:rPr>
          <w:rFonts w:ascii="Times New Roman" w:eastAsia="Times New Roman" w:hAnsi="Times New Roman" w:cs="Times New Roman"/>
          <w:color w:val="000000"/>
          <w:sz w:val="20"/>
          <w:szCs w:val="20"/>
        </w:rPr>
      </w:pPr>
      <w:r w:rsidRPr="00C60369">
        <w:rPr>
          <w:rFonts w:ascii="Times New Roman" w:eastAsia="Times New Roman" w:hAnsi="Times New Roman" w:cs="Times New Roman"/>
          <w:noProof/>
          <w:color w:val="000000"/>
          <w:sz w:val="20"/>
          <w:szCs w:val="20"/>
          <w:lang w:eastAsia="zh-CN"/>
        </w:rPr>
        <w:drawing>
          <wp:inline distT="0" distB="0" distL="0" distR="0">
            <wp:extent cx="3240902" cy="1453597"/>
            <wp:effectExtent l="38100" t="57150" r="111898" b="89453"/>
            <wp:docPr id="17"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C:/Users/mahmoud/AppData/Roaming/PolarisOffice/ETemp/6472_5042280/fImage137081439169.emf"/>
                    <pic:cNvPicPr preferRelativeResize="0">
                      <a:picLocks noChangeAspect="1" noChangeArrowheads="1"/>
                    </pic:cNvPicPr>
                  </pic:nvPicPr>
                  <pic:blipFill>
                    <a:blip r:embed="rId17" cstate="print"/>
                    <a:srcRect l="4456" t="9043" r="25890" b="63305"/>
                    <a:stretch>
                      <a:fillRect/>
                    </a:stretch>
                  </pic:blipFill>
                  <pic:spPr>
                    <a:xfrm>
                      <a:off x="0" y="0"/>
                      <a:ext cx="3243229" cy="1454641"/>
                    </a:xfrm>
                    <a:prstGeom prst="rect">
                      <a:avLst/>
                    </a:prstGeom>
                    <a:ln w="38100" cap="sq" cmpd="sng">
                      <a:solidFill>
                        <a:prstClr val="black"/>
                      </a:solidFill>
                      <a:prstDash val="solid"/>
                      <a:miter lim="800000"/>
                    </a:ln>
                    <a:effectLst>
                      <a:outerShdw blurRad="50800" dist="38100" dir="2700000" algn="tl" rotWithShape="0">
                        <a:prstClr val="black">
                          <a:alpha val="43000"/>
                        </a:prstClr>
                      </a:outerShdw>
                    </a:effectLst>
                  </pic:spPr>
                </pic:pic>
              </a:graphicData>
            </a:graphic>
          </wp:inline>
        </w:drawing>
      </w:r>
    </w:p>
    <w:p w:rsidR="00DC493E" w:rsidRPr="00C60369" w:rsidRDefault="00DC493E" w:rsidP="00567C4E">
      <w:pPr>
        <w:autoSpaceDE w:val="0"/>
        <w:autoSpaceDN w:val="0"/>
        <w:bidi w:val="0"/>
        <w:snapToGrid w:val="0"/>
        <w:spacing w:after="0" w:line="240" w:lineRule="auto"/>
        <w:jc w:val="center"/>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 xml:space="preserve">Figure (5): </w:t>
      </w:r>
      <w:r w:rsidRPr="00C60369">
        <w:rPr>
          <w:rFonts w:ascii="Times New Roman" w:eastAsia="Times New Roman" w:hAnsi="Times New Roman" w:cs="Times New Roman"/>
          <w:bCs/>
          <w:color w:val="000000"/>
          <w:sz w:val="20"/>
          <w:szCs w:val="20"/>
        </w:rPr>
        <w:t>Forest plot for ICU stay among non-survivors</w:t>
      </w:r>
    </w:p>
    <w:p w:rsidR="009D6667" w:rsidRPr="00C60369" w:rsidRDefault="009D6667"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p>
    <w:p w:rsidR="00567C4E" w:rsidRPr="00C60369" w:rsidRDefault="00567C4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sectPr w:rsidR="00567C4E" w:rsidRPr="00C60369" w:rsidSect="00062324">
          <w:type w:val="continuous"/>
          <w:pgSz w:w="12240" w:h="15840"/>
          <w:pgMar w:top="1440" w:right="1440" w:bottom="1440" w:left="1440" w:header="720" w:footer="720" w:gutter="0"/>
          <w:cols w:space="720"/>
          <w:rtlGutter/>
          <w:docGrid w:linePitch="360"/>
        </w:sectPr>
      </w:pPr>
    </w:p>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lastRenderedPageBreak/>
        <w:t>3- Hospital length of stay.</w:t>
      </w:r>
    </w:p>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Survivors</w:t>
      </w:r>
    </w:p>
    <w:p w:rsidR="00DC493E" w:rsidRPr="00C60369" w:rsidRDefault="00DC493E" w:rsidP="00E87DF2">
      <w:pPr>
        <w:autoSpaceDE w:val="0"/>
        <w:autoSpaceDN w:val="0"/>
        <w:bidi w:val="0"/>
        <w:snapToGrid w:val="0"/>
        <w:spacing w:after="0" w:line="240" w:lineRule="auto"/>
        <w:ind w:firstLine="425"/>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color w:val="000000"/>
          <w:sz w:val="20"/>
          <w:szCs w:val="20"/>
        </w:rPr>
        <w:t xml:space="preserve">Table (7) and figures (6,7) show that: Hospital stay among survivors was reported in the four included studies. There was no significant </w:t>
      </w:r>
      <w:r w:rsidRPr="00C60369">
        <w:rPr>
          <w:rFonts w:ascii="Times New Roman" w:eastAsia="Times New Roman" w:hAnsi="Times New Roman" w:cs="Times New Roman"/>
          <w:color w:val="000000"/>
          <w:sz w:val="20"/>
          <w:szCs w:val="20"/>
        </w:rPr>
        <w:lastRenderedPageBreak/>
        <w:t>heterogeneity among these studies. Thus, we performed the statistics using a fixed-effects model, and the results showed that hospital stay among survivors was not significantly different between early and late interventions.</w:t>
      </w:r>
    </w:p>
    <w:p w:rsidR="00567C4E" w:rsidRPr="00C60369" w:rsidRDefault="00567C4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sectPr w:rsidR="00567C4E" w:rsidRPr="00C60369" w:rsidSect="00567C4E">
          <w:type w:val="continuous"/>
          <w:pgSz w:w="12240" w:h="15840"/>
          <w:pgMar w:top="1440" w:right="1440" w:bottom="1440" w:left="1440" w:header="720" w:footer="720" w:gutter="0"/>
          <w:cols w:num="2" w:space="550"/>
          <w:rtlGutter/>
          <w:docGrid w:linePitch="360"/>
        </w:sectPr>
      </w:pPr>
    </w:p>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p>
    <w:p w:rsidR="00DC493E" w:rsidRPr="00C60369" w:rsidRDefault="00DC493E" w:rsidP="00E87DF2">
      <w:pPr>
        <w:autoSpaceDE w:val="0"/>
        <w:autoSpaceDN w:val="0"/>
        <w:bidi w:val="0"/>
        <w:snapToGrid w:val="0"/>
        <w:spacing w:after="0" w:line="240" w:lineRule="auto"/>
        <w:jc w:val="center"/>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 xml:space="preserve">Table (7): </w:t>
      </w:r>
      <w:r w:rsidRPr="00C60369">
        <w:rPr>
          <w:rFonts w:ascii="Times New Roman" w:eastAsia="Times New Roman" w:hAnsi="Times New Roman" w:cs="Times New Roman"/>
          <w:bCs/>
          <w:color w:val="000000"/>
          <w:sz w:val="20"/>
          <w:szCs w:val="20"/>
        </w:rPr>
        <w:t>Meta-analysis for hospital stay (days) among survivors.</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FF" w:themeFill="background1"/>
        <w:tblCellMar>
          <w:left w:w="57" w:type="dxa"/>
          <w:right w:w="57" w:type="dxa"/>
        </w:tblCellMar>
        <w:tblLook w:val="04A0"/>
      </w:tblPr>
      <w:tblGrid>
        <w:gridCol w:w="2087"/>
        <w:gridCol w:w="329"/>
        <w:gridCol w:w="331"/>
        <w:gridCol w:w="1126"/>
        <w:gridCol w:w="330"/>
        <w:gridCol w:w="332"/>
        <w:gridCol w:w="1126"/>
        <w:gridCol w:w="1165"/>
        <w:gridCol w:w="512"/>
        <w:gridCol w:w="512"/>
        <w:gridCol w:w="1624"/>
      </w:tblGrid>
      <w:tr w:rsidR="00DC493E" w:rsidRPr="00C60369" w:rsidTr="00E87DF2">
        <w:trPr>
          <w:jc w:val="center"/>
        </w:trPr>
        <w:tc>
          <w:tcPr>
            <w:tcW w:w="1102" w:type="pct"/>
            <w:vMerge w:val="restart"/>
            <w:shd w:val="clear" w:color="auto" w:fill="BFBFBF" w:themeFill="background1" w:themeFillShade="BF"/>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Study</w:t>
            </w:r>
          </w:p>
        </w:tc>
        <w:tc>
          <w:tcPr>
            <w:tcW w:w="1886" w:type="pct"/>
            <w:gridSpan w:val="6"/>
            <w:shd w:val="clear" w:color="auto" w:fill="BFBFBF" w:themeFill="background1" w:themeFillShade="BF"/>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Effects</w:t>
            </w:r>
          </w:p>
        </w:tc>
        <w:tc>
          <w:tcPr>
            <w:tcW w:w="1155" w:type="pct"/>
            <w:gridSpan w:val="3"/>
            <w:vMerge w:val="restart"/>
            <w:shd w:val="clear" w:color="auto" w:fill="BFBFBF" w:themeFill="background1" w:themeFillShade="BF"/>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Difference</w:t>
            </w:r>
          </w:p>
        </w:tc>
        <w:tc>
          <w:tcPr>
            <w:tcW w:w="858" w:type="pct"/>
            <w:vMerge w:val="restart"/>
            <w:shd w:val="clear" w:color="auto" w:fill="BFBFBF" w:themeFill="background1" w:themeFillShade="BF"/>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P</w:t>
            </w:r>
          </w:p>
        </w:tc>
      </w:tr>
      <w:tr w:rsidR="00062324" w:rsidRPr="00C60369" w:rsidTr="00E87DF2">
        <w:trPr>
          <w:jc w:val="center"/>
        </w:trPr>
        <w:tc>
          <w:tcPr>
            <w:tcW w:w="1102" w:type="pct"/>
            <w:vMerge/>
            <w:shd w:val="clear" w:color="auto" w:fill="BFBFBF" w:themeFill="background1" w:themeFillShade="BF"/>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p>
        </w:tc>
        <w:tc>
          <w:tcPr>
            <w:tcW w:w="943" w:type="pct"/>
            <w:gridSpan w:val="3"/>
            <w:shd w:val="clear" w:color="auto" w:fill="BFBFBF" w:themeFill="background1" w:themeFillShade="BF"/>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Early</w:t>
            </w:r>
          </w:p>
        </w:tc>
        <w:tc>
          <w:tcPr>
            <w:tcW w:w="943" w:type="pct"/>
            <w:gridSpan w:val="3"/>
            <w:shd w:val="clear" w:color="auto" w:fill="BFBFBF" w:themeFill="background1" w:themeFillShade="BF"/>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Late</w:t>
            </w:r>
          </w:p>
        </w:tc>
        <w:tc>
          <w:tcPr>
            <w:tcW w:w="1155" w:type="pct"/>
            <w:gridSpan w:val="3"/>
            <w:vMerge/>
            <w:shd w:val="clear" w:color="auto" w:fill="BFBFBF" w:themeFill="background1" w:themeFillShade="BF"/>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p>
        </w:tc>
        <w:tc>
          <w:tcPr>
            <w:tcW w:w="858" w:type="pct"/>
            <w:vMerge/>
            <w:shd w:val="clear" w:color="auto" w:fill="BFBFBF" w:themeFill="background1" w:themeFillShade="BF"/>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p>
        </w:tc>
      </w:tr>
      <w:tr w:rsidR="00062324" w:rsidRPr="00C60369" w:rsidTr="00E87DF2">
        <w:trPr>
          <w:jc w:val="center"/>
        </w:trPr>
        <w:tc>
          <w:tcPr>
            <w:tcW w:w="1102" w:type="pct"/>
            <w:vMerge/>
            <w:shd w:val="clear" w:color="auto" w:fill="BFBFBF" w:themeFill="background1" w:themeFillShade="BF"/>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p>
        </w:tc>
        <w:tc>
          <w:tcPr>
            <w:tcW w:w="349" w:type="pct"/>
            <w:gridSpan w:val="2"/>
            <w:shd w:val="clear" w:color="auto" w:fill="BFBFBF" w:themeFill="background1" w:themeFillShade="BF"/>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Total</w:t>
            </w:r>
          </w:p>
        </w:tc>
        <w:tc>
          <w:tcPr>
            <w:tcW w:w="594" w:type="pct"/>
            <w:shd w:val="clear" w:color="auto" w:fill="BFBFBF" w:themeFill="background1" w:themeFillShade="BF"/>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proofErr w:type="spellStart"/>
            <w:r w:rsidRPr="00C60369">
              <w:rPr>
                <w:rFonts w:ascii="Times New Roman" w:eastAsia="Times New Roman" w:hAnsi="Times New Roman" w:cs="Times New Roman"/>
                <w:b/>
                <w:color w:val="000000"/>
                <w:sz w:val="20"/>
                <w:szCs w:val="20"/>
              </w:rPr>
              <w:t>Mean±SD</w:t>
            </w:r>
            <w:proofErr w:type="spellEnd"/>
          </w:p>
        </w:tc>
        <w:tc>
          <w:tcPr>
            <w:tcW w:w="349" w:type="pct"/>
            <w:gridSpan w:val="2"/>
            <w:shd w:val="clear" w:color="auto" w:fill="BFBFBF" w:themeFill="background1" w:themeFillShade="BF"/>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Total</w:t>
            </w:r>
          </w:p>
        </w:tc>
        <w:tc>
          <w:tcPr>
            <w:tcW w:w="594" w:type="pct"/>
            <w:shd w:val="clear" w:color="auto" w:fill="BFBFBF" w:themeFill="background1" w:themeFillShade="BF"/>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proofErr w:type="spellStart"/>
            <w:r w:rsidRPr="00C60369">
              <w:rPr>
                <w:rFonts w:ascii="Times New Roman" w:eastAsia="Times New Roman" w:hAnsi="Times New Roman" w:cs="Times New Roman"/>
                <w:b/>
                <w:color w:val="000000"/>
                <w:sz w:val="20"/>
                <w:szCs w:val="20"/>
              </w:rPr>
              <w:t>Mean±SD</w:t>
            </w:r>
            <w:proofErr w:type="spellEnd"/>
          </w:p>
        </w:tc>
        <w:tc>
          <w:tcPr>
            <w:tcW w:w="615" w:type="pct"/>
            <w:shd w:val="clear" w:color="auto" w:fill="BFBFBF" w:themeFill="background1" w:themeFillShade="BF"/>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proofErr w:type="spellStart"/>
            <w:r w:rsidRPr="00C60369">
              <w:rPr>
                <w:rFonts w:ascii="Times New Roman" w:eastAsia="Times New Roman" w:hAnsi="Times New Roman" w:cs="Times New Roman"/>
                <w:b/>
                <w:color w:val="000000"/>
                <w:sz w:val="20"/>
                <w:szCs w:val="20"/>
              </w:rPr>
              <w:t>Mean±SE</w:t>
            </w:r>
            <w:proofErr w:type="spellEnd"/>
          </w:p>
        </w:tc>
        <w:tc>
          <w:tcPr>
            <w:tcW w:w="540" w:type="pct"/>
            <w:gridSpan w:val="2"/>
            <w:shd w:val="clear" w:color="auto" w:fill="BFBFBF" w:themeFill="background1" w:themeFillShade="BF"/>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95%CI</w:t>
            </w:r>
          </w:p>
        </w:tc>
        <w:tc>
          <w:tcPr>
            <w:tcW w:w="858" w:type="pct"/>
            <w:vMerge/>
            <w:shd w:val="clear" w:color="auto" w:fill="BFBFBF" w:themeFill="background1" w:themeFillShade="BF"/>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p>
        </w:tc>
      </w:tr>
      <w:tr w:rsidR="00062324" w:rsidRPr="00C60369" w:rsidTr="00E87DF2">
        <w:trPr>
          <w:jc w:val="center"/>
        </w:trPr>
        <w:tc>
          <w:tcPr>
            <w:tcW w:w="1102"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proofErr w:type="spellStart"/>
            <w:r w:rsidRPr="00C60369">
              <w:rPr>
                <w:rFonts w:ascii="Times New Roman" w:eastAsia="Times New Roman" w:hAnsi="Times New Roman" w:cs="Times New Roman"/>
                <w:b/>
                <w:color w:val="000000"/>
                <w:sz w:val="20"/>
                <w:szCs w:val="20"/>
              </w:rPr>
              <w:t>Bouman</w:t>
            </w:r>
            <w:proofErr w:type="spellEnd"/>
            <w:r w:rsidRPr="00C60369">
              <w:rPr>
                <w:rFonts w:ascii="Times New Roman" w:eastAsia="Times New Roman" w:hAnsi="Times New Roman" w:cs="Times New Roman"/>
                <w:b/>
                <w:color w:val="000000"/>
                <w:sz w:val="20"/>
                <w:szCs w:val="20"/>
              </w:rPr>
              <w:t xml:space="preserve"> et al., 2002</w:t>
            </w:r>
          </w:p>
        </w:tc>
        <w:tc>
          <w:tcPr>
            <w:tcW w:w="349" w:type="pct"/>
            <w:gridSpan w:val="2"/>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47</w:t>
            </w:r>
          </w:p>
        </w:tc>
        <w:tc>
          <w:tcPr>
            <w:tcW w:w="594"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32.7±35.7</w:t>
            </w:r>
          </w:p>
        </w:tc>
        <w:tc>
          <w:tcPr>
            <w:tcW w:w="349" w:type="pct"/>
            <w:gridSpan w:val="2"/>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26</w:t>
            </w:r>
          </w:p>
        </w:tc>
        <w:tc>
          <w:tcPr>
            <w:tcW w:w="594"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42±30.1</w:t>
            </w:r>
          </w:p>
        </w:tc>
        <w:tc>
          <w:tcPr>
            <w:tcW w:w="615"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-9.3±8.3</w:t>
            </w:r>
          </w:p>
        </w:tc>
        <w:tc>
          <w:tcPr>
            <w:tcW w:w="540" w:type="pct"/>
            <w:gridSpan w:val="2"/>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-25.5–6.9</w:t>
            </w:r>
          </w:p>
        </w:tc>
        <w:tc>
          <w:tcPr>
            <w:tcW w:w="858"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0.261</w:t>
            </w:r>
          </w:p>
        </w:tc>
      </w:tr>
      <w:tr w:rsidR="00062324" w:rsidRPr="00C60369" w:rsidTr="00E87DF2">
        <w:trPr>
          <w:jc w:val="center"/>
        </w:trPr>
        <w:tc>
          <w:tcPr>
            <w:tcW w:w="1102"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Wald et al., 2015</w:t>
            </w:r>
          </w:p>
        </w:tc>
        <w:tc>
          <w:tcPr>
            <w:tcW w:w="349" w:type="pct"/>
            <w:gridSpan w:val="2"/>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30</w:t>
            </w:r>
          </w:p>
        </w:tc>
        <w:tc>
          <w:tcPr>
            <w:tcW w:w="594"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29.0±21.5</w:t>
            </w:r>
          </w:p>
        </w:tc>
        <w:tc>
          <w:tcPr>
            <w:tcW w:w="349" w:type="pct"/>
            <w:gridSpan w:val="2"/>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33</w:t>
            </w:r>
          </w:p>
        </w:tc>
        <w:tc>
          <w:tcPr>
            <w:tcW w:w="594"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31.0±23</w:t>
            </w:r>
          </w:p>
        </w:tc>
        <w:tc>
          <w:tcPr>
            <w:tcW w:w="615"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-2.0±5.6</w:t>
            </w:r>
          </w:p>
        </w:tc>
        <w:tc>
          <w:tcPr>
            <w:tcW w:w="540" w:type="pct"/>
            <w:gridSpan w:val="2"/>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-13.0–9.0</w:t>
            </w:r>
          </w:p>
        </w:tc>
        <w:tc>
          <w:tcPr>
            <w:tcW w:w="858"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0.722</w:t>
            </w:r>
          </w:p>
        </w:tc>
      </w:tr>
      <w:tr w:rsidR="00062324" w:rsidRPr="00C60369" w:rsidTr="00E87DF2">
        <w:trPr>
          <w:jc w:val="center"/>
        </w:trPr>
        <w:tc>
          <w:tcPr>
            <w:tcW w:w="1102"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proofErr w:type="spellStart"/>
            <w:r w:rsidRPr="00C60369">
              <w:rPr>
                <w:rFonts w:ascii="Times New Roman" w:eastAsia="Times New Roman" w:hAnsi="Times New Roman" w:cs="Times New Roman"/>
                <w:b/>
                <w:color w:val="000000"/>
                <w:sz w:val="20"/>
                <w:szCs w:val="20"/>
              </w:rPr>
              <w:t>Combes</w:t>
            </w:r>
            <w:proofErr w:type="spellEnd"/>
            <w:r w:rsidRPr="00C60369">
              <w:rPr>
                <w:rFonts w:ascii="Times New Roman" w:eastAsia="Times New Roman" w:hAnsi="Times New Roman" w:cs="Times New Roman"/>
                <w:b/>
                <w:color w:val="000000"/>
                <w:sz w:val="20"/>
                <w:szCs w:val="20"/>
              </w:rPr>
              <w:t xml:space="preserve"> et al., 2015</w:t>
            </w:r>
          </w:p>
        </w:tc>
        <w:tc>
          <w:tcPr>
            <w:tcW w:w="349" w:type="pct"/>
            <w:gridSpan w:val="2"/>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62</w:t>
            </w:r>
          </w:p>
        </w:tc>
        <w:tc>
          <w:tcPr>
            <w:tcW w:w="594"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37.0±23.7</w:t>
            </w:r>
          </w:p>
        </w:tc>
        <w:tc>
          <w:tcPr>
            <w:tcW w:w="349" w:type="pct"/>
            <w:gridSpan w:val="2"/>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68</w:t>
            </w:r>
          </w:p>
        </w:tc>
        <w:tc>
          <w:tcPr>
            <w:tcW w:w="594"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29.0±21.5</w:t>
            </w:r>
          </w:p>
        </w:tc>
        <w:tc>
          <w:tcPr>
            <w:tcW w:w="615"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8.0±4.0</w:t>
            </w:r>
          </w:p>
        </w:tc>
        <w:tc>
          <w:tcPr>
            <w:tcW w:w="540" w:type="pct"/>
            <w:gridSpan w:val="2"/>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0.2–15.8</w:t>
            </w:r>
          </w:p>
        </w:tc>
        <w:tc>
          <w:tcPr>
            <w:tcW w:w="858"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0.044*</w:t>
            </w:r>
          </w:p>
        </w:tc>
      </w:tr>
      <w:tr w:rsidR="00062324" w:rsidRPr="00C60369" w:rsidTr="00E87DF2">
        <w:trPr>
          <w:jc w:val="center"/>
        </w:trPr>
        <w:tc>
          <w:tcPr>
            <w:tcW w:w="1102"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proofErr w:type="spellStart"/>
            <w:r w:rsidRPr="00C60369">
              <w:rPr>
                <w:rFonts w:ascii="Times New Roman" w:eastAsia="Times New Roman" w:hAnsi="Times New Roman" w:cs="Times New Roman"/>
                <w:b/>
                <w:color w:val="000000"/>
                <w:sz w:val="20"/>
                <w:szCs w:val="20"/>
              </w:rPr>
              <w:t>Gaudry</w:t>
            </w:r>
            <w:proofErr w:type="spellEnd"/>
            <w:r w:rsidRPr="00C60369">
              <w:rPr>
                <w:rFonts w:ascii="Times New Roman" w:eastAsia="Times New Roman" w:hAnsi="Times New Roman" w:cs="Times New Roman"/>
                <w:b/>
                <w:color w:val="000000"/>
                <w:sz w:val="20"/>
                <w:szCs w:val="20"/>
              </w:rPr>
              <w:t xml:space="preserve"> et al., 2016</w:t>
            </w:r>
          </w:p>
        </w:tc>
        <w:tc>
          <w:tcPr>
            <w:tcW w:w="349" w:type="pct"/>
            <w:gridSpan w:val="2"/>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161</w:t>
            </w:r>
          </w:p>
        </w:tc>
        <w:tc>
          <w:tcPr>
            <w:tcW w:w="594"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29.0±25.2</w:t>
            </w:r>
          </w:p>
        </w:tc>
        <w:tc>
          <w:tcPr>
            <w:tcW w:w="349" w:type="pct"/>
            <w:gridSpan w:val="2"/>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155</w:t>
            </w:r>
          </w:p>
        </w:tc>
        <w:tc>
          <w:tcPr>
            <w:tcW w:w="594"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32.0±23</w:t>
            </w:r>
          </w:p>
        </w:tc>
        <w:tc>
          <w:tcPr>
            <w:tcW w:w="615"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-3.0±2.7</w:t>
            </w:r>
          </w:p>
        </w:tc>
        <w:tc>
          <w:tcPr>
            <w:tcW w:w="540" w:type="pct"/>
            <w:gridSpan w:val="2"/>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-8.3–2.3</w:t>
            </w:r>
          </w:p>
        </w:tc>
        <w:tc>
          <w:tcPr>
            <w:tcW w:w="858"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0.270</w:t>
            </w:r>
          </w:p>
        </w:tc>
      </w:tr>
      <w:tr w:rsidR="00DC493E" w:rsidRPr="00C60369" w:rsidTr="00E87DF2">
        <w:trPr>
          <w:jc w:val="center"/>
        </w:trPr>
        <w:tc>
          <w:tcPr>
            <w:tcW w:w="2987" w:type="pct"/>
            <w:gridSpan w:val="7"/>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b/>
                <w:color w:val="000000"/>
                <w:sz w:val="20"/>
                <w:szCs w:val="20"/>
              </w:rPr>
              <w:t>Overall effect</w:t>
            </w:r>
          </w:p>
        </w:tc>
        <w:tc>
          <w:tcPr>
            <w:tcW w:w="615"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-0.4±2.0</w:t>
            </w:r>
          </w:p>
        </w:tc>
        <w:tc>
          <w:tcPr>
            <w:tcW w:w="540" w:type="pct"/>
            <w:gridSpan w:val="2"/>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-4.4–3.6</w:t>
            </w:r>
          </w:p>
        </w:tc>
        <w:tc>
          <w:tcPr>
            <w:tcW w:w="858"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0.846</w:t>
            </w:r>
            <w:r w:rsidR="00E87DF2" w:rsidRPr="00C60369">
              <w:rPr>
                <w:rFonts w:ascii="Times New Roman" w:hAnsi="Times New Roman" w:cs="Times New Roman"/>
                <w:b/>
                <w:color w:val="000000"/>
                <w:sz w:val="20"/>
                <w:szCs w:val="20"/>
                <w:lang w:eastAsia="zh-CN"/>
              </w:rPr>
              <w:t xml:space="preserve"> </w:t>
            </w:r>
            <w:r w:rsidRPr="00C60369">
              <w:rPr>
                <w:rFonts w:ascii="Times New Roman" w:eastAsia="Times New Roman" w:hAnsi="Times New Roman" w:cs="Times New Roman"/>
                <w:b/>
                <w:color w:val="000000"/>
                <w:sz w:val="20"/>
                <w:szCs w:val="20"/>
              </w:rPr>
              <w:t>(z=0.195)</w:t>
            </w:r>
          </w:p>
        </w:tc>
      </w:tr>
      <w:tr w:rsidR="00062324" w:rsidRPr="00C60369" w:rsidTr="00E87DF2">
        <w:trPr>
          <w:jc w:val="center"/>
        </w:trPr>
        <w:tc>
          <w:tcPr>
            <w:tcW w:w="1276" w:type="pct"/>
            <w:gridSpan w:val="2"/>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Heterogeneity</w:t>
            </w:r>
          </w:p>
        </w:tc>
        <w:tc>
          <w:tcPr>
            <w:tcW w:w="943" w:type="pct"/>
            <w:gridSpan w:val="3"/>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I</w:t>
            </w:r>
            <w:r w:rsidRPr="00C60369">
              <w:rPr>
                <w:rFonts w:ascii="Times New Roman" w:eastAsia="Times New Roman" w:hAnsi="Times New Roman" w:cs="Times New Roman"/>
                <w:b/>
                <w:color w:val="000000"/>
                <w:sz w:val="20"/>
                <w:szCs w:val="20"/>
                <w:vertAlign w:val="superscript"/>
              </w:rPr>
              <w:t>2</w:t>
            </w:r>
          </w:p>
        </w:tc>
        <w:tc>
          <w:tcPr>
            <w:tcW w:w="768" w:type="pct"/>
            <w:gridSpan w:val="2"/>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54.853</w:t>
            </w:r>
          </w:p>
        </w:tc>
        <w:tc>
          <w:tcPr>
            <w:tcW w:w="885" w:type="pct"/>
            <w:gridSpan w:val="2"/>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P</w:t>
            </w:r>
          </w:p>
        </w:tc>
        <w:tc>
          <w:tcPr>
            <w:tcW w:w="1128" w:type="pct"/>
            <w:gridSpan w:val="2"/>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0.084</w:t>
            </w:r>
          </w:p>
        </w:tc>
      </w:tr>
    </w:tbl>
    <w:p w:rsidR="009D6667" w:rsidRPr="00C60369" w:rsidRDefault="00DC493E" w:rsidP="00C60369">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RR: Relative rate, CI: Confidence interval, *Significant</w:t>
      </w:r>
    </w:p>
    <w:p w:rsidR="00DC493E" w:rsidRPr="00C60369" w:rsidRDefault="00DC493E" w:rsidP="00567C4E">
      <w:pPr>
        <w:autoSpaceDE w:val="0"/>
        <w:autoSpaceDN w:val="0"/>
        <w:bidi w:val="0"/>
        <w:snapToGrid w:val="0"/>
        <w:spacing w:after="0" w:line="240" w:lineRule="auto"/>
        <w:jc w:val="center"/>
        <w:rPr>
          <w:rFonts w:ascii="Times New Roman" w:eastAsia="Times New Roman" w:hAnsi="Times New Roman" w:cs="Times New Roman"/>
          <w:b/>
          <w:color w:val="000000"/>
          <w:sz w:val="20"/>
          <w:szCs w:val="20"/>
        </w:rPr>
      </w:pPr>
      <w:r w:rsidRPr="00C60369">
        <w:rPr>
          <w:rFonts w:ascii="Times New Roman" w:eastAsia="Times New Roman" w:hAnsi="Times New Roman" w:cs="Times New Roman"/>
          <w:noProof/>
          <w:color w:val="000000"/>
          <w:sz w:val="20"/>
          <w:szCs w:val="20"/>
          <w:lang w:eastAsia="zh-CN"/>
        </w:rPr>
        <w:drawing>
          <wp:inline distT="0" distB="0" distL="0" distR="0">
            <wp:extent cx="3333143" cy="1485403"/>
            <wp:effectExtent l="38100" t="57150" r="114907" b="95747"/>
            <wp:docPr id="18"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6" descr="C:/Users/mahmoud/AppData/Roaming/PolarisOffice/ETemp/6472_5042280/fImage173081485724.emf"/>
                    <pic:cNvPicPr preferRelativeResize="0">
                      <a:picLocks noChangeAspect="1" noChangeArrowheads="1"/>
                    </pic:cNvPicPr>
                  </pic:nvPicPr>
                  <pic:blipFill>
                    <a:blip r:embed="rId18" cstate="print">
                      <a:lum bright="-20000" contrast="40000"/>
                    </a:blip>
                    <a:srcRect l="4444" t="9722" r="27639" b="60278"/>
                    <a:stretch>
                      <a:fillRect/>
                    </a:stretch>
                  </pic:blipFill>
                  <pic:spPr>
                    <a:xfrm>
                      <a:off x="0" y="0"/>
                      <a:ext cx="3363294" cy="1498840"/>
                    </a:xfrm>
                    <a:prstGeom prst="rect">
                      <a:avLst/>
                    </a:prstGeom>
                    <a:ln w="38100" cap="sq" cmpd="sng">
                      <a:solidFill>
                        <a:prstClr val="black"/>
                      </a:solidFill>
                      <a:prstDash val="solid"/>
                      <a:miter lim="800000"/>
                    </a:ln>
                    <a:effectLst>
                      <a:outerShdw blurRad="50800" dist="38100" dir="2700000" algn="tl" rotWithShape="0">
                        <a:prstClr val="black">
                          <a:alpha val="43000"/>
                        </a:prstClr>
                      </a:outerShdw>
                    </a:effectLst>
                  </pic:spPr>
                </pic:pic>
              </a:graphicData>
            </a:graphic>
          </wp:inline>
        </w:drawing>
      </w:r>
    </w:p>
    <w:p w:rsidR="00DC493E" w:rsidRPr="00C60369" w:rsidRDefault="00DC493E" w:rsidP="00E87DF2">
      <w:pPr>
        <w:autoSpaceDE w:val="0"/>
        <w:autoSpaceDN w:val="0"/>
        <w:bidi w:val="0"/>
        <w:snapToGrid w:val="0"/>
        <w:spacing w:after="0" w:line="240" w:lineRule="auto"/>
        <w:jc w:val="center"/>
        <w:rPr>
          <w:rFonts w:ascii="Times New Roman" w:hAnsi="Times New Roman" w:cs="Times New Roman"/>
          <w:bCs/>
          <w:color w:val="000000"/>
          <w:sz w:val="20"/>
          <w:szCs w:val="20"/>
          <w:lang w:eastAsia="zh-CN"/>
        </w:rPr>
      </w:pPr>
      <w:r w:rsidRPr="00C60369">
        <w:rPr>
          <w:rFonts w:ascii="Times New Roman" w:eastAsia="Times New Roman" w:hAnsi="Times New Roman" w:cs="Times New Roman"/>
          <w:b/>
          <w:color w:val="000000"/>
          <w:sz w:val="20"/>
          <w:szCs w:val="20"/>
        </w:rPr>
        <w:t xml:space="preserve">Figure (6): </w:t>
      </w:r>
      <w:r w:rsidRPr="00C60369">
        <w:rPr>
          <w:rFonts w:ascii="Times New Roman" w:eastAsia="Times New Roman" w:hAnsi="Times New Roman" w:cs="Times New Roman"/>
          <w:bCs/>
          <w:color w:val="000000"/>
          <w:sz w:val="20"/>
          <w:szCs w:val="20"/>
        </w:rPr>
        <w:t>Forest plot for hospital stay among survivors</w:t>
      </w:r>
    </w:p>
    <w:p w:rsidR="00E87DF2" w:rsidRPr="00C60369" w:rsidRDefault="00E87DF2" w:rsidP="00E87DF2">
      <w:pPr>
        <w:autoSpaceDE w:val="0"/>
        <w:autoSpaceDN w:val="0"/>
        <w:bidi w:val="0"/>
        <w:snapToGrid w:val="0"/>
        <w:spacing w:after="0" w:line="240" w:lineRule="auto"/>
        <w:jc w:val="center"/>
        <w:rPr>
          <w:rFonts w:ascii="Times New Roman" w:hAnsi="Times New Roman" w:cs="Times New Roman"/>
          <w:b/>
          <w:color w:val="000000"/>
          <w:sz w:val="20"/>
          <w:szCs w:val="20"/>
          <w:lang w:eastAsia="zh-CN"/>
        </w:rPr>
      </w:pPr>
    </w:p>
    <w:p w:rsidR="00DC493E" w:rsidRPr="00C60369" w:rsidRDefault="00DC493E" w:rsidP="00567C4E">
      <w:pPr>
        <w:autoSpaceDE w:val="0"/>
        <w:autoSpaceDN w:val="0"/>
        <w:bidi w:val="0"/>
        <w:snapToGrid w:val="0"/>
        <w:spacing w:after="0" w:line="240" w:lineRule="auto"/>
        <w:jc w:val="center"/>
        <w:rPr>
          <w:rFonts w:ascii="Times New Roman" w:eastAsia="Times New Roman" w:hAnsi="Times New Roman" w:cs="Times New Roman"/>
          <w:b/>
          <w:color w:val="000000"/>
          <w:sz w:val="20"/>
          <w:szCs w:val="20"/>
        </w:rPr>
      </w:pPr>
      <w:r w:rsidRPr="00C60369">
        <w:rPr>
          <w:rFonts w:ascii="Times New Roman" w:eastAsia="Times New Roman" w:hAnsi="Times New Roman" w:cs="Times New Roman"/>
          <w:noProof/>
          <w:color w:val="000000"/>
          <w:sz w:val="20"/>
          <w:szCs w:val="20"/>
          <w:lang w:eastAsia="zh-CN"/>
        </w:rPr>
        <w:drawing>
          <wp:inline distT="0" distB="0" distL="0" distR="0">
            <wp:extent cx="3404815" cy="1851163"/>
            <wp:effectExtent l="38100" t="57150" r="119435" b="91937"/>
            <wp:docPr id="19"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7" descr="C:/Users/mahmoud/AppData/Roaming/PolarisOffice/ETemp/6472_5042280/fImage86441491478.emf"/>
                    <pic:cNvPicPr preferRelativeResize="0">
                      <a:picLocks noChangeAspect="1" noChangeArrowheads="1"/>
                    </pic:cNvPicPr>
                  </pic:nvPicPr>
                  <pic:blipFill>
                    <a:blip r:embed="rId19" cstate="print"/>
                    <a:srcRect l="7083" t="3581" r="14028" b="4348"/>
                    <a:stretch>
                      <a:fillRect/>
                    </a:stretch>
                  </pic:blipFill>
                  <pic:spPr>
                    <a:xfrm>
                      <a:off x="0" y="0"/>
                      <a:ext cx="3414028" cy="1856172"/>
                    </a:xfrm>
                    <a:prstGeom prst="rect">
                      <a:avLst/>
                    </a:prstGeom>
                    <a:ln w="38100" cap="sq" cmpd="sng">
                      <a:solidFill>
                        <a:prstClr val="black"/>
                      </a:solidFill>
                      <a:prstDash val="solid"/>
                      <a:miter lim="800000"/>
                    </a:ln>
                    <a:effectLst>
                      <a:outerShdw blurRad="50800" dist="38100" dir="2700000" algn="tl" rotWithShape="0">
                        <a:prstClr val="black">
                          <a:alpha val="43000"/>
                        </a:prstClr>
                      </a:outerShdw>
                    </a:effectLst>
                  </pic:spPr>
                </pic:pic>
              </a:graphicData>
            </a:graphic>
          </wp:inline>
        </w:drawing>
      </w:r>
    </w:p>
    <w:p w:rsidR="00DC493E" w:rsidRPr="00C60369" w:rsidRDefault="00DC493E" w:rsidP="00E87DF2">
      <w:pPr>
        <w:autoSpaceDE w:val="0"/>
        <w:autoSpaceDN w:val="0"/>
        <w:bidi w:val="0"/>
        <w:snapToGrid w:val="0"/>
        <w:spacing w:after="0" w:line="240" w:lineRule="auto"/>
        <w:jc w:val="center"/>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 xml:space="preserve">Figure (7): </w:t>
      </w:r>
      <w:r w:rsidRPr="00C60369">
        <w:rPr>
          <w:rFonts w:ascii="Times New Roman" w:eastAsia="Times New Roman" w:hAnsi="Times New Roman" w:cs="Times New Roman"/>
          <w:bCs/>
          <w:color w:val="000000"/>
          <w:sz w:val="20"/>
          <w:szCs w:val="20"/>
        </w:rPr>
        <w:t>Funnel plot for ICU stay among survivors</w:t>
      </w:r>
    </w:p>
    <w:p w:rsidR="00DC493E" w:rsidRDefault="00DC493E" w:rsidP="00567C4E">
      <w:pPr>
        <w:autoSpaceDE w:val="0"/>
        <w:autoSpaceDN w:val="0"/>
        <w:bidi w:val="0"/>
        <w:snapToGrid w:val="0"/>
        <w:spacing w:after="0" w:line="240" w:lineRule="auto"/>
        <w:ind w:firstLine="425"/>
        <w:jc w:val="both"/>
        <w:rPr>
          <w:rFonts w:ascii="Times New Roman" w:hAnsi="Times New Roman" w:cs="Times New Roman" w:hint="eastAsia"/>
          <w:color w:val="000000"/>
          <w:sz w:val="20"/>
          <w:szCs w:val="20"/>
          <w:lang w:eastAsia="zh-CN"/>
        </w:rPr>
      </w:pPr>
    </w:p>
    <w:p w:rsidR="00C60369" w:rsidRPr="00C60369" w:rsidRDefault="00C60369" w:rsidP="00C60369">
      <w:pPr>
        <w:autoSpaceDE w:val="0"/>
        <w:autoSpaceDN w:val="0"/>
        <w:bidi w:val="0"/>
        <w:snapToGrid w:val="0"/>
        <w:spacing w:after="0" w:line="240" w:lineRule="auto"/>
        <w:ind w:firstLine="425"/>
        <w:jc w:val="both"/>
        <w:rPr>
          <w:rFonts w:ascii="Times New Roman" w:hAnsi="Times New Roman" w:cs="Times New Roman" w:hint="eastAsia"/>
          <w:color w:val="000000"/>
          <w:sz w:val="20"/>
          <w:szCs w:val="20"/>
          <w:lang w:eastAsia="zh-CN"/>
        </w:rPr>
      </w:pPr>
    </w:p>
    <w:p w:rsidR="00567C4E" w:rsidRPr="00C60369" w:rsidRDefault="00567C4E" w:rsidP="00567C4E">
      <w:pPr>
        <w:autoSpaceDE w:val="0"/>
        <w:autoSpaceDN w:val="0"/>
        <w:bidi w:val="0"/>
        <w:snapToGrid w:val="0"/>
        <w:spacing w:after="0" w:line="240" w:lineRule="auto"/>
        <w:ind w:firstLine="425"/>
        <w:jc w:val="both"/>
        <w:rPr>
          <w:rFonts w:ascii="Times New Roman" w:eastAsia="Times New Roman" w:hAnsi="Times New Roman" w:cs="Times New Roman"/>
          <w:color w:val="000000"/>
          <w:sz w:val="20"/>
          <w:szCs w:val="20"/>
        </w:rPr>
        <w:sectPr w:rsidR="00567C4E" w:rsidRPr="00C60369" w:rsidSect="00062324">
          <w:type w:val="continuous"/>
          <w:pgSz w:w="12240" w:h="15840"/>
          <w:pgMar w:top="1440" w:right="1440" w:bottom="1440" w:left="1440" w:header="720" w:footer="720" w:gutter="0"/>
          <w:cols w:space="720"/>
          <w:rtlGutter/>
          <w:docGrid w:linePitch="360"/>
        </w:sectPr>
      </w:pPr>
    </w:p>
    <w:p w:rsidR="00DC493E" w:rsidRPr="00C60369" w:rsidRDefault="00DC493E" w:rsidP="00567C4E">
      <w:pPr>
        <w:autoSpaceDE w:val="0"/>
        <w:autoSpaceDN w:val="0"/>
        <w:bidi w:val="0"/>
        <w:snapToGrid w:val="0"/>
        <w:spacing w:after="0" w:line="240" w:lineRule="auto"/>
        <w:ind w:firstLine="425"/>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lastRenderedPageBreak/>
        <w:t>Table (8) and figure (8) show that: Hospital stay among non-survivors was reported in the two included studies. There was no</w:t>
      </w:r>
      <w:r w:rsidR="00062324" w:rsidRPr="00C60369">
        <w:rPr>
          <w:rFonts w:ascii="Times New Roman" w:eastAsia="Times New Roman" w:hAnsi="Times New Roman" w:cs="Times New Roman"/>
          <w:color w:val="000000"/>
          <w:sz w:val="20"/>
          <w:szCs w:val="20"/>
        </w:rPr>
        <w:t xml:space="preserve"> </w:t>
      </w:r>
      <w:r w:rsidRPr="00C60369">
        <w:rPr>
          <w:rFonts w:ascii="Times New Roman" w:eastAsia="Times New Roman" w:hAnsi="Times New Roman" w:cs="Times New Roman"/>
          <w:color w:val="000000"/>
          <w:sz w:val="20"/>
          <w:szCs w:val="20"/>
        </w:rPr>
        <w:t xml:space="preserve">significant heterogeneity among these studies. Thus, we performed the statistics using a </w:t>
      </w:r>
      <w:r w:rsidRPr="00C60369">
        <w:rPr>
          <w:rFonts w:ascii="Times New Roman" w:eastAsia="Times New Roman" w:hAnsi="Times New Roman" w:cs="Times New Roman"/>
          <w:color w:val="000000"/>
          <w:sz w:val="20"/>
          <w:szCs w:val="20"/>
        </w:rPr>
        <w:lastRenderedPageBreak/>
        <w:t>fixed-effects model, and the results showed that hospital stay among non-survivors was not significantly different between early and late interventions.</w:t>
      </w:r>
    </w:p>
    <w:p w:rsidR="00567C4E" w:rsidRPr="00C60369" w:rsidRDefault="00567C4E" w:rsidP="00567C4E">
      <w:pPr>
        <w:bidi w:val="0"/>
        <w:snapToGrid w:val="0"/>
        <w:spacing w:after="0" w:line="240" w:lineRule="auto"/>
        <w:jc w:val="both"/>
        <w:rPr>
          <w:rFonts w:ascii="Times New Roman" w:eastAsia="Times New Roman" w:hAnsi="Times New Roman" w:cs="Times New Roman"/>
          <w:b/>
          <w:color w:val="000000"/>
          <w:sz w:val="20"/>
          <w:szCs w:val="20"/>
        </w:rPr>
        <w:sectPr w:rsidR="00567C4E" w:rsidRPr="00C60369" w:rsidSect="00567C4E">
          <w:type w:val="continuous"/>
          <w:pgSz w:w="12240" w:h="15840"/>
          <w:pgMar w:top="1440" w:right="1440" w:bottom="1440" w:left="1440" w:header="720" w:footer="720" w:gutter="0"/>
          <w:cols w:num="2" w:space="550"/>
          <w:rtlGutter/>
          <w:docGrid w:linePitch="360"/>
        </w:sectPr>
      </w:pPr>
    </w:p>
    <w:p w:rsidR="00DC493E" w:rsidRPr="00C60369" w:rsidRDefault="00DC493E" w:rsidP="00567C4E">
      <w:pPr>
        <w:bidi w:val="0"/>
        <w:snapToGrid w:val="0"/>
        <w:spacing w:after="0" w:line="240" w:lineRule="auto"/>
        <w:jc w:val="both"/>
        <w:rPr>
          <w:rFonts w:ascii="Times New Roman" w:eastAsia="Times New Roman" w:hAnsi="Times New Roman" w:cs="Times New Roman"/>
          <w:b/>
          <w:color w:val="000000"/>
          <w:sz w:val="20"/>
          <w:szCs w:val="20"/>
        </w:rPr>
      </w:pPr>
    </w:p>
    <w:p w:rsidR="00DC493E" w:rsidRPr="00C60369" w:rsidRDefault="00DC493E" w:rsidP="00E87DF2">
      <w:pPr>
        <w:bidi w:val="0"/>
        <w:snapToGrid w:val="0"/>
        <w:spacing w:after="0" w:line="240" w:lineRule="auto"/>
        <w:jc w:val="center"/>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 xml:space="preserve">Table (8): </w:t>
      </w:r>
      <w:r w:rsidRPr="00C60369">
        <w:rPr>
          <w:rFonts w:ascii="Times New Roman" w:eastAsia="Times New Roman" w:hAnsi="Times New Roman" w:cs="Times New Roman"/>
          <w:bCs/>
          <w:color w:val="000000"/>
          <w:sz w:val="20"/>
          <w:szCs w:val="20"/>
        </w:rPr>
        <w:t>Meta-analysis for hospital stay (days) among non-survivors.</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FF" w:themeFill="background1"/>
        <w:tblCellMar>
          <w:left w:w="57" w:type="dxa"/>
          <w:right w:w="57" w:type="dxa"/>
        </w:tblCellMar>
        <w:tblLook w:val="04A0"/>
      </w:tblPr>
      <w:tblGrid>
        <w:gridCol w:w="2045"/>
        <w:gridCol w:w="338"/>
        <w:gridCol w:w="336"/>
        <w:gridCol w:w="1129"/>
        <w:gridCol w:w="337"/>
        <w:gridCol w:w="335"/>
        <w:gridCol w:w="1131"/>
        <w:gridCol w:w="1169"/>
        <w:gridCol w:w="513"/>
        <w:gridCol w:w="515"/>
        <w:gridCol w:w="1626"/>
      </w:tblGrid>
      <w:tr w:rsidR="00DC493E" w:rsidRPr="00C60369" w:rsidTr="00E87DF2">
        <w:trPr>
          <w:jc w:val="center"/>
        </w:trPr>
        <w:tc>
          <w:tcPr>
            <w:tcW w:w="1079" w:type="pct"/>
            <w:vMerge w:val="restart"/>
            <w:shd w:val="clear" w:color="auto" w:fill="BFBFBF" w:themeFill="background1" w:themeFillShade="BF"/>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Study</w:t>
            </w:r>
          </w:p>
        </w:tc>
        <w:tc>
          <w:tcPr>
            <w:tcW w:w="1902" w:type="pct"/>
            <w:gridSpan w:val="6"/>
            <w:shd w:val="clear" w:color="auto" w:fill="BFBFBF" w:themeFill="background1" w:themeFillShade="BF"/>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Effects</w:t>
            </w:r>
          </w:p>
        </w:tc>
        <w:tc>
          <w:tcPr>
            <w:tcW w:w="1160" w:type="pct"/>
            <w:gridSpan w:val="3"/>
            <w:vMerge w:val="restart"/>
            <w:shd w:val="clear" w:color="auto" w:fill="BFBFBF" w:themeFill="background1" w:themeFillShade="BF"/>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Difference</w:t>
            </w:r>
          </w:p>
        </w:tc>
        <w:tc>
          <w:tcPr>
            <w:tcW w:w="859" w:type="pct"/>
            <w:vMerge w:val="restart"/>
            <w:shd w:val="clear" w:color="auto" w:fill="BFBFBF" w:themeFill="background1" w:themeFillShade="BF"/>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P</w:t>
            </w:r>
          </w:p>
        </w:tc>
      </w:tr>
      <w:tr w:rsidR="00DC493E" w:rsidRPr="00C60369" w:rsidTr="00E87DF2">
        <w:trPr>
          <w:jc w:val="center"/>
        </w:trPr>
        <w:tc>
          <w:tcPr>
            <w:tcW w:w="1079" w:type="pct"/>
            <w:vMerge/>
            <w:shd w:val="clear" w:color="auto" w:fill="BFBFBF" w:themeFill="background1" w:themeFillShade="BF"/>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p>
        </w:tc>
        <w:tc>
          <w:tcPr>
            <w:tcW w:w="951" w:type="pct"/>
            <w:gridSpan w:val="3"/>
            <w:shd w:val="clear" w:color="auto" w:fill="BFBFBF" w:themeFill="background1" w:themeFillShade="BF"/>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Early</w:t>
            </w:r>
          </w:p>
        </w:tc>
        <w:tc>
          <w:tcPr>
            <w:tcW w:w="951" w:type="pct"/>
            <w:gridSpan w:val="3"/>
            <w:shd w:val="clear" w:color="auto" w:fill="BFBFBF" w:themeFill="background1" w:themeFillShade="BF"/>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Late</w:t>
            </w:r>
          </w:p>
        </w:tc>
        <w:tc>
          <w:tcPr>
            <w:tcW w:w="1160" w:type="pct"/>
            <w:gridSpan w:val="3"/>
            <w:vMerge/>
            <w:shd w:val="clear" w:color="auto" w:fill="BFBFBF" w:themeFill="background1" w:themeFillShade="BF"/>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p>
        </w:tc>
        <w:tc>
          <w:tcPr>
            <w:tcW w:w="859" w:type="pct"/>
            <w:vMerge/>
            <w:shd w:val="clear" w:color="auto" w:fill="BFBFBF" w:themeFill="background1" w:themeFillShade="BF"/>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p>
        </w:tc>
      </w:tr>
      <w:tr w:rsidR="00062324" w:rsidRPr="00C60369" w:rsidTr="00E87DF2">
        <w:trPr>
          <w:jc w:val="center"/>
        </w:trPr>
        <w:tc>
          <w:tcPr>
            <w:tcW w:w="1079" w:type="pct"/>
            <w:vMerge/>
            <w:shd w:val="clear" w:color="auto" w:fill="BFBFBF" w:themeFill="background1" w:themeFillShade="BF"/>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p>
        </w:tc>
        <w:tc>
          <w:tcPr>
            <w:tcW w:w="355" w:type="pct"/>
            <w:gridSpan w:val="2"/>
            <w:shd w:val="clear" w:color="auto" w:fill="BFBFBF" w:themeFill="background1" w:themeFillShade="BF"/>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Total</w:t>
            </w:r>
          </w:p>
        </w:tc>
        <w:tc>
          <w:tcPr>
            <w:tcW w:w="596" w:type="pct"/>
            <w:shd w:val="clear" w:color="auto" w:fill="BFBFBF" w:themeFill="background1" w:themeFillShade="BF"/>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proofErr w:type="spellStart"/>
            <w:r w:rsidRPr="00C60369">
              <w:rPr>
                <w:rFonts w:ascii="Times New Roman" w:eastAsia="Times New Roman" w:hAnsi="Times New Roman" w:cs="Times New Roman"/>
                <w:b/>
                <w:color w:val="000000"/>
                <w:sz w:val="20"/>
                <w:szCs w:val="20"/>
              </w:rPr>
              <w:t>Mean±SD</w:t>
            </w:r>
            <w:proofErr w:type="spellEnd"/>
          </w:p>
        </w:tc>
        <w:tc>
          <w:tcPr>
            <w:tcW w:w="355" w:type="pct"/>
            <w:gridSpan w:val="2"/>
            <w:shd w:val="clear" w:color="auto" w:fill="BFBFBF" w:themeFill="background1" w:themeFillShade="BF"/>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Total</w:t>
            </w:r>
          </w:p>
        </w:tc>
        <w:tc>
          <w:tcPr>
            <w:tcW w:w="596" w:type="pct"/>
            <w:shd w:val="clear" w:color="auto" w:fill="BFBFBF" w:themeFill="background1" w:themeFillShade="BF"/>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proofErr w:type="spellStart"/>
            <w:r w:rsidRPr="00C60369">
              <w:rPr>
                <w:rFonts w:ascii="Times New Roman" w:eastAsia="Times New Roman" w:hAnsi="Times New Roman" w:cs="Times New Roman"/>
                <w:b/>
                <w:color w:val="000000"/>
                <w:sz w:val="20"/>
                <w:szCs w:val="20"/>
              </w:rPr>
              <w:t>Mean±SD</w:t>
            </w:r>
            <w:proofErr w:type="spellEnd"/>
          </w:p>
        </w:tc>
        <w:tc>
          <w:tcPr>
            <w:tcW w:w="617" w:type="pct"/>
            <w:shd w:val="clear" w:color="auto" w:fill="BFBFBF" w:themeFill="background1" w:themeFillShade="BF"/>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proofErr w:type="spellStart"/>
            <w:r w:rsidRPr="00C60369">
              <w:rPr>
                <w:rFonts w:ascii="Times New Roman" w:eastAsia="Times New Roman" w:hAnsi="Times New Roman" w:cs="Times New Roman"/>
                <w:b/>
                <w:color w:val="000000"/>
                <w:sz w:val="20"/>
                <w:szCs w:val="20"/>
              </w:rPr>
              <w:t>Mean±SE</w:t>
            </w:r>
            <w:proofErr w:type="spellEnd"/>
          </w:p>
        </w:tc>
        <w:tc>
          <w:tcPr>
            <w:tcW w:w="543" w:type="pct"/>
            <w:gridSpan w:val="2"/>
            <w:shd w:val="clear" w:color="auto" w:fill="BFBFBF" w:themeFill="background1" w:themeFillShade="BF"/>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95%CI</w:t>
            </w:r>
          </w:p>
        </w:tc>
        <w:tc>
          <w:tcPr>
            <w:tcW w:w="859" w:type="pct"/>
            <w:vMerge/>
            <w:shd w:val="clear" w:color="auto" w:fill="BFBFBF" w:themeFill="background1" w:themeFillShade="BF"/>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p>
        </w:tc>
      </w:tr>
      <w:tr w:rsidR="00062324" w:rsidRPr="00C60369" w:rsidTr="00E87DF2">
        <w:trPr>
          <w:jc w:val="center"/>
        </w:trPr>
        <w:tc>
          <w:tcPr>
            <w:tcW w:w="1079"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proofErr w:type="spellStart"/>
            <w:r w:rsidRPr="00C60369">
              <w:rPr>
                <w:rFonts w:ascii="Times New Roman" w:eastAsia="Times New Roman" w:hAnsi="Times New Roman" w:cs="Times New Roman"/>
                <w:b/>
                <w:color w:val="000000"/>
                <w:sz w:val="20"/>
                <w:szCs w:val="20"/>
              </w:rPr>
              <w:t>Combes</w:t>
            </w:r>
            <w:proofErr w:type="spellEnd"/>
            <w:r w:rsidRPr="00C60369">
              <w:rPr>
                <w:rFonts w:ascii="Times New Roman" w:eastAsia="Times New Roman" w:hAnsi="Times New Roman" w:cs="Times New Roman"/>
                <w:b/>
                <w:color w:val="000000"/>
                <w:sz w:val="20"/>
                <w:szCs w:val="20"/>
              </w:rPr>
              <w:t xml:space="preserve"> et al., 2015</w:t>
            </w:r>
          </w:p>
        </w:tc>
        <w:tc>
          <w:tcPr>
            <w:tcW w:w="355" w:type="pct"/>
            <w:gridSpan w:val="2"/>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50</w:t>
            </w:r>
          </w:p>
        </w:tc>
        <w:tc>
          <w:tcPr>
            <w:tcW w:w="596"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11.0±14.8</w:t>
            </w:r>
          </w:p>
        </w:tc>
        <w:tc>
          <w:tcPr>
            <w:tcW w:w="355" w:type="pct"/>
            <w:gridSpan w:val="2"/>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44</w:t>
            </w:r>
          </w:p>
        </w:tc>
        <w:tc>
          <w:tcPr>
            <w:tcW w:w="596"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6.0±8.9</w:t>
            </w:r>
          </w:p>
        </w:tc>
        <w:tc>
          <w:tcPr>
            <w:tcW w:w="617"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-5.0±2.6</w:t>
            </w:r>
          </w:p>
        </w:tc>
        <w:tc>
          <w:tcPr>
            <w:tcW w:w="543" w:type="pct"/>
            <w:gridSpan w:val="2"/>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-10.0–0.0</w:t>
            </w:r>
          </w:p>
        </w:tc>
        <w:tc>
          <w:tcPr>
            <w:tcW w:w="859"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0.051</w:t>
            </w:r>
          </w:p>
        </w:tc>
      </w:tr>
      <w:tr w:rsidR="00062324" w:rsidRPr="00C60369" w:rsidTr="00E87DF2">
        <w:trPr>
          <w:jc w:val="center"/>
        </w:trPr>
        <w:tc>
          <w:tcPr>
            <w:tcW w:w="1079"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proofErr w:type="spellStart"/>
            <w:r w:rsidRPr="00C60369">
              <w:rPr>
                <w:rFonts w:ascii="Times New Roman" w:eastAsia="Times New Roman" w:hAnsi="Times New Roman" w:cs="Times New Roman"/>
                <w:b/>
                <w:color w:val="000000"/>
                <w:sz w:val="20"/>
                <w:szCs w:val="20"/>
              </w:rPr>
              <w:t>Gaudry</w:t>
            </w:r>
            <w:proofErr w:type="spellEnd"/>
            <w:r w:rsidRPr="00C60369">
              <w:rPr>
                <w:rFonts w:ascii="Times New Roman" w:eastAsia="Times New Roman" w:hAnsi="Times New Roman" w:cs="Times New Roman"/>
                <w:b/>
                <w:color w:val="000000"/>
                <w:sz w:val="20"/>
                <w:szCs w:val="20"/>
              </w:rPr>
              <w:t xml:space="preserve"> et al., 2016</w:t>
            </w:r>
          </w:p>
        </w:tc>
        <w:tc>
          <w:tcPr>
            <w:tcW w:w="355" w:type="pct"/>
            <w:gridSpan w:val="2"/>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150</w:t>
            </w:r>
          </w:p>
        </w:tc>
        <w:tc>
          <w:tcPr>
            <w:tcW w:w="596"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6.0±8.9</w:t>
            </w:r>
          </w:p>
        </w:tc>
        <w:tc>
          <w:tcPr>
            <w:tcW w:w="355" w:type="pct"/>
            <w:gridSpan w:val="2"/>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153</w:t>
            </w:r>
          </w:p>
        </w:tc>
        <w:tc>
          <w:tcPr>
            <w:tcW w:w="596"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6.0±8.1</w:t>
            </w:r>
          </w:p>
        </w:tc>
        <w:tc>
          <w:tcPr>
            <w:tcW w:w="617"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0.0±1.0</w:t>
            </w:r>
          </w:p>
        </w:tc>
        <w:tc>
          <w:tcPr>
            <w:tcW w:w="543" w:type="pct"/>
            <w:gridSpan w:val="2"/>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-1.9–1.9</w:t>
            </w:r>
          </w:p>
        </w:tc>
        <w:tc>
          <w:tcPr>
            <w:tcW w:w="859"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1.000</w:t>
            </w:r>
          </w:p>
        </w:tc>
      </w:tr>
      <w:tr w:rsidR="00DC493E" w:rsidRPr="00C60369" w:rsidTr="00E87DF2">
        <w:trPr>
          <w:jc w:val="center"/>
        </w:trPr>
        <w:tc>
          <w:tcPr>
            <w:tcW w:w="2982" w:type="pct"/>
            <w:gridSpan w:val="7"/>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b/>
                <w:color w:val="000000"/>
                <w:sz w:val="20"/>
                <w:szCs w:val="20"/>
              </w:rPr>
              <w:t>Overall effect</w:t>
            </w:r>
          </w:p>
        </w:tc>
        <w:tc>
          <w:tcPr>
            <w:tcW w:w="617"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-0.6±0.9</w:t>
            </w:r>
          </w:p>
        </w:tc>
        <w:tc>
          <w:tcPr>
            <w:tcW w:w="543" w:type="pct"/>
            <w:gridSpan w:val="2"/>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-2.4–1.2</w:t>
            </w:r>
          </w:p>
        </w:tc>
        <w:tc>
          <w:tcPr>
            <w:tcW w:w="859"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0.487</w:t>
            </w:r>
            <w:r w:rsidR="00E87DF2" w:rsidRPr="00C60369">
              <w:rPr>
                <w:rFonts w:ascii="Times New Roman" w:hAnsi="Times New Roman" w:cs="Times New Roman"/>
                <w:b/>
                <w:color w:val="000000"/>
                <w:sz w:val="20"/>
                <w:szCs w:val="20"/>
                <w:lang w:eastAsia="zh-CN"/>
              </w:rPr>
              <w:t xml:space="preserve"> </w:t>
            </w:r>
            <w:r w:rsidRPr="00C60369">
              <w:rPr>
                <w:rFonts w:ascii="Times New Roman" w:eastAsia="Times New Roman" w:hAnsi="Times New Roman" w:cs="Times New Roman"/>
                <w:b/>
                <w:color w:val="000000"/>
                <w:sz w:val="20"/>
                <w:szCs w:val="20"/>
              </w:rPr>
              <w:t>(z=0.695)</w:t>
            </w:r>
          </w:p>
        </w:tc>
      </w:tr>
      <w:tr w:rsidR="00062324" w:rsidRPr="00C60369" w:rsidTr="00E87DF2">
        <w:trPr>
          <w:jc w:val="center"/>
        </w:trPr>
        <w:tc>
          <w:tcPr>
            <w:tcW w:w="1257" w:type="pct"/>
            <w:gridSpan w:val="2"/>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Heterogeneity</w:t>
            </w:r>
          </w:p>
        </w:tc>
        <w:tc>
          <w:tcPr>
            <w:tcW w:w="951" w:type="pct"/>
            <w:gridSpan w:val="3"/>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I</w:t>
            </w:r>
            <w:r w:rsidRPr="00C60369">
              <w:rPr>
                <w:rFonts w:ascii="Times New Roman" w:eastAsia="Times New Roman" w:hAnsi="Times New Roman" w:cs="Times New Roman"/>
                <w:b/>
                <w:color w:val="000000"/>
                <w:sz w:val="20"/>
                <w:szCs w:val="20"/>
                <w:vertAlign w:val="superscript"/>
              </w:rPr>
              <w:t>2</w:t>
            </w:r>
          </w:p>
        </w:tc>
        <w:tc>
          <w:tcPr>
            <w:tcW w:w="774" w:type="pct"/>
            <w:gridSpan w:val="2"/>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69.913</w:t>
            </w:r>
          </w:p>
        </w:tc>
        <w:tc>
          <w:tcPr>
            <w:tcW w:w="888" w:type="pct"/>
            <w:gridSpan w:val="2"/>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P</w:t>
            </w:r>
          </w:p>
        </w:tc>
        <w:tc>
          <w:tcPr>
            <w:tcW w:w="1130" w:type="pct"/>
            <w:gridSpan w:val="2"/>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0.069</w:t>
            </w:r>
          </w:p>
        </w:tc>
      </w:tr>
    </w:tbl>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RR: Relative rate, CI: Confidence interval, *Significant</w:t>
      </w:r>
    </w:p>
    <w:p w:rsidR="00DC493E" w:rsidRPr="00C60369" w:rsidRDefault="00DC493E" w:rsidP="00567C4E">
      <w:pPr>
        <w:autoSpaceDE w:val="0"/>
        <w:autoSpaceDN w:val="0"/>
        <w:bidi w:val="0"/>
        <w:snapToGrid w:val="0"/>
        <w:spacing w:after="0" w:line="240" w:lineRule="auto"/>
        <w:jc w:val="center"/>
        <w:rPr>
          <w:rFonts w:ascii="Times New Roman" w:eastAsia="Times New Roman" w:hAnsi="Times New Roman" w:cs="Times New Roman"/>
          <w:color w:val="000000"/>
          <w:sz w:val="20"/>
          <w:szCs w:val="20"/>
        </w:rPr>
      </w:pPr>
      <w:r w:rsidRPr="00C60369">
        <w:rPr>
          <w:rFonts w:ascii="Times New Roman" w:eastAsia="Times New Roman" w:hAnsi="Times New Roman" w:cs="Times New Roman"/>
          <w:noProof/>
          <w:color w:val="000000"/>
          <w:sz w:val="20"/>
          <w:szCs w:val="20"/>
          <w:lang w:eastAsia="zh-CN"/>
        </w:rPr>
        <w:drawing>
          <wp:inline distT="0" distB="0" distL="0" distR="0">
            <wp:extent cx="3476377" cy="1692137"/>
            <wp:effectExtent l="38100" t="57150" r="105023" b="98563"/>
            <wp:docPr id="20"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descr="C:/Users/mahmoud/AppData/Roaming/PolarisOffice/ETemp/6472_5042280/fImage137081519358.emf"/>
                    <pic:cNvPicPr preferRelativeResize="0">
                      <a:picLocks noChangeAspect="1" noChangeArrowheads="1"/>
                    </pic:cNvPicPr>
                  </pic:nvPicPr>
                  <pic:blipFill>
                    <a:blip r:embed="rId20" cstate="print">
                      <a:lum bright="-20000" contrast="40000"/>
                    </a:blip>
                    <a:srcRect l="4287" t="9758" r="27242" b="63583"/>
                    <a:stretch>
                      <a:fillRect/>
                    </a:stretch>
                  </pic:blipFill>
                  <pic:spPr>
                    <a:xfrm>
                      <a:off x="0" y="0"/>
                      <a:ext cx="3534645" cy="172049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C493E" w:rsidRPr="00C60369" w:rsidRDefault="00DC493E" w:rsidP="00E87DF2">
      <w:pPr>
        <w:autoSpaceDE w:val="0"/>
        <w:autoSpaceDN w:val="0"/>
        <w:bidi w:val="0"/>
        <w:snapToGrid w:val="0"/>
        <w:spacing w:after="0" w:line="240" w:lineRule="auto"/>
        <w:jc w:val="center"/>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 xml:space="preserve">Figure (8): </w:t>
      </w:r>
      <w:r w:rsidRPr="00C60369">
        <w:rPr>
          <w:rFonts w:ascii="Times New Roman" w:eastAsia="Times New Roman" w:hAnsi="Times New Roman" w:cs="Times New Roman"/>
          <w:bCs/>
          <w:color w:val="000000"/>
          <w:sz w:val="20"/>
          <w:szCs w:val="20"/>
        </w:rPr>
        <w:t>Forest plot for hospital stay among non-survivors</w:t>
      </w:r>
    </w:p>
    <w:p w:rsidR="00567C4E" w:rsidRPr="00C60369" w:rsidRDefault="00567C4E" w:rsidP="00567C4E">
      <w:pPr>
        <w:autoSpaceDE w:val="0"/>
        <w:autoSpaceDN w:val="0"/>
        <w:bidi w:val="0"/>
        <w:snapToGrid w:val="0"/>
        <w:spacing w:after="0" w:line="240" w:lineRule="auto"/>
        <w:ind w:firstLine="425"/>
        <w:jc w:val="both"/>
        <w:rPr>
          <w:rFonts w:ascii="Times New Roman" w:hAnsi="Times New Roman" w:cs="Times New Roman"/>
          <w:bCs/>
          <w:color w:val="000000"/>
          <w:sz w:val="20"/>
          <w:szCs w:val="20"/>
          <w:lang w:eastAsia="zh-CN"/>
        </w:rPr>
      </w:pPr>
    </w:p>
    <w:p w:rsidR="00E87DF2" w:rsidRPr="00C60369" w:rsidRDefault="00E87DF2" w:rsidP="00E87DF2">
      <w:pPr>
        <w:autoSpaceDE w:val="0"/>
        <w:autoSpaceDN w:val="0"/>
        <w:bidi w:val="0"/>
        <w:snapToGrid w:val="0"/>
        <w:spacing w:after="0" w:line="240" w:lineRule="auto"/>
        <w:ind w:firstLine="425"/>
        <w:jc w:val="both"/>
        <w:rPr>
          <w:rFonts w:ascii="Times New Roman" w:hAnsi="Times New Roman" w:cs="Times New Roman"/>
          <w:bCs/>
          <w:color w:val="000000"/>
          <w:sz w:val="20"/>
          <w:szCs w:val="20"/>
          <w:lang w:eastAsia="zh-CN"/>
        </w:rPr>
        <w:sectPr w:rsidR="00E87DF2" w:rsidRPr="00C60369" w:rsidSect="00062324">
          <w:type w:val="continuous"/>
          <w:pgSz w:w="12240" w:h="15840"/>
          <w:pgMar w:top="1440" w:right="1440" w:bottom="1440" w:left="1440" w:header="720" w:footer="720" w:gutter="0"/>
          <w:cols w:space="720"/>
          <w:rtlGutter/>
          <w:docGrid w:linePitch="360"/>
        </w:sectPr>
      </w:pPr>
    </w:p>
    <w:p w:rsidR="00DC493E" w:rsidRPr="00C60369" w:rsidRDefault="00DC493E" w:rsidP="00567C4E">
      <w:pPr>
        <w:autoSpaceDE w:val="0"/>
        <w:autoSpaceDN w:val="0"/>
        <w:bidi w:val="0"/>
        <w:snapToGrid w:val="0"/>
        <w:spacing w:after="0" w:line="240" w:lineRule="auto"/>
        <w:ind w:firstLine="425"/>
        <w:jc w:val="both"/>
        <w:rPr>
          <w:rFonts w:ascii="Times New Roman" w:eastAsia="Times New Roman" w:hAnsi="Times New Roman" w:cs="Times New Roman"/>
          <w:bCs/>
          <w:color w:val="000000"/>
          <w:sz w:val="20"/>
          <w:szCs w:val="20"/>
        </w:rPr>
      </w:pPr>
      <w:r w:rsidRPr="00C60369">
        <w:rPr>
          <w:rFonts w:ascii="Times New Roman" w:eastAsia="Times New Roman" w:hAnsi="Times New Roman" w:cs="Times New Roman"/>
          <w:bCs/>
          <w:color w:val="000000"/>
          <w:sz w:val="20"/>
          <w:szCs w:val="20"/>
        </w:rPr>
        <w:lastRenderedPageBreak/>
        <w:t>Funnel plot for hospital stay among non-survivors could not be performed as the included studied were less than three.</w:t>
      </w:r>
    </w:p>
    <w:p w:rsidR="00DC493E" w:rsidRPr="00C60369" w:rsidRDefault="00DC493E" w:rsidP="00567C4E">
      <w:pPr>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4-Renal function recovery</w:t>
      </w:r>
    </w:p>
    <w:p w:rsidR="00DC493E" w:rsidRPr="00C60369" w:rsidRDefault="00DC493E" w:rsidP="00567C4E">
      <w:pPr>
        <w:autoSpaceDE w:val="0"/>
        <w:autoSpaceDN w:val="0"/>
        <w:bidi w:val="0"/>
        <w:snapToGrid w:val="0"/>
        <w:spacing w:after="0" w:line="240" w:lineRule="auto"/>
        <w:ind w:firstLine="425"/>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 xml:space="preserve">Table (9) and figure (9,10) show that: Renal function recovery was reported in the seven included </w:t>
      </w:r>
      <w:r w:rsidRPr="00C60369">
        <w:rPr>
          <w:rFonts w:ascii="Times New Roman" w:eastAsia="Times New Roman" w:hAnsi="Times New Roman" w:cs="Times New Roman"/>
          <w:color w:val="000000"/>
          <w:sz w:val="20"/>
          <w:szCs w:val="20"/>
        </w:rPr>
        <w:lastRenderedPageBreak/>
        <w:t>studies. There was significant heterogeneity among these studies. Thus, we performed the statistics using a random-effects model, and the results showed that renal function recovery was not significantly different between early and late interventions.</w:t>
      </w:r>
    </w:p>
    <w:p w:rsidR="00567C4E" w:rsidRPr="00C60369" w:rsidRDefault="00567C4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sectPr w:rsidR="00567C4E" w:rsidRPr="00C60369" w:rsidSect="00567C4E">
          <w:type w:val="continuous"/>
          <w:pgSz w:w="12240" w:h="15840"/>
          <w:pgMar w:top="1440" w:right="1440" w:bottom="1440" w:left="1440" w:header="720" w:footer="720" w:gutter="0"/>
          <w:cols w:num="2" w:space="550"/>
          <w:rtlGutter/>
          <w:docGrid w:linePitch="360"/>
        </w:sectPr>
      </w:pPr>
    </w:p>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p>
    <w:p w:rsidR="00C60369" w:rsidRDefault="00C60369" w:rsidP="00E87DF2">
      <w:pPr>
        <w:autoSpaceDE w:val="0"/>
        <w:autoSpaceDN w:val="0"/>
        <w:bidi w:val="0"/>
        <w:snapToGrid w:val="0"/>
        <w:spacing w:after="0" w:line="240" w:lineRule="auto"/>
        <w:jc w:val="center"/>
        <w:rPr>
          <w:rFonts w:ascii="Times New Roman" w:hAnsi="Times New Roman" w:cs="Times New Roman" w:hint="eastAsia"/>
          <w:b/>
          <w:color w:val="000000"/>
          <w:sz w:val="20"/>
          <w:szCs w:val="20"/>
          <w:lang w:eastAsia="zh-CN"/>
        </w:rPr>
      </w:pPr>
    </w:p>
    <w:p w:rsidR="00C60369" w:rsidRDefault="00C60369" w:rsidP="00C60369">
      <w:pPr>
        <w:autoSpaceDE w:val="0"/>
        <w:autoSpaceDN w:val="0"/>
        <w:bidi w:val="0"/>
        <w:snapToGrid w:val="0"/>
        <w:spacing w:after="0" w:line="240" w:lineRule="auto"/>
        <w:jc w:val="center"/>
        <w:rPr>
          <w:rFonts w:ascii="Times New Roman" w:hAnsi="Times New Roman" w:cs="Times New Roman" w:hint="eastAsia"/>
          <w:b/>
          <w:color w:val="000000"/>
          <w:sz w:val="20"/>
          <w:szCs w:val="20"/>
          <w:lang w:eastAsia="zh-CN"/>
        </w:rPr>
      </w:pPr>
    </w:p>
    <w:p w:rsidR="00DC493E" w:rsidRPr="00C60369" w:rsidRDefault="00DC493E" w:rsidP="00C60369">
      <w:pPr>
        <w:autoSpaceDE w:val="0"/>
        <w:autoSpaceDN w:val="0"/>
        <w:bidi w:val="0"/>
        <w:snapToGrid w:val="0"/>
        <w:spacing w:after="0" w:line="240" w:lineRule="auto"/>
        <w:jc w:val="center"/>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lastRenderedPageBreak/>
        <w:t xml:space="preserve">Table (9): </w:t>
      </w:r>
      <w:r w:rsidRPr="00C60369">
        <w:rPr>
          <w:rFonts w:ascii="Times New Roman" w:eastAsia="Times New Roman" w:hAnsi="Times New Roman" w:cs="Times New Roman"/>
          <w:bCs/>
          <w:color w:val="000000"/>
          <w:sz w:val="20"/>
          <w:szCs w:val="20"/>
        </w:rPr>
        <w:t>Meta-analysis for renal function recovery.</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4A0"/>
      </w:tblPr>
      <w:tblGrid>
        <w:gridCol w:w="2907"/>
        <w:gridCol w:w="701"/>
        <w:gridCol w:w="510"/>
        <w:gridCol w:w="570"/>
        <w:gridCol w:w="701"/>
        <w:gridCol w:w="510"/>
        <w:gridCol w:w="570"/>
        <w:gridCol w:w="1902"/>
        <w:gridCol w:w="1103"/>
      </w:tblGrid>
      <w:tr w:rsidR="00062324" w:rsidRPr="00C60369" w:rsidTr="00062324">
        <w:trPr>
          <w:jc w:val="center"/>
        </w:trPr>
        <w:tc>
          <w:tcPr>
            <w:tcW w:w="1534" w:type="pct"/>
            <w:vMerge w:val="restart"/>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Study</w:t>
            </w:r>
          </w:p>
        </w:tc>
        <w:tc>
          <w:tcPr>
            <w:tcW w:w="939" w:type="pct"/>
            <w:gridSpan w:val="3"/>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Early</w:t>
            </w:r>
            <w:r w:rsidR="00E87DF2" w:rsidRPr="00C60369">
              <w:rPr>
                <w:rFonts w:ascii="Times New Roman" w:eastAsia="Times New Roman" w:hAnsi="Times New Roman" w:cs="Times New Roman"/>
                <w:b/>
                <w:color w:val="000000"/>
                <w:sz w:val="20"/>
                <w:szCs w:val="20"/>
              </w:rPr>
              <w:t xml:space="preserve"> </w:t>
            </w:r>
            <w:r w:rsidRPr="00C60369">
              <w:rPr>
                <w:rFonts w:ascii="Times New Roman" w:eastAsia="Times New Roman" w:hAnsi="Times New Roman" w:cs="Times New Roman"/>
                <w:b/>
                <w:color w:val="000000"/>
                <w:sz w:val="20"/>
                <w:szCs w:val="20"/>
              </w:rPr>
              <w:t>(event/total)</w:t>
            </w:r>
          </w:p>
        </w:tc>
        <w:tc>
          <w:tcPr>
            <w:tcW w:w="939" w:type="pct"/>
            <w:gridSpan w:val="3"/>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Late</w:t>
            </w:r>
            <w:r w:rsidR="00E87DF2" w:rsidRPr="00C60369">
              <w:rPr>
                <w:rFonts w:ascii="Times New Roman" w:eastAsia="Times New Roman" w:hAnsi="Times New Roman" w:cs="Times New Roman"/>
                <w:b/>
                <w:color w:val="000000"/>
                <w:sz w:val="20"/>
                <w:szCs w:val="20"/>
              </w:rPr>
              <w:t xml:space="preserve"> </w:t>
            </w:r>
            <w:r w:rsidRPr="00C60369">
              <w:rPr>
                <w:rFonts w:ascii="Times New Roman" w:eastAsia="Times New Roman" w:hAnsi="Times New Roman" w:cs="Times New Roman"/>
                <w:b/>
                <w:color w:val="000000"/>
                <w:sz w:val="20"/>
                <w:szCs w:val="20"/>
              </w:rPr>
              <w:t>(event/total)</w:t>
            </w:r>
          </w:p>
        </w:tc>
        <w:tc>
          <w:tcPr>
            <w:tcW w:w="1004" w:type="pct"/>
            <w:vMerge w:val="restart"/>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RR</w:t>
            </w:r>
            <w:r w:rsidR="00E87DF2" w:rsidRPr="00C60369">
              <w:rPr>
                <w:rFonts w:ascii="Times New Roman" w:eastAsia="Times New Roman" w:hAnsi="Times New Roman" w:cs="Times New Roman"/>
                <w:b/>
                <w:color w:val="000000"/>
                <w:sz w:val="20"/>
                <w:szCs w:val="20"/>
              </w:rPr>
              <w:t xml:space="preserve"> </w:t>
            </w:r>
            <w:r w:rsidRPr="00C60369">
              <w:rPr>
                <w:rFonts w:ascii="Times New Roman" w:eastAsia="Times New Roman" w:hAnsi="Times New Roman" w:cs="Times New Roman"/>
                <w:b/>
                <w:color w:val="000000"/>
                <w:sz w:val="20"/>
                <w:szCs w:val="20"/>
              </w:rPr>
              <w:t>(95% CI)</w:t>
            </w:r>
          </w:p>
        </w:tc>
        <w:tc>
          <w:tcPr>
            <w:tcW w:w="583" w:type="pct"/>
            <w:vMerge w:val="restart"/>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P</w:t>
            </w:r>
          </w:p>
        </w:tc>
      </w:tr>
      <w:tr w:rsidR="00062324" w:rsidRPr="00C60369" w:rsidTr="00062324">
        <w:trPr>
          <w:jc w:val="center"/>
        </w:trPr>
        <w:tc>
          <w:tcPr>
            <w:tcW w:w="1534" w:type="pct"/>
            <w:vMerge/>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p>
        </w:tc>
        <w:tc>
          <w:tcPr>
            <w:tcW w:w="370" w:type="pct"/>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Total</w:t>
            </w:r>
          </w:p>
        </w:tc>
        <w:tc>
          <w:tcPr>
            <w:tcW w:w="269" w:type="pct"/>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N</w:t>
            </w:r>
          </w:p>
        </w:tc>
        <w:tc>
          <w:tcPr>
            <w:tcW w:w="301" w:type="pct"/>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w:t>
            </w:r>
          </w:p>
        </w:tc>
        <w:tc>
          <w:tcPr>
            <w:tcW w:w="370" w:type="pct"/>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Total</w:t>
            </w:r>
          </w:p>
        </w:tc>
        <w:tc>
          <w:tcPr>
            <w:tcW w:w="269" w:type="pct"/>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N</w:t>
            </w:r>
          </w:p>
        </w:tc>
        <w:tc>
          <w:tcPr>
            <w:tcW w:w="301" w:type="pct"/>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w:t>
            </w:r>
          </w:p>
        </w:tc>
        <w:tc>
          <w:tcPr>
            <w:tcW w:w="1004" w:type="pct"/>
            <w:vMerge/>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p>
        </w:tc>
        <w:tc>
          <w:tcPr>
            <w:tcW w:w="583" w:type="pct"/>
            <w:vMerge/>
            <w:shd w:val="clear" w:color="auto" w:fill="BFBFBF" w:themeFill="background1" w:themeFillShade="BF"/>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p>
        </w:tc>
      </w:tr>
      <w:tr w:rsidR="00062324" w:rsidRPr="00C60369" w:rsidTr="00062324">
        <w:trPr>
          <w:jc w:val="center"/>
        </w:trPr>
        <w:tc>
          <w:tcPr>
            <w:tcW w:w="1534" w:type="pct"/>
            <w:shd w:val="clear" w:color="000000" w:fill="auto"/>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proofErr w:type="spellStart"/>
            <w:r w:rsidRPr="00C60369">
              <w:rPr>
                <w:rFonts w:ascii="Times New Roman" w:eastAsia="Times New Roman" w:hAnsi="Times New Roman" w:cs="Times New Roman"/>
                <w:b/>
                <w:color w:val="000000"/>
                <w:sz w:val="20"/>
                <w:szCs w:val="20"/>
              </w:rPr>
              <w:t>Bouman</w:t>
            </w:r>
            <w:proofErr w:type="spellEnd"/>
            <w:r w:rsidRPr="00C60369">
              <w:rPr>
                <w:rFonts w:ascii="Times New Roman" w:eastAsia="Times New Roman" w:hAnsi="Times New Roman" w:cs="Times New Roman"/>
                <w:b/>
                <w:color w:val="000000"/>
                <w:sz w:val="20"/>
                <w:szCs w:val="20"/>
              </w:rPr>
              <w:t xml:space="preserve"> et al., 2002</w:t>
            </w:r>
          </w:p>
        </w:tc>
        <w:tc>
          <w:tcPr>
            <w:tcW w:w="370"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70</w:t>
            </w:r>
          </w:p>
        </w:tc>
        <w:tc>
          <w:tcPr>
            <w:tcW w:w="269"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39</w:t>
            </w:r>
          </w:p>
        </w:tc>
        <w:tc>
          <w:tcPr>
            <w:tcW w:w="301"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55.7</w:t>
            </w:r>
          </w:p>
        </w:tc>
        <w:tc>
          <w:tcPr>
            <w:tcW w:w="370"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36</w:t>
            </w:r>
          </w:p>
        </w:tc>
        <w:tc>
          <w:tcPr>
            <w:tcW w:w="269"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22</w:t>
            </w:r>
          </w:p>
        </w:tc>
        <w:tc>
          <w:tcPr>
            <w:tcW w:w="301"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61.1</w:t>
            </w:r>
          </w:p>
        </w:tc>
        <w:tc>
          <w:tcPr>
            <w:tcW w:w="1004" w:type="pct"/>
            <w:shd w:val="clear" w:color="000000" w:fill="auto"/>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0.91</w:t>
            </w:r>
            <w:r w:rsidR="00E54E02" w:rsidRPr="00C60369">
              <w:rPr>
                <w:rFonts w:ascii="Times New Roman" w:eastAsia="Times New Roman" w:hAnsi="Times New Roman" w:cs="Times New Roman"/>
                <w:color w:val="000000"/>
                <w:sz w:val="20"/>
                <w:szCs w:val="20"/>
              </w:rPr>
              <w:t xml:space="preserve"> </w:t>
            </w:r>
            <w:r w:rsidRPr="00C60369">
              <w:rPr>
                <w:rFonts w:ascii="Times New Roman" w:eastAsia="Times New Roman" w:hAnsi="Times New Roman" w:cs="Times New Roman"/>
                <w:color w:val="000000"/>
                <w:sz w:val="20"/>
                <w:szCs w:val="20"/>
              </w:rPr>
              <w:t>(0.65–1.27)</w:t>
            </w:r>
          </w:p>
        </w:tc>
        <w:tc>
          <w:tcPr>
            <w:tcW w:w="583"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0.587</w:t>
            </w:r>
          </w:p>
        </w:tc>
      </w:tr>
      <w:tr w:rsidR="00062324" w:rsidRPr="00C60369" w:rsidTr="00062324">
        <w:trPr>
          <w:jc w:val="center"/>
        </w:trPr>
        <w:tc>
          <w:tcPr>
            <w:tcW w:w="1534" w:type="pct"/>
            <w:shd w:val="clear" w:color="000000" w:fill="auto"/>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proofErr w:type="spellStart"/>
            <w:r w:rsidRPr="00C60369">
              <w:rPr>
                <w:rFonts w:ascii="Times New Roman" w:eastAsia="Times New Roman" w:hAnsi="Times New Roman" w:cs="Times New Roman"/>
                <w:b/>
                <w:color w:val="000000"/>
                <w:sz w:val="20"/>
                <w:szCs w:val="20"/>
              </w:rPr>
              <w:t>Sugahara</w:t>
            </w:r>
            <w:proofErr w:type="spellEnd"/>
            <w:r w:rsidRPr="00C60369">
              <w:rPr>
                <w:rFonts w:ascii="Times New Roman" w:eastAsia="Times New Roman" w:hAnsi="Times New Roman" w:cs="Times New Roman"/>
                <w:b/>
                <w:color w:val="000000"/>
                <w:sz w:val="20"/>
                <w:szCs w:val="20"/>
              </w:rPr>
              <w:t xml:space="preserve"> and suzuki,2004</w:t>
            </w:r>
          </w:p>
        </w:tc>
        <w:tc>
          <w:tcPr>
            <w:tcW w:w="370"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14</w:t>
            </w:r>
          </w:p>
        </w:tc>
        <w:tc>
          <w:tcPr>
            <w:tcW w:w="269"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10</w:t>
            </w:r>
          </w:p>
        </w:tc>
        <w:tc>
          <w:tcPr>
            <w:tcW w:w="301"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71.4</w:t>
            </w:r>
          </w:p>
        </w:tc>
        <w:tc>
          <w:tcPr>
            <w:tcW w:w="370"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14</w:t>
            </w:r>
          </w:p>
        </w:tc>
        <w:tc>
          <w:tcPr>
            <w:tcW w:w="269"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2</w:t>
            </w:r>
          </w:p>
        </w:tc>
        <w:tc>
          <w:tcPr>
            <w:tcW w:w="301"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14.3</w:t>
            </w:r>
          </w:p>
        </w:tc>
        <w:tc>
          <w:tcPr>
            <w:tcW w:w="1004" w:type="pct"/>
            <w:shd w:val="clear" w:color="000000" w:fill="auto"/>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5.00</w:t>
            </w:r>
            <w:r w:rsidR="00E54E02" w:rsidRPr="00C60369">
              <w:rPr>
                <w:rFonts w:ascii="Times New Roman" w:eastAsia="Times New Roman" w:hAnsi="Times New Roman" w:cs="Times New Roman"/>
                <w:color w:val="000000"/>
                <w:sz w:val="20"/>
                <w:szCs w:val="20"/>
              </w:rPr>
              <w:t xml:space="preserve"> </w:t>
            </w:r>
            <w:r w:rsidRPr="00C60369">
              <w:rPr>
                <w:rFonts w:ascii="Times New Roman" w:eastAsia="Times New Roman" w:hAnsi="Times New Roman" w:cs="Times New Roman"/>
                <w:color w:val="000000"/>
                <w:sz w:val="20"/>
                <w:szCs w:val="20"/>
              </w:rPr>
              <w:t>(1.33–18.81)</w:t>
            </w:r>
          </w:p>
        </w:tc>
        <w:tc>
          <w:tcPr>
            <w:tcW w:w="583"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0.017*</w:t>
            </w:r>
          </w:p>
        </w:tc>
      </w:tr>
      <w:tr w:rsidR="00062324" w:rsidRPr="00C60369" w:rsidTr="00062324">
        <w:trPr>
          <w:jc w:val="center"/>
        </w:trPr>
        <w:tc>
          <w:tcPr>
            <w:tcW w:w="1534" w:type="pct"/>
            <w:shd w:val="clear" w:color="000000" w:fill="auto"/>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proofErr w:type="spellStart"/>
            <w:r w:rsidRPr="00C60369">
              <w:rPr>
                <w:rFonts w:ascii="Times New Roman" w:eastAsia="Times New Roman" w:hAnsi="Times New Roman" w:cs="Times New Roman"/>
                <w:b/>
                <w:color w:val="000000"/>
                <w:sz w:val="20"/>
                <w:szCs w:val="20"/>
              </w:rPr>
              <w:t>Jamale</w:t>
            </w:r>
            <w:proofErr w:type="spellEnd"/>
            <w:r w:rsidRPr="00C60369">
              <w:rPr>
                <w:rFonts w:ascii="Times New Roman" w:eastAsia="Times New Roman" w:hAnsi="Times New Roman" w:cs="Times New Roman"/>
                <w:b/>
                <w:color w:val="000000"/>
                <w:sz w:val="20"/>
                <w:szCs w:val="20"/>
              </w:rPr>
              <w:t xml:space="preserve"> et al.,2013</w:t>
            </w:r>
          </w:p>
        </w:tc>
        <w:tc>
          <w:tcPr>
            <w:tcW w:w="370"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102</w:t>
            </w:r>
          </w:p>
        </w:tc>
        <w:tc>
          <w:tcPr>
            <w:tcW w:w="269"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76</w:t>
            </w:r>
          </w:p>
        </w:tc>
        <w:tc>
          <w:tcPr>
            <w:tcW w:w="301"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74.5</w:t>
            </w:r>
          </w:p>
        </w:tc>
        <w:tc>
          <w:tcPr>
            <w:tcW w:w="370"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106</w:t>
            </w:r>
          </w:p>
        </w:tc>
        <w:tc>
          <w:tcPr>
            <w:tcW w:w="269"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88</w:t>
            </w:r>
          </w:p>
        </w:tc>
        <w:tc>
          <w:tcPr>
            <w:tcW w:w="301"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83.0</w:t>
            </w:r>
          </w:p>
        </w:tc>
        <w:tc>
          <w:tcPr>
            <w:tcW w:w="1004" w:type="pct"/>
            <w:shd w:val="clear" w:color="000000" w:fill="auto"/>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0.90</w:t>
            </w:r>
            <w:r w:rsidR="00E54E02" w:rsidRPr="00C60369">
              <w:rPr>
                <w:rFonts w:ascii="Times New Roman" w:eastAsia="Times New Roman" w:hAnsi="Times New Roman" w:cs="Times New Roman"/>
                <w:color w:val="000000"/>
                <w:sz w:val="20"/>
                <w:szCs w:val="20"/>
              </w:rPr>
              <w:t xml:space="preserve"> </w:t>
            </w:r>
            <w:r w:rsidRPr="00C60369">
              <w:rPr>
                <w:rFonts w:ascii="Times New Roman" w:eastAsia="Times New Roman" w:hAnsi="Times New Roman" w:cs="Times New Roman"/>
                <w:color w:val="000000"/>
                <w:sz w:val="20"/>
                <w:szCs w:val="20"/>
              </w:rPr>
              <w:t>(0.78–1.03)</w:t>
            </w:r>
          </w:p>
        </w:tc>
        <w:tc>
          <w:tcPr>
            <w:tcW w:w="583"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0.137</w:t>
            </w:r>
          </w:p>
        </w:tc>
      </w:tr>
      <w:tr w:rsidR="00062324" w:rsidRPr="00C60369" w:rsidTr="00062324">
        <w:trPr>
          <w:jc w:val="center"/>
        </w:trPr>
        <w:tc>
          <w:tcPr>
            <w:tcW w:w="1534" w:type="pct"/>
            <w:shd w:val="clear" w:color="000000" w:fill="auto"/>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Wald et al.,2015</w:t>
            </w:r>
          </w:p>
        </w:tc>
        <w:tc>
          <w:tcPr>
            <w:tcW w:w="370"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112</w:t>
            </w:r>
          </w:p>
        </w:tc>
        <w:tc>
          <w:tcPr>
            <w:tcW w:w="269"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61</w:t>
            </w:r>
          </w:p>
        </w:tc>
        <w:tc>
          <w:tcPr>
            <w:tcW w:w="301"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54.5</w:t>
            </w:r>
          </w:p>
        </w:tc>
        <w:tc>
          <w:tcPr>
            <w:tcW w:w="370"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112</w:t>
            </w:r>
          </w:p>
        </w:tc>
        <w:tc>
          <w:tcPr>
            <w:tcW w:w="269"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69</w:t>
            </w:r>
          </w:p>
        </w:tc>
        <w:tc>
          <w:tcPr>
            <w:tcW w:w="301"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61.6</w:t>
            </w:r>
          </w:p>
        </w:tc>
        <w:tc>
          <w:tcPr>
            <w:tcW w:w="1004" w:type="pct"/>
            <w:shd w:val="clear" w:color="000000" w:fill="auto"/>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0.88</w:t>
            </w:r>
            <w:r w:rsidR="00E54E02" w:rsidRPr="00C60369">
              <w:rPr>
                <w:rFonts w:ascii="Times New Roman" w:eastAsia="Times New Roman" w:hAnsi="Times New Roman" w:cs="Times New Roman"/>
                <w:color w:val="000000"/>
                <w:sz w:val="20"/>
                <w:szCs w:val="20"/>
              </w:rPr>
              <w:t xml:space="preserve"> </w:t>
            </w:r>
            <w:r w:rsidRPr="00C60369">
              <w:rPr>
                <w:rFonts w:ascii="Times New Roman" w:eastAsia="Times New Roman" w:hAnsi="Times New Roman" w:cs="Times New Roman"/>
                <w:color w:val="000000"/>
                <w:sz w:val="20"/>
                <w:szCs w:val="20"/>
              </w:rPr>
              <w:t>(0.71–1.11)</w:t>
            </w:r>
          </w:p>
        </w:tc>
        <w:tc>
          <w:tcPr>
            <w:tcW w:w="583"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0.280</w:t>
            </w:r>
          </w:p>
        </w:tc>
      </w:tr>
      <w:tr w:rsidR="00062324" w:rsidRPr="00C60369" w:rsidTr="00062324">
        <w:trPr>
          <w:jc w:val="center"/>
        </w:trPr>
        <w:tc>
          <w:tcPr>
            <w:tcW w:w="1534" w:type="pct"/>
            <w:shd w:val="clear" w:color="000000" w:fill="auto"/>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proofErr w:type="spellStart"/>
            <w:r w:rsidRPr="00C60369">
              <w:rPr>
                <w:rFonts w:ascii="Times New Roman" w:eastAsia="Times New Roman" w:hAnsi="Times New Roman" w:cs="Times New Roman"/>
                <w:b/>
                <w:color w:val="000000"/>
                <w:sz w:val="20"/>
                <w:szCs w:val="20"/>
              </w:rPr>
              <w:t>Combes</w:t>
            </w:r>
            <w:proofErr w:type="spellEnd"/>
            <w:r w:rsidRPr="00C60369">
              <w:rPr>
                <w:rFonts w:ascii="Times New Roman" w:eastAsia="Times New Roman" w:hAnsi="Times New Roman" w:cs="Times New Roman"/>
                <w:b/>
                <w:color w:val="000000"/>
                <w:sz w:val="20"/>
                <w:szCs w:val="20"/>
              </w:rPr>
              <w:t xml:space="preserve"> et al.,2015</w:t>
            </w:r>
          </w:p>
        </w:tc>
        <w:tc>
          <w:tcPr>
            <w:tcW w:w="370"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48</w:t>
            </w:r>
          </w:p>
        </w:tc>
        <w:tc>
          <w:tcPr>
            <w:tcW w:w="269"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30</w:t>
            </w:r>
          </w:p>
        </w:tc>
        <w:tc>
          <w:tcPr>
            <w:tcW w:w="301"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62.5</w:t>
            </w:r>
          </w:p>
        </w:tc>
        <w:tc>
          <w:tcPr>
            <w:tcW w:w="370"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52</w:t>
            </w:r>
          </w:p>
        </w:tc>
        <w:tc>
          <w:tcPr>
            <w:tcW w:w="269"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31</w:t>
            </w:r>
          </w:p>
        </w:tc>
        <w:tc>
          <w:tcPr>
            <w:tcW w:w="301"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59.6</w:t>
            </w:r>
          </w:p>
        </w:tc>
        <w:tc>
          <w:tcPr>
            <w:tcW w:w="1004" w:type="pct"/>
            <w:shd w:val="clear" w:color="000000" w:fill="auto"/>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1.05</w:t>
            </w:r>
            <w:r w:rsidR="00E54E02" w:rsidRPr="00C60369">
              <w:rPr>
                <w:rFonts w:ascii="Times New Roman" w:eastAsia="Times New Roman" w:hAnsi="Times New Roman" w:cs="Times New Roman"/>
                <w:color w:val="000000"/>
                <w:sz w:val="20"/>
                <w:szCs w:val="20"/>
              </w:rPr>
              <w:t xml:space="preserve"> </w:t>
            </w:r>
            <w:r w:rsidRPr="00C60369">
              <w:rPr>
                <w:rFonts w:ascii="Times New Roman" w:eastAsia="Times New Roman" w:hAnsi="Times New Roman" w:cs="Times New Roman"/>
                <w:color w:val="000000"/>
                <w:sz w:val="20"/>
                <w:szCs w:val="20"/>
              </w:rPr>
              <w:t>(0.77–1.43)</w:t>
            </w:r>
          </w:p>
        </w:tc>
        <w:tc>
          <w:tcPr>
            <w:tcW w:w="583"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0.767</w:t>
            </w:r>
          </w:p>
        </w:tc>
      </w:tr>
      <w:tr w:rsidR="00062324" w:rsidRPr="00C60369" w:rsidTr="00062324">
        <w:trPr>
          <w:jc w:val="center"/>
        </w:trPr>
        <w:tc>
          <w:tcPr>
            <w:tcW w:w="1534" w:type="pct"/>
            <w:shd w:val="clear" w:color="000000" w:fill="auto"/>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proofErr w:type="spellStart"/>
            <w:r w:rsidRPr="00C60369">
              <w:rPr>
                <w:rFonts w:ascii="Times New Roman" w:eastAsia="Times New Roman" w:hAnsi="Times New Roman" w:cs="Times New Roman"/>
                <w:b/>
                <w:color w:val="000000"/>
                <w:sz w:val="20"/>
                <w:szCs w:val="20"/>
              </w:rPr>
              <w:t>Gaudry</w:t>
            </w:r>
            <w:proofErr w:type="spellEnd"/>
            <w:r w:rsidRPr="00C60369">
              <w:rPr>
                <w:rFonts w:ascii="Times New Roman" w:eastAsia="Times New Roman" w:hAnsi="Times New Roman" w:cs="Times New Roman"/>
                <w:b/>
                <w:color w:val="000000"/>
                <w:sz w:val="20"/>
                <w:szCs w:val="20"/>
              </w:rPr>
              <w:t xml:space="preserve"> et al.,2016</w:t>
            </w:r>
          </w:p>
        </w:tc>
        <w:tc>
          <w:tcPr>
            <w:tcW w:w="370"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311</w:t>
            </w:r>
          </w:p>
        </w:tc>
        <w:tc>
          <w:tcPr>
            <w:tcW w:w="269"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154</w:t>
            </w:r>
          </w:p>
        </w:tc>
        <w:tc>
          <w:tcPr>
            <w:tcW w:w="301"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49.5</w:t>
            </w:r>
          </w:p>
        </w:tc>
        <w:tc>
          <w:tcPr>
            <w:tcW w:w="370"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308</w:t>
            </w:r>
          </w:p>
        </w:tc>
        <w:tc>
          <w:tcPr>
            <w:tcW w:w="269"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147</w:t>
            </w:r>
          </w:p>
        </w:tc>
        <w:tc>
          <w:tcPr>
            <w:tcW w:w="301"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47.7</w:t>
            </w:r>
          </w:p>
        </w:tc>
        <w:tc>
          <w:tcPr>
            <w:tcW w:w="1004" w:type="pct"/>
            <w:shd w:val="clear" w:color="000000" w:fill="auto"/>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1.04</w:t>
            </w:r>
            <w:r w:rsidR="00E54E02" w:rsidRPr="00C60369">
              <w:rPr>
                <w:rFonts w:ascii="Times New Roman" w:eastAsia="Times New Roman" w:hAnsi="Times New Roman" w:cs="Times New Roman"/>
                <w:color w:val="000000"/>
                <w:sz w:val="20"/>
                <w:szCs w:val="20"/>
              </w:rPr>
              <w:t xml:space="preserve"> </w:t>
            </w:r>
            <w:r w:rsidRPr="00C60369">
              <w:rPr>
                <w:rFonts w:ascii="Times New Roman" w:eastAsia="Times New Roman" w:hAnsi="Times New Roman" w:cs="Times New Roman"/>
                <w:color w:val="000000"/>
                <w:sz w:val="20"/>
                <w:szCs w:val="20"/>
              </w:rPr>
              <w:t>(0.88–1.22)</w:t>
            </w:r>
          </w:p>
        </w:tc>
        <w:tc>
          <w:tcPr>
            <w:tcW w:w="583"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0.656</w:t>
            </w:r>
          </w:p>
        </w:tc>
      </w:tr>
      <w:tr w:rsidR="00062324" w:rsidRPr="00C60369" w:rsidTr="00062324">
        <w:trPr>
          <w:jc w:val="center"/>
        </w:trPr>
        <w:tc>
          <w:tcPr>
            <w:tcW w:w="1534" w:type="pct"/>
            <w:shd w:val="clear" w:color="000000" w:fill="auto"/>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proofErr w:type="spellStart"/>
            <w:r w:rsidRPr="00C60369">
              <w:rPr>
                <w:rFonts w:ascii="Times New Roman" w:eastAsia="Times New Roman" w:hAnsi="Times New Roman" w:cs="Times New Roman"/>
                <w:b/>
                <w:color w:val="000000"/>
                <w:sz w:val="20"/>
                <w:szCs w:val="20"/>
              </w:rPr>
              <w:t>Zarbock</w:t>
            </w:r>
            <w:proofErr w:type="spellEnd"/>
            <w:r w:rsidRPr="00C60369">
              <w:rPr>
                <w:rFonts w:ascii="Times New Roman" w:eastAsia="Times New Roman" w:hAnsi="Times New Roman" w:cs="Times New Roman"/>
                <w:b/>
                <w:color w:val="000000"/>
                <w:sz w:val="20"/>
                <w:szCs w:val="20"/>
              </w:rPr>
              <w:t xml:space="preserve"> et al.,2016</w:t>
            </w:r>
          </w:p>
        </w:tc>
        <w:tc>
          <w:tcPr>
            <w:tcW w:w="370"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112</w:t>
            </w:r>
          </w:p>
        </w:tc>
        <w:tc>
          <w:tcPr>
            <w:tcW w:w="269"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60</w:t>
            </w:r>
          </w:p>
        </w:tc>
        <w:tc>
          <w:tcPr>
            <w:tcW w:w="301"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53.6</w:t>
            </w:r>
          </w:p>
        </w:tc>
        <w:tc>
          <w:tcPr>
            <w:tcW w:w="370"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119</w:t>
            </w:r>
          </w:p>
        </w:tc>
        <w:tc>
          <w:tcPr>
            <w:tcW w:w="269"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46</w:t>
            </w:r>
          </w:p>
        </w:tc>
        <w:tc>
          <w:tcPr>
            <w:tcW w:w="301"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38.7</w:t>
            </w:r>
          </w:p>
        </w:tc>
        <w:tc>
          <w:tcPr>
            <w:tcW w:w="1004" w:type="pct"/>
            <w:shd w:val="clear" w:color="000000" w:fill="auto"/>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1.39</w:t>
            </w:r>
            <w:r w:rsidR="00E54E02" w:rsidRPr="00C60369">
              <w:rPr>
                <w:rFonts w:ascii="Times New Roman" w:eastAsia="Times New Roman" w:hAnsi="Times New Roman" w:cs="Times New Roman"/>
                <w:color w:val="000000"/>
                <w:sz w:val="20"/>
                <w:szCs w:val="20"/>
              </w:rPr>
              <w:t xml:space="preserve"> </w:t>
            </w:r>
            <w:r w:rsidRPr="00C60369">
              <w:rPr>
                <w:rFonts w:ascii="Times New Roman" w:eastAsia="Times New Roman" w:hAnsi="Times New Roman" w:cs="Times New Roman"/>
                <w:color w:val="000000"/>
                <w:sz w:val="20"/>
                <w:szCs w:val="20"/>
              </w:rPr>
              <w:t>(1.04–1.84)</w:t>
            </w:r>
          </w:p>
        </w:tc>
        <w:tc>
          <w:tcPr>
            <w:tcW w:w="583" w:type="pct"/>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0.025*</w:t>
            </w:r>
          </w:p>
        </w:tc>
      </w:tr>
      <w:tr w:rsidR="00062324" w:rsidRPr="00C60369" w:rsidTr="00062324">
        <w:trPr>
          <w:jc w:val="center"/>
        </w:trPr>
        <w:tc>
          <w:tcPr>
            <w:tcW w:w="1534" w:type="pct"/>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Overall effect</w:t>
            </w:r>
          </w:p>
        </w:tc>
        <w:tc>
          <w:tcPr>
            <w:tcW w:w="939" w:type="pct"/>
            <w:gridSpan w:val="3"/>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w:t>
            </w:r>
          </w:p>
        </w:tc>
        <w:tc>
          <w:tcPr>
            <w:tcW w:w="939" w:type="pct"/>
            <w:gridSpan w:val="3"/>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w:t>
            </w:r>
          </w:p>
        </w:tc>
        <w:tc>
          <w:tcPr>
            <w:tcW w:w="1004" w:type="pct"/>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0.99</w:t>
            </w:r>
            <w:r w:rsidR="00E54E02" w:rsidRPr="00C60369">
              <w:rPr>
                <w:rFonts w:ascii="Times New Roman" w:eastAsia="Times New Roman" w:hAnsi="Times New Roman" w:cs="Times New Roman"/>
                <w:color w:val="000000"/>
                <w:sz w:val="20"/>
                <w:szCs w:val="20"/>
              </w:rPr>
              <w:t xml:space="preserve"> </w:t>
            </w:r>
            <w:r w:rsidRPr="00C60369">
              <w:rPr>
                <w:rFonts w:ascii="Times New Roman" w:eastAsia="Times New Roman" w:hAnsi="Times New Roman" w:cs="Times New Roman"/>
                <w:color w:val="000000"/>
                <w:sz w:val="20"/>
                <w:szCs w:val="20"/>
              </w:rPr>
              <w:t>(0.91–1.07)</w:t>
            </w:r>
          </w:p>
        </w:tc>
        <w:tc>
          <w:tcPr>
            <w:tcW w:w="583"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0.767</w:t>
            </w:r>
            <w:r w:rsidR="00E87DF2" w:rsidRPr="00C60369">
              <w:rPr>
                <w:rFonts w:ascii="Times New Roman" w:hAnsi="Times New Roman" w:cs="Times New Roman"/>
                <w:color w:val="000000"/>
                <w:sz w:val="20"/>
                <w:szCs w:val="20"/>
                <w:lang w:eastAsia="zh-CN"/>
              </w:rPr>
              <w:t xml:space="preserve"> </w:t>
            </w:r>
            <w:r w:rsidRPr="00C60369">
              <w:rPr>
                <w:rFonts w:ascii="Times New Roman" w:eastAsia="Times New Roman" w:hAnsi="Times New Roman" w:cs="Times New Roman"/>
                <w:color w:val="000000"/>
                <w:sz w:val="20"/>
                <w:szCs w:val="20"/>
              </w:rPr>
              <w:t>(z=0.297)</w:t>
            </w:r>
          </w:p>
        </w:tc>
      </w:tr>
      <w:tr w:rsidR="00062324" w:rsidRPr="00C60369" w:rsidTr="00062324">
        <w:trPr>
          <w:jc w:val="center"/>
        </w:trPr>
        <w:tc>
          <w:tcPr>
            <w:tcW w:w="1904" w:type="pct"/>
            <w:gridSpan w:val="2"/>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Heterogeneity</w:t>
            </w:r>
          </w:p>
        </w:tc>
        <w:tc>
          <w:tcPr>
            <w:tcW w:w="570" w:type="pct"/>
            <w:gridSpan w:val="2"/>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I</w:t>
            </w:r>
            <w:r w:rsidRPr="00C60369">
              <w:rPr>
                <w:rFonts w:ascii="Times New Roman" w:eastAsia="Times New Roman" w:hAnsi="Times New Roman" w:cs="Times New Roman"/>
                <w:b/>
                <w:color w:val="000000"/>
                <w:sz w:val="20"/>
                <w:szCs w:val="20"/>
                <w:vertAlign w:val="superscript"/>
              </w:rPr>
              <w:t>2</w:t>
            </w:r>
          </w:p>
        </w:tc>
        <w:tc>
          <w:tcPr>
            <w:tcW w:w="939" w:type="pct"/>
            <w:gridSpan w:val="3"/>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58.878</w:t>
            </w:r>
          </w:p>
        </w:tc>
        <w:tc>
          <w:tcPr>
            <w:tcW w:w="1004" w:type="pct"/>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P</w:t>
            </w:r>
          </w:p>
        </w:tc>
        <w:tc>
          <w:tcPr>
            <w:tcW w:w="583" w:type="pct"/>
            <w:shd w:val="clear" w:color="auto" w:fill="FFFFFF" w:themeFill="background1"/>
            <w:vAlign w:val="center"/>
          </w:tcPr>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0.024*</w:t>
            </w:r>
          </w:p>
        </w:tc>
      </w:tr>
    </w:tbl>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RR: Relative rate, CI: Confidence interval, *Significant</w:t>
      </w:r>
    </w:p>
    <w:p w:rsidR="009D6667" w:rsidRPr="00C60369" w:rsidRDefault="009D6667"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p>
    <w:p w:rsidR="00DC493E" w:rsidRPr="00C60369" w:rsidRDefault="00DC493E" w:rsidP="00567C4E">
      <w:pPr>
        <w:autoSpaceDE w:val="0"/>
        <w:autoSpaceDN w:val="0"/>
        <w:bidi w:val="0"/>
        <w:snapToGrid w:val="0"/>
        <w:spacing w:after="0" w:line="240" w:lineRule="auto"/>
        <w:jc w:val="center"/>
        <w:rPr>
          <w:rFonts w:ascii="Times New Roman" w:eastAsia="Times New Roman" w:hAnsi="Times New Roman" w:cs="Times New Roman"/>
          <w:b/>
          <w:color w:val="000000"/>
          <w:sz w:val="20"/>
          <w:szCs w:val="20"/>
        </w:rPr>
      </w:pPr>
      <w:r w:rsidRPr="00C60369">
        <w:rPr>
          <w:rFonts w:ascii="Times New Roman" w:eastAsia="Times New Roman" w:hAnsi="Times New Roman" w:cs="Times New Roman"/>
          <w:noProof/>
          <w:color w:val="000000"/>
          <w:sz w:val="20"/>
          <w:szCs w:val="20"/>
          <w:lang w:eastAsia="zh-CN"/>
        </w:rPr>
        <w:drawing>
          <wp:inline distT="0" distB="0" distL="0" distR="0">
            <wp:extent cx="3786477" cy="2081751"/>
            <wp:effectExtent l="38100" t="57150" r="118773" b="89949"/>
            <wp:docPr id="21"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9" descr="C:/Users/mahmoud/AppData/Roaming/PolarisOffice/ETemp/6472_5042280/fImage225521566962.emf"/>
                    <pic:cNvPicPr preferRelativeResize="0">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799301" cy="2088802"/>
                    </a:xfrm>
                    <a:prstGeom prst="rect">
                      <a:avLst/>
                    </a:prstGeom>
                    <a:ln w="38100" cap="sq" cmpd="sng">
                      <a:solidFill>
                        <a:prstClr val="black"/>
                      </a:solidFill>
                      <a:prstDash val="solid"/>
                      <a:miter lim="800000"/>
                    </a:ln>
                    <a:effectLst>
                      <a:outerShdw blurRad="50800" dist="38100" dir="2700000" algn="tl" rotWithShape="0">
                        <a:prstClr val="black">
                          <a:alpha val="43000"/>
                        </a:prstClr>
                      </a:outerShdw>
                    </a:effectLst>
                  </pic:spPr>
                </pic:pic>
              </a:graphicData>
            </a:graphic>
          </wp:inline>
        </w:drawing>
      </w:r>
    </w:p>
    <w:p w:rsidR="00DC493E" w:rsidRPr="00C60369" w:rsidRDefault="00DC493E" w:rsidP="00E87DF2">
      <w:pPr>
        <w:autoSpaceDE w:val="0"/>
        <w:autoSpaceDN w:val="0"/>
        <w:bidi w:val="0"/>
        <w:snapToGrid w:val="0"/>
        <w:spacing w:after="0" w:line="240" w:lineRule="auto"/>
        <w:jc w:val="center"/>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 xml:space="preserve">Figure (9): </w:t>
      </w:r>
      <w:r w:rsidRPr="00C60369">
        <w:rPr>
          <w:rFonts w:ascii="Times New Roman" w:eastAsia="Times New Roman" w:hAnsi="Times New Roman" w:cs="Times New Roman"/>
          <w:bCs/>
          <w:color w:val="000000"/>
          <w:sz w:val="20"/>
          <w:szCs w:val="20"/>
        </w:rPr>
        <w:t>Forest plot for renal function recovery</w:t>
      </w:r>
    </w:p>
    <w:p w:rsidR="00DC493E" w:rsidRPr="00C60369" w:rsidRDefault="00DC493E" w:rsidP="00567C4E">
      <w:pPr>
        <w:autoSpaceDE w:val="0"/>
        <w:autoSpaceDN w:val="0"/>
        <w:bidi w:val="0"/>
        <w:snapToGrid w:val="0"/>
        <w:spacing w:after="0" w:line="240" w:lineRule="auto"/>
        <w:jc w:val="center"/>
        <w:rPr>
          <w:rFonts w:ascii="Times New Roman" w:eastAsia="Times New Roman" w:hAnsi="Times New Roman" w:cs="Times New Roman"/>
          <w:b/>
          <w:color w:val="000000"/>
          <w:sz w:val="20"/>
          <w:szCs w:val="20"/>
        </w:rPr>
      </w:pPr>
      <w:r w:rsidRPr="00C60369">
        <w:rPr>
          <w:rFonts w:ascii="Times New Roman" w:eastAsia="Times New Roman" w:hAnsi="Times New Roman" w:cs="Times New Roman"/>
          <w:noProof/>
          <w:color w:val="000000"/>
          <w:sz w:val="20"/>
          <w:szCs w:val="20"/>
          <w:lang w:eastAsia="zh-CN"/>
        </w:rPr>
        <w:drawing>
          <wp:inline distT="0" distB="0" distL="0" distR="0">
            <wp:extent cx="3770575" cy="1938627"/>
            <wp:effectExtent l="38100" t="57150" r="115625" b="99723"/>
            <wp:docPr id="22"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descr="C:/Users/mahmoud/AppData/Roaming/PolarisOffice/ETemp/6472_5042280/fImage97721574464.emf"/>
                    <pic:cNvPicPr preferRelativeResize="0">
                      <a:picLocks noChangeAspect="1" noChangeArrowheads="1"/>
                    </pic:cNvPicPr>
                  </pic:nvPicPr>
                  <pic:blipFill>
                    <a:blip r:embed="rId22" cstate="print">
                      <a:lum bright="-20000" contrast="40000"/>
                    </a:blip>
                    <a:srcRect l="7074" t="3527" r="13712" b="2852"/>
                    <a:stretch>
                      <a:fillRect/>
                    </a:stretch>
                  </pic:blipFill>
                  <pic:spPr>
                    <a:xfrm>
                      <a:off x="0" y="0"/>
                      <a:ext cx="3792906" cy="1950108"/>
                    </a:xfrm>
                    <a:prstGeom prst="rect">
                      <a:avLst/>
                    </a:prstGeom>
                    <a:ln w="38100" cap="sq" cmpd="sng">
                      <a:solidFill>
                        <a:prstClr val="black"/>
                      </a:solidFill>
                      <a:prstDash val="solid"/>
                      <a:miter lim="800000"/>
                    </a:ln>
                    <a:effectLst>
                      <a:outerShdw blurRad="50800" dist="38100" dir="2700000" algn="tl" rotWithShape="0">
                        <a:prstClr val="black">
                          <a:alpha val="43000"/>
                        </a:prstClr>
                      </a:outerShdw>
                    </a:effectLst>
                  </pic:spPr>
                </pic:pic>
              </a:graphicData>
            </a:graphic>
          </wp:inline>
        </w:drawing>
      </w:r>
    </w:p>
    <w:p w:rsidR="00DC493E" w:rsidRPr="00C60369" w:rsidRDefault="00DC493E" w:rsidP="00E87DF2">
      <w:pPr>
        <w:autoSpaceDE w:val="0"/>
        <w:autoSpaceDN w:val="0"/>
        <w:bidi w:val="0"/>
        <w:snapToGrid w:val="0"/>
        <w:spacing w:after="0" w:line="240" w:lineRule="auto"/>
        <w:jc w:val="center"/>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 xml:space="preserve">Figure (10): </w:t>
      </w:r>
      <w:r w:rsidRPr="00C60369">
        <w:rPr>
          <w:rFonts w:ascii="Times New Roman" w:eastAsia="Times New Roman" w:hAnsi="Times New Roman" w:cs="Times New Roman"/>
          <w:bCs/>
          <w:color w:val="000000"/>
          <w:sz w:val="20"/>
          <w:szCs w:val="20"/>
        </w:rPr>
        <w:t>Funnel plot for renal function recovery</w:t>
      </w:r>
    </w:p>
    <w:p w:rsidR="009D6667" w:rsidRPr="00C60369" w:rsidRDefault="009D6667"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p>
    <w:p w:rsidR="00567C4E" w:rsidRPr="00C60369" w:rsidRDefault="00567C4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sectPr w:rsidR="00567C4E" w:rsidRPr="00C60369" w:rsidSect="00062324">
          <w:type w:val="continuous"/>
          <w:pgSz w:w="12240" w:h="15840"/>
          <w:pgMar w:top="1440" w:right="1440" w:bottom="1440" w:left="1440" w:header="720" w:footer="720" w:gutter="0"/>
          <w:cols w:space="720"/>
          <w:rtlGutter/>
          <w:docGrid w:linePitch="360"/>
        </w:sectPr>
      </w:pPr>
    </w:p>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lastRenderedPageBreak/>
        <w:t>5- Renal Replacement Therapy Dependence.</w:t>
      </w:r>
    </w:p>
    <w:p w:rsidR="00DC493E" w:rsidRPr="00C60369" w:rsidRDefault="00DC493E" w:rsidP="00567C4E">
      <w:pPr>
        <w:autoSpaceDE w:val="0"/>
        <w:autoSpaceDN w:val="0"/>
        <w:bidi w:val="0"/>
        <w:snapToGrid w:val="0"/>
        <w:spacing w:after="0" w:line="240" w:lineRule="auto"/>
        <w:ind w:firstLine="425"/>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color w:val="000000"/>
          <w:sz w:val="20"/>
          <w:szCs w:val="20"/>
        </w:rPr>
        <w:t xml:space="preserve">Table (10) and figure (11, 12) show that: Renal replacement therapy dependence was reported in the six included studies. There was no significant heterogeneity among these studies. Thus, we </w:t>
      </w:r>
      <w:r w:rsidRPr="00C60369">
        <w:rPr>
          <w:rFonts w:ascii="Times New Roman" w:eastAsia="Times New Roman" w:hAnsi="Times New Roman" w:cs="Times New Roman"/>
          <w:color w:val="000000"/>
          <w:sz w:val="20"/>
          <w:szCs w:val="20"/>
        </w:rPr>
        <w:lastRenderedPageBreak/>
        <w:t>performed the statistics using a fixed-effects model, and the results showed that renal replacement therapy dependence was not significantly different between early and late interventions.</w:t>
      </w:r>
    </w:p>
    <w:p w:rsidR="00567C4E" w:rsidRPr="00C60369" w:rsidRDefault="00567C4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sectPr w:rsidR="00567C4E" w:rsidRPr="00C60369" w:rsidSect="00567C4E">
          <w:type w:val="continuous"/>
          <w:pgSz w:w="12240" w:h="15840"/>
          <w:pgMar w:top="1440" w:right="1440" w:bottom="1440" w:left="1440" w:header="720" w:footer="720" w:gutter="0"/>
          <w:cols w:num="2" w:space="550"/>
          <w:rtlGutter/>
          <w:docGrid w:linePitch="360"/>
        </w:sectPr>
      </w:pPr>
    </w:p>
    <w:p w:rsidR="00DC493E" w:rsidRPr="00C60369" w:rsidRDefault="00DC493E" w:rsidP="00567C4E">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p>
    <w:p w:rsidR="00C60369" w:rsidRDefault="00C60369" w:rsidP="00567C4E">
      <w:pPr>
        <w:autoSpaceDE w:val="0"/>
        <w:autoSpaceDN w:val="0"/>
        <w:bidi w:val="0"/>
        <w:snapToGrid w:val="0"/>
        <w:spacing w:after="0" w:line="240" w:lineRule="auto"/>
        <w:ind w:firstLine="425"/>
        <w:jc w:val="both"/>
        <w:rPr>
          <w:rFonts w:ascii="Times New Roman" w:hAnsi="Times New Roman" w:cs="Times New Roman" w:hint="eastAsia"/>
          <w:b/>
          <w:color w:val="000000"/>
          <w:sz w:val="20"/>
          <w:szCs w:val="20"/>
          <w:lang w:eastAsia="zh-CN"/>
        </w:rPr>
      </w:pPr>
    </w:p>
    <w:p w:rsidR="00DC493E" w:rsidRPr="00C60369" w:rsidRDefault="00DC493E" w:rsidP="00C60369">
      <w:pPr>
        <w:autoSpaceDE w:val="0"/>
        <w:autoSpaceDN w:val="0"/>
        <w:bidi w:val="0"/>
        <w:snapToGrid w:val="0"/>
        <w:spacing w:after="0" w:line="240" w:lineRule="auto"/>
        <w:ind w:firstLine="425"/>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lastRenderedPageBreak/>
        <w:t>Table (10):</w:t>
      </w:r>
      <w:r w:rsidRPr="00C60369">
        <w:rPr>
          <w:rFonts w:ascii="Times New Roman" w:eastAsia="Times New Roman" w:hAnsi="Times New Roman" w:cs="Times New Roman"/>
          <w:bCs/>
          <w:color w:val="000000"/>
          <w:sz w:val="20"/>
          <w:szCs w:val="20"/>
        </w:rPr>
        <w:t xml:space="preserve"> Meta-analysis for renal replacement therapy dependence.</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FF" w:themeFill="background1"/>
        <w:tblCellMar>
          <w:left w:w="57" w:type="dxa"/>
          <w:right w:w="57" w:type="dxa"/>
        </w:tblCellMar>
        <w:tblLook w:val="04A0"/>
      </w:tblPr>
      <w:tblGrid>
        <w:gridCol w:w="2798"/>
        <w:gridCol w:w="747"/>
        <w:gridCol w:w="153"/>
        <w:gridCol w:w="153"/>
        <w:gridCol w:w="610"/>
        <w:gridCol w:w="675"/>
        <w:gridCol w:w="307"/>
        <w:gridCol w:w="549"/>
        <w:gridCol w:w="1830"/>
        <w:gridCol w:w="1652"/>
      </w:tblGrid>
      <w:tr w:rsidR="00062324" w:rsidRPr="00C60369" w:rsidTr="00E87DF2">
        <w:trPr>
          <w:jc w:val="center"/>
        </w:trPr>
        <w:tc>
          <w:tcPr>
            <w:tcW w:w="1476" w:type="pct"/>
            <w:vMerge w:val="restart"/>
            <w:shd w:val="clear" w:color="auto" w:fill="BFBFBF" w:themeFill="background1" w:themeFillShade="BF"/>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Study</w:t>
            </w:r>
          </w:p>
        </w:tc>
        <w:tc>
          <w:tcPr>
            <w:tcW w:w="878" w:type="pct"/>
            <w:gridSpan w:val="4"/>
            <w:shd w:val="clear" w:color="auto" w:fill="BFBFBF" w:themeFill="background1" w:themeFillShade="BF"/>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early</w:t>
            </w:r>
          </w:p>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(event/total)</w:t>
            </w:r>
          </w:p>
        </w:tc>
        <w:tc>
          <w:tcPr>
            <w:tcW w:w="807" w:type="pct"/>
            <w:gridSpan w:val="3"/>
            <w:shd w:val="clear" w:color="auto" w:fill="BFBFBF" w:themeFill="background1" w:themeFillShade="BF"/>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Late</w:t>
            </w:r>
          </w:p>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(event/total)</w:t>
            </w:r>
          </w:p>
        </w:tc>
        <w:tc>
          <w:tcPr>
            <w:tcW w:w="966" w:type="pct"/>
            <w:vMerge w:val="restart"/>
            <w:shd w:val="clear" w:color="auto" w:fill="BFBFBF" w:themeFill="background1" w:themeFillShade="BF"/>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RR</w:t>
            </w:r>
          </w:p>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(95% CI)</w:t>
            </w:r>
          </w:p>
        </w:tc>
        <w:tc>
          <w:tcPr>
            <w:tcW w:w="873" w:type="pct"/>
            <w:vMerge w:val="restart"/>
            <w:shd w:val="clear" w:color="auto" w:fill="BFBFBF" w:themeFill="background1" w:themeFillShade="BF"/>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P</w:t>
            </w:r>
          </w:p>
        </w:tc>
      </w:tr>
      <w:tr w:rsidR="00062324" w:rsidRPr="00C60369" w:rsidTr="00E87DF2">
        <w:trPr>
          <w:jc w:val="center"/>
        </w:trPr>
        <w:tc>
          <w:tcPr>
            <w:tcW w:w="1476" w:type="pct"/>
            <w:vMerge/>
            <w:shd w:val="clear" w:color="auto" w:fill="BFBFBF" w:themeFill="background1" w:themeFillShade="BF"/>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p>
        </w:tc>
        <w:tc>
          <w:tcPr>
            <w:tcW w:w="394" w:type="pct"/>
            <w:shd w:val="clear" w:color="auto" w:fill="BFBFBF" w:themeFill="background1" w:themeFillShade="BF"/>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Total</w:t>
            </w:r>
          </w:p>
        </w:tc>
        <w:tc>
          <w:tcPr>
            <w:tcW w:w="162" w:type="pct"/>
            <w:gridSpan w:val="2"/>
            <w:shd w:val="clear" w:color="auto" w:fill="BFBFBF" w:themeFill="background1" w:themeFillShade="BF"/>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N</w:t>
            </w:r>
          </w:p>
        </w:tc>
        <w:tc>
          <w:tcPr>
            <w:tcW w:w="321" w:type="pct"/>
            <w:shd w:val="clear" w:color="auto" w:fill="BFBFBF" w:themeFill="background1" w:themeFillShade="BF"/>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w:t>
            </w:r>
          </w:p>
        </w:tc>
        <w:tc>
          <w:tcPr>
            <w:tcW w:w="356" w:type="pct"/>
            <w:shd w:val="clear" w:color="auto" w:fill="BFBFBF" w:themeFill="background1" w:themeFillShade="BF"/>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Total</w:t>
            </w:r>
          </w:p>
        </w:tc>
        <w:tc>
          <w:tcPr>
            <w:tcW w:w="162" w:type="pct"/>
            <w:shd w:val="clear" w:color="auto" w:fill="BFBFBF" w:themeFill="background1" w:themeFillShade="BF"/>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N</w:t>
            </w:r>
          </w:p>
        </w:tc>
        <w:tc>
          <w:tcPr>
            <w:tcW w:w="290" w:type="pct"/>
            <w:shd w:val="clear" w:color="auto" w:fill="BFBFBF" w:themeFill="background1" w:themeFillShade="BF"/>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w:t>
            </w:r>
          </w:p>
        </w:tc>
        <w:tc>
          <w:tcPr>
            <w:tcW w:w="966" w:type="pct"/>
            <w:vMerge/>
            <w:shd w:val="clear" w:color="auto" w:fill="BFBFBF" w:themeFill="background1" w:themeFillShade="BF"/>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p>
        </w:tc>
        <w:tc>
          <w:tcPr>
            <w:tcW w:w="873" w:type="pct"/>
            <w:vMerge/>
            <w:shd w:val="clear" w:color="auto" w:fill="BFBFBF" w:themeFill="background1" w:themeFillShade="BF"/>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p>
        </w:tc>
      </w:tr>
      <w:tr w:rsidR="00062324" w:rsidRPr="00C60369" w:rsidTr="00E87DF2">
        <w:trPr>
          <w:jc w:val="center"/>
        </w:trPr>
        <w:tc>
          <w:tcPr>
            <w:tcW w:w="1476"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proofErr w:type="spellStart"/>
            <w:r w:rsidRPr="00C60369">
              <w:rPr>
                <w:rFonts w:ascii="Times New Roman" w:eastAsia="Times New Roman" w:hAnsi="Times New Roman" w:cs="Times New Roman"/>
                <w:b/>
                <w:color w:val="000000"/>
                <w:sz w:val="20"/>
                <w:szCs w:val="20"/>
              </w:rPr>
              <w:t>Bouman</w:t>
            </w:r>
            <w:proofErr w:type="spellEnd"/>
            <w:r w:rsidRPr="00C60369">
              <w:rPr>
                <w:rFonts w:ascii="Times New Roman" w:eastAsia="Times New Roman" w:hAnsi="Times New Roman" w:cs="Times New Roman"/>
                <w:b/>
                <w:color w:val="000000"/>
                <w:sz w:val="20"/>
                <w:szCs w:val="20"/>
              </w:rPr>
              <w:t xml:space="preserve"> et al., 2002</w:t>
            </w:r>
          </w:p>
        </w:tc>
        <w:tc>
          <w:tcPr>
            <w:tcW w:w="394"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39</w:t>
            </w:r>
          </w:p>
        </w:tc>
        <w:tc>
          <w:tcPr>
            <w:tcW w:w="162" w:type="pct"/>
            <w:gridSpan w:val="2"/>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w:t>
            </w:r>
          </w:p>
        </w:tc>
        <w:tc>
          <w:tcPr>
            <w:tcW w:w="321"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2.6</w:t>
            </w:r>
          </w:p>
        </w:tc>
        <w:tc>
          <w:tcPr>
            <w:tcW w:w="356"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22</w:t>
            </w:r>
          </w:p>
        </w:tc>
        <w:tc>
          <w:tcPr>
            <w:tcW w:w="162"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w:t>
            </w:r>
          </w:p>
        </w:tc>
        <w:tc>
          <w:tcPr>
            <w:tcW w:w="290"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0.0</w:t>
            </w:r>
          </w:p>
        </w:tc>
        <w:tc>
          <w:tcPr>
            <w:tcW w:w="966"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1.73</w:t>
            </w:r>
            <w:r w:rsidR="00062324" w:rsidRPr="00C60369">
              <w:rPr>
                <w:rFonts w:ascii="Times New Roman" w:eastAsia="Times New Roman" w:hAnsi="Times New Roman" w:cs="Times New Roman"/>
                <w:color w:val="000000"/>
                <w:sz w:val="20"/>
                <w:szCs w:val="20"/>
              </w:rPr>
              <w:t xml:space="preserve"> </w:t>
            </w:r>
            <w:r w:rsidRPr="00C60369">
              <w:rPr>
                <w:rFonts w:ascii="Times New Roman" w:eastAsia="Times New Roman" w:hAnsi="Times New Roman" w:cs="Times New Roman"/>
                <w:color w:val="000000"/>
                <w:sz w:val="20"/>
                <w:szCs w:val="20"/>
              </w:rPr>
              <w:t>(0.07–40.63)</w:t>
            </w:r>
          </w:p>
        </w:tc>
        <w:tc>
          <w:tcPr>
            <w:tcW w:w="873"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0.735</w:t>
            </w:r>
          </w:p>
        </w:tc>
      </w:tr>
      <w:tr w:rsidR="00062324" w:rsidRPr="00C60369" w:rsidTr="00E87DF2">
        <w:trPr>
          <w:jc w:val="center"/>
        </w:trPr>
        <w:tc>
          <w:tcPr>
            <w:tcW w:w="1476"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proofErr w:type="spellStart"/>
            <w:r w:rsidRPr="00C60369">
              <w:rPr>
                <w:rFonts w:ascii="Times New Roman" w:eastAsia="Times New Roman" w:hAnsi="Times New Roman" w:cs="Times New Roman"/>
                <w:b/>
                <w:color w:val="000000"/>
                <w:sz w:val="20"/>
                <w:szCs w:val="20"/>
              </w:rPr>
              <w:t>Sugahara</w:t>
            </w:r>
            <w:proofErr w:type="spellEnd"/>
            <w:r w:rsidRPr="00C60369">
              <w:rPr>
                <w:rFonts w:ascii="Times New Roman" w:eastAsia="Times New Roman" w:hAnsi="Times New Roman" w:cs="Times New Roman"/>
                <w:b/>
                <w:color w:val="000000"/>
                <w:sz w:val="20"/>
                <w:szCs w:val="20"/>
              </w:rPr>
              <w:t xml:space="preserve"> and suzuki,2004</w:t>
            </w:r>
          </w:p>
        </w:tc>
        <w:tc>
          <w:tcPr>
            <w:tcW w:w="394"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12</w:t>
            </w:r>
          </w:p>
        </w:tc>
        <w:tc>
          <w:tcPr>
            <w:tcW w:w="162" w:type="pct"/>
            <w:gridSpan w:val="2"/>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2</w:t>
            </w:r>
          </w:p>
        </w:tc>
        <w:tc>
          <w:tcPr>
            <w:tcW w:w="321"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16.7</w:t>
            </w:r>
          </w:p>
        </w:tc>
        <w:tc>
          <w:tcPr>
            <w:tcW w:w="356"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2</w:t>
            </w:r>
          </w:p>
        </w:tc>
        <w:tc>
          <w:tcPr>
            <w:tcW w:w="162"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w:t>
            </w:r>
          </w:p>
        </w:tc>
        <w:tc>
          <w:tcPr>
            <w:tcW w:w="290"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0.0</w:t>
            </w:r>
          </w:p>
        </w:tc>
        <w:tc>
          <w:tcPr>
            <w:tcW w:w="966"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1.15</w:t>
            </w:r>
            <w:r w:rsidR="009D6667" w:rsidRPr="00C60369">
              <w:rPr>
                <w:rFonts w:ascii="Times New Roman" w:eastAsia="Times New Roman" w:hAnsi="Times New Roman" w:cs="Times New Roman"/>
                <w:color w:val="000000"/>
                <w:sz w:val="20"/>
                <w:szCs w:val="20"/>
              </w:rPr>
              <w:t xml:space="preserve"> </w:t>
            </w:r>
            <w:r w:rsidRPr="00C60369">
              <w:rPr>
                <w:rFonts w:ascii="Times New Roman" w:eastAsia="Times New Roman" w:hAnsi="Times New Roman" w:cs="Times New Roman"/>
                <w:color w:val="000000"/>
                <w:sz w:val="20"/>
                <w:szCs w:val="20"/>
              </w:rPr>
              <w:t>(0.07–18.32)</w:t>
            </w:r>
          </w:p>
        </w:tc>
        <w:tc>
          <w:tcPr>
            <w:tcW w:w="873"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0.919</w:t>
            </w:r>
          </w:p>
        </w:tc>
      </w:tr>
      <w:tr w:rsidR="00062324" w:rsidRPr="00C60369" w:rsidTr="00E87DF2">
        <w:trPr>
          <w:jc w:val="center"/>
        </w:trPr>
        <w:tc>
          <w:tcPr>
            <w:tcW w:w="1476"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proofErr w:type="spellStart"/>
            <w:r w:rsidRPr="00C60369">
              <w:rPr>
                <w:rFonts w:ascii="Times New Roman" w:eastAsia="Times New Roman" w:hAnsi="Times New Roman" w:cs="Times New Roman"/>
                <w:b/>
                <w:color w:val="000000"/>
                <w:sz w:val="20"/>
                <w:szCs w:val="20"/>
              </w:rPr>
              <w:t>Jamale</w:t>
            </w:r>
            <w:proofErr w:type="spellEnd"/>
            <w:r w:rsidRPr="00C60369">
              <w:rPr>
                <w:rFonts w:ascii="Times New Roman" w:eastAsia="Times New Roman" w:hAnsi="Times New Roman" w:cs="Times New Roman"/>
                <w:b/>
                <w:color w:val="000000"/>
                <w:sz w:val="20"/>
                <w:szCs w:val="20"/>
              </w:rPr>
              <w:t xml:space="preserve"> et al., 2013</w:t>
            </w:r>
          </w:p>
        </w:tc>
        <w:tc>
          <w:tcPr>
            <w:tcW w:w="394"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102</w:t>
            </w:r>
          </w:p>
        </w:tc>
        <w:tc>
          <w:tcPr>
            <w:tcW w:w="162" w:type="pct"/>
            <w:gridSpan w:val="2"/>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5</w:t>
            </w:r>
          </w:p>
        </w:tc>
        <w:tc>
          <w:tcPr>
            <w:tcW w:w="321"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4.9</w:t>
            </w:r>
          </w:p>
        </w:tc>
        <w:tc>
          <w:tcPr>
            <w:tcW w:w="356"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106</w:t>
            </w:r>
          </w:p>
        </w:tc>
        <w:tc>
          <w:tcPr>
            <w:tcW w:w="162"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5</w:t>
            </w:r>
          </w:p>
        </w:tc>
        <w:tc>
          <w:tcPr>
            <w:tcW w:w="290"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4.7</w:t>
            </w:r>
          </w:p>
        </w:tc>
        <w:tc>
          <w:tcPr>
            <w:tcW w:w="966"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1.04</w:t>
            </w:r>
            <w:r w:rsidR="00062324" w:rsidRPr="00C60369">
              <w:rPr>
                <w:rFonts w:ascii="Times New Roman" w:eastAsia="Times New Roman" w:hAnsi="Times New Roman" w:cs="Times New Roman"/>
                <w:color w:val="000000"/>
                <w:sz w:val="20"/>
                <w:szCs w:val="20"/>
              </w:rPr>
              <w:t xml:space="preserve"> </w:t>
            </w:r>
            <w:r w:rsidRPr="00C60369">
              <w:rPr>
                <w:rFonts w:ascii="Times New Roman" w:eastAsia="Times New Roman" w:hAnsi="Times New Roman" w:cs="Times New Roman"/>
                <w:color w:val="000000"/>
                <w:sz w:val="20"/>
                <w:szCs w:val="20"/>
              </w:rPr>
              <w:t>(0.31–3.48)</w:t>
            </w:r>
          </w:p>
        </w:tc>
        <w:tc>
          <w:tcPr>
            <w:tcW w:w="873"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0.950</w:t>
            </w:r>
          </w:p>
        </w:tc>
      </w:tr>
      <w:tr w:rsidR="00062324" w:rsidRPr="00C60369" w:rsidTr="00E87DF2">
        <w:trPr>
          <w:jc w:val="center"/>
        </w:trPr>
        <w:tc>
          <w:tcPr>
            <w:tcW w:w="1476"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Wald et al., 2015</w:t>
            </w:r>
          </w:p>
        </w:tc>
        <w:tc>
          <w:tcPr>
            <w:tcW w:w="394"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30</w:t>
            </w:r>
          </w:p>
        </w:tc>
        <w:tc>
          <w:tcPr>
            <w:tcW w:w="162" w:type="pct"/>
            <w:gridSpan w:val="2"/>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w:t>
            </w:r>
          </w:p>
        </w:tc>
        <w:tc>
          <w:tcPr>
            <w:tcW w:w="321"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0.0</w:t>
            </w:r>
          </w:p>
        </w:tc>
        <w:tc>
          <w:tcPr>
            <w:tcW w:w="356"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33</w:t>
            </w:r>
          </w:p>
        </w:tc>
        <w:tc>
          <w:tcPr>
            <w:tcW w:w="162"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2</w:t>
            </w:r>
          </w:p>
        </w:tc>
        <w:tc>
          <w:tcPr>
            <w:tcW w:w="290"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6.1</w:t>
            </w:r>
          </w:p>
        </w:tc>
        <w:tc>
          <w:tcPr>
            <w:tcW w:w="966"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0.22</w:t>
            </w:r>
            <w:r w:rsidR="00062324" w:rsidRPr="00C60369">
              <w:rPr>
                <w:rFonts w:ascii="Times New Roman" w:eastAsia="Times New Roman" w:hAnsi="Times New Roman" w:cs="Times New Roman"/>
                <w:color w:val="000000"/>
                <w:sz w:val="20"/>
                <w:szCs w:val="20"/>
              </w:rPr>
              <w:t xml:space="preserve"> </w:t>
            </w:r>
            <w:r w:rsidRPr="00C60369">
              <w:rPr>
                <w:rFonts w:ascii="Times New Roman" w:eastAsia="Times New Roman" w:hAnsi="Times New Roman" w:cs="Times New Roman"/>
                <w:color w:val="000000"/>
                <w:sz w:val="20"/>
                <w:szCs w:val="20"/>
              </w:rPr>
              <w:t>(0.01–4.39)</w:t>
            </w:r>
          </w:p>
        </w:tc>
        <w:tc>
          <w:tcPr>
            <w:tcW w:w="873"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0.321</w:t>
            </w:r>
          </w:p>
        </w:tc>
      </w:tr>
      <w:tr w:rsidR="00062324" w:rsidRPr="00C60369" w:rsidTr="00E87DF2">
        <w:trPr>
          <w:jc w:val="center"/>
        </w:trPr>
        <w:tc>
          <w:tcPr>
            <w:tcW w:w="1476"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proofErr w:type="spellStart"/>
            <w:r w:rsidRPr="00C60369">
              <w:rPr>
                <w:rFonts w:ascii="Times New Roman" w:eastAsia="Times New Roman" w:hAnsi="Times New Roman" w:cs="Times New Roman"/>
                <w:b/>
                <w:color w:val="000000"/>
                <w:sz w:val="20"/>
                <w:szCs w:val="20"/>
              </w:rPr>
              <w:t>Gaudry</w:t>
            </w:r>
            <w:proofErr w:type="spellEnd"/>
            <w:r w:rsidRPr="00C60369">
              <w:rPr>
                <w:rFonts w:ascii="Times New Roman" w:eastAsia="Times New Roman" w:hAnsi="Times New Roman" w:cs="Times New Roman"/>
                <w:b/>
                <w:color w:val="000000"/>
                <w:sz w:val="20"/>
                <w:szCs w:val="20"/>
              </w:rPr>
              <w:t xml:space="preserve"> et al., 2016</w:t>
            </w:r>
          </w:p>
        </w:tc>
        <w:tc>
          <w:tcPr>
            <w:tcW w:w="394"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157</w:t>
            </w:r>
          </w:p>
        </w:tc>
        <w:tc>
          <w:tcPr>
            <w:tcW w:w="162" w:type="pct"/>
            <w:gridSpan w:val="2"/>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3</w:t>
            </w:r>
          </w:p>
        </w:tc>
        <w:tc>
          <w:tcPr>
            <w:tcW w:w="321"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1.9</w:t>
            </w:r>
          </w:p>
        </w:tc>
        <w:tc>
          <w:tcPr>
            <w:tcW w:w="356"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155</w:t>
            </w:r>
          </w:p>
        </w:tc>
        <w:tc>
          <w:tcPr>
            <w:tcW w:w="162"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8</w:t>
            </w:r>
          </w:p>
        </w:tc>
        <w:tc>
          <w:tcPr>
            <w:tcW w:w="290"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5.2</w:t>
            </w:r>
          </w:p>
        </w:tc>
        <w:tc>
          <w:tcPr>
            <w:tcW w:w="966"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0.37</w:t>
            </w:r>
            <w:r w:rsidR="00062324" w:rsidRPr="00C60369">
              <w:rPr>
                <w:rFonts w:ascii="Times New Roman" w:eastAsia="Times New Roman" w:hAnsi="Times New Roman" w:cs="Times New Roman"/>
                <w:color w:val="000000"/>
                <w:sz w:val="20"/>
                <w:szCs w:val="20"/>
              </w:rPr>
              <w:t xml:space="preserve"> </w:t>
            </w:r>
            <w:r w:rsidRPr="00C60369">
              <w:rPr>
                <w:rFonts w:ascii="Times New Roman" w:eastAsia="Times New Roman" w:hAnsi="Times New Roman" w:cs="Times New Roman"/>
                <w:color w:val="000000"/>
                <w:sz w:val="20"/>
                <w:szCs w:val="20"/>
              </w:rPr>
              <w:t>(0.10–1.37)</w:t>
            </w:r>
          </w:p>
        </w:tc>
        <w:tc>
          <w:tcPr>
            <w:tcW w:w="873"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0.137</w:t>
            </w:r>
          </w:p>
        </w:tc>
      </w:tr>
      <w:tr w:rsidR="00062324" w:rsidRPr="00C60369" w:rsidTr="00E87DF2">
        <w:trPr>
          <w:jc w:val="center"/>
        </w:trPr>
        <w:tc>
          <w:tcPr>
            <w:tcW w:w="1476"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proofErr w:type="spellStart"/>
            <w:r w:rsidRPr="00C60369">
              <w:rPr>
                <w:rFonts w:ascii="Times New Roman" w:eastAsia="Times New Roman" w:hAnsi="Times New Roman" w:cs="Times New Roman"/>
                <w:b/>
                <w:color w:val="000000"/>
                <w:sz w:val="20"/>
                <w:szCs w:val="20"/>
              </w:rPr>
              <w:t>Zarbock</w:t>
            </w:r>
            <w:proofErr w:type="spellEnd"/>
            <w:r w:rsidRPr="00C60369">
              <w:rPr>
                <w:rFonts w:ascii="Times New Roman" w:eastAsia="Times New Roman" w:hAnsi="Times New Roman" w:cs="Times New Roman"/>
                <w:b/>
                <w:color w:val="000000"/>
                <w:sz w:val="20"/>
                <w:szCs w:val="20"/>
              </w:rPr>
              <w:t xml:space="preserve"> et al., 2016</w:t>
            </w:r>
          </w:p>
        </w:tc>
        <w:tc>
          <w:tcPr>
            <w:tcW w:w="394"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67</w:t>
            </w:r>
          </w:p>
        </w:tc>
        <w:tc>
          <w:tcPr>
            <w:tcW w:w="162" w:type="pct"/>
            <w:gridSpan w:val="2"/>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9</w:t>
            </w:r>
          </w:p>
        </w:tc>
        <w:tc>
          <w:tcPr>
            <w:tcW w:w="321"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13.4</w:t>
            </w:r>
          </w:p>
        </w:tc>
        <w:tc>
          <w:tcPr>
            <w:tcW w:w="356"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53</w:t>
            </w:r>
          </w:p>
        </w:tc>
        <w:tc>
          <w:tcPr>
            <w:tcW w:w="162"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8</w:t>
            </w:r>
          </w:p>
        </w:tc>
        <w:tc>
          <w:tcPr>
            <w:tcW w:w="290"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15.1</w:t>
            </w:r>
          </w:p>
        </w:tc>
        <w:tc>
          <w:tcPr>
            <w:tcW w:w="966"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0.89</w:t>
            </w:r>
            <w:r w:rsidR="00062324" w:rsidRPr="00C60369">
              <w:rPr>
                <w:rFonts w:ascii="Times New Roman" w:eastAsia="Times New Roman" w:hAnsi="Times New Roman" w:cs="Times New Roman"/>
                <w:color w:val="000000"/>
                <w:sz w:val="20"/>
                <w:szCs w:val="20"/>
              </w:rPr>
              <w:t xml:space="preserve"> </w:t>
            </w:r>
            <w:r w:rsidRPr="00C60369">
              <w:rPr>
                <w:rFonts w:ascii="Times New Roman" w:eastAsia="Times New Roman" w:hAnsi="Times New Roman" w:cs="Times New Roman"/>
                <w:color w:val="000000"/>
                <w:sz w:val="20"/>
                <w:szCs w:val="20"/>
              </w:rPr>
              <w:t>(0.37–2.15)</w:t>
            </w:r>
          </w:p>
        </w:tc>
        <w:tc>
          <w:tcPr>
            <w:tcW w:w="873"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0.795</w:t>
            </w:r>
          </w:p>
        </w:tc>
      </w:tr>
      <w:tr w:rsidR="00062324" w:rsidRPr="00C60369" w:rsidTr="00E87DF2">
        <w:trPr>
          <w:jc w:val="center"/>
        </w:trPr>
        <w:tc>
          <w:tcPr>
            <w:tcW w:w="1476"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Overall effect</w:t>
            </w:r>
          </w:p>
        </w:tc>
        <w:tc>
          <w:tcPr>
            <w:tcW w:w="878" w:type="pct"/>
            <w:gridSpan w:val="4"/>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w:t>
            </w:r>
          </w:p>
        </w:tc>
        <w:tc>
          <w:tcPr>
            <w:tcW w:w="807" w:type="pct"/>
            <w:gridSpan w:val="3"/>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w:t>
            </w:r>
          </w:p>
        </w:tc>
        <w:tc>
          <w:tcPr>
            <w:tcW w:w="966"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0.76</w:t>
            </w:r>
            <w:r w:rsidR="009D6667" w:rsidRPr="00C60369">
              <w:rPr>
                <w:rFonts w:ascii="Times New Roman" w:eastAsia="Times New Roman" w:hAnsi="Times New Roman" w:cs="Times New Roman"/>
                <w:color w:val="000000"/>
                <w:sz w:val="20"/>
                <w:szCs w:val="20"/>
              </w:rPr>
              <w:t xml:space="preserve"> </w:t>
            </w:r>
            <w:r w:rsidRPr="00C60369">
              <w:rPr>
                <w:rFonts w:ascii="Times New Roman" w:eastAsia="Times New Roman" w:hAnsi="Times New Roman" w:cs="Times New Roman"/>
                <w:color w:val="000000"/>
                <w:sz w:val="20"/>
                <w:szCs w:val="20"/>
              </w:rPr>
              <w:t>(0.42–1.37)</w:t>
            </w:r>
          </w:p>
        </w:tc>
        <w:tc>
          <w:tcPr>
            <w:tcW w:w="873"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0.357</w:t>
            </w:r>
            <w:r w:rsidR="00E87DF2" w:rsidRPr="00C60369">
              <w:rPr>
                <w:rFonts w:ascii="Times New Roman" w:hAnsi="Times New Roman" w:cs="Times New Roman"/>
                <w:color w:val="000000"/>
                <w:sz w:val="20"/>
                <w:szCs w:val="20"/>
                <w:lang w:eastAsia="zh-CN"/>
              </w:rPr>
              <w:t xml:space="preserve"> </w:t>
            </w:r>
            <w:r w:rsidRPr="00C60369">
              <w:rPr>
                <w:rFonts w:ascii="Times New Roman" w:eastAsia="Times New Roman" w:hAnsi="Times New Roman" w:cs="Times New Roman"/>
                <w:color w:val="000000"/>
                <w:sz w:val="20"/>
                <w:szCs w:val="20"/>
              </w:rPr>
              <w:t>(z=0.921)</w:t>
            </w:r>
          </w:p>
        </w:tc>
      </w:tr>
      <w:tr w:rsidR="00062324" w:rsidRPr="00C60369" w:rsidTr="00E87DF2">
        <w:trPr>
          <w:jc w:val="center"/>
        </w:trPr>
        <w:tc>
          <w:tcPr>
            <w:tcW w:w="1951" w:type="pct"/>
            <w:gridSpan w:val="3"/>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Heterogeneity</w:t>
            </w:r>
          </w:p>
        </w:tc>
        <w:tc>
          <w:tcPr>
            <w:tcW w:w="403" w:type="pct"/>
            <w:gridSpan w:val="2"/>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I</w:t>
            </w:r>
            <w:r w:rsidRPr="00C60369">
              <w:rPr>
                <w:rFonts w:ascii="Times New Roman" w:eastAsia="Times New Roman" w:hAnsi="Times New Roman" w:cs="Times New Roman"/>
                <w:b/>
                <w:color w:val="000000"/>
                <w:sz w:val="20"/>
                <w:szCs w:val="20"/>
                <w:vertAlign w:val="superscript"/>
              </w:rPr>
              <w:t>2</w:t>
            </w:r>
          </w:p>
        </w:tc>
        <w:tc>
          <w:tcPr>
            <w:tcW w:w="807" w:type="pct"/>
            <w:gridSpan w:val="3"/>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0.000</w:t>
            </w:r>
          </w:p>
        </w:tc>
        <w:tc>
          <w:tcPr>
            <w:tcW w:w="966"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P</w:t>
            </w:r>
          </w:p>
        </w:tc>
        <w:tc>
          <w:tcPr>
            <w:tcW w:w="873" w:type="pct"/>
            <w:shd w:val="clear" w:color="auto" w:fill="FFFFFF" w:themeFill="background1"/>
            <w:vAlign w:val="center"/>
          </w:tcPr>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0.769</w:t>
            </w:r>
          </w:p>
        </w:tc>
      </w:tr>
    </w:tbl>
    <w:p w:rsidR="00DC493E" w:rsidRPr="00C60369" w:rsidRDefault="00DC493E" w:rsidP="00E87DF2">
      <w:pPr>
        <w:autoSpaceDE w:val="0"/>
        <w:autoSpaceDN w:val="0"/>
        <w:bidi w:val="0"/>
        <w:snapToGrid w:val="0"/>
        <w:spacing w:after="0" w:line="240" w:lineRule="auto"/>
        <w:jc w:val="both"/>
        <w:rPr>
          <w:rFonts w:ascii="Times New Roman" w:eastAsia="Times New Roman" w:hAnsi="Times New Roman" w:cs="Times New Roman"/>
          <w:color w:val="000000"/>
          <w:sz w:val="20"/>
          <w:szCs w:val="20"/>
        </w:rPr>
      </w:pPr>
      <w:r w:rsidRPr="00C60369">
        <w:rPr>
          <w:rFonts w:ascii="Times New Roman" w:eastAsia="Times New Roman" w:hAnsi="Times New Roman" w:cs="Times New Roman"/>
          <w:color w:val="000000"/>
          <w:sz w:val="20"/>
          <w:szCs w:val="20"/>
        </w:rPr>
        <w:t>RR: Relative rate, CI: Confidence interval, *Significant</w:t>
      </w:r>
    </w:p>
    <w:p w:rsidR="00E54E02" w:rsidRPr="00C60369" w:rsidRDefault="00E54E02" w:rsidP="00567C4E">
      <w:pPr>
        <w:autoSpaceDE w:val="0"/>
        <w:autoSpaceDN w:val="0"/>
        <w:bidi w:val="0"/>
        <w:snapToGrid w:val="0"/>
        <w:spacing w:after="0" w:line="240" w:lineRule="auto"/>
        <w:ind w:firstLine="425"/>
        <w:jc w:val="both"/>
        <w:rPr>
          <w:rFonts w:ascii="Times New Roman" w:eastAsia="Times New Roman" w:hAnsi="Times New Roman" w:cs="Times New Roman"/>
          <w:color w:val="000000"/>
          <w:sz w:val="20"/>
          <w:szCs w:val="20"/>
        </w:rPr>
      </w:pPr>
    </w:p>
    <w:p w:rsidR="00DC493E" w:rsidRPr="00C60369" w:rsidRDefault="00DC493E" w:rsidP="00567C4E">
      <w:pPr>
        <w:autoSpaceDE w:val="0"/>
        <w:autoSpaceDN w:val="0"/>
        <w:bidi w:val="0"/>
        <w:snapToGrid w:val="0"/>
        <w:spacing w:after="0" w:line="240" w:lineRule="auto"/>
        <w:jc w:val="center"/>
        <w:rPr>
          <w:rFonts w:ascii="Times New Roman" w:eastAsia="Times New Roman" w:hAnsi="Times New Roman" w:cs="Times New Roman"/>
          <w:b/>
          <w:color w:val="000000"/>
          <w:sz w:val="20"/>
          <w:szCs w:val="20"/>
        </w:rPr>
      </w:pPr>
      <w:r w:rsidRPr="00C60369">
        <w:rPr>
          <w:rFonts w:ascii="Times New Roman" w:eastAsia="Times New Roman" w:hAnsi="Times New Roman" w:cs="Times New Roman"/>
          <w:noProof/>
          <w:color w:val="000000"/>
          <w:sz w:val="20"/>
          <w:szCs w:val="20"/>
          <w:lang w:eastAsia="zh-CN"/>
        </w:rPr>
        <w:drawing>
          <wp:inline distT="0" distB="0" distL="0" distR="0">
            <wp:extent cx="3837885" cy="2113556"/>
            <wp:effectExtent l="38100" t="57150" r="105465" b="96244"/>
            <wp:docPr id="23"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descr="C:/Users/mahmoud/AppData/Roaming/PolarisOffice/ETemp/6472_5042280/fImage207641595705.emf"/>
                    <pic:cNvPicPr preferRelativeResize="0">
                      <a:picLocks noChangeAspect="1" noChangeArrowheads="1"/>
                    </pic:cNvPicPr>
                  </pic:nvPicPr>
                  <pic:blipFill>
                    <a:blip r:embed="rId23" cstate="print"/>
                    <a:srcRect l="4287" t="8361" r="26371" b="55409"/>
                    <a:stretch>
                      <a:fillRect/>
                    </a:stretch>
                  </pic:blipFill>
                  <pic:spPr>
                    <a:xfrm>
                      <a:off x="0" y="0"/>
                      <a:ext cx="3843622" cy="2116715"/>
                    </a:xfrm>
                    <a:prstGeom prst="rect">
                      <a:avLst/>
                    </a:prstGeom>
                    <a:ln w="38100" cap="sq" cmpd="sng">
                      <a:solidFill>
                        <a:prstClr val="black"/>
                      </a:solidFill>
                      <a:prstDash val="solid"/>
                      <a:miter lim="800000"/>
                    </a:ln>
                    <a:effectLst>
                      <a:outerShdw blurRad="50800" dist="38100" dir="2700000" algn="tl" rotWithShape="0">
                        <a:prstClr val="black">
                          <a:alpha val="43000"/>
                        </a:prstClr>
                      </a:outerShdw>
                    </a:effectLst>
                  </pic:spPr>
                </pic:pic>
              </a:graphicData>
            </a:graphic>
          </wp:inline>
        </w:drawing>
      </w:r>
    </w:p>
    <w:p w:rsidR="00DC493E" w:rsidRPr="00C60369" w:rsidRDefault="00DC493E" w:rsidP="00E87DF2">
      <w:pPr>
        <w:autoSpaceDE w:val="0"/>
        <w:autoSpaceDN w:val="0"/>
        <w:bidi w:val="0"/>
        <w:snapToGrid w:val="0"/>
        <w:spacing w:after="0" w:line="240" w:lineRule="auto"/>
        <w:jc w:val="center"/>
        <w:rPr>
          <w:rFonts w:ascii="Times New Roman" w:eastAsia="Times New Roman" w:hAnsi="Times New Roman" w:cs="Times New Roman"/>
          <w:bCs/>
          <w:color w:val="000000"/>
          <w:sz w:val="20"/>
          <w:szCs w:val="20"/>
        </w:rPr>
      </w:pPr>
      <w:r w:rsidRPr="00C60369">
        <w:rPr>
          <w:rFonts w:ascii="Times New Roman" w:eastAsia="Times New Roman" w:hAnsi="Times New Roman" w:cs="Times New Roman"/>
          <w:b/>
          <w:color w:val="000000"/>
          <w:sz w:val="20"/>
          <w:szCs w:val="20"/>
        </w:rPr>
        <w:t xml:space="preserve">Figure (11): </w:t>
      </w:r>
      <w:r w:rsidRPr="00C60369">
        <w:rPr>
          <w:rFonts w:ascii="Times New Roman" w:eastAsia="Times New Roman" w:hAnsi="Times New Roman" w:cs="Times New Roman"/>
          <w:bCs/>
          <w:color w:val="000000"/>
          <w:sz w:val="20"/>
          <w:szCs w:val="20"/>
        </w:rPr>
        <w:t>Forest plot for renal replacement therapy dependence</w:t>
      </w:r>
    </w:p>
    <w:p w:rsidR="00DC493E" w:rsidRPr="00C60369" w:rsidRDefault="00DC493E" w:rsidP="00567C4E">
      <w:pPr>
        <w:autoSpaceDE w:val="0"/>
        <w:autoSpaceDN w:val="0"/>
        <w:bidi w:val="0"/>
        <w:snapToGrid w:val="0"/>
        <w:spacing w:after="0" w:line="240" w:lineRule="auto"/>
        <w:jc w:val="center"/>
        <w:rPr>
          <w:rFonts w:ascii="Times New Roman" w:eastAsia="Times New Roman" w:hAnsi="Times New Roman" w:cs="Times New Roman"/>
          <w:b/>
          <w:color w:val="000000"/>
          <w:sz w:val="20"/>
          <w:szCs w:val="20"/>
        </w:rPr>
      </w:pPr>
      <w:r w:rsidRPr="00C60369">
        <w:rPr>
          <w:rFonts w:ascii="Times New Roman" w:eastAsia="Times New Roman" w:hAnsi="Times New Roman" w:cs="Times New Roman"/>
          <w:noProof/>
          <w:color w:val="000000"/>
          <w:sz w:val="20"/>
          <w:szCs w:val="20"/>
          <w:lang w:eastAsia="zh-CN"/>
        </w:rPr>
        <w:drawing>
          <wp:inline distT="0" distB="0" distL="0" distR="0">
            <wp:extent cx="3571792" cy="2113556"/>
            <wp:effectExtent l="38100" t="57150" r="104858" b="96244"/>
            <wp:docPr id="24"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descr="C:/Users/mahmoud/AppData/Roaming/PolarisOffice/ETemp/6472_5042280/fImage97161608145.emf"/>
                    <pic:cNvPicPr preferRelativeResize="0">
                      <a:picLocks noChangeAspect="1" noChangeArrowheads="1"/>
                    </pic:cNvPicPr>
                  </pic:nvPicPr>
                  <pic:blipFill>
                    <a:blip r:embed="rId24" cstate="print"/>
                    <a:srcRect l="7249" t="3526" r="13715" b="3792"/>
                    <a:stretch>
                      <a:fillRect/>
                    </a:stretch>
                  </pic:blipFill>
                  <pic:spPr>
                    <a:xfrm>
                      <a:off x="0" y="0"/>
                      <a:ext cx="3574885" cy="2115386"/>
                    </a:xfrm>
                    <a:prstGeom prst="rect">
                      <a:avLst/>
                    </a:prstGeom>
                    <a:ln w="38100" cap="sq" cmpd="sng">
                      <a:solidFill>
                        <a:prstClr val="black"/>
                      </a:solidFill>
                      <a:prstDash val="solid"/>
                      <a:miter lim="800000"/>
                    </a:ln>
                    <a:effectLst>
                      <a:outerShdw blurRad="50800" dist="38100" dir="2700000" algn="tl" rotWithShape="0">
                        <a:prstClr val="black">
                          <a:alpha val="43000"/>
                        </a:prstClr>
                      </a:outerShdw>
                    </a:effectLst>
                  </pic:spPr>
                </pic:pic>
              </a:graphicData>
            </a:graphic>
          </wp:inline>
        </w:drawing>
      </w:r>
    </w:p>
    <w:p w:rsidR="00DC493E" w:rsidRPr="00C60369" w:rsidRDefault="00DC493E" w:rsidP="00E87DF2">
      <w:pPr>
        <w:autoSpaceDE w:val="0"/>
        <w:autoSpaceDN w:val="0"/>
        <w:bidi w:val="0"/>
        <w:snapToGrid w:val="0"/>
        <w:spacing w:after="0" w:line="240" w:lineRule="auto"/>
        <w:jc w:val="center"/>
        <w:rPr>
          <w:rFonts w:ascii="Times New Roman" w:eastAsia="Times New Roman" w:hAnsi="Times New Roman" w:cs="Times New Roman"/>
          <w:b/>
          <w:color w:val="000000"/>
          <w:sz w:val="20"/>
          <w:szCs w:val="20"/>
        </w:rPr>
      </w:pPr>
      <w:r w:rsidRPr="00C60369">
        <w:rPr>
          <w:rFonts w:ascii="Times New Roman" w:eastAsia="Times New Roman" w:hAnsi="Times New Roman" w:cs="Times New Roman"/>
          <w:b/>
          <w:color w:val="000000"/>
          <w:sz w:val="20"/>
          <w:szCs w:val="20"/>
        </w:rPr>
        <w:t xml:space="preserve">Figure (12): </w:t>
      </w:r>
      <w:r w:rsidRPr="00C60369">
        <w:rPr>
          <w:rFonts w:ascii="Times New Roman" w:eastAsia="Times New Roman" w:hAnsi="Times New Roman" w:cs="Times New Roman"/>
          <w:bCs/>
          <w:color w:val="000000"/>
          <w:sz w:val="20"/>
          <w:szCs w:val="20"/>
        </w:rPr>
        <w:t>Funnel plot for renal replacement therapy dependence</w:t>
      </w:r>
    </w:p>
    <w:p w:rsidR="00567C4E" w:rsidRPr="00C60369" w:rsidRDefault="00567C4E" w:rsidP="00567C4E">
      <w:pPr>
        <w:bidi w:val="0"/>
        <w:snapToGrid w:val="0"/>
        <w:spacing w:after="0" w:line="240" w:lineRule="auto"/>
        <w:jc w:val="both"/>
        <w:rPr>
          <w:rFonts w:ascii="Times New Roman" w:hAnsi="Times New Roman" w:cs="Times New Roman"/>
          <w:b/>
          <w:bCs/>
          <w:sz w:val="20"/>
          <w:szCs w:val="20"/>
          <w:lang w:eastAsia="zh-CN"/>
        </w:rPr>
      </w:pPr>
    </w:p>
    <w:p w:rsidR="00E87DF2" w:rsidRPr="00C60369" w:rsidRDefault="00E87DF2" w:rsidP="00E87DF2">
      <w:pPr>
        <w:bidi w:val="0"/>
        <w:snapToGrid w:val="0"/>
        <w:spacing w:after="0" w:line="240" w:lineRule="auto"/>
        <w:jc w:val="both"/>
        <w:rPr>
          <w:rFonts w:ascii="Times New Roman" w:hAnsi="Times New Roman" w:cs="Times New Roman"/>
          <w:b/>
          <w:bCs/>
          <w:sz w:val="20"/>
          <w:szCs w:val="20"/>
          <w:lang w:eastAsia="zh-CN"/>
        </w:rPr>
        <w:sectPr w:rsidR="00E87DF2" w:rsidRPr="00C60369" w:rsidSect="00062324">
          <w:type w:val="continuous"/>
          <w:pgSz w:w="12240" w:h="15840"/>
          <w:pgMar w:top="1440" w:right="1440" w:bottom="1440" w:left="1440" w:header="720" w:footer="720" w:gutter="0"/>
          <w:cols w:space="720"/>
          <w:rtlGutter/>
          <w:docGrid w:linePitch="360"/>
        </w:sectPr>
      </w:pPr>
    </w:p>
    <w:p w:rsidR="00DC493E" w:rsidRPr="00C60369" w:rsidRDefault="00DC493E" w:rsidP="00567C4E">
      <w:pPr>
        <w:bidi w:val="0"/>
        <w:snapToGrid w:val="0"/>
        <w:spacing w:after="0" w:line="240" w:lineRule="auto"/>
        <w:jc w:val="both"/>
        <w:rPr>
          <w:rFonts w:ascii="Times New Roman" w:eastAsia="Calibri" w:hAnsi="Times New Roman" w:cs="Times New Roman"/>
          <w:bCs/>
          <w:sz w:val="20"/>
          <w:szCs w:val="20"/>
        </w:rPr>
      </w:pPr>
      <w:r w:rsidRPr="00C60369">
        <w:rPr>
          <w:rFonts w:ascii="Times New Roman" w:eastAsia="Calibri" w:hAnsi="Times New Roman" w:cs="Times New Roman"/>
          <w:b/>
          <w:bCs/>
          <w:sz w:val="20"/>
          <w:szCs w:val="20"/>
        </w:rPr>
        <w:lastRenderedPageBreak/>
        <w:t>4. Discussion:</w:t>
      </w:r>
    </w:p>
    <w:p w:rsidR="00DC493E" w:rsidRPr="00C60369" w:rsidRDefault="00DC493E" w:rsidP="00567C4E">
      <w:pPr>
        <w:bidi w:val="0"/>
        <w:snapToGrid w:val="0"/>
        <w:spacing w:after="0" w:line="240" w:lineRule="auto"/>
        <w:ind w:firstLine="425"/>
        <w:jc w:val="both"/>
        <w:rPr>
          <w:rFonts w:ascii="Times New Roman" w:eastAsia="Calibri" w:hAnsi="Times New Roman" w:cs="Times New Roman"/>
          <w:bCs/>
          <w:sz w:val="20"/>
          <w:szCs w:val="20"/>
        </w:rPr>
      </w:pPr>
      <w:r w:rsidRPr="00C60369">
        <w:rPr>
          <w:rFonts w:ascii="Times New Roman" w:eastAsia="Calibri" w:hAnsi="Times New Roman" w:cs="Times New Roman"/>
          <w:bCs/>
          <w:sz w:val="20"/>
          <w:szCs w:val="20"/>
        </w:rPr>
        <w:t xml:space="preserve">We enrolled 9 </w:t>
      </w:r>
      <w:proofErr w:type="spellStart"/>
      <w:r w:rsidRPr="00C60369">
        <w:rPr>
          <w:rFonts w:ascii="Times New Roman" w:eastAsia="Calibri" w:hAnsi="Times New Roman" w:cs="Times New Roman"/>
          <w:bCs/>
          <w:sz w:val="20"/>
          <w:szCs w:val="20"/>
        </w:rPr>
        <w:t>RCTs</w:t>
      </w:r>
      <w:proofErr w:type="spellEnd"/>
      <w:r w:rsidRPr="00C60369">
        <w:rPr>
          <w:rFonts w:ascii="Times New Roman" w:eastAsia="Calibri" w:hAnsi="Times New Roman" w:cs="Times New Roman"/>
          <w:bCs/>
          <w:sz w:val="20"/>
          <w:szCs w:val="20"/>
        </w:rPr>
        <w:t xml:space="preserve"> with a total of 1636 patients in this Meta-analysis and found that “early” RRT had no beneficial effect on mortality of patients with AKI compared with “Late” RRT. Furthermore, pooled analysis of these studies also showed no significant benefit of early RRT in Intensive care unit length of </w:t>
      </w:r>
      <w:r w:rsidRPr="00C60369">
        <w:rPr>
          <w:rFonts w:ascii="Times New Roman" w:eastAsia="Calibri" w:hAnsi="Times New Roman" w:cs="Times New Roman"/>
          <w:bCs/>
          <w:sz w:val="20"/>
          <w:szCs w:val="20"/>
        </w:rPr>
        <w:lastRenderedPageBreak/>
        <w:t xml:space="preserve">stay among survivors and non-survivors, hospital length of stay among survivors and non-survivors, renal function recovery and RRT dependence. </w:t>
      </w:r>
    </w:p>
    <w:p w:rsidR="00DC493E" w:rsidRPr="00C60369" w:rsidRDefault="00DC493E" w:rsidP="00567C4E">
      <w:pPr>
        <w:bidi w:val="0"/>
        <w:snapToGrid w:val="0"/>
        <w:spacing w:after="0" w:line="240" w:lineRule="auto"/>
        <w:ind w:firstLine="425"/>
        <w:jc w:val="both"/>
        <w:rPr>
          <w:rFonts w:ascii="Times New Roman" w:eastAsia="Calibri" w:hAnsi="Times New Roman" w:cs="Times New Roman"/>
          <w:bCs/>
          <w:sz w:val="20"/>
          <w:szCs w:val="20"/>
        </w:rPr>
      </w:pPr>
      <w:r w:rsidRPr="00C60369">
        <w:rPr>
          <w:rFonts w:ascii="Times New Roman" w:eastAsia="Calibri" w:hAnsi="Times New Roman" w:cs="Times New Roman"/>
          <w:bCs/>
          <w:sz w:val="20"/>
          <w:szCs w:val="20"/>
        </w:rPr>
        <w:t xml:space="preserve">It has been known that there are many differences between after-cardiac surgery patients and those with no cardiac surgery, especially on the </w:t>
      </w:r>
      <w:proofErr w:type="spellStart"/>
      <w:r w:rsidRPr="00C60369">
        <w:rPr>
          <w:rFonts w:ascii="Times New Roman" w:eastAsia="Calibri" w:hAnsi="Times New Roman" w:cs="Times New Roman"/>
          <w:bCs/>
          <w:sz w:val="20"/>
          <w:szCs w:val="20"/>
        </w:rPr>
        <w:t>perioperative</w:t>
      </w:r>
      <w:proofErr w:type="spellEnd"/>
      <w:r w:rsidRPr="00C60369">
        <w:rPr>
          <w:rFonts w:ascii="Times New Roman" w:eastAsia="Calibri" w:hAnsi="Times New Roman" w:cs="Times New Roman"/>
          <w:bCs/>
          <w:sz w:val="20"/>
          <w:szCs w:val="20"/>
        </w:rPr>
        <w:t xml:space="preserve"> hemodynamic management.</w:t>
      </w:r>
    </w:p>
    <w:p w:rsidR="00DC493E" w:rsidRPr="00C60369" w:rsidRDefault="00DC493E" w:rsidP="00567C4E">
      <w:pPr>
        <w:bidi w:val="0"/>
        <w:snapToGrid w:val="0"/>
        <w:spacing w:after="0" w:line="240" w:lineRule="auto"/>
        <w:ind w:firstLine="425"/>
        <w:jc w:val="both"/>
        <w:rPr>
          <w:rFonts w:ascii="Times New Roman" w:eastAsia="Calibri" w:hAnsi="Times New Roman" w:cs="Times New Roman"/>
          <w:bCs/>
          <w:sz w:val="20"/>
          <w:szCs w:val="20"/>
        </w:rPr>
      </w:pPr>
      <w:r w:rsidRPr="00C60369">
        <w:rPr>
          <w:rFonts w:ascii="Times New Roman" w:eastAsia="Calibri" w:hAnsi="Times New Roman" w:cs="Times New Roman"/>
          <w:bCs/>
          <w:sz w:val="20"/>
          <w:szCs w:val="20"/>
        </w:rPr>
        <w:lastRenderedPageBreak/>
        <w:t>However, subgroup analysis of the studies concerning the patients post cardiac surgery or those with non-cardiac surgery did not reveal a survival benefit of early RRT intervention.</w:t>
      </w:r>
    </w:p>
    <w:p w:rsidR="00DC493E" w:rsidRPr="00C60369" w:rsidRDefault="00DC493E" w:rsidP="00567C4E">
      <w:pPr>
        <w:bidi w:val="0"/>
        <w:snapToGrid w:val="0"/>
        <w:spacing w:after="0" w:line="240" w:lineRule="auto"/>
        <w:ind w:firstLine="425"/>
        <w:jc w:val="both"/>
        <w:rPr>
          <w:rFonts w:ascii="Times New Roman" w:eastAsia="Calibri" w:hAnsi="Times New Roman" w:cs="Times New Roman"/>
          <w:bCs/>
          <w:sz w:val="20"/>
          <w:szCs w:val="20"/>
        </w:rPr>
      </w:pPr>
      <w:r w:rsidRPr="00C60369">
        <w:rPr>
          <w:rFonts w:ascii="Times New Roman" w:eastAsia="Calibri" w:hAnsi="Times New Roman" w:cs="Times New Roman"/>
          <w:bCs/>
          <w:sz w:val="20"/>
          <w:szCs w:val="20"/>
        </w:rPr>
        <w:t xml:space="preserve">In addition, the conclusion remained the same; regardless of whether early was defined by AKI stages according to the KDIGO classification (17) or on the basis of urine output or serum </w:t>
      </w:r>
      <w:proofErr w:type="spellStart"/>
      <w:r w:rsidRPr="00C60369">
        <w:rPr>
          <w:rFonts w:ascii="Times New Roman" w:eastAsia="Calibri" w:hAnsi="Times New Roman" w:cs="Times New Roman"/>
          <w:bCs/>
          <w:sz w:val="20"/>
          <w:szCs w:val="20"/>
        </w:rPr>
        <w:t>creatinine</w:t>
      </w:r>
      <w:proofErr w:type="spellEnd"/>
      <w:r w:rsidRPr="00C60369">
        <w:rPr>
          <w:rFonts w:ascii="Times New Roman" w:eastAsia="Calibri" w:hAnsi="Times New Roman" w:cs="Times New Roman"/>
          <w:bCs/>
          <w:sz w:val="20"/>
          <w:szCs w:val="20"/>
        </w:rPr>
        <w:t>.</w:t>
      </w:r>
    </w:p>
    <w:p w:rsidR="00DC493E" w:rsidRPr="00C60369" w:rsidRDefault="00DC493E" w:rsidP="00567C4E">
      <w:pPr>
        <w:bidi w:val="0"/>
        <w:snapToGrid w:val="0"/>
        <w:spacing w:after="0" w:line="240" w:lineRule="auto"/>
        <w:ind w:firstLine="425"/>
        <w:jc w:val="both"/>
        <w:rPr>
          <w:rFonts w:ascii="Times New Roman" w:eastAsia="Calibri" w:hAnsi="Times New Roman" w:cs="Times New Roman"/>
          <w:bCs/>
          <w:sz w:val="20"/>
          <w:szCs w:val="20"/>
        </w:rPr>
      </w:pPr>
      <w:r w:rsidRPr="00C60369">
        <w:rPr>
          <w:rFonts w:ascii="Times New Roman" w:eastAsia="Calibri" w:hAnsi="Times New Roman" w:cs="Times New Roman"/>
          <w:bCs/>
          <w:sz w:val="20"/>
          <w:szCs w:val="20"/>
        </w:rPr>
        <w:t xml:space="preserve">One highlight of this meta-analysis was that we included two new large </w:t>
      </w:r>
      <w:proofErr w:type="spellStart"/>
      <w:r w:rsidRPr="00C60369">
        <w:rPr>
          <w:rFonts w:ascii="Times New Roman" w:eastAsia="Calibri" w:hAnsi="Times New Roman" w:cs="Times New Roman"/>
          <w:bCs/>
          <w:sz w:val="20"/>
          <w:szCs w:val="20"/>
        </w:rPr>
        <w:t>RCTs</w:t>
      </w:r>
      <w:proofErr w:type="spellEnd"/>
      <w:r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
          <w:bCs/>
          <w:i/>
          <w:iCs/>
          <w:sz w:val="20"/>
          <w:szCs w:val="20"/>
        </w:rPr>
        <w:t>(</w:t>
      </w:r>
      <w:proofErr w:type="spellStart"/>
      <w:r w:rsidRPr="00C60369">
        <w:rPr>
          <w:rFonts w:ascii="Times New Roman" w:eastAsia="Calibri" w:hAnsi="Times New Roman" w:cs="Times New Roman"/>
          <w:b/>
          <w:bCs/>
          <w:i/>
          <w:iCs/>
          <w:sz w:val="20"/>
          <w:szCs w:val="20"/>
        </w:rPr>
        <w:t>Gaudry</w:t>
      </w:r>
      <w:proofErr w:type="spellEnd"/>
      <w:r w:rsidRPr="00C60369">
        <w:rPr>
          <w:rFonts w:ascii="Times New Roman" w:eastAsia="Calibri" w:hAnsi="Times New Roman" w:cs="Times New Roman"/>
          <w:b/>
          <w:bCs/>
          <w:i/>
          <w:iCs/>
          <w:sz w:val="20"/>
          <w:szCs w:val="20"/>
        </w:rPr>
        <w:t xml:space="preserve"> et al., 2016-Zarbock et al., 2016)</w:t>
      </w:r>
      <w:r w:rsidRPr="00C60369">
        <w:rPr>
          <w:rFonts w:ascii="Times New Roman" w:eastAsia="Calibri" w:hAnsi="Times New Roman" w:cs="Times New Roman"/>
          <w:bCs/>
          <w:i/>
          <w:iCs/>
          <w:sz w:val="20"/>
          <w:szCs w:val="20"/>
        </w:rPr>
        <w:t>,</w:t>
      </w:r>
      <w:r w:rsidRPr="00C60369">
        <w:rPr>
          <w:rFonts w:ascii="Times New Roman" w:eastAsia="Calibri" w:hAnsi="Times New Roman" w:cs="Times New Roman"/>
          <w:bCs/>
          <w:sz w:val="20"/>
          <w:szCs w:val="20"/>
        </w:rPr>
        <w:t xml:space="preserve"> which made our results more convincing. </w:t>
      </w:r>
    </w:p>
    <w:p w:rsidR="00DC493E" w:rsidRPr="00C60369" w:rsidRDefault="00DC493E" w:rsidP="00567C4E">
      <w:pPr>
        <w:bidi w:val="0"/>
        <w:snapToGrid w:val="0"/>
        <w:spacing w:after="0" w:line="240" w:lineRule="auto"/>
        <w:ind w:firstLine="425"/>
        <w:jc w:val="both"/>
        <w:rPr>
          <w:rFonts w:ascii="Times New Roman" w:eastAsia="Calibri" w:hAnsi="Times New Roman" w:cs="Times New Roman"/>
          <w:bCs/>
          <w:sz w:val="20"/>
          <w:szCs w:val="20"/>
        </w:rPr>
      </w:pPr>
      <w:r w:rsidRPr="00C60369">
        <w:rPr>
          <w:rFonts w:ascii="Times New Roman" w:eastAsia="Calibri" w:hAnsi="Times New Roman" w:cs="Times New Roman"/>
          <w:bCs/>
          <w:sz w:val="20"/>
          <w:szCs w:val="20"/>
        </w:rPr>
        <w:t>Second, survivors and non-survivors were analyzed separately in the secondary outcome analysis, and the same conclusion was reached.</w:t>
      </w:r>
    </w:p>
    <w:p w:rsidR="00DC493E" w:rsidRPr="00C60369" w:rsidRDefault="00DC493E" w:rsidP="00567C4E">
      <w:pPr>
        <w:bidi w:val="0"/>
        <w:snapToGrid w:val="0"/>
        <w:spacing w:after="0" w:line="240" w:lineRule="auto"/>
        <w:ind w:firstLine="425"/>
        <w:jc w:val="both"/>
        <w:rPr>
          <w:rFonts w:ascii="Times New Roman" w:eastAsia="Calibri" w:hAnsi="Times New Roman" w:cs="Times New Roman"/>
          <w:bCs/>
          <w:sz w:val="20"/>
          <w:szCs w:val="20"/>
        </w:rPr>
      </w:pPr>
      <w:r w:rsidRPr="00C60369">
        <w:rPr>
          <w:rFonts w:ascii="Times New Roman" w:eastAsia="Calibri" w:hAnsi="Times New Roman" w:cs="Times New Roman"/>
          <w:bCs/>
          <w:sz w:val="20"/>
          <w:szCs w:val="20"/>
        </w:rPr>
        <w:t xml:space="preserve">The most fundamental differences among the trials were the large differences concerning the timing of RRT initiation among studies. Urine output, serum </w:t>
      </w:r>
      <w:proofErr w:type="spellStart"/>
      <w:r w:rsidRPr="00C60369">
        <w:rPr>
          <w:rFonts w:ascii="Times New Roman" w:eastAsia="Calibri" w:hAnsi="Times New Roman" w:cs="Times New Roman"/>
          <w:bCs/>
          <w:sz w:val="20"/>
          <w:szCs w:val="20"/>
        </w:rPr>
        <w:t>creatinine</w:t>
      </w:r>
      <w:proofErr w:type="spellEnd"/>
      <w:r w:rsidRPr="00C60369">
        <w:rPr>
          <w:rFonts w:ascii="Times New Roman" w:eastAsia="Calibri" w:hAnsi="Times New Roman" w:cs="Times New Roman"/>
          <w:bCs/>
          <w:sz w:val="20"/>
          <w:szCs w:val="20"/>
        </w:rPr>
        <w:t xml:space="preserve">, serum urea nitrogen and AKI stages were not used unified in the individual studies to define the early and late RRT strategies. </w:t>
      </w:r>
    </w:p>
    <w:p w:rsidR="00DC493E" w:rsidRPr="00C60369" w:rsidRDefault="00DC493E" w:rsidP="00567C4E">
      <w:pPr>
        <w:bidi w:val="0"/>
        <w:snapToGrid w:val="0"/>
        <w:spacing w:after="0" w:line="240" w:lineRule="auto"/>
        <w:ind w:firstLine="425"/>
        <w:jc w:val="both"/>
        <w:rPr>
          <w:rFonts w:ascii="Times New Roman" w:eastAsia="Calibri" w:hAnsi="Times New Roman" w:cs="Times New Roman"/>
          <w:bCs/>
          <w:sz w:val="20"/>
          <w:szCs w:val="20"/>
        </w:rPr>
      </w:pPr>
      <w:r w:rsidRPr="00C60369">
        <w:rPr>
          <w:rFonts w:ascii="Times New Roman" w:eastAsia="Calibri" w:hAnsi="Times New Roman" w:cs="Times New Roman"/>
          <w:bCs/>
          <w:sz w:val="20"/>
          <w:szCs w:val="20"/>
        </w:rPr>
        <w:t xml:space="preserve">In extreme cases, patients in the early RRT group in one study might be enrolled as late RRT in other studies. The high heterogeneity of definitions of “early” and “late” RRT between </w:t>
      </w:r>
      <w:proofErr w:type="spellStart"/>
      <w:r w:rsidRPr="00C60369">
        <w:rPr>
          <w:rFonts w:ascii="Times New Roman" w:eastAsia="Calibri" w:hAnsi="Times New Roman" w:cs="Times New Roman"/>
          <w:bCs/>
          <w:sz w:val="20"/>
          <w:szCs w:val="20"/>
        </w:rPr>
        <w:t>RCTs</w:t>
      </w:r>
      <w:proofErr w:type="spellEnd"/>
      <w:r w:rsidRPr="00C60369">
        <w:rPr>
          <w:rFonts w:ascii="Times New Roman" w:eastAsia="Calibri" w:hAnsi="Times New Roman" w:cs="Times New Roman"/>
          <w:bCs/>
          <w:sz w:val="20"/>
          <w:szCs w:val="20"/>
        </w:rPr>
        <w:t xml:space="preserve"> prevented the establishment of definitive conclusions.</w:t>
      </w:r>
    </w:p>
    <w:p w:rsidR="00DC493E" w:rsidRPr="00C60369" w:rsidRDefault="00DC493E" w:rsidP="00567C4E">
      <w:pPr>
        <w:bidi w:val="0"/>
        <w:snapToGrid w:val="0"/>
        <w:spacing w:after="0" w:line="240" w:lineRule="auto"/>
        <w:ind w:firstLine="425"/>
        <w:jc w:val="both"/>
        <w:rPr>
          <w:rFonts w:ascii="Times New Roman" w:eastAsia="Calibri" w:hAnsi="Times New Roman" w:cs="Times New Roman"/>
          <w:bCs/>
          <w:sz w:val="20"/>
          <w:szCs w:val="20"/>
        </w:rPr>
      </w:pPr>
      <w:r w:rsidRPr="00C60369">
        <w:rPr>
          <w:rFonts w:ascii="Times New Roman" w:eastAsia="Calibri" w:hAnsi="Times New Roman" w:cs="Times New Roman"/>
          <w:bCs/>
          <w:sz w:val="20"/>
          <w:szCs w:val="20"/>
        </w:rPr>
        <w:t xml:space="preserve">Second most studies enrolled AKI patients with a mixed population, whereas the optimal timing of RRT initiation might be associated with the primary diseases. </w:t>
      </w:r>
    </w:p>
    <w:p w:rsidR="00DC493E" w:rsidRPr="00C60369" w:rsidRDefault="00DC493E" w:rsidP="00567C4E">
      <w:pPr>
        <w:bidi w:val="0"/>
        <w:snapToGrid w:val="0"/>
        <w:spacing w:after="0" w:line="240" w:lineRule="auto"/>
        <w:ind w:firstLine="425"/>
        <w:jc w:val="both"/>
        <w:rPr>
          <w:rFonts w:ascii="Times New Roman" w:eastAsia="Calibri" w:hAnsi="Times New Roman" w:cs="Times New Roman"/>
          <w:bCs/>
          <w:sz w:val="20"/>
          <w:szCs w:val="20"/>
        </w:rPr>
      </w:pPr>
      <w:r w:rsidRPr="00C60369">
        <w:rPr>
          <w:rFonts w:ascii="Times New Roman" w:eastAsia="Calibri" w:hAnsi="Times New Roman" w:cs="Times New Roman"/>
          <w:bCs/>
          <w:sz w:val="20"/>
          <w:szCs w:val="20"/>
        </w:rPr>
        <w:t xml:space="preserve">Moreover, the severity of the primary disease, presence of </w:t>
      </w:r>
      <w:proofErr w:type="spellStart"/>
      <w:r w:rsidRPr="00C60369">
        <w:rPr>
          <w:rFonts w:ascii="Times New Roman" w:eastAsia="Calibri" w:hAnsi="Times New Roman" w:cs="Times New Roman"/>
          <w:bCs/>
          <w:sz w:val="20"/>
          <w:szCs w:val="20"/>
        </w:rPr>
        <w:t>comorbid</w:t>
      </w:r>
      <w:proofErr w:type="spellEnd"/>
      <w:r w:rsidRPr="00C60369">
        <w:rPr>
          <w:rFonts w:ascii="Times New Roman" w:eastAsia="Calibri" w:hAnsi="Times New Roman" w:cs="Times New Roman"/>
          <w:bCs/>
          <w:sz w:val="20"/>
          <w:szCs w:val="20"/>
        </w:rPr>
        <w:t xml:space="preserve"> conditions, complications after surgery and fluid balance before RRT initiation could also be the possible confounders related to study outcome.</w:t>
      </w:r>
    </w:p>
    <w:p w:rsidR="00DC493E" w:rsidRPr="00C60369" w:rsidRDefault="00DC493E" w:rsidP="00567C4E">
      <w:pPr>
        <w:bidi w:val="0"/>
        <w:snapToGrid w:val="0"/>
        <w:spacing w:after="0" w:line="240" w:lineRule="auto"/>
        <w:ind w:firstLine="425"/>
        <w:jc w:val="both"/>
        <w:rPr>
          <w:rFonts w:ascii="Times New Roman" w:eastAsia="Calibri" w:hAnsi="Times New Roman" w:cs="Times New Roman"/>
          <w:bCs/>
          <w:sz w:val="20"/>
          <w:szCs w:val="20"/>
        </w:rPr>
      </w:pPr>
      <w:r w:rsidRPr="00C60369">
        <w:rPr>
          <w:rFonts w:ascii="Times New Roman" w:eastAsia="Calibri" w:hAnsi="Times New Roman" w:cs="Times New Roman"/>
          <w:bCs/>
          <w:sz w:val="20"/>
          <w:szCs w:val="20"/>
        </w:rPr>
        <w:t>Additionally, we cannot omit the progression of the critical care medicine during the past decade. In the study conducted in patients with acute renal failure following coronary bypass surgery in 2004, the mortality was as high as 86% in the “late” grou</w:t>
      </w:r>
      <w:r w:rsidR="00062324" w:rsidRPr="00C60369">
        <w:rPr>
          <w:rFonts w:ascii="Times New Roman" w:eastAsia="Calibri" w:hAnsi="Times New Roman" w:cs="Times New Roman"/>
          <w:bCs/>
          <w:sz w:val="20"/>
          <w:szCs w:val="20"/>
        </w:rPr>
        <w:t xml:space="preserve">p </w:t>
      </w:r>
      <w:r w:rsidR="00062324" w:rsidRPr="00C60369">
        <w:rPr>
          <w:rFonts w:ascii="Times New Roman" w:eastAsia="Calibri" w:hAnsi="Times New Roman" w:cs="Times New Roman"/>
          <w:b/>
          <w:bCs/>
          <w:i/>
          <w:iCs/>
          <w:sz w:val="20"/>
          <w:szCs w:val="20"/>
        </w:rPr>
        <w:t>(</w:t>
      </w:r>
      <w:proofErr w:type="spellStart"/>
      <w:r w:rsidRPr="00C60369">
        <w:rPr>
          <w:rFonts w:ascii="Times New Roman" w:eastAsia="Calibri" w:hAnsi="Times New Roman" w:cs="Times New Roman"/>
          <w:b/>
          <w:bCs/>
          <w:i/>
          <w:iCs/>
          <w:sz w:val="20"/>
          <w:szCs w:val="20"/>
        </w:rPr>
        <w:t>Sugahara</w:t>
      </w:r>
      <w:proofErr w:type="spellEnd"/>
      <w:r w:rsidRPr="00C60369">
        <w:rPr>
          <w:rFonts w:ascii="Times New Roman" w:eastAsia="Calibri" w:hAnsi="Times New Roman" w:cs="Times New Roman"/>
          <w:b/>
          <w:bCs/>
          <w:i/>
          <w:iCs/>
          <w:sz w:val="20"/>
          <w:szCs w:val="20"/>
        </w:rPr>
        <w:t xml:space="preserve"> et al., 2004)</w:t>
      </w:r>
      <w:r w:rsidRPr="00C60369">
        <w:rPr>
          <w:rFonts w:ascii="Times New Roman" w:eastAsia="Calibri" w:hAnsi="Times New Roman" w:cs="Times New Roman"/>
          <w:bCs/>
          <w:i/>
          <w:iCs/>
          <w:sz w:val="20"/>
          <w:szCs w:val="20"/>
        </w:rPr>
        <w:t xml:space="preserve">. </w:t>
      </w:r>
      <w:r w:rsidRPr="00C60369">
        <w:rPr>
          <w:rFonts w:ascii="Times New Roman" w:eastAsia="Calibri" w:hAnsi="Times New Roman" w:cs="Times New Roman"/>
          <w:bCs/>
          <w:sz w:val="20"/>
          <w:szCs w:val="20"/>
        </w:rPr>
        <w:t xml:space="preserve">However, the other study, conducted in post-cardiac surgery shock patients in 2015, showed that the 30-day mortality of the “early” and “late” group was only 36% </w:t>
      </w:r>
      <w:r w:rsidRPr="00C60369">
        <w:rPr>
          <w:rFonts w:ascii="Times New Roman" w:eastAsia="Calibri" w:hAnsi="Times New Roman" w:cs="Times New Roman"/>
          <w:b/>
          <w:bCs/>
          <w:i/>
          <w:iCs/>
          <w:sz w:val="20"/>
          <w:szCs w:val="20"/>
        </w:rPr>
        <w:t>(</w:t>
      </w:r>
      <w:proofErr w:type="spellStart"/>
      <w:r w:rsidRPr="00C60369">
        <w:rPr>
          <w:rFonts w:ascii="Times New Roman" w:eastAsia="Calibri" w:hAnsi="Times New Roman" w:cs="Times New Roman"/>
          <w:b/>
          <w:bCs/>
          <w:i/>
          <w:iCs/>
          <w:sz w:val="20"/>
          <w:szCs w:val="20"/>
        </w:rPr>
        <w:t>Combes</w:t>
      </w:r>
      <w:proofErr w:type="spellEnd"/>
      <w:r w:rsidRPr="00C60369">
        <w:rPr>
          <w:rFonts w:ascii="Times New Roman" w:eastAsia="Calibri" w:hAnsi="Times New Roman" w:cs="Times New Roman"/>
          <w:b/>
          <w:bCs/>
          <w:i/>
          <w:iCs/>
          <w:sz w:val="20"/>
          <w:szCs w:val="20"/>
        </w:rPr>
        <w:t xml:space="preserve"> et al., 2015)</w:t>
      </w:r>
      <w:r w:rsidRPr="00C60369">
        <w:rPr>
          <w:rFonts w:ascii="Times New Roman" w:eastAsia="Calibri" w:hAnsi="Times New Roman" w:cs="Times New Roman"/>
          <w:bCs/>
          <w:i/>
          <w:iCs/>
          <w:sz w:val="20"/>
          <w:szCs w:val="20"/>
        </w:rPr>
        <w:t>.</w:t>
      </w:r>
    </w:p>
    <w:p w:rsidR="00DC493E" w:rsidRPr="00C60369" w:rsidRDefault="00DC493E" w:rsidP="00567C4E">
      <w:pPr>
        <w:bidi w:val="0"/>
        <w:snapToGrid w:val="0"/>
        <w:spacing w:after="0" w:line="240" w:lineRule="auto"/>
        <w:ind w:firstLine="425"/>
        <w:jc w:val="both"/>
        <w:rPr>
          <w:rFonts w:ascii="Times New Roman" w:eastAsia="Calibri" w:hAnsi="Times New Roman" w:cs="Times New Roman"/>
          <w:bCs/>
          <w:sz w:val="20"/>
          <w:szCs w:val="20"/>
        </w:rPr>
      </w:pPr>
      <w:r w:rsidRPr="00C60369">
        <w:rPr>
          <w:rFonts w:ascii="Times New Roman" w:eastAsia="Calibri" w:hAnsi="Times New Roman" w:cs="Times New Roman"/>
          <w:bCs/>
          <w:sz w:val="20"/>
          <w:szCs w:val="20"/>
        </w:rPr>
        <w:t xml:space="preserve">We found that most of the </w:t>
      </w:r>
      <w:proofErr w:type="spellStart"/>
      <w:r w:rsidRPr="00C60369">
        <w:rPr>
          <w:rFonts w:ascii="Times New Roman" w:eastAsia="Calibri" w:hAnsi="Times New Roman" w:cs="Times New Roman"/>
          <w:bCs/>
          <w:sz w:val="20"/>
          <w:szCs w:val="20"/>
        </w:rPr>
        <w:t>RCTs</w:t>
      </w:r>
      <w:proofErr w:type="spellEnd"/>
      <w:r w:rsidRPr="00C60369">
        <w:rPr>
          <w:rFonts w:ascii="Times New Roman" w:eastAsia="Calibri" w:hAnsi="Times New Roman" w:cs="Times New Roman"/>
          <w:bCs/>
          <w:sz w:val="20"/>
          <w:szCs w:val="20"/>
        </w:rPr>
        <w:t xml:space="preserve"> published over the past decade failed to prove the benefit of early initiation of RRT. Great progress in hemodynamic monitoring, mechanical ventilation, nutrition support and even RRT technology development has been achieved in critical care medicine in the past decade.</w:t>
      </w:r>
    </w:p>
    <w:p w:rsidR="00DC493E" w:rsidRPr="00C60369" w:rsidRDefault="00DC493E" w:rsidP="00567C4E">
      <w:pPr>
        <w:bidi w:val="0"/>
        <w:snapToGrid w:val="0"/>
        <w:spacing w:after="0" w:line="240" w:lineRule="auto"/>
        <w:ind w:firstLine="425"/>
        <w:jc w:val="both"/>
        <w:rPr>
          <w:rFonts w:ascii="Times New Roman" w:eastAsia="Calibri" w:hAnsi="Times New Roman" w:cs="Times New Roman"/>
          <w:bCs/>
          <w:sz w:val="20"/>
          <w:szCs w:val="20"/>
        </w:rPr>
      </w:pPr>
      <w:r w:rsidRPr="00C60369">
        <w:rPr>
          <w:rFonts w:ascii="Times New Roman" w:eastAsia="Calibri" w:hAnsi="Times New Roman" w:cs="Times New Roman"/>
          <w:bCs/>
          <w:sz w:val="20"/>
          <w:szCs w:val="20"/>
        </w:rPr>
        <w:t>Therefore, studies published before 2000 were excluded in this meta-analysis.</w:t>
      </w:r>
    </w:p>
    <w:p w:rsidR="00DC493E" w:rsidRPr="00C60369" w:rsidRDefault="00DC493E" w:rsidP="00567C4E">
      <w:pPr>
        <w:bidi w:val="0"/>
        <w:snapToGrid w:val="0"/>
        <w:spacing w:after="0" w:line="240" w:lineRule="auto"/>
        <w:ind w:firstLine="425"/>
        <w:jc w:val="both"/>
        <w:rPr>
          <w:rFonts w:ascii="Times New Roman" w:eastAsia="Calibri" w:hAnsi="Times New Roman" w:cs="Times New Roman"/>
          <w:bCs/>
          <w:sz w:val="20"/>
          <w:szCs w:val="20"/>
        </w:rPr>
      </w:pPr>
      <w:r w:rsidRPr="00C60369">
        <w:rPr>
          <w:rFonts w:ascii="Times New Roman" w:eastAsia="Calibri" w:hAnsi="Times New Roman" w:cs="Times New Roman"/>
          <w:bCs/>
          <w:sz w:val="20"/>
          <w:szCs w:val="20"/>
        </w:rPr>
        <w:t xml:space="preserve">Also, The AKIKI study claimed that up to 49% of the patients in the delayed-strategy group avoided receiving RRT </w:t>
      </w:r>
      <w:r w:rsidRPr="00C60369">
        <w:rPr>
          <w:rFonts w:ascii="Times New Roman" w:eastAsia="Calibri" w:hAnsi="Times New Roman" w:cs="Times New Roman"/>
          <w:b/>
          <w:bCs/>
          <w:i/>
          <w:iCs/>
          <w:sz w:val="20"/>
          <w:szCs w:val="20"/>
        </w:rPr>
        <w:t>(</w:t>
      </w:r>
      <w:proofErr w:type="spellStart"/>
      <w:r w:rsidRPr="00C60369">
        <w:rPr>
          <w:rFonts w:ascii="Times New Roman" w:eastAsia="Calibri" w:hAnsi="Times New Roman" w:cs="Times New Roman"/>
          <w:b/>
          <w:bCs/>
          <w:i/>
          <w:iCs/>
          <w:sz w:val="20"/>
          <w:szCs w:val="20"/>
        </w:rPr>
        <w:t>Gaudry</w:t>
      </w:r>
      <w:proofErr w:type="spellEnd"/>
      <w:r w:rsidRPr="00C60369">
        <w:rPr>
          <w:rFonts w:ascii="Times New Roman" w:eastAsia="Calibri" w:hAnsi="Times New Roman" w:cs="Times New Roman"/>
          <w:b/>
          <w:bCs/>
          <w:i/>
          <w:iCs/>
          <w:sz w:val="20"/>
          <w:szCs w:val="20"/>
        </w:rPr>
        <w:t xml:space="preserve"> et al., 2016)</w:t>
      </w:r>
      <w:r w:rsidR="00E87DF2" w:rsidRPr="00C60369">
        <w:rPr>
          <w:rFonts w:ascii="Times New Roman" w:eastAsia="Calibri" w:hAnsi="Times New Roman" w:cs="Times New Roman"/>
          <w:b/>
          <w:bCs/>
          <w:i/>
          <w:iCs/>
          <w:sz w:val="20"/>
          <w:szCs w:val="20"/>
        </w:rPr>
        <w:t xml:space="preserve">, </w:t>
      </w:r>
      <w:r w:rsidR="00E87DF2" w:rsidRPr="00C60369">
        <w:rPr>
          <w:rFonts w:ascii="Times New Roman" w:eastAsia="Calibri" w:hAnsi="Times New Roman" w:cs="Times New Roman"/>
          <w:bCs/>
          <w:sz w:val="20"/>
          <w:szCs w:val="20"/>
        </w:rPr>
        <w:t>T</w:t>
      </w:r>
      <w:r w:rsidRPr="00C60369">
        <w:rPr>
          <w:rFonts w:ascii="Times New Roman" w:eastAsia="Calibri" w:hAnsi="Times New Roman" w:cs="Times New Roman"/>
          <w:bCs/>
          <w:sz w:val="20"/>
          <w:szCs w:val="20"/>
        </w:rPr>
        <w:t>he Elian trial gave opposing results</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i/>
          <w:iCs/>
          <w:sz w:val="20"/>
          <w:szCs w:val="20"/>
        </w:rPr>
        <w:t>(</w:t>
      </w:r>
      <w:proofErr w:type="spellStart"/>
      <w:r w:rsidRPr="00C60369">
        <w:rPr>
          <w:rFonts w:ascii="Times New Roman" w:eastAsia="Calibri" w:hAnsi="Times New Roman" w:cs="Times New Roman"/>
          <w:b/>
          <w:bCs/>
          <w:i/>
          <w:iCs/>
          <w:sz w:val="20"/>
          <w:szCs w:val="20"/>
        </w:rPr>
        <w:t>Zarbock</w:t>
      </w:r>
      <w:proofErr w:type="spellEnd"/>
      <w:r w:rsidRPr="00C60369">
        <w:rPr>
          <w:rFonts w:ascii="Times New Roman" w:eastAsia="Calibri" w:hAnsi="Times New Roman" w:cs="Times New Roman"/>
          <w:b/>
          <w:bCs/>
          <w:i/>
          <w:iCs/>
          <w:sz w:val="20"/>
          <w:szCs w:val="20"/>
        </w:rPr>
        <w:t xml:space="preserve"> et al.,2016).</w:t>
      </w:r>
    </w:p>
    <w:p w:rsidR="00DC493E" w:rsidRPr="00C60369" w:rsidRDefault="00DC493E" w:rsidP="00567C4E">
      <w:pPr>
        <w:bidi w:val="0"/>
        <w:snapToGrid w:val="0"/>
        <w:spacing w:after="0" w:line="240" w:lineRule="auto"/>
        <w:ind w:firstLine="425"/>
        <w:jc w:val="both"/>
        <w:rPr>
          <w:rFonts w:ascii="Times New Roman" w:eastAsia="Calibri" w:hAnsi="Times New Roman" w:cs="Times New Roman"/>
          <w:bCs/>
          <w:sz w:val="20"/>
          <w:szCs w:val="20"/>
        </w:rPr>
      </w:pPr>
      <w:r w:rsidRPr="00C60369">
        <w:rPr>
          <w:rFonts w:ascii="Times New Roman" w:eastAsia="Calibri" w:hAnsi="Times New Roman" w:cs="Times New Roman"/>
          <w:bCs/>
          <w:sz w:val="20"/>
          <w:szCs w:val="20"/>
        </w:rPr>
        <w:lastRenderedPageBreak/>
        <w:t>However, we cannot accurately predict the needs for RRT or opportunity of renal recovery in critically ill patients in the retrospective studies.</w:t>
      </w:r>
    </w:p>
    <w:p w:rsidR="00DC493E" w:rsidRPr="00C60369" w:rsidRDefault="00DC493E" w:rsidP="00567C4E">
      <w:pPr>
        <w:bidi w:val="0"/>
        <w:snapToGrid w:val="0"/>
        <w:spacing w:after="0" w:line="240" w:lineRule="auto"/>
        <w:ind w:firstLine="425"/>
        <w:jc w:val="both"/>
        <w:rPr>
          <w:rFonts w:ascii="Times New Roman" w:eastAsia="Calibri" w:hAnsi="Times New Roman" w:cs="Times New Roman"/>
          <w:bCs/>
          <w:sz w:val="20"/>
          <w:szCs w:val="20"/>
        </w:rPr>
      </w:pPr>
      <w:r w:rsidRPr="00C60369">
        <w:rPr>
          <w:rFonts w:ascii="Times New Roman" w:eastAsia="Calibri" w:hAnsi="Times New Roman" w:cs="Times New Roman"/>
          <w:bCs/>
          <w:sz w:val="20"/>
          <w:szCs w:val="20"/>
        </w:rPr>
        <w:t>So we reached this overall conclusion.</w:t>
      </w:r>
    </w:p>
    <w:p w:rsidR="00DC493E" w:rsidRPr="00C60369" w:rsidRDefault="00DC493E" w:rsidP="00567C4E">
      <w:pPr>
        <w:bidi w:val="0"/>
        <w:snapToGrid w:val="0"/>
        <w:spacing w:after="0" w:line="240" w:lineRule="auto"/>
        <w:jc w:val="both"/>
        <w:rPr>
          <w:rFonts w:ascii="Times New Roman" w:hAnsi="Times New Roman" w:cs="Times New Roman"/>
          <w:b/>
          <w:bCs/>
          <w:sz w:val="20"/>
          <w:szCs w:val="20"/>
          <w:lang w:eastAsia="zh-CN"/>
        </w:rPr>
      </w:pPr>
    </w:p>
    <w:p w:rsidR="00E87DF2" w:rsidRPr="00C60369" w:rsidRDefault="00E87DF2" w:rsidP="00E87DF2">
      <w:pPr>
        <w:bidi w:val="0"/>
        <w:snapToGrid w:val="0"/>
        <w:spacing w:after="0" w:line="240" w:lineRule="auto"/>
        <w:jc w:val="both"/>
        <w:rPr>
          <w:rFonts w:ascii="Times New Roman" w:hAnsi="Times New Roman" w:cs="Times New Roman"/>
          <w:b/>
          <w:bCs/>
          <w:sz w:val="20"/>
          <w:szCs w:val="20"/>
          <w:lang w:eastAsia="zh-CN"/>
        </w:rPr>
      </w:pPr>
    </w:p>
    <w:p w:rsidR="00DC493E" w:rsidRPr="00C60369" w:rsidRDefault="00DC493E" w:rsidP="00567C4E">
      <w:pPr>
        <w:bidi w:val="0"/>
        <w:snapToGrid w:val="0"/>
        <w:spacing w:after="0" w:line="240" w:lineRule="auto"/>
        <w:jc w:val="both"/>
        <w:rPr>
          <w:rFonts w:ascii="Times New Roman" w:eastAsia="Calibri" w:hAnsi="Times New Roman" w:cs="Times New Roman"/>
          <w:b/>
          <w:bCs/>
          <w:sz w:val="20"/>
          <w:szCs w:val="20"/>
        </w:rPr>
      </w:pPr>
      <w:r w:rsidRPr="00C60369">
        <w:rPr>
          <w:rFonts w:ascii="Times New Roman" w:eastAsia="Calibri" w:hAnsi="Times New Roman" w:cs="Times New Roman"/>
          <w:b/>
          <w:bCs/>
          <w:sz w:val="20"/>
          <w:szCs w:val="20"/>
        </w:rPr>
        <w:t>Conclusions</w:t>
      </w:r>
    </w:p>
    <w:p w:rsidR="00DC493E" w:rsidRPr="00C60369" w:rsidRDefault="00DC493E" w:rsidP="00567C4E">
      <w:pPr>
        <w:bidi w:val="0"/>
        <w:snapToGrid w:val="0"/>
        <w:spacing w:after="0" w:line="240" w:lineRule="auto"/>
        <w:ind w:firstLine="425"/>
        <w:jc w:val="both"/>
        <w:rPr>
          <w:rFonts w:ascii="Times New Roman" w:eastAsia="Calibri" w:hAnsi="Times New Roman" w:cs="Times New Roman"/>
          <w:bCs/>
          <w:sz w:val="20"/>
          <w:szCs w:val="20"/>
        </w:rPr>
      </w:pPr>
      <w:r w:rsidRPr="00C60369">
        <w:rPr>
          <w:rFonts w:ascii="Times New Roman" w:eastAsia="Calibri" w:hAnsi="Times New Roman" w:cs="Times New Roman"/>
          <w:bCs/>
          <w:sz w:val="20"/>
          <w:szCs w:val="20"/>
        </w:rPr>
        <w:t xml:space="preserve">Our meta-analysis revealed that the “early” initiation of RRT in critically ill patients did not result in a reduced Mortality. </w:t>
      </w:r>
    </w:p>
    <w:p w:rsidR="00DC493E" w:rsidRPr="00C60369" w:rsidRDefault="00DC493E" w:rsidP="00567C4E">
      <w:pPr>
        <w:bidi w:val="0"/>
        <w:snapToGrid w:val="0"/>
        <w:spacing w:after="0" w:line="240" w:lineRule="auto"/>
        <w:ind w:firstLine="425"/>
        <w:jc w:val="both"/>
        <w:rPr>
          <w:rFonts w:ascii="Times New Roman" w:eastAsia="Calibri" w:hAnsi="Times New Roman" w:cs="Times New Roman"/>
          <w:bCs/>
          <w:sz w:val="20"/>
          <w:szCs w:val="20"/>
        </w:rPr>
      </w:pPr>
      <w:r w:rsidRPr="00C60369">
        <w:rPr>
          <w:rFonts w:ascii="Times New Roman" w:eastAsia="Calibri" w:hAnsi="Times New Roman" w:cs="Times New Roman"/>
          <w:bCs/>
          <w:sz w:val="20"/>
          <w:szCs w:val="20"/>
        </w:rPr>
        <w:t>A pooled analysis of secondary outcomes Showed no significant difference in Intensive care unit</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Length of stay (LOS) or hospital Length of sta</w:t>
      </w:r>
      <w:r w:rsidR="00062324" w:rsidRPr="00C60369">
        <w:rPr>
          <w:rFonts w:ascii="Times New Roman" w:eastAsia="Calibri" w:hAnsi="Times New Roman" w:cs="Times New Roman"/>
          <w:bCs/>
          <w:sz w:val="20"/>
          <w:szCs w:val="20"/>
        </w:rPr>
        <w:t>y (</w:t>
      </w:r>
      <w:r w:rsidRPr="00C60369">
        <w:rPr>
          <w:rFonts w:ascii="Times New Roman" w:eastAsia="Calibri" w:hAnsi="Times New Roman" w:cs="Times New Roman"/>
          <w:bCs/>
          <w:sz w:val="20"/>
          <w:szCs w:val="20"/>
        </w:rPr>
        <w:t xml:space="preserve">LOS) between early and late RRT group for survivors or non- survivors. </w:t>
      </w:r>
    </w:p>
    <w:p w:rsidR="00DC493E" w:rsidRPr="00C60369" w:rsidRDefault="00DC493E" w:rsidP="00567C4E">
      <w:pPr>
        <w:bidi w:val="0"/>
        <w:snapToGrid w:val="0"/>
        <w:spacing w:after="0" w:line="240" w:lineRule="auto"/>
        <w:ind w:firstLine="425"/>
        <w:jc w:val="both"/>
        <w:rPr>
          <w:rFonts w:ascii="Times New Roman" w:eastAsia="Calibri" w:hAnsi="Times New Roman" w:cs="Times New Roman"/>
          <w:bCs/>
          <w:sz w:val="20"/>
          <w:szCs w:val="20"/>
        </w:rPr>
      </w:pPr>
      <w:r w:rsidRPr="00C60369">
        <w:rPr>
          <w:rFonts w:ascii="Times New Roman" w:eastAsia="Calibri" w:hAnsi="Times New Roman" w:cs="Times New Roman"/>
          <w:bCs/>
          <w:sz w:val="20"/>
          <w:szCs w:val="20"/>
        </w:rPr>
        <w:t xml:space="preserve">A pooled analysis also demonstrated no significant change in renal function recovery and RRT dependence. </w:t>
      </w:r>
    </w:p>
    <w:p w:rsidR="00DC493E" w:rsidRPr="00C60369" w:rsidRDefault="00DC493E" w:rsidP="00567C4E">
      <w:pPr>
        <w:bidi w:val="0"/>
        <w:snapToGrid w:val="0"/>
        <w:spacing w:after="0" w:line="240" w:lineRule="auto"/>
        <w:jc w:val="both"/>
        <w:rPr>
          <w:rFonts w:ascii="Times New Roman" w:eastAsia="Calibri" w:hAnsi="Times New Roman" w:cs="Times New Roman"/>
          <w:b/>
          <w:bCs/>
          <w:sz w:val="20"/>
          <w:szCs w:val="20"/>
        </w:rPr>
      </w:pPr>
    </w:p>
    <w:p w:rsidR="00DC493E" w:rsidRPr="00C60369" w:rsidRDefault="00DC493E" w:rsidP="00E87DF2">
      <w:pPr>
        <w:bidi w:val="0"/>
        <w:snapToGrid w:val="0"/>
        <w:spacing w:after="0" w:line="240" w:lineRule="auto"/>
        <w:ind w:left="425" w:hanging="425"/>
        <w:jc w:val="both"/>
        <w:rPr>
          <w:rFonts w:ascii="Times New Roman" w:eastAsia="Calibri" w:hAnsi="Times New Roman" w:cs="Times New Roman"/>
          <w:bCs/>
          <w:sz w:val="20"/>
          <w:szCs w:val="20"/>
        </w:rPr>
      </w:pPr>
      <w:r w:rsidRPr="00C60369">
        <w:rPr>
          <w:rFonts w:ascii="Times New Roman" w:eastAsia="Calibri" w:hAnsi="Times New Roman" w:cs="Times New Roman"/>
          <w:b/>
          <w:bCs/>
          <w:sz w:val="20"/>
          <w:szCs w:val="20"/>
        </w:rPr>
        <w:t>References</w:t>
      </w:r>
      <w:r w:rsidRPr="00C60369">
        <w:rPr>
          <w:rFonts w:ascii="Times New Roman" w:eastAsia="Calibri" w:hAnsi="Times New Roman" w:cs="Times New Roman"/>
          <w:bCs/>
          <w:sz w:val="20"/>
          <w:szCs w:val="20"/>
        </w:rPr>
        <w:t>:</w:t>
      </w:r>
    </w:p>
    <w:p w:rsidR="00DC493E" w:rsidRPr="00C60369" w:rsidRDefault="00DC493E" w:rsidP="00E87DF2">
      <w:pPr>
        <w:pStyle w:val="ListParagraph"/>
        <w:numPr>
          <w:ilvl w:val="0"/>
          <w:numId w:val="37"/>
        </w:numPr>
        <w:bidi w:val="0"/>
        <w:snapToGrid w:val="0"/>
        <w:spacing w:after="0" w:line="240" w:lineRule="auto"/>
        <w:ind w:left="425" w:hanging="425"/>
        <w:jc w:val="both"/>
        <w:rPr>
          <w:rFonts w:ascii="Times New Roman" w:eastAsia="Calibri" w:hAnsi="Times New Roman" w:cs="Times New Roman"/>
          <w:bCs/>
          <w:sz w:val="20"/>
          <w:szCs w:val="20"/>
        </w:rPr>
      </w:pPr>
      <w:r w:rsidRPr="00C60369">
        <w:rPr>
          <w:rFonts w:ascii="Times New Roman" w:eastAsia="Calibri" w:hAnsi="Times New Roman" w:cs="Times New Roman"/>
          <w:bCs/>
          <w:sz w:val="20"/>
          <w:szCs w:val="20"/>
        </w:rPr>
        <w:t>Clark</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E,</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Wald</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R,</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Walsh</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M,</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Bagshaw</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SM.</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Timing</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of</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initiation</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of</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renal</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replacement</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therapy</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for</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acute</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kidney</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injury:</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a</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survey</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of</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nephrologists</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and</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intensivists</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in</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Canada.</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Nephrol</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Dial</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Transpl</w:t>
      </w:r>
      <w:proofErr w:type="spellEnd"/>
      <w:r w:rsidRPr="00C60369">
        <w:rPr>
          <w:rFonts w:ascii="Times New Roman" w:eastAsia="Calibri" w:hAnsi="Times New Roman" w:cs="Times New Roman"/>
          <w:bCs/>
          <w:sz w:val="20"/>
          <w:szCs w:val="20"/>
        </w:rPr>
        <w:t>.</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2012;27:2761–7.</w:t>
      </w:r>
      <w:r w:rsidR="00062324" w:rsidRPr="00C60369">
        <w:rPr>
          <w:rFonts w:ascii="Times New Roman" w:eastAsia="Calibri" w:hAnsi="Times New Roman" w:cs="Times New Roman"/>
          <w:bCs/>
          <w:sz w:val="20"/>
          <w:szCs w:val="20"/>
        </w:rPr>
        <w:t xml:space="preserve"> </w:t>
      </w:r>
    </w:p>
    <w:p w:rsidR="00DC493E" w:rsidRPr="00C60369" w:rsidRDefault="00DC493E" w:rsidP="00E87DF2">
      <w:pPr>
        <w:pStyle w:val="ListParagraph"/>
        <w:numPr>
          <w:ilvl w:val="0"/>
          <w:numId w:val="37"/>
        </w:numPr>
        <w:bidi w:val="0"/>
        <w:snapToGrid w:val="0"/>
        <w:spacing w:after="0" w:line="240" w:lineRule="auto"/>
        <w:ind w:left="425" w:hanging="425"/>
        <w:jc w:val="both"/>
        <w:rPr>
          <w:rFonts w:ascii="Times New Roman" w:eastAsia="Calibri" w:hAnsi="Times New Roman" w:cs="Times New Roman"/>
          <w:bCs/>
          <w:sz w:val="20"/>
          <w:szCs w:val="20"/>
        </w:rPr>
      </w:pPr>
      <w:proofErr w:type="spellStart"/>
      <w:r w:rsidRPr="00C60369">
        <w:rPr>
          <w:rFonts w:ascii="Times New Roman" w:eastAsia="Calibri" w:hAnsi="Times New Roman" w:cs="Times New Roman"/>
          <w:bCs/>
          <w:sz w:val="20"/>
          <w:szCs w:val="20"/>
        </w:rPr>
        <w:t>Pannu</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N,</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James</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M,</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Hemmelgarn</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B,</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Klarenbach</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S.</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Association</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between</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AKI,</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recovery</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of</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renal</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function,</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and</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long</w:t>
      </w:r>
      <w:r w:rsidRPr="00C60369">
        <w:rPr>
          <w:rFonts w:ascii="Times New Roman" w:eastAsia="MS Mincho" w:hAnsi="Cambria Math" w:cs="Times New Roman"/>
          <w:bCs/>
          <w:sz w:val="20"/>
          <w:szCs w:val="20"/>
        </w:rPr>
        <w:t>‑</w:t>
      </w:r>
      <w:r w:rsidRPr="00C60369">
        <w:rPr>
          <w:rFonts w:ascii="Times New Roman" w:eastAsia="Calibri" w:hAnsi="Times New Roman" w:cs="Times New Roman"/>
          <w:bCs/>
          <w:sz w:val="20"/>
          <w:szCs w:val="20"/>
        </w:rPr>
        <w:t>term</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outcomes</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after</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hospital</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discharge.</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Clin</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J</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Am</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SocNephrol</w:t>
      </w:r>
      <w:proofErr w:type="spellEnd"/>
      <w:r w:rsidRPr="00C60369">
        <w:rPr>
          <w:rFonts w:ascii="Times New Roman" w:eastAsia="Calibri" w:hAnsi="Times New Roman" w:cs="Times New Roman"/>
          <w:bCs/>
          <w:sz w:val="20"/>
          <w:szCs w:val="20"/>
        </w:rPr>
        <w:t>.</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2013;8:194–202.</w:t>
      </w:r>
      <w:r w:rsidR="00062324" w:rsidRPr="00C60369">
        <w:rPr>
          <w:rFonts w:ascii="Times New Roman" w:eastAsia="Calibri" w:hAnsi="Times New Roman" w:cs="Times New Roman"/>
          <w:bCs/>
          <w:sz w:val="20"/>
          <w:szCs w:val="20"/>
        </w:rPr>
        <w:t xml:space="preserve"> </w:t>
      </w:r>
    </w:p>
    <w:p w:rsidR="00DC493E" w:rsidRPr="00C60369" w:rsidRDefault="00DC493E" w:rsidP="00E87DF2">
      <w:pPr>
        <w:pStyle w:val="ListParagraph"/>
        <w:numPr>
          <w:ilvl w:val="0"/>
          <w:numId w:val="37"/>
        </w:numPr>
        <w:bidi w:val="0"/>
        <w:snapToGrid w:val="0"/>
        <w:spacing w:after="0" w:line="240" w:lineRule="auto"/>
        <w:ind w:left="425" w:hanging="425"/>
        <w:jc w:val="both"/>
        <w:rPr>
          <w:rFonts w:ascii="Times New Roman" w:eastAsia="Calibri" w:hAnsi="Times New Roman" w:cs="Times New Roman"/>
          <w:bCs/>
          <w:sz w:val="20"/>
          <w:szCs w:val="20"/>
        </w:rPr>
      </w:pPr>
      <w:r w:rsidRPr="00C60369">
        <w:rPr>
          <w:rFonts w:ascii="Times New Roman" w:eastAsia="Calibri" w:hAnsi="Times New Roman" w:cs="Times New Roman"/>
          <w:bCs/>
          <w:sz w:val="20"/>
          <w:szCs w:val="20"/>
        </w:rPr>
        <w:t>Schneider</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AG,</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Bellomo</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R,</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Bagshaw</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SM,</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Glassford</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NJ,</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Lo</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S,</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Jun</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M,</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et</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al.</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Choice</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of</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renal</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replacement</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therapy</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modality</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and</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dialysis</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dependence</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after</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acute</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kidney</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injury:</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a</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systematic</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review</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and</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meta</w:t>
      </w:r>
      <w:r w:rsidRPr="00C60369">
        <w:rPr>
          <w:rFonts w:ascii="Times New Roman" w:eastAsia="MS Mincho" w:hAnsi="Cambria Math" w:cs="Times New Roman"/>
          <w:bCs/>
          <w:sz w:val="20"/>
          <w:szCs w:val="20"/>
        </w:rPr>
        <w:t>‑</w:t>
      </w:r>
      <w:r w:rsidRPr="00C60369">
        <w:rPr>
          <w:rFonts w:ascii="Times New Roman" w:eastAsia="Calibri" w:hAnsi="Times New Roman" w:cs="Times New Roman"/>
          <w:bCs/>
          <w:sz w:val="20"/>
          <w:szCs w:val="20"/>
        </w:rPr>
        <w:t>analysis.</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Intensive</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Care</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Med.</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2013;</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39:987–97.</w:t>
      </w:r>
      <w:r w:rsidR="00062324" w:rsidRPr="00C60369">
        <w:rPr>
          <w:rFonts w:ascii="Times New Roman" w:eastAsia="Calibri" w:hAnsi="Times New Roman" w:cs="Times New Roman"/>
          <w:bCs/>
          <w:sz w:val="20"/>
          <w:szCs w:val="20"/>
        </w:rPr>
        <w:t xml:space="preserve"> </w:t>
      </w:r>
    </w:p>
    <w:p w:rsidR="00DC493E" w:rsidRPr="00C60369" w:rsidRDefault="00DC493E" w:rsidP="00E87DF2">
      <w:pPr>
        <w:pStyle w:val="ListParagraph"/>
        <w:numPr>
          <w:ilvl w:val="0"/>
          <w:numId w:val="37"/>
        </w:numPr>
        <w:bidi w:val="0"/>
        <w:snapToGrid w:val="0"/>
        <w:spacing w:after="0" w:line="240" w:lineRule="auto"/>
        <w:ind w:left="425" w:hanging="425"/>
        <w:jc w:val="both"/>
        <w:rPr>
          <w:rFonts w:ascii="Times New Roman" w:eastAsia="Calibri" w:hAnsi="Times New Roman" w:cs="Times New Roman"/>
          <w:bCs/>
          <w:sz w:val="20"/>
          <w:szCs w:val="20"/>
        </w:rPr>
      </w:pPr>
      <w:proofErr w:type="spellStart"/>
      <w:r w:rsidRPr="00C60369">
        <w:rPr>
          <w:rFonts w:ascii="Times New Roman" w:eastAsia="Calibri" w:hAnsi="Times New Roman" w:cs="Times New Roman"/>
          <w:bCs/>
          <w:sz w:val="20"/>
          <w:szCs w:val="20"/>
        </w:rPr>
        <w:t>Akhoundi</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A,</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Singh</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B,</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Vela</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M,</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Chaudhary</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S,</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Monaghan</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M,</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Wilson</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GA,</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et</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al.</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Incidence</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of</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adverse</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events</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during</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continuous</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renal</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replacement</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therapy.</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Blood</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Purif</w:t>
      </w:r>
      <w:proofErr w:type="spellEnd"/>
      <w:r w:rsidRPr="00C60369">
        <w:rPr>
          <w:rFonts w:ascii="Times New Roman" w:eastAsia="Calibri" w:hAnsi="Times New Roman" w:cs="Times New Roman"/>
          <w:bCs/>
          <w:sz w:val="20"/>
          <w:szCs w:val="20"/>
        </w:rPr>
        <w:t>.</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2015;39:333–9.</w:t>
      </w:r>
      <w:r w:rsidR="00062324" w:rsidRPr="00C60369">
        <w:rPr>
          <w:rFonts w:ascii="Times New Roman" w:eastAsia="Calibri" w:hAnsi="Times New Roman" w:cs="Times New Roman"/>
          <w:bCs/>
          <w:sz w:val="20"/>
          <w:szCs w:val="20"/>
        </w:rPr>
        <w:t xml:space="preserve"> </w:t>
      </w:r>
    </w:p>
    <w:p w:rsidR="00DC493E" w:rsidRPr="00C60369" w:rsidRDefault="00DC493E" w:rsidP="00E87DF2">
      <w:pPr>
        <w:pStyle w:val="ListParagraph"/>
        <w:numPr>
          <w:ilvl w:val="0"/>
          <w:numId w:val="37"/>
        </w:numPr>
        <w:bidi w:val="0"/>
        <w:snapToGrid w:val="0"/>
        <w:spacing w:after="0" w:line="240" w:lineRule="auto"/>
        <w:ind w:left="425" w:hanging="425"/>
        <w:jc w:val="both"/>
        <w:rPr>
          <w:rFonts w:ascii="Times New Roman" w:eastAsia="Calibri" w:hAnsi="Times New Roman" w:cs="Times New Roman"/>
          <w:bCs/>
          <w:sz w:val="20"/>
          <w:szCs w:val="20"/>
        </w:rPr>
      </w:pPr>
      <w:r w:rsidRPr="00C60369">
        <w:rPr>
          <w:rFonts w:ascii="Times New Roman" w:eastAsia="Calibri" w:hAnsi="Times New Roman" w:cs="Times New Roman"/>
          <w:bCs/>
          <w:sz w:val="20"/>
          <w:szCs w:val="20"/>
        </w:rPr>
        <w:t>Wald</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R,</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Bagshaw</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SM.</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The</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timing</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of</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renal</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replacement</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therapy</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initiation</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in</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acute</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kidney</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injury:</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is</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earlier</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truly</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better?</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Crit</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Care</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Med.</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2014;42:1933–4.</w:t>
      </w:r>
      <w:r w:rsidR="00062324" w:rsidRPr="00C60369">
        <w:rPr>
          <w:rFonts w:ascii="Times New Roman" w:eastAsia="Calibri" w:hAnsi="Times New Roman" w:cs="Times New Roman"/>
          <w:bCs/>
          <w:sz w:val="20"/>
          <w:szCs w:val="20"/>
        </w:rPr>
        <w:t xml:space="preserve"> </w:t>
      </w:r>
    </w:p>
    <w:p w:rsidR="00DC493E" w:rsidRPr="00C60369" w:rsidRDefault="00DC493E" w:rsidP="00E87DF2">
      <w:pPr>
        <w:pStyle w:val="ListParagraph"/>
        <w:numPr>
          <w:ilvl w:val="0"/>
          <w:numId w:val="37"/>
        </w:numPr>
        <w:bidi w:val="0"/>
        <w:snapToGrid w:val="0"/>
        <w:spacing w:after="0" w:line="240" w:lineRule="auto"/>
        <w:ind w:left="425" w:hanging="425"/>
        <w:jc w:val="both"/>
        <w:rPr>
          <w:rFonts w:ascii="Times New Roman" w:eastAsia="Calibri" w:hAnsi="Times New Roman" w:cs="Times New Roman"/>
          <w:bCs/>
          <w:sz w:val="20"/>
          <w:szCs w:val="20"/>
        </w:rPr>
      </w:pPr>
      <w:proofErr w:type="spellStart"/>
      <w:r w:rsidRPr="00C60369">
        <w:rPr>
          <w:rFonts w:ascii="Times New Roman" w:eastAsia="Calibri" w:hAnsi="Times New Roman" w:cs="Times New Roman"/>
          <w:bCs/>
          <w:sz w:val="20"/>
          <w:szCs w:val="20"/>
        </w:rPr>
        <w:t>Shingarev</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R,</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Wille</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K,</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Tolwani</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A.</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Management</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of</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complications</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in</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renal</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replacement</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therapy.</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Semin</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Dial.</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2013;24:164–8.</w:t>
      </w:r>
      <w:r w:rsidR="00062324" w:rsidRPr="00C60369">
        <w:rPr>
          <w:rFonts w:ascii="Times New Roman" w:eastAsia="Calibri" w:hAnsi="Times New Roman" w:cs="Times New Roman"/>
          <w:bCs/>
          <w:sz w:val="20"/>
          <w:szCs w:val="20"/>
        </w:rPr>
        <w:t xml:space="preserve"> </w:t>
      </w:r>
    </w:p>
    <w:p w:rsidR="00DC493E" w:rsidRPr="00C60369" w:rsidRDefault="00DC493E" w:rsidP="00E87DF2">
      <w:pPr>
        <w:pStyle w:val="ListParagraph"/>
        <w:numPr>
          <w:ilvl w:val="0"/>
          <w:numId w:val="37"/>
        </w:numPr>
        <w:bidi w:val="0"/>
        <w:snapToGrid w:val="0"/>
        <w:spacing w:after="0" w:line="240" w:lineRule="auto"/>
        <w:ind w:left="425" w:hanging="425"/>
        <w:jc w:val="both"/>
        <w:rPr>
          <w:rFonts w:ascii="Times New Roman" w:eastAsia="Calibri" w:hAnsi="Times New Roman" w:cs="Times New Roman"/>
          <w:bCs/>
          <w:sz w:val="20"/>
          <w:szCs w:val="20"/>
        </w:rPr>
      </w:pPr>
      <w:r w:rsidRPr="00C60369">
        <w:rPr>
          <w:rFonts w:ascii="Times New Roman" w:eastAsia="Calibri" w:hAnsi="Times New Roman" w:cs="Times New Roman"/>
          <w:bCs/>
          <w:sz w:val="20"/>
          <w:szCs w:val="20"/>
        </w:rPr>
        <w:t>Carl</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DE,</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Grossman</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C,</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Behnke</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M,</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Sessler</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CN,</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Gehr</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TWB.</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Effect</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of</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timing</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of</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dialysis</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on</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mortality</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in</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critically</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ill,</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septic</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patients</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with</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acute</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renal</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failure.</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Hemodial</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Int.</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2010;14:11–7.</w:t>
      </w:r>
      <w:r w:rsidR="00062324" w:rsidRPr="00C60369">
        <w:rPr>
          <w:rFonts w:ascii="Times New Roman" w:eastAsia="Calibri" w:hAnsi="Times New Roman" w:cs="Times New Roman"/>
          <w:bCs/>
          <w:sz w:val="20"/>
          <w:szCs w:val="20"/>
        </w:rPr>
        <w:t xml:space="preserve"> </w:t>
      </w:r>
    </w:p>
    <w:p w:rsidR="00DC493E" w:rsidRPr="00C60369" w:rsidRDefault="00DC493E" w:rsidP="00E87DF2">
      <w:pPr>
        <w:pStyle w:val="ListParagraph"/>
        <w:numPr>
          <w:ilvl w:val="0"/>
          <w:numId w:val="37"/>
        </w:numPr>
        <w:bidi w:val="0"/>
        <w:snapToGrid w:val="0"/>
        <w:spacing w:after="0" w:line="240" w:lineRule="auto"/>
        <w:ind w:left="425" w:hanging="425"/>
        <w:jc w:val="both"/>
        <w:rPr>
          <w:rFonts w:ascii="Times New Roman" w:eastAsia="Calibri" w:hAnsi="Times New Roman" w:cs="Times New Roman"/>
          <w:bCs/>
          <w:sz w:val="20"/>
          <w:szCs w:val="20"/>
        </w:rPr>
      </w:pPr>
      <w:proofErr w:type="spellStart"/>
      <w:r w:rsidRPr="00C60369">
        <w:rPr>
          <w:rFonts w:ascii="Times New Roman" w:eastAsia="Calibri" w:hAnsi="Times New Roman" w:cs="Times New Roman"/>
          <w:bCs/>
          <w:sz w:val="20"/>
          <w:szCs w:val="20"/>
        </w:rPr>
        <w:t>Gaudry</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S,</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Hajage</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D,</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Schortgen</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F,</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Martin</w:t>
      </w:r>
      <w:r w:rsidRPr="00C60369">
        <w:rPr>
          <w:rFonts w:ascii="Times New Roman" w:eastAsia="MS Mincho" w:hAnsi="Cambria Math" w:cs="Times New Roman"/>
          <w:bCs/>
          <w:sz w:val="20"/>
          <w:szCs w:val="20"/>
        </w:rPr>
        <w:t>‑</w:t>
      </w:r>
      <w:proofErr w:type="spellStart"/>
      <w:r w:rsidRPr="00C60369">
        <w:rPr>
          <w:rFonts w:ascii="Times New Roman" w:eastAsia="Calibri" w:hAnsi="Times New Roman" w:cs="Times New Roman"/>
          <w:bCs/>
          <w:sz w:val="20"/>
          <w:szCs w:val="20"/>
        </w:rPr>
        <w:t>Lefevre</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L,</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Pons</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B,</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Boulet</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E,</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et</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al.</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Initiation</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strategies</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for</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renal</w:t>
      </w:r>
      <w:r w:rsidRPr="00C60369">
        <w:rPr>
          <w:rFonts w:ascii="Times New Roman" w:eastAsia="MS Mincho" w:hAnsi="Cambria Math" w:cs="Times New Roman"/>
          <w:bCs/>
          <w:sz w:val="20"/>
          <w:szCs w:val="20"/>
        </w:rPr>
        <w:t>‑</w:t>
      </w:r>
      <w:r w:rsidRPr="00C60369">
        <w:rPr>
          <w:rFonts w:ascii="Times New Roman" w:eastAsia="Calibri" w:hAnsi="Times New Roman" w:cs="Times New Roman"/>
          <w:bCs/>
          <w:sz w:val="20"/>
          <w:szCs w:val="20"/>
        </w:rPr>
        <w:t>replacement</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lastRenderedPageBreak/>
        <w:t>therapy</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in</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the</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intensive</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care</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unit.</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N</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Eng</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J</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Med.</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2016;375:122–33.</w:t>
      </w:r>
      <w:r w:rsidR="00062324" w:rsidRPr="00C60369">
        <w:rPr>
          <w:rFonts w:ascii="Times New Roman" w:eastAsia="Calibri" w:hAnsi="Times New Roman" w:cs="Times New Roman"/>
          <w:bCs/>
          <w:sz w:val="20"/>
          <w:szCs w:val="20"/>
        </w:rPr>
        <w:t xml:space="preserve"> </w:t>
      </w:r>
    </w:p>
    <w:p w:rsidR="00DC493E" w:rsidRPr="00C60369" w:rsidRDefault="00DC493E" w:rsidP="00E87DF2">
      <w:pPr>
        <w:pStyle w:val="ListParagraph"/>
        <w:numPr>
          <w:ilvl w:val="0"/>
          <w:numId w:val="37"/>
        </w:numPr>
        <w:bidi w:val="0"/>
        <w:snapToGrid w:val="0"/>
        <w:spacing w:after="0" w:line="240" w:lineRule="auto"/>
        <w:ind w:left="425" w:hanging="425"/>
        <w:jc w:val="both"/>
        <w:rPr>
          <w:rFonts w:ascii="Times New Roman" w:eastAsia="Calibri" w:hAnsi="Times New Roman" w:cs="Times New Roman"/>
          <w:bCs/>
          <w:sz w:val="20"/>
          <w:szCs w:val="20"/>
        </w:rPr>
      </w:pPr>
      <w:proofErr w:type="spellStart"/>
      <w:r w:rsidRPr="00C60369">
        <w:rPr>
          <w:rFonts w:ascii="Times New Roman" w:eastAsia="Calibri" w:hAnsi="Times New Roman" w:cs="Times New Roman"/>
          <w:bCs/>
          <w:sz w:val="20"/>
          <w:szCs w:val="20"/>
        </w:rPr>
        <w:t>Zarbock</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A,</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Kellum</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JA,</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Schmidt</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C,</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Van</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Aken</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H,</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Wempe</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C,</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Pavenstädt</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H,</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et</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al.</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Effect</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of</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early</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vs</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delayed</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initiation</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of</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renal</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replacement</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therapy</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on</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mortality</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in</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critically</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ill</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patients</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with</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acute</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kidney</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injury:</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The</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ELAIN</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Randomized</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Clinical</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Trial.</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JAMA.</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2016;315:2190–9.</w:t>
      </w:r>
      <w:r w:rsidR="00062324" w:rsidRPr="00C60369">
        <w:rPr>
          <w:rFonts w:ascii="Times New Roman" w:eastAsia="Calibri" w:hAnsi="Times New Roman" w:cs="Times New Roman"/>
          <w:bCs/>
          <w:sz w:val="20"/>
          <w:szCs w:val="20"/>
        </w:rPr>
        <w:t xml:space="preserve"> </w:t>
      </w:r>
    </w:p>
    <w:p w:rsidR="00DC493E" w:rsidRPr="00C60369" w:rsidRDefault="00DC493E" w:rsidP="00E87DF2">
      <w:pPr>
        <w:pStyle w:val="ListParagraph"/>
        <w:numPr>
          <w:ilvl w:val="0"/>
          <w:numId w:val="37"/>
        </w:numPr>
        <w:bidi w:val="0"/>
        <w:snapToGrid w:val="0"/>
        <w:spacing w:after="0" w:line="240" w:lineRule="auto"/>
        <w:ind w:left="425" w:hanging="425"/>
        <w:jc w:val="both"/>
        <w:rPr>
          <w:rFonts w:ascii="Times New Roman" w:eastAsia="Calibri" w:hAnsi="Times New Roman" w:cs="Times New Roman"/>
          <w:bCs/>
          <w:sz w:val="20"/>
          <w:szCs w:val="20"/>
        </w:rPr>
      </w:pPr>
      <w:proofErr w:type="spellStart"/>
      <w:r w:rsidRPr="00C60369">
        <w:rPr>
          <w:rFonts w:ascii="Times New Roman" w:eastAsia="Calibri" w:hAnsi="Times New Roman" w:cs="Times New Roman"/>
          <w:bCs/>
          <w:sz w:val="20"/>
          <w:szCs w:val="20"/>
        </w:rPr>
        <w:t>Bouman</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CS,</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Oudemans</w:t>
      </w:r>
      <w:proofErr w:type="spellEnd"/>
      <w:r w:rsidRPr="00C60369">
        <w:rPr>
          <w:rFonts w:ascii="Times New Roman" w:eastAsia="Calibri" w:hAnsi="Times New Roman" w:cs="Times New Roman"/>
          <w:bCs/>
          <w:sz w:val="20"/>
          <w:szCs w:val="20"/>
        </w:rPr>
        <w:t>-Van</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Straaten</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HM,</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Tijssen</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JG,</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et</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al.</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Effects</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of</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early</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high</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volume</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continuous</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venovenous</w:t>
      </w:r>
      <w:proofErr w:type="spellEnd"/>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hemofiltration</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on</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survival</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and</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recovery</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of</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renal</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function</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in</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intensive</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care</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patients</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with</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acute</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renal</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failure:</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a</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prospective,</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randomized</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trial.</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Crit</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Care</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Med</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2002;</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30:</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2205–11.</w:t>
      </w:r>
      <w:r w:rsidR="00062324" w:rsidRPr="00C60369">
        <w:rPr>
          <w:rFonts w:ascii="Times New Roman" w:eastAsia="Calibri" w:hAnsi="Times New Roman" w:cs="Times New Roman"/>
          <w:bCs/>
          <w:sz w:val="20"/>
          <w:szCs w:val="20"/>
        </w:rPr>
        <w:t xml:space="preserve"> </w:t>
      </w:r>
    </w:p>
    <w:p w:rsidR="00E87DF2" w:rsidRPr="00C60369" w:rsidRDefault="00DC493E" w:rsidP="00E87DF2">
      <w:pPr>
        <w:pStyle w:val="ListParagraph"/>
        <w:numPr>
          <w:ilvl w:val="0"/>
          <w:numId w:val="37"/>
        </w:numPr>
        <w:bidi w:val="0"/>
        <w:snapToGrid w:val="0"/>
        <w:spacing w:after="0" w:line="240" w:lineRule="auto"/>
        <w:ind w:left="425" w:hanging="425"/>
        <w:jc w:val="both"/>
        <w:rPr>
          <w:rFonts w:ascii="Times New Roman" w:eastAsia="Calibri" w:hAnsi="Times New Roman" w:cs="Times New Roman"/>
          <w:bCs/>
          <w:sz w:val="20"/>
          <w:szCs w:val="20"/>
        </w:rPr>
      </w:pPr>
      <w:proofErr w:type="spellStart"/>
      <w:r w:rsidRPr="00C60369">
        <w:rPr>
          <w:rFonts w:ascii="Times New Roman" w:eastAsia="Calibri" w:hAnsi="Times New Roman" w:cs="Times New Roman"/>
          <w:bCs/>
          <w:i/>
          <w:iCs/>
          <w:sz w:val="20"/>
          <w:szCs w:val="20"/>
        </w:rPr>
        <w:t>Durmaz</w:t>
      </w:r>
      <w:proofErr w:type="spellEnd"/>
      <w:r w:rsidR="00062324" w:rsidRPr="00C60369">
        <w:rPr>
          <w:rFonts w:ascii="Times New Roman" w:eastAsia="Calibri" w:hAnsi="Times New Roman" w:cs="Times New Roman"/>
          <w:bCs/>
          <w:i/>
          <w:iCs/>
          <w:sz w:val="20"/>
          <w:szCs w:val="20"/>
        </w:rPr>
        <w:t xml:space="preserve"> </w:t>
      </w:r>
      <w:r w:rsidRPr="00C60369">
        <w:rPr>
          <w:rFonts w:ascii="Times New Roman" w:eastAsia="Calibri" w:hAnsi="Times New Roman" w:cs="Times New Roman"/>
          <w:bCs/>
          <w:i/>
          <w:iCs/>
          <w:sz w:val="20"/>
          <w:szCs w:val="20"/>
        </w:rPr>
        <w:t>I,</w:t>
      </w:r>
      <w:r w:rsidR="00062324" w:rsidRPr="00C60369">
        <w:rPr>
          <w:rFonts w:ascii="Times New Roman" w:eastAsia="Calibri" w:hAnsi="Times New Roman" w:cs="Times New Roman"/>
          <w:bCs/>
          <w:i/>
          <w:iCs/>
          <w:sz w:val="20"/>
          <w:szCs w:val="20"/>
        </w:rPr>
        <w:t xml:space="preserve"> </w:t>
      </w:r>
      <w:proofErr w:type="spellStart"/>
      <w:r w:rsidRPr="00C60369">
        <w:rPr>
          <w:rFonts w:ascii="Times New Roman" w:eastAsia="Calibri" w:hAnsi="Times New Roman" w:cs="Times New Roman"/>
          <w:bCs/>
          <w:i/>
          <w:iCs/>
          <w:sz w:val="20"/>
          <w:szCs w:val="20"/>
        </w:rPr>
        <w:t>Yagdi</w:t>
      </w:r>
      <w:proofErr w:type="spellEnd"/>
      <w:r w:rsidR="00062324" w:rsidRPr="00C60369">
        <w:rPr>
          <w:rFonts w:ascii="Times New Roman" w:eastAsia="Calibri" w:hAnsi="Times New Roman" w:cs="Times New Roman"/>
          <w:bCs/>
          <w:i/>
          <w:iCs/>
          <w:sz w:val="20"/>
          <w:szCs w:val="20"/>
        </w:rPr>
        <w:t xml:space="preserve"> </w:t>
      </w:r>
      <w:r w:rsidRPr="00C60369">
        <w:rPr>
          <w:rFonts w:ascii="Times New Roman" w:eastAsia="Calibri" w:hAnsi="Times New Roman" w:cs="Times New Roman"/>
          <w:bCs/>
          <w:i/>
          <w:iCs/>
          <w:sz w:val="20"/>
          <w:szCs w:val="20"/>
        </w:rPr>
        <w:t>T,</w:t>
      </w:r>
      <w:r w:rsidR="00062324" w:rsidRPr="00C60369">
        <w:rPr>
          <w:rFonts w:ascii="Times New Roman" w:eastAsia="Calibri" w:hAnsi="Times New Roman" w:cs="Times New Roman"/>
          <w:bCs/>
          <w:i/>
          <w:iCs/>
          <w:sz w:val="20"/>
          <w:szCs w:val="20"/>
        </w:rPr>
        <w:t xml:space="preserve"> </w:t>
      </w:r>
      <w:proofErr w:type="spellStart"/>
      <w:r w:rsidRPr="00C60369">
        <w:rPr>
          <w:rFonts w:ascii="Times New Roman" w:eastAsia="Calibri" w:hAnsi="Times New Roman" w:cs="Times New Roman"/>
          <w:bCs/>
          <w:i/>
          <w:iCs/>
          <w:sz w:val="20"/>
          <w:szCs w:val="20"/>
        </w:rPr>
        <w:t>Calkavur</w:t>
      </w:r>
      <w:proofErr w:type="spellEnd"/>
      <w:r w:rsidR="00062324" w:rsidRPr="00C60369">
        <w:rPr>
          <w:rFonts w:ascii="Times New Roman" w:eastAsia="Calibri" w:hAnsi="Times New Roman" w:cs="Times New Roman"/>
          <w:bCs/>
          <w:i/>
          <w:iCs/>
          <w:sz w:val="20"/>
          <w:szCs w:val="20"/>
        </w:rPr>
        <w:t xml:space="preserve"> </w:t>
      </w:r>
      <w:r w:rsidRPr="00C60369">
        <w:rPr>
          <w:rFonts w:ascii="Times New Roman" w:eastAsia="Calibri" w:hAnsi="Times New Roman" w:cs="Times New Roman"/>
          <w:bCs/>
          <w:i/>
          <w:iCs/>
          <w:sz w:val="20"/>
          <w:szCs w:val="20"/>
        </w:rPr>
        <w:t>T,</w:t>
      </w:r>
      <w:r w:rsidR="00062324" w:rsidRPr="00C60369">
        <w:rPr>
          <w:rFonts w:ascii="Times New Roman" w:eastAsia="Calibri" w:hAnsi="Times New Roman" w:cs="Times New Roman"/>
          <w:bCs/>
          <w:i/>
          <w:iCs/>
          <w:sz w:val="20"/>
          <w:szCs w:val="20"/>
        </w:rPr>
        <w:t xml:space="preserve"> </w:t>
      </w:r>
      <w:proofErr w:type="spellStart"/>
      <w:r w:rsidRPr="00C60369">
        <w:rPr>
          <w:rFonts w:ascii="Times New Roman" w:eastAsia="Calibri" w:hAnsi="Times New Roman" w:cs="Times New Roman"/>
          <w:bCs/>
          <w:i/>
          <w:iCs/>
          <w:sz w:val="20"/>
          <w:szCs w:val="20"/>
        </w:rPr>
        <w:t>Mahmudov</w:t>
      </w:r>
      <w:proofErr w:type="spellEnd"/>
      <w:r w:rsidR="00062324" w:rsidRPr="00C60369">
        <w:rPr>
          <w:rFonts w:ascii="Times New Roman" w:eastAsia="Calibri" w:hAnsi="Times New Roman" w:cs="Times New Roman"/>
          <w:bCs/>
          <w:i/>
          <w:iCs/>
          <w:sz w:val="20"/>
          <w:szCs w:val="20"/>
        </w:rPr>
        <w:t xml:space="preserve"> </w:t>
      </w:r>
      <w:r w:rsidRPr="00C60369">
        <w:rPr>
          <w:rFonts w:ascii="Times New Roman" w:eastAsia="Calibri" w:hAnsi="Times New Roman" w:cs="Times New Roman"/>
          <w:bCs/>
          <w:i/>
          <w:iCs/>
          <w:sz w:val="20"/>
          <w:szCs w:val="20"/>
        </w:rPr>
        <w:t>R,</w:t>
      </w:r>
      <w:r w:rsidR="00062324" w:rsidRPr="00C60369">
        <w:rPr>
          <w:rFonts w:ascii="Times New Roman" w:eastAsia="Calibri" w:hAnsi="Times New Roman" w:cs="Times New Roman"/>
          <w:bCs/>
          <w:i/>
          <w:iCs/>
          <w:sz w:val="20"/>
          <w:szCs w:val="20"/>
        </w:rPr>
        <w:t xml:space="preserve"> </w:t>
      </w:r>
      <w:proofErr w:type="spellStart"/>
      <w:r w:rsidRPr="00C60369">
        <w:rPr>
          <w:rFonts w:ascii="Times New Roman" w:eastAsia="Calibri" w:hAnsi="Times New Roman" w:cs="Times New Roman"/>
          <w:bCs/>
          <w:i/>
          <w:iCs/>
          <w:sz w:val="20"/>
          <w:szCs w:val="20"/>
        </w:rPr>
        <w:t>Apaydin</w:t>
      </w:r>
      <w:proofErr w:type="spellEnd"/>
      <w:r w:rsidR="00062324" w:rsidRPr="00C60369">
        <w:rPr>
          <w:rFonts w:ascii="Times New Roman" w:eastAsia="Calibri" w:hAnsi="Times New Roman" w:cs="Times New Roman"/>
          <w:bCs/>
          <w:i/>
          <w:iCs/>
          <w:sz w:val="20"/>
          <w:szCs w:val="20"/>
        </w:rPr>
        <w:t xml:space="preserve"> </w:t>
      </w:r>
      <w:r w:rsidRPr="00C60369">
        <w:rPr>
          <w:rFonts w:ascii="Times New Roman" w:eastAsia="Calibri" w:hAnsi="Times New Roman" w:cs="Times New Roman"/>
          <w:bCs/>
          <w:i/>
          <w:iCs/>
          <w:sz w:val="20"/>
          <w:szCs w:val="20"/>
        </w:rPr>
        <w:t>AZ,</w:t>
      </w:r>
      <w:r w:rsidR="00062324" w:rsidRPr="00C60369">
        <w:rPr>
          <w:rFonts w:ascii="Times New Roman" w:eastAsia="Calibri" w:hAnsi="Times New Roman" w:cs="Times New Roman"/>
          <w:bCs/>
          <w:i/>
          <w:iCs/>
          <w:sz w:val="20"/>
          <w:szCs w:val="20"/>
        </w:rPr>
        <w:t xml:space="preserve"> </w:t>
      </w:r>
      <w:proofErr w:type="spellStart"/>
      <w:r w:rsidRPr="00C60369">
        <w:rPr>
          <w:rFonts w:ascii="Times New Roman" w:eastAsia="Calibri" w:hAnsi="Times New Roman" w:cs="Times New Roman"/>
          <w:bCs/>
          <w:i/>
          <w:iCs/>
          <w:sz w:val="20"/>
          <w:szCs w:val="20"/>
        </w:rPr>
        <w:t>Posacioglu</w:t>
      </w:r>
      <w:proofErr w:type="spellEnd"/>
      <w:r w:rsidR="00062324" w:rsidRPr="00C60369">
        <w:rPr>
          <w:rFonts w:ascii="Times New Roman" w:eastAsia="Calibri" w:hAnsi="Times New Roman" w:cs="Times New Roman"/>
          <w:bCs/>
          <w:i/>
          <w:iCs/>
          <w:sz w:val="20"/>
          <w:szCs w:val="20"/>
        </w:rPr>
        <w:t xml:space="preserve"> </w:t>
      </w:r>
      <w:r w:rsidRPr="00C60369">
        <w:rPr>
          <w:rFonts w:ascii="Times New Roman" w:eastAsia="Calibri" w:hAnsi="Times New Roman" w:cs="Times New Roman"/>
          <w:bCs/>
          <w:i/>
          <w:iCs/>
          <w:sz w:val="20"/>
          <w:szCs w:val="20"/>
        </w:rPr>
        <w:t>H,</w:t>
      </w:r>
      <w:r w:rsidR="00062324" w:rsidRPr="00C60369">
        <w:rPr>
          <w:rFonts w:ascii="Times New Roman" w:eastAsia="Calibri" w:hAnsi="Times New Roman" w:cs="Times New Roman"/>
          <w:bCs/>
          <w:i/>
          <w:iCs/>
          <w:sz w:val="20"/>
          <w:szCs w:val="20"/>
        </w:rPr>
        <w:t xml:space="preserve"> </w:t>
      </w:r>
      <w:proofErr w:type="spellStart"/>
      <w:r w:rsidRPr="00C60369">
        <w:rPr>
          <w:rFonts w:ascii="Times New Roman" w:eastAsia="Calibri" w:hAnsi="Times New Roman" w:cs="Times New Roman"/>
          <w:bCs/>
          <w:i/>
          <w:iCs/>
          <w:sz w:val="20"/>
          <w:szCs w:val="20"/>
        </w:rPr>
        <w:t>Atay</w:t>
      </w:r>
      <w:proofErr w:type="spellEnd"/>
      <w:r w:rsidR="00062324" w:rsidRPr="00C60369">
        <w:rPr>
          <w:rFonts w:ascii="Times New Roman" w:eastAsia="Calibri" w:hAnsi="Times New Roman" w:cs="Times New Roman"/>
          <w:bCs/>
          <w:i/>
          <w:iCs/>
          <w:sz w:val="20"/>
          <w:szCs w:val="20"/>
        </w:rPr>
        <w:t xml:space="preserve"> </w:t>
      </w:r>
      <w:r w:rsidRPr="00C60369">
        <w:rPr>
          <w:rFonts w:ascii="Times New Roman" w:eastAsia="Calibri" w:hAnsi="Times New Roman" w:cs="Times New Roman"/>
          <w:bCs/>
          <w:i/>
          <w:iCs/>
          <w:sz w:val="20"/>
          <w:szCs w:val="20"/>
        </w:rPr>
        <w:t>Y,</w:t>
      </w:r>
      <w:r w:rsidR="00062324" w:rsidRPr="00C60369">
        <w:rPr>
          <w:rFonts w:ascii="Times New Roman" w:eastAsia="Calibri" w:hAnsi="Times New Roman" w:cs="Times New Roman"/>
          <w:bCs/>
          <w:i/>
          <w:iCs/>
          <w:sz w:val="20"/>
          <w:szCs w:val="20"/>
        </w:rPr>
        <w:t xml:space="preserve"> </w:t>
      </w:r>
      <w:proofErr w:type="spellStart"/>
      <w:r w:rsidRPr="00C60369">
        <w:rPr>
          <w:rFonts w:ascii="Times New Roman" w:eastAsia="Calibri" w:hAnsi="Times New Roman" w:cs="Times New Roman"/>
          <w:bCs/>
          <w:i/>
          <w:iCs/>
          <w:sz w:val="20"/>
          <w:szCs w:val="20"/>
        </w:rPr>
        <w:t>Engin</w:t>
      </w:r>
      <w:proofErr w:type="spellEnd"/>
      <w:r w:rsidR="00062324" w:rsidRPr="00C60369">
        <w:rPr>
          <w:rFonts w:ascii="Times New Roman" w:eastAsia="Calibri" w:hAnsi="Times New Roman" w:cs="Times New Roman"/>
          <w:bCs/>
          <w:i/>
          <w:iCs/>
          <w:sz w:val="20"/>
          <w:szCs w:val="20"/>
        </w:rPr>
        <w:t xml:space="preserve"> </w:t>
      </w:r>
      <w:r w:rsidRPr="00C60369">
        <w:rPr>
          <w:rFonts w:ascii="Times New Roman" w:eastAsia="Calibri" w:hAnsi="Times New Roman" w:cs="Times New Roman"/>
          <w:bCs/>
          <w:i/>
          <w:iCs/>
          <w:sz w:val="20"/>
          <w:szCs w:val="20"/>
        </w:rPr>
        <w:t>C</w:t>
      </w:r>
      <w:r w:rsidRPr="00C60369">
        <w:rPr>
          <w:rFonts w:ascii="Times New Roman" w:eastAsia="Calibri" w:hAnsi="Times New Roman" w:cs="Times New Roman"/>
          <w:bCs/>
          <w:sz w:val="20"/>
          <w:szCs w:val="20"/>
        </w:rPr>
        <w:t>.</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Prophylactic</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dialysis</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in</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patients</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with</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renal</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dysfunction</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undergoing</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on-pump</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coronary</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artery</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bypass</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surgery.</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Ann</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Thorac</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Surg.2003;75(3):859–6</w:t>
      </w:r>
      <w:r w:rsidR="00E87DF2" w:rsidRPr="00C60369">
        <w:rPr>
          <w:rFonts w:ascii="Times New Roman" w:eastAsia="Calibri" w:hAnsi="Times New Roman" w:cs="Times New Roman"/>
          <w:bCs/>
          <w:sz w:val="20"/>
          <w:szCs w:val="20"/>
        </w:rPr>
        <w:t>4.</w:t>
      </w:r>
    </w:p>
    <w:p w:rsidR="00DC493E" w:rsidRPr="00C60369" w:rsidRDefault="00DC493E" w:rsidP="00E87DF2">
      <w:pPr>
        <w:pStyle w:val="ListParagraph"/>
        <w:numPr>
          <w:ilvl w:val="0"/>
          <w:numId w:val="37"/>
        </w:numPr>
        <w:bidi w:val="0"/>
        <w:snapToGrid w:val="0"/>
        <w:spacing w:after="0" w:line="240" w:lineRule="auto"/>
        <w:ind w:left="425" w:hanging="425"/>
        <w:jc w:val="both"/>
        <w:rPr>
          <w:rFonts w:ascii="Times New Roman" w:eastAsia="Calibri" w:hAnsi="Times New Roman" w:cs="Times New Roman"/>
          <w:bCs/>
          <w:sz w:val="20"/>
          <w:szCs w:val="20"/>
        </w:rPr>
      </w:pPr>
      <w:proofErr w:type="spellStart"/>
      <w:r w:rsidRPr="00C60369">
        <w:rPr>
          <w:rFonts w:ascii="Times New Roman" w:eastAsia="Calibri" w:hAnsi="Times New Roman" w:cs="Times New Roman"/>
          <w:bCs/>
          <w:i/>
          <w:iCs/>
          <w:sz w:val="20"/>
          <w:szCs w:val="20"/>
        </w:rPr>
        <w:t>Sugahara</w:t>
      </w:r>
      <w:proofErr w:type="spellEnd"/>
      <w:r w:rsidR="00062324" w:rsidRPr="00C60369">
        <w:rPr>
          <w:rFonts w:ascii="Times New Roman" w:eastAsia="Calibri" w:hAnsi="Times New Roman" w:cs="Times New Roman"/>
          <w:bCs/>
          <w:i/>
          <w:iCs/>
          <w:sz w:val="20"/>
          <w:szCs w:val="20"/>
        </w:rPr>
        <w:t xml:space="preserve"> </w:t>
      </w:r>
      <w:r w:rsidRPr="00C60369">
        <w:rPr>
          <w:rFonts w:ascii="Times New Roman" w:eastAsia="Calibri" w:hAnsi="Times New Roman" w:cs="Times New Roman"/>
          <w:bCs/>
          <w:i/>
          <w:iCs/>
          <w:sz w:val="20"/>
          <w:szCs w:val="20"/>
        </w:rPr>
        <w:t>S,</w:t>
      </w:r>
      <w:r w:rsidR="00062324" w:rsidRPr="00C60369">
        <w:rPr>
          <w:rFonts w:ascii="Times New Roman" w:eastAsia="Calibri" w:hAnsi="Times New Roman" w:cs="Times New Roman"/>
          <w:bCs/>
          <w:i/>
          <w:iCs/>
          <w:sz w:val="20"/>
          <w:szCs w:val="20"/>
        </w:rPr>
        <w:t xml:space="preserve"> </w:t>
      </w:r>
      <w:r w:rsidRPr="00C60369">
        <w:rPr>
          <w:rFonts w:ascii="Times New Roman" w:eastAsia="Calibri" w:hAnsi="Times New Roman" w:cs="Times New Roman"/>
          <w:bCs/>
          <w:i/>
          <w:iCs/>
          <w:sz w:val="20"/>
          <w:szCs w:val="20"/>
        </w:rPr>
        <w:t>Suzuki</w:t>
      </w:r>
      <w:r w:rsidR="00062324" w:rsidRPr="00C60369">
        <w:rPr>
          <w:rFonts w:ascii="Times New Roman" w:eastAsia="Calibri" w:hAnsi="Times New Roman" w:cs="Times New Roman"/>
          <w:bCs/>
          <w:i/>
          <w:iCs/>
          <w:sz w:val="20"/>
          <w:szCs w:val="20"/>
        </w:rPr>
        <w:t xml:space="preserve"> </w:t>
      </w:r>
      <w:r w:rsidRPr="00C60369">
        <w:rPr>
          <w:rFonts w:ascii="Times New Roman" w:eastAsia="Calibri" w:hAnsi="Times New Roman" w:cs="Times New Roman"/>
          <w:bCs/>
          <w:i/>
          <w:iCs/>
          <w:sz w:val="20"/>
          <w:szCs w:val="20"/>
        </w:rPr>
        <w:t>H</w:t>
      </w:r>
      <w:r w:rsidRPr="00C60369">
        <w:rPr>
          <w:rFonts w:ascii="Times New Roman" w:eastAsia="Calibri" w:hAnsi="Times New Roman" w:cs="Times New Roman"/>
          <w:bCs/>
          <w:sz w:val="20"/>
          <w:szCs w:val="20"/>
        </w:rPr>
        <w:t>.</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Early</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start</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on</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continuous</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hemodialysis</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therapy</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improves</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survival</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rate</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in</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patients</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with</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acute</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renal</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failure</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following</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coronary</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bypass</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surgery.</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Hemodial</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Int.</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2004;</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8(4):320–5.</w:t>
      </w:r>
    </w:p>
    <w:p w:rsidR="00DC493E" w:rsidRPr="00C60369" w:rsidRDefault="00DC493E" w:rsidP="00E87DF2">
      <w:pPr>
        <w:pStyle w:val="ListParagraph"/>
        <w:numPr>
          <w:ilvl w:val="0"/>
          <w:numId w:val="37"/>
        </w:numPr>
        <w:bidi w:val="0"/>
        <w:snapToGrid w:val="0"/>
        <w:spacing w:after="0" w:line="240" w:lineRule="auto"/>
        <w:ind w:left="425" w:hanging="425"/>
        <w:jc w:val="both"/>
        <w:rPr>
          <w:rFonts w:ascii="Times New Roman" w:eastAsia="Calibri" w:hAnsi="Times New Roman" w:cs="Times New Roman"/>
          <w:bCs/>
          <w:sz w:val="20"/>
          <w:szCs w:val="20"/>
        </w:rPr>
      </w:pPr>
      <w:proofErr w:type="spellStart"/>
      <w:r w:rsidRPr="00C60369">
        <w:rPr>
          <w:rFonts w:ascii="Times New Roman" w:eastAsia="Calibri" w:hAnsi="Times New Roman" w:cs="Times New Roman"/>
          <w:bCs/>
          <w:sz w:val="20"/>
          <w:szCs w:val="20"/>
        </w:rPr>
        <w:lastRenderedPageBreak/>
        <w:t>Payen</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D,</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Mateo</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J,</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Cavaillon</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JM,</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Fraisse</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F,</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Floriot</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C,</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Vicaut</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E.</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Impact</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of</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continuous</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Venovenous</w:t>
      </w:r>
      <w:proofErr w:type="spellEnd"/>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hemofiltration</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on</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organ</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failure</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during</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the</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early</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phase</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of</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severe</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sepsis:</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a</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randomized</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controlled</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trial.</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Crit</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Care</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Med.</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2009;37(3):803–10.</w:t>
      </w:r>
    </w:p>
    <w:p w:rsidR="00DC493E" w:rsidRPr="00C60369" w:rsidRDefault="00DC493E" w:rsidP="00E87DF2">
      <w:pPr>
        <w:pStyle w:val="ListParagraph"/>
        <w:numPr>
          <w:ilvl w:val="0"/>
          <w:numId w:val="37"/>
        </w:numPr>
        <w:bidi w:val="0"/>
        <w:snapToGrid w:val="0"/>
        <w:spacing w:after="0" w:line="240" w:lineRule="auto"/>
        <w:ind w:left="425" w:hanging="425"/>
        <w:jc w:val="both"/>
        <w:rPr>
          <w:rFonts w:ascii="Times New Roman" w:eastAsia="Calibri" w:hAnsi="Times New Roman" w:cs="Times New Roman"/>
          <w:bCs/>
          <w:sz w:val="20"/>
          <w:szCs w:val="20"/>
        </w:rPr>
      </w:pPr>
      <w:proofErr w:type="spellStart"/>
      <w:r w:rsidRPr="00C60369">
        <w:rPr>
          <w:rFonts w:ascii="Times New Roman" w:eastAsia="Calibri" w:hAnsi="Times New Roman" w:cs="Times New Roman"/>
          <w:bCs/>
          <w:sz w:val="20"/>
          <w:szCs w:val="20"/>
        </w:rPr>
        <w:t>Jamal</w:t>
      </w:r>
      <w:r w:rsidR="00E87DF2" w:rsidRPr="00C60369">
        <w:rPr>
          <w:rFonts w:ascii="Times New Roman" w:eastAsia="Calibri" w:hAnsi="Times New Roman" w:cs="Times New Roman"/>
          <w:bCs/>
          <w:sz w:val="20"/>
          <w:szCs w:val="20"/>
        </w:rPr>
        <w:t>e</w:t>
      </w:r>
      <w:proofErr w:type="spellEnd"/>
      <w:r w:rsidR="00E87DF2" w:rsidRPr="00C60369">
        <w:rPr>
          <w:rFonts w:ascii="Times New Roman" w:eastAsia="Calibri" w:hAnsi="Times New Roman" w:cs="Times New Roman"/>
          <w:bCs/>
          <w:sz w:val="20"/>
          <w:szCs w:val="20"/>
        </w:rPr>
        <w:t xml:space="preserve"> T</w:t>
      </w:r>
      <w:r w:rsidRPr="00C60369">
        <w:rPr>
          <w:rFonts w:ascii="Times New Roman" w:eastAsia="Calibri" w:hAnsi="Times New Roman" w:cs="Times New Roman"/>
          <w:bCs/>
          <w:sz w:val="20"/>
          <w:szCs w:val="20"/>
        </w:rPr>
        <w:t>e,</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Nk</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H,</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Kulkarni</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M,</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Pradeep</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KJ,</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Keskar</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V,</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Jawale</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S,</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Mahajan</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D.</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Earlier-start</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versus</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usual-start</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dialysis</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in</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patients</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with</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community-acquired</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acute</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kidney</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injury:</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a</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randomized</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controlled</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trial.</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Am</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J</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Kidney</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Dis.</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2013;</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62(6):1116–21.</w:t>
      </w:r>
    </w:p>
    <w:p w:rsidR="00DC493E" w:rsidRPr="00C60369" w:rsidRDefault="00DC493E" w:rsidP="00E87DF2">
      <w:pPr>
        <w:pStyle w:val="ListParagraph"/>
        <w:numPr>
          <w:ilvl w:val="0"/>
          <w:numId w:val="37"/>
        </w:numPr>
        <w:bidi w:val="0"/>
        <w:snapToGrid w:val="0"/>
        <w:spacing w:after="0" w:line="240" w:lineRule="auto"/>
        <w:ind w:left="425" w:hanging="425"/>
        <w:jc w:val="both"/>
        <w:rPr>
          <w:rFonts w:ascii="Times New Roman" w:eastAsia="Calibri" w:hAnsi="Times New Roman" w:cs="Times New Roman"/>
          <w:bCs/>
          <w:sz w:val="20"/>
          <w:szCs w:val="20"/>
        </w:rPr>
      </w:pPr>
      <w:proofErr w:type="spellStart"/>
      <w:r w:rsidRPr="00C60369">
        <w:rPr>
          <w:rFonts w:ascii="Times New Roman" w:eastAsia="Calibri" w:hAnsi="Times New Roman" w:cs="Times New Roman"/>
          <w:bCs/>
          <w:sz w:val="20"/>
          <w:szCs w:val="20"/>
        </w:rPr>
        <w:t>Combes</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A,</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Brechot</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N,</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Amour</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J,</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Cozic</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N,</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Lebreton</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G,</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Guidon</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C,</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Zogheib</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E,</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Thiranos</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JC,</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Rigal</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JC,</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Bastien</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O,</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et</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al.</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Early</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high-volume</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hemofiltration</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versus</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standard</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care</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for</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post-cardiac</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surgery</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shock.</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The</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Heroics</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study.</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Am</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J</w:t>
      </w:r>
      <w:r w:rsidR="00062324" w:rsidRPr="00C60369">
        <w:rPr>
          <w:rFonts w:ascii="Times New Roman" w:eastAsia="Calibri" w:hAnsi="Times New Roman" w:cs="Times New Roman"/>
          <w:bCs/>
          <w:sz w:val="20"/>
          <w:szCs w:val="20"/>
        </w:rPr>
        <w:t xml:space="preserve"> </w:t>
      </w:r>
      <w:proofErr w:type="spellStart"/>
      <w:r w:rsidRPr="00C60369">
        <w:rPr>
          <w:rFonts w:ascii="Times New Roman" w:eastAsia="Calibri" w:hAnsi="Times New Roman" w:cs="Times New Roman"/>
          <w:bCs/>
          <w:sz w:val="20"/>
          <w:szCs w:val="20"/>
        </w:rPr>
        <w:t>Respi</w:t>
      </w:r>
      <w:r w:rsidR="00E87DF2" w:rsidRPr="00C60369">
        <w:rPr>
          <w:rFonts w:ascii="Times New Roman" w:eastAsia="Calibri" w:hAnsi="Times New Roman" w:cs="Times New Roman"/>
          <w:bCs/>
          <w:sz w:val="20"/>
          <w:szCs w:val="20"/>
        </w:rPr>
        <w:t>r</w:t>
      </w:r>
      <w:proofErr w:type="spellEnd"/>
      <w:r w:rsidR="00E87DF2" w:rsidRPr="00C60369">
        <w:rPr>
          <w:rFonts w:ascii="Times New Roman" w:eastAsia="Calibri" w:hAnsi="Times New Roman" w:cs="Times New Roman"/>
          <w:bCs/>
          <w:sz w:val="20"/>
          <w:szCs w:val="20"/>
        </w:rPr>
        <w:t xml:space="preserve"> </w:t>
      </w:r>
      <w:proofErr w:type="spellStart"/>
      <w:r w:rsidR="00E87DF2" w:rsidRPr="00C60369">
        <w:rPr>
          <w:rFonts w:ascii="Times New Roman" w:eastAsia="Calibri" w:hAnsi="Times New Roman" w:cs="Times New Roman"/>
          <w:bCs/>
          <w:sz w:val="20"/>
          <w:szCs w:val="20"/>
        </w:rPr>
        <w:t>C</w:t>
      </w:r>
      <w:r w:rsidRPr="00C60369">
        <w:rPr>
          <w:rFonts w:ascii="Times New Roman" w:eastAsia="Calibri" w:hAnsi="Times New Roman" w:cs="Times New Roman"/>
          <w:bCs/>
          <w:sz w:val="20"/>
          <w:szCs w:val="20"/>
        </w:rPr>
        <w:t>rit</w:t>
      </w:r>
      <w:proofErr w:type="spellEnd"/>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Care</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Med.</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2015;</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192(10):1179–90.</w:t>
      </w:r>
    </w:p>
    <w:p w:rsidR="00DC493E" w:rsidRPr="00C60369" w:rsidRDefault="00DC493E" w:rsidP="00E87DF2">
      <w:pPr>
        <w:pStyle w:val="ListParagraph"/>
        <w:numPr>
          <w:ilvl w:val="0"/>
          <w:numId w:val="37"/>
        </w:numPr>
        <w:bidi w:val="0"/>
        <w:snapToGrid w:val="0"/>
        <w:spacing w:after="0" w:line="240" w:lineRule="auto"/>
        <w:ind w:left="425" w:hanging="425"/>
        <w:jc w:val="both"/>
        <w:rPr>
          <w:rFonts w:ascii="Times New Roman" w:eastAsia="Calibri" w:hAnsi="Times New Roman" w:cs="Times New Roman"/>
          <w:sz w:val="20"/>
          <w:szCs w:val="20"/>
        </w:rPr>
      </w:pPr>
      <w:r w:rsidRPr="00C60369">
        <w:rPr>
          <w:rFonts w:ascii="Times New Roman" w:eastAsia="Calibri" w:hAnsi="Times New Roman" w:cs="Times New Roman"/>
          <w:sz w:val="20"/>
          <w:szCs w:val="20"/>
        </w:rPr>
        <w:t>Wald</w:t>
      </w:r>
      <w:r w:rsidR="00062324" w:rsidRPr="00C60369">
        <w:rPr>
          <w:rFonts w:ascii="Times New Roman" w:eastAsia="Calibri" w:hAnsi="Times New Roman" w:cs="Times New Roman"/>
          <w:sz w:val="20"/>
          <w:szCs w:val="20"/>
        </w:rPr>
        <w:t xml:space="preserve"> </w:t>
      </w:r>
      <w:r w:rsidRPr="00C60369">
        <w:rPr>
          <w:rFonts w:ascii="Times New Roman" w:eastAsia="Calibri" w:hAnsi="Times New Roman" w:cs="Times New Roman"/>
          <w:sz w:val="20"/>
          <w:szCs w:val="20"/>
        </w:rPr>
        <w:t>R,</w:t>
      </w:r>
      <w:r w:rsidR="00062324" w:rsidRPr="00C60369">
        <w:rPr>
          <w:rFonts w:ascii="Times New Roman" w:eastAsia="Calibri" w:hAnsi="Times New Roman" w:cs="Times New Roman"/>
          <w:sz w:val="20"/>
          <w:szCs w:val="20"/>
        </w:rPr>
        <w:t xml:space="preserve"> </w:t>
      </w:r>
      <w:proofErr w:type="spellStart"/>
      <w:r w:rsidRPr="00C60369">
        <w:rPr>
          <w:rFonts w:ascii="Times New Roman" w:eastAsia="Calibri" w:hAnsi="Times New Roman" w:cs="Times New Roman"/>
          <w:sz w:val="20"/>
          <w:szCs w:val="20"/>
        </w:rPr>
        <w:t>Adhikari</w:t>
      </w:r>
      <w:proofErr w:type="spellEnd"/>
      <w:r w:rsidR="00062324" w:rsidRPr="00C60369">
        <w:rPr>
          <w:rFonts w:ascii="Times New Roman" w:eastAsia="Calibri" w:hAnsi="Times New Roman" w:cs="Times New Roman"/>
          <w:sz w:val="20"/>
          <w:szCs w:val="20"/>
        </w:rPr>
        <w:t xml:space="preserve"> </w:t>
      </w:r>
      <w:r w:rsidRPr="00C60369">
        <w:rPr>
          <w:rFonts w:ascii="Times New Roman" w:eastAsia="Calibri" w:hAnsi="Times New Roman" w:cs="Times New Roman"/>
          <w:sz w:val="20"/>
          <w:szCs w:val="20"/>
        </w:rPr>
        <w:t>NK,</w:t>
      </w:r>
      <w:r w:rsidR="00062324" w:rsidRPr="00C60369">
        <w:rPr>
          <w:rFonts w:ascii="Times New Roman" w:eastAsia="Calibri" w:hAnsi="Times New Roman" w:cs="Times New Roman"/>
          <w:sz w:val="20"/>
          <w:szCs w:val="20"/>
        </w:rPr>
        <w:t xml:space="preserve"> </w:t>
      </w:r>
      <w:r w:rsidRPr="00C60369">
        <w:rPr>
          <w:rFonts w:ascii="Times New Roman" w:eastAsia="Calibri" w:hAnsi="Times New Roman" w:cs="Times New Roman"/>
          <w:sz w:val="20"/>
          <w:szCs w:val="20"/>
        </w:rPr>
        <w:t>Om</w:t>
      </w:r>
      <w:r w:rsidR="00062324" w:rsidRPr="00C60369">
        <w:rPr>
          <w:rFonts w:ascii="Times New Roman" w:eastAsia="Calibri" w:hAnsi="Times New Roman" w:cs="Times New Roman"/>
          <w:sz w:val="20"/>
          <w:szCs w:val="20"/>
        </w:rPr>
        <w:t xml:space="preserve"> </w:t>
      </w:r>
      <w:r w:rsidRPr="00C60369">
        <w:rPr>
          <w:rFonts w:ascii="Times New Roman" w:eastAsia="Calibri" w:hAnsi="Times New Roman" w:cs="Times New Roman"/>
          <w:sz w:val="20"/>
          <w:szCs w:val="20"/>
        </w:rPr>
        <w:t>S,</w:t>
      </w:r>
      <w:r w:rsidR="00062324" w:rsidRPr="00C60369">
        <w:rPr>
          <w:rFonts w:ascii="Times New Roman" w:eastAsia="Calibri" w:hAnsi="Times New Roman" w:cs="Times New Roman"/>
          <w:sz w:val="20"/>
          <w:szCs w:val="20"/>
        </w:rPr>
        <w:t xml:space="preserve"> </w:t>
      </w:r>
      <w:r w:rsidRPr="00C60369">
        <w:rPr>
          <w:rFonts w:ascii="Times New Roman" w:eastAsia="Calibri" w:hAnsi="Times New Roman" w:cs="Times New Roman"/>
          <w:sz w:val="20"/>
          <w:szCs w:val="20"/>
        </w:rPr>
        <w:t>Ma</w:t>
      </w:r>
      <w:r w:rsidR="00062324" w:rsidRPr="00C60369">
        <w:rPr>
          <w:rFonts w:ascii="Times New Roman" w:eastAsia="Calibri" w:hAnsi="Times New Roman" w:cs="Times New Roman"/>
          <w:sz w:val="20"/>
          <w:szCs w:val="20"/>
        </w:rPr>
        <w:t xml:space="preserve"> </w:t>
      </w:r>
      <w:r w:rsidRPr="00C60369">
        <w:rPr>
          <w:rFonts w:ascii="Times New Roman" w:eastAsia="Calibri" w:hAnsi="Times New Roman" w:cs="Times New Roman"/>
          <w:sz w:val="20"/>
          <w:szCs w:val="20"/>
        </w:rPr>
        <w:t>W,</w:t>
      </w:r>
      <w:r w:rsidR="00062324" w:rsidRPr="00C60369">
        <w:rPr>
          <w:rFonts w:ascii="Times New Roman" w:eastAsia="Calibri" w:hAnsi="Times New Roman" w:cs="Times New Roman"/>
          <w:sz w:val="20"/>
          <w:szCs w:val="20"/>
        </w:rPr>
        <w:t xml:space="preserve"> </w:t>
      </w:r>
      <w:r w:rsidRPr="00C60369">
        <w:rPr>
          <w:rFonts w:ascii="Times New Roman" w:eastAsia="Calibri" w:hAnsi="Times New Roman" w:cs="Times New Roman"/>
          <w:sz w:val="20"/>
          <w:szCs w:val="20"/>
        </w:rPr>
        <w:t>Pope</w:t>
      </w:r>
      <w:r w:rsidR="00062324" w:rsidRPr="00C60369">
        <w:rPr>
          <w:rFonts w:ascii="Times New Roman" w:eastAsia="Calibri" w:hAnsi="Times New Roman" w:cs="Times New Roman"/>
          <w:sz w:val="20"/>
          <w:szCs w:val="20"/>
        </w:rPr>
        <w:t xml:space="preserve"> </w:t>
      </w:r>
      <w:r w:rsidRPr="00C60369">
        <w:rPr>
          <w:rFonts w:ascii="Times New Roman" w:eastAsia="Calibri" w:hAnsi="Times New Roman" w:cs="Times New Roman"/>
          <w:sz w:val="20"/>
          <w:szCs w:val="20"/>
        </w:rPr>
        <w:t>K,</w:t>
      </w:r>
      <w:r w:rsidR="00062324" w:rsidRPr="00C60369">
        <w:rPr>
          <w:rFonts w:ascii="Times New Roman" w:eastAsia="Calibri" w:hAnsi="Times New Roman" w:cs="Times New Roman"/>
          <w:sz w:val="20"/>
          <w:szCs w:val="20"/>
        </w:rPr>
        <w:t xml:space="preserve"> </w:t>
      </w:r>
      <w:r w:rsidRPr="00C60369">
        <w:rPr>
          <w:rFonts w:ascii="Times New Roman" w:eastAsia="Calibri" w:hAnsi="Times New Roman" w:cs="Times New Roman"/>
          <w:sz w:val="20"/>
          <w:szCs w:val="20"/>
        </w:rPr>
        <w:t>Cohen</w:t>
      </w:r>
      <w:r w:rsidR="00062324" w:rsidRPr="00C60369">
        <w:rPr>
          <w:rFonts w:ascii="Times New Roman" w:eastAsia="Calibri" w:hAnsi="Times New Roman" w:cs="Times New Roman"/>
          <w:sz w:val="20"/>
          <w:szCs w:val="20"/>
        </w:rPr>
        <w:t xml:space="preserve"> </w:t>
      </w:r>
      <w:r w:rsidRPr="00C60369">
        <w:rPr>
          <w:rFonts w:ascii="Times New Roman" w:eastAsia="Calibri" w:hAnsi="Times New Roman" w:cs="Times New Roman"/>
          <w:sz w:val="20"/>
          <w:szCs w:val="20"/>
        </w:rPr>
        <w:t>A,</w:t>
      </w:r>
      <w:r w:rsidR="00062324" w:rsidRPr="00C60369">
        <w:rPr>
          <w:rFonts w:ascii="Times New Roman" w:eastAsia="Calibri" w:hAnsi="Times New Roman" w:cs="Times New Roman"/>
          <w:sz w:val="20"/>
          <w:szCs w:val="20"/>
        </w:rPr>
        <w:t xml:space="preserve"> </w:t>
      </w:r>
      <w:r w:rsidRPr="00C60369">
        <w:rPr>
          <w:rFonts w:ascii="Times New Roman" w:eastAsia="Calibri" w:hAnsi="Times New Roman" w:cs="Times New Roman"/>
          <w:sz w:val="20"/>
          <w:szCs w:val="20"/>
        </w:rPr>
        <w:t>Thorpe</w:t>
      </w:r>
      <w:r w:rsidR="00062324" w:rsidRPr="00C60369">
        <w:rPr>
          <w:rFonts w:ascii="Times New Roman" w:eastAsia="Calibri" w:hAnsi="Times New Roman" w:cs="Times New Roman"/>
          <w:sz w:val="20"/>
          <w:szCs w:val="20"/>
        </w:rPr>
        <w:t xml:space="preserve"> </w:t>
      </w:r>
      <w:r w:rsidRPr="00C60369">
        <w:rPr>
          <w:rFonts w:ascii="Times New Roman" w:eastAsia="Calibri" w:hAnsi="Times New Roman" w:cs="Times New Roman"/>
          <w:sz w:val="20"/>
          <w:szCs w:val="20"/>
        </w:rPr>
        <w:t>K,</w:t>
      </w:r>
      <w:r w:rsidR="00062324" w:rsidRPr="00C60369">
        <w:rPr>
          <w:rFonts w:ascii="Times New Roman" w:eastAsia="Calibri" w:hAnsi="Times New Roman" w:cs="Times New Roman"/>
          <w:sz w:val="20"/>
          <w:szCs w:val="20"/>
        </w:rPr>
        <w:t xml:space="preserve"> </w:t>
      </w:r>
      <w:proofErr w:type="spellStart"/>
      <w:r w:rsidRPr="00C60369">
        <w:rPr>
          <w:rFonts w:ascii="Times New Roman" w:eastAsia="Calibri" w:hAnsi="Times New Roman" w:cs="Times New Roman"/>
          <w:sz w:val="20"/>
          <w:szCs w:val="20"/>
        </w:rPr>
        <w:t>Mcintyre</w:t>
      </w:r>
      <w:proofErr w:type="spellEnd"/>
      <w:r w:rsidR="00062324" w:rsidRPr="00C60369">
        <w:rPr>
          <w:rFonts w:ascii="Times New Roman" w:eastAsia="Calibri" w:hAnsi="Times New Roman" w:cs="Times New Roman"/>
          <w:sz w:val="20"/>
          <w:szCs w:val="20"/>
        </w:rPr>
        <w:t xml:space="preserve"> </w:t>
      </w:r>
      <w:r w:rsidRPr="00C60369">
        <w:rPr>
          <w:rFonts w:ascii="Times New Roman" w:eastAsia="Calibri" w:hAnsi="Times New Roman" w:cs="Times New Roman"/>
          <w:sz w:val="20"/>
          <w:szCs w:val="20"/>
        </w:rPr>
        <w:t>L,</w:t>
      </w:r>
      <w:r w:rsidR="00062324" w:rsidRPr="00C60369">
        <w:rPr>
          <w:rFonts w:ascii="Times New Roman" w:eastAsia="Calibri" w:hAnsi="Times New Roman" w:cs="Times New Roman"/>
          <w:sz w:val="20"/>
          <w:szCs w:val="20"/>
        </w:rPr>
        <w:t xml:space="preserve"> </w:t>
      </w:r>
      <w:proofErr w:type="spellStart"/>
      <w:r w:rsidRPr="00C60369">
        <w:rPr>
          <w:rFonts w:ascii="Times New Roman" w:eastAsia="Calibri" w:hAnsi="Times New Roman" w:cs="Times New Roman"/>
          <w:sz w:val="20"/>
          <w:szCs w:val="20"/>
        </w:rPr>
        <w:t>Lamontagne</w:t>
      </w:r>
      <w:proofErr w:type="spellEnd"/>
      <w:r w:rsidR="00062324" w:rsidRPr="00C60369">
        <w:rPr>
          <w:rFonts w:ascii="Times New Roman" w:eastAsia="Calibri" w:hAnsi="Times New Roman" w:cs="Times New Roman"/>
          <w:sz w:val="20"/>
          <w:szCs w:val="20"/>
        </w:rPr>
        <w:t xml:space="preserve"> </w:t>
      </w:r>
      <w:r w:rsidRPr="00C60369">
        <w:rPr>
          <w:rFonts w:ascii="Times New Roman" w:eastAsia="Calibri" w:hAnsi="Times New Roman" w:cs="Times New Roman"/>
          <w:sz w:val="20"/>
          <w:szCs w:val="20"/>
        </w:rPr>
        <w:t>F,</w:t>
      </w:r>
      <w:r w:rsidR="00062324" w:rsidRPr="00C60369">
        <w:rPr>
          <w:rFonts w:ascii="Times New Roman" w:eastAsia="Calibri" w:hAnsi="Times New Roman" w:cs="Times New Roman"/>
          <w:sz w:val="20"/>
          <w:szCs w:val="20"/>
        </w:rPr>
        <w:t xml:space="preserve"> </w:t>
      </w:r>
      <w:proofErr w:type="spellStart"/>
      <w:r w:rsidRPr="00C60369">
        <w:rPr>
          <w:rFonts w:ascii="Times New Roman" w:eastAsia="Calibri" w:hAnsi="Times New Roman" w:cs="Times New Roman"/>
          <w:sz w:val="20"/>
          <w:szCs w:val="20"/>
        </w:rPr>
        <w:t>Soth</w:t>
      </w:r>
      <w:proofErr w:type="spellEnd"/>
      <w:r w:rsidR="00062324" w:rsidRPr="00C60369">
        <w:rPr>
          <w:rFonts w:ascii="Times New Roman" w:eastAsia="Calibri" w:hAnsi="Times New Roman" w:cs="Times New Roman"/>
          <w:sz w:val="20"/>
          <w:szCs w:val="20"/>
        </w:rPr>
        <w:t xml:space="preserve"> </w:t>
      </w:r>
      <w:r w:rsidRPr="00C60369">
        <w:rPr>
          <w:rFonts w:ascii="Times New Roman" w:eastAsia="Calibri" w:hAnsi="Times New Roman" w:cs="Times New Roman"/>
          <w:sz w:val="20"/>
          <w:szCs w:val="20"/>
        </w:rPr>
        <w:t>M,</w:t>
      </w:r>
      <w:r w:rsidR="00062324" w:rsidRPr="00C60369">
        <w:rPr>
          <w:rFonts w:ascii="Times New Roman" w:eastAsia="Calibri" w:hAnsi="Times New Roman" w:cs="Times New Roman"/>
          <w:sz w:val="20"/>
          <w:szCs w:val="20"/>
        </w:rPr>
        <w:t xml:space="preserve"> </w:t>
      </w:r>
      <w:r w:rsidRPr="00C60369">
        <w:rPr>
          <w:rFonts w:ascii="Times New Roman" w:eastAsia="Calibri" w:hAnsi="Times New Roman" w:cs="Times New Roman"/>
          <w:sz w:val="20"/>
          <w:szCs w:val="20"/>
        </w:rPr>
        <w:t>et</w:t>
      </w:r>
      <w:r w:rsidR="00062324" w:rsidRPr="00C60369">
        <w:rPr>
          <w:rFonts w:ascii="Times New Roman" w:eastAsia="Calibri" w:hAnsi="Times New Roman" w:cs="Times New Roman"/>
          <w:sz w:val="20"/>
          <w:szCs w:val="20"/>
        </w:rPr>
        <w:t xml:space="preserve"> </w:t>
      </w:r>
      <w:r w:rsidRPr="00C60369">
        <w:rPr>
          <w:rFonts w:ascii="Times New Roman" w:eastAsia="Calibri" w:hAnsi="Times New Roman" w:cs="Times New Roman"/>
          <w:sz w:val="20"/>
          <w:szCs w:val="20"/>
        </w:rPr>
        <w:t>al</w:t>
      </w:r>
      <w:r w:rsidRPr="00C60369">
        <w:rPr>
          <w:rFonts w:ascii="Times New Roman" w:eastAsia="Calibri" w:hAnsi="Times New Roman" w:cs="Times New Roman"/>
          <w:bCs/>
          <w:sz w:val="20"/>
          <w:szCs w:val="20"/>
        </w:rPr>
        <w:t>.</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Comparison</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of</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standard</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and</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accelerated</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initiation</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of</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renal</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replacement</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therapy</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in</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acute</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kidney</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injury.</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Kidney</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Int.2015;88(4):897–904.</w:t>
      </w:r>
    </w:p>
    <w:p w:rsidR="00567C4E" w:rsidRPr="00C60369" w:rsidRDefault="00DC493E" w:rsidP="00E87DF2">
      <w:pPr>
        <w:pStyle w:val="ListParagraph"/>
        <w:numPr>
          <w:ilvl w:val="0"/>
          <w:numId w:val="37"/>
        </w:numPr>
        <w:bidi w:val="0"/>
        <w:snapToGrid w:val="0"/>
        <w:spacing w:after="0" w:line="240" w:lineRule="auto"/>
        <w:ind w:left="425" w:hanging="425"/>
        <w:jc w:val="both"/>
        <w:rPr>
          <w:rFonts w:ascii="Times New Roman" w:hAnsi="Times New Roman" w:cs="Times New Roman"/>
          <w:sz w:val="20"/>
          <w:szCs w:val="20"/>
          <w:lang w:eastAsia="zh-CN"/>
        </w:rPr>
      </w:pPr>
      <w:r w:rsidRPr="00C60369">
        <w:rPr>
          <w:rFonts w:ascii="Times New Roman" w:eastAsia="Calibri" w:hAnsi="Times New Roman" w:cs="Times New Roman"/>
          <w:bCs/>
          <w:sz w:val="20"/>
          <w:szCs w:val="20"/>
        </w:rPr>
        <w:t>KDIGO</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clinical</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practice</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guideline</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for</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acute</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kidney</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injury.</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Kidney</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Int.</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2012;</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Suppl.</w:t>
      </w:r>
      <w:r w:rsidR="00062324" w:rsidRPr="00C60369">
        <w:rPr>
          <w:rFonts w:ascii="Times New Roman" w:eastAsia="Calibri" w:hAnsi="Times New Roman" w:cs="Times New Roman"/>
          <w:bCs/>
          <w:sz w:val="20"/>
          <w:szCs w:val="20"/>
        </w:rPr>
        <w:t xml:space="preserve"> </w:t>
      </w:r>
      <w:r w:rsidRPr="00C60369">
        <w:rPr>
          <w:rFonts w:ascii="Times New Roman" w:eastAsia="Calibri" w:hAnsi="Times New Roman" w:cs="Times New Roman"/>
          <w:bCs/>
          <w:sz w:val="20"/>
          <w:szCs w:val="20"/>
        </w:rPr>
        <w:t>1:1---138.</w:t>
      </w:r>
      <w:r w:rsidR="00062324" w:rsidRPr="00C60369">
        <w:rPr>
          <w:rFonts w:ascii="Times New Roman" w:eastAsia="Calibri" w:hAnsi="Times New Roman" w:cs="Times New Roman"/>
          <w:bCs/>
          <w:sz w:val="20"/>
          <w:szCs w:val="20"/>
        </w:rPr>
        <w:t xml:space="preserve"> </w:t>
      </w:r>
    </w:p>
    <w:p w:rsidR="00E87DF2" w:rsidRPr="00C60369" w:rsidRDefault="00E87DF2" w:rsidP="00E87DF2">
      <w:pPr>
        <w:pStyle w:val="Default"/>
        <w:snapToGrid w:val="0"/>
        <w:ind w:left="425" w:hanging="425"/>
        <w:jc w:val="both"/>
        <w:rPr>
          <w:sz w:val="20"/>
          <w:szCs w:val="20"/>
          <w:lang w:eastAsia="zh-CN"/>
        </w:rPr>
        <w:sectPr w:rsidR="00E87DF2" w:rsidRPr="00C60369" w:rsidSect="00567C4E">
          <w:type w:val="continuous"/>
          <w:pgSz w:w="12240" w:h="15840"/>
          <w:pgMar w:top="1440" w:right="1440" w:bottom="1440" w:left="1440" w:header="720" w:footer="720" w:gutter="0"/>
          <w:cols w:num="2" w:space="550"/>
          <w:rtlGutter/>
          <w:docGrid w:linePitch="360"/>
        </w:sectPr>
      </w:pPr>
    </w:p>
    <w:p w:rsidR="00DC493E" w:rsidRPr="00C60369" w:rsidRDefault="00DC493E" w:rsidP="00E87DF2">
      <w:pPr>
        <w:pStyle w:val="Default"/>
        <w:snapToGrid w:val="0"/>
        <w:ind w:left="425" w:hanging="425"/>
        <w:jc w:val="both"/>
        <w:rPr>
          <w:rFonts w:eastAsia="Times New Roman"/>
          <w:sz w:val="20"/>
          <w:szCs w:val="20"/>
        </w:rPr>
      </w:pPr>
    </w:p>
    <w:p w:rsidR="00062324" w:rsidRPr="00C60369" w:rsidRDefault="00062324" w:rsidP="00E87DF2">
      <w:pPr>
        <w:bidi w:val="0"/>
        <w:snapToGrid w:val="0"/>
        <w:spacing w:after="0" w:line="240" w:lineRule="auto"/>
        <w:ind w:left="425" w:hanging="425"/>
        <w:jc w:val="both"/>
        <w:rPr>
          <w:rFonts w:ascii="Times New Roman" w:hAnsi="Times New Roman" w:cs="Times New Roman"/>
          <w:sz w:val="20"/>
          <w:szCs w:val="20"/>
          <w:lang w:eastAsia="zh-CN" w:bidi="ar-EG"/>
        </w:rPr>
      </w:pPr>
    </w:p>
    <w:p w:rsidR="00567C4E" w:rsidRPr="00C60369" w:rsidRDefault="00567C4E" w:rsidP="00567C4E">
      <w:pPr>
        <w:bidi w:val="0"/>
        <w:snapToGrid w:val="0"/>
        <w:spacing w:after="0" w:line="240" w:lineRule="auto"/>
        <w:ind w:firstLine="425"/>
        <w:jc w:val="both"/>
        <w:rPr>
          <w:rFonts w:ascii="Times New Roman" w:hAnsi="Times New Roman" w:cs="Times New Roman"/>
          <w:sz w:val="20"/>
          <w:szCs w:val="20"/>
          <w:lang w:eastAsia="zh-CN" w:bidi="ar-EG"/>
        </w:rPr>
      </w:pPr>
    </w:p>
    <w:p w:rsidR="009168BA" w:rsidRPr="00C60369" w:rsidRDefault="00062324" w:rsidP="00567C4E">
      <w:pPr>
        <w:bidi w:val="0"/>
        <w:snapToGrid w:val="0"/>
        <w:spacing w:after="0" w:line="240" w:lineRule="auto"/>
        <w:jc w:val="both"/>
        <w:rPr>
          <w:rFonts w:ascii="Times New Roman" w:hAnsi="Times New Roman" w:cs="Times New Roman"/>
          <w:sz w:val="20"/>
          <w:szCs w:val="20"/>
          <w:lang w:bidi="ar-EG"/>
        </w:rPr>
      </w:pPr>
      <w:r w:rsidRPr="00C60369">
        <w:rPr>
          <w:rFonts w:ascii="Times New Roman" w:hAnsi="Times New Roman" w:cs="Times New Roman"/>
          <w:sz w:val="20"/>
          <w:szCs w:val="20"/>
          <w:lang w:bidi="ar-EG"/>
        </w:rPr>
        <w:t>7/24/2019</w:t>
      </w:r>
    </w:p>
    <w:sectPr w:rsidR="009168BA" w:rsidRPr="00C60369" w:rsidSect="00062324">
      <w:type w:val="continuous"/>
      <w:pgSz w:w="12240" w:h="15840"/>
      <w:pgMar w:top="1440"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B08" w:rsidRDefault="002B3B08" w:rsidP="007272D9">
      <w:pPr>
        <w:spacing w:after="0" w:line="240" w:lineRule="auto"/>
      </w:pPr>
      <w:r>
        <w:separator/>
      </w:r>
    </w:p>
  </w:endnote>
  <w:endnote w:type="continuationSeparator" w:id="0">
    <w:p w:rsidR="002B3B08" w:rsidRDefault="002B3B08" w:rsidP="007272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C4E" w:rsidRPr="00507E73" w:rsidRDefault="00E9617C" w:rsidP="00507E73">
    <w:pPr>
      <w:bidi w:val="0"/>
      <w:spacing w:after="0" w:line="240" w:lineRule="auto"/>
      <w:jc w:val="center"/>
      <w:rPr>
        <w:rFonts w:ascii="Times New Roman" w:hAnsi="Times New Roman" w:cs="Times New Roman"/>
        <w:sz w:val="20"/>
      </w:rPr>
    </w:pPr>
    <w:r w:rsidRPr="00507E73">
      <w:rPr>
        <w:rFonts w:ascii="Times New Roman" w:hAnsi="Times New Roman" w:cs="Times New Roman"/>
        <w:sz w:val="20"/>
      </w:rPr>
      <w:fldChar w:fldCharType="begin"/>
    </w:r>
    <w:r w:rsidR="00507E73" w:rsidRPr="00507E73">
      <w:rPr>
        <w:rFonts w:ascii="Times New Roman" w:hAnsi="Times New Roman" w:cs="Times New Roman"/>
        <w:sz w:val="20"/>
      </w:rPr>
      <w:instrText xml:space="preserve"> page </w:instrText>
    </w:r>
    <w:r w:rsidRPr="00507E73">
      <w:rPr>
        <w:rFonts w:ascii="Times New Roman" w:hAnsi="Times New Roman" w:cs="Times New Roman"/>
        <w:sz w:val="20"/>
      </w:rPr>
      <w:fldChar w:fldCharType="separate"/>
    </w:r>
    <w:r w:rsidR="00C60369">
      <w:rPr>
        <w:rFonts w:ascii="Times New Roman" w:hAnsi="Times New Roman" w:cs="Times New Roman"/>
        <w:noProof/>
        <w:sz w:val="20"/>
      </w:rPr>
      <w:t>7</w:t>
    </w:r>
    <w:r w:rsidRPr="00507E73">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B08" w:rsidRDefault="002B3B08" w:rsidP="007272D9">
      <w:pPr>
        <w:spacing w:after="0" w:line="240" w:lineRule="auto"/>
      </w:pPr>
      <w:r>
        <w:separator/>
      </w:r>
    </w:p>
  </w:footnote>
  <w:footnote w:type="continuationSeparator" w:id="0">
    <w:p w:rsidR="002B3B08" w:rsidRDefault="002B3B08" w:rsidP="007272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E73" w:rsidRPr="00507E73" w:rsidRDefault="00507E73" w:rsidP="00507E7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507E73">
      <w:rPr>
        <w:rFonts w:ascii="Times New Roman" w:hAnsi="Times New Roman" w:cs="Times New Roman" w:hint="eastAsia"/>
        <w:sz w:val="20"/>
        <w:szCs w:val="20"/>
      </w:rPr>
      <w:tab/>
    </w:r>
    <w:r w:rsidRPr="00507E73">
      <w:rPr>
        <w:rFonts w:ascii="Times New Roman" w:hAnsi="Times New Roman" w:cs="Times New Roman"/>
        <w:sz w:val="20"/>
        <w:szCs w:val="20"/>
      </w:rPr>
      <w:t>New York Science Journal 201</w:t>
    </w:r>
    <w:r w:rsidRPr="00507E73">
      <w:rPr>
        <w:rFonts w:ascii="Times New Roman" w:hAnsi="Times New Roman" w:cs="Times New Roman" w:hint="eastAsia"/>
        <w:sz w:val="20"/>
        <w:szCs w:val="20"/>
      </w:rPr>
      <w:t>9</w:t>
    </w:r>
    <w:r w:rsidRPr="00507E73">
      <w:rPr>
        <w:rFonts w:ascii="Times New Roman" w:hAnsi="Times New Roman" w:cs="Times New Roman"/>
        <w:sz w:val="20"/>
        <w:szCs w:val="20"/>
      </w:rPr>
      <w:t>;</w:t>
    </w:r>
    <w:r w:rsidRPr="00507E73">
      <w:rPr>
        <w:rFonts w:ascii="Times New Roman" w:hAnsi="Times New Roman" w:cs="Times New Roman" w:hint="eastAsia"/>
        <w:sz w:val="20"/>
        <w:szCs w:val="20"/>
      </w:rPr>
      <w:t>12</w:t>
    </w:r>
    <w:r w:rsidRPr="00507E73">
      <w:rPr>
        <w:rFonts w:ascii="Times New Roman" w:hAnsi="Times New Roman" w:cs="Times New Roman"/>
        <w:sz w:val="20"/>
        <w:szCs w:val="20"/>
      </w:rPr>
      <w:t>(</w:t>
    </w:r>
    <w:r w:rsidRPr="00507E73">
      <w:rPr>
        <w:rFonts w:ascii="Times New Roman" w:hAnsi="Times New Roman" w:cs="Times New Roman" w:hint="eastAsia"/>
        <w:sz w:val="20"/>
        <w:szCs w:val="20"/>
      </w:rPr>
      <w:t>8</w:t>
    </w:r>
    <w:r w:rsidRPr="00507E73">
      <w:rPr>
        <w:rFonts w:ascii="Times New Roman" w:hAnsi="Times New Roman" w:cs="Times New Roman"/>
        <w:sz w:val="20"/>
        <w:szCs w:val="20"/>
      </w:rPr>
      <w:t>)</w:t>
    </w:r>
    <w:r w:rsidRPr="00507E73">
      <w:rPr>
        <w:rFonts w:ascii="Times New Roman" w:hAnsi="Times New Roman" w:cs="Times New Roman"/>
        <w:iCs/>
        <w:sz w:val="20"/>
        <w:szCs w:val="20"/>
      </w:rPr>
      <w:t xml:space="preserve"> </w:t>
    </w:r>
    <w:r w:rsidRPr="00507E73">
      <w:rPr>
        <w:rFonts w:ascii="Times New Roman" w:hAnsi="Times New Roman" w:cs="Times New Roman" w:hint="eastAsia"/>
        <w:iCs/>
        <w:sz w:val="20"/>
        <w:szCs w:val="20"/>
      </w:rPr>
      <w:tab/>
    </w:r>
    <w:r w:rsidRPr="00507E73">
      <w:rPr>
        <w:rFonts w:ascii="Times New Roman" w:hAnsi="Times New Roman" w:cs="Times New Roman"/>
        <w:iCs/>
        <w:sz w:val="20"/>
        <w:szCs w:val="20"/>
      </w:rPr>
      <w:t xml:space="preserve">  </w:t>
    </w:r>
    <w:hyperlink r:id="rId1" w:history="1">
      <w:r w:rsidRPr="00507E73">
        <w:rPr>
          <w:rStyle w:val="Hyperlink"/>
          <w:rFonts w:ascii="Times New Roman" w:hAnsi="Times New Roman" w:cs="Times New Roman"/>
          <w:color w:val="0000FF"/>
          <w:sz w:val="20"/>
          <w:szCs w:val="20"/>
        </w:rPr>
        <w:t>http://www.sciencepub.net/newyork</w:t>
      </w:r>
    </w:hyperlink>
    <w:r w:rsidRPr="00507E73">
      <w:rPr>
        <w:rFonts w:ascii="Times New Roman" w:hAnsi="Times New Roman" w:cs="Times New Roman" w:hint="eastAsia"/>
        <w:sz w:val="20"/>
      </w:rPr>
      <w:t xml:space="preserve">   </w:t>
    </w:r>
    <w:r w:rsidRPr="00507E73">
      <w:rPr>
        <w:rFonts w:ascii="Times New Roman" w:hAnsi="Times New Roman" w:cs="Times New Roman" w:hint="eastAsia"/>
        <w:b/>
        <w:i/>
        <w:color w:val="FF0000"/>
        <w:sz w:val="20"/>
        <w:szCs w:val="20"/>
        <w:bdr w:val="single" w:sz="4" w:space="0" w:color="FF0000"/>
      </w:rPr>
      <w:t>NYJ</w:t>
    </w:r>
  </w:p>
  <w:p w:rsidR="00507E73" w:rsidRPr="00507E73" w:rsidRDefault="00507E73" w:rsidP="00507E73">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AE3222D4"/>
    <w:lvl w:ilvl="0" w:tplc="20D29D3C">
      <w:start w:val="1"/>
      <w:numFmt w:val="bullet"/>
      <w:lvlText w:val="·"/>
      <w:lvlJc w:val="left"/>
      <w:pPr>
        <w:ind w:left="-888" w:hanging="360"/>
      </w:pPr>
      <w:rPr>
        <w:rFonts w:ascii="Symbol" w:eastAsia="Symbol" w:hAnsi="Symbol"/>
        <w:w w:val="100"/>
        <w:sz w:val="20"/>
        <w:szCs w:val="20"/>
      </w:rPr>
    </w:lvl>
    <w:lvl w:ilvl="1" w:tplc="7B026922">
      <w:start w:val="1"/>
      <w:numFmt w:val="lowerLetter"/>
      <w:lvlText w:val="%2."/>
      <w:lvlJc w:val="left"/>
      <w:pPr>
        <w:ind w:left="-168" w:hanging="360"/>
      </w:pPr>
    </w:lvl>
    <w:lvl w:ilvl="2" w:tplc="A004527A">
      <w:start w:val="1"/>
      <w:numFmt w:val="lowerRoman"/>
      <w:lvlText w:val="%3."/>
      <w:lvlJc w:val="right"/>
      <w:pPr>
        <w:ind w:left="0" w:hanging="180"/>
      </w:pPr>
    </w:lvl>
    <w:lvl w:ilvl="3" w:tplc="902A2D20">
      <w:start w:val="1"/>
      <w:numFmt w:val="decimal"/>
      <w:lvlText w:val="%4."/>
      <w:lvlJc w:val="left"/>
      <w:pPr>
        <w:ind w:left="1272" w:hanging="360"/>
      </w:pPr>
    </w:lvl>
    <w:lvl w:ilvl="4" w:tplc="AFC25AD8">
      <w:start w:val="1"/>
      <w:numFmt w:val="lowerLetter"/>
      <w:lvlText w:val="%5."/>
      <w:lvlJc w:val="left"/>
      <w:pPr>
        <w:ind w:left="1992" w:hanging="360"/>
      </w:pPr>
    </w:lvl>
    <w:lvl w:ilvl="5" w:tplc="9E2A54F4">
      <w:start w:val="1"/>
      <w:numFmt w:val="lowerRoman"/>
      <w:lvlText w:val="%6."/>
      <w:lvlJc w:val="right"/>
      <w:pPr>
        <w:ind w:left="2712" w:hanging="180"/>
      </w:pPr>
    </w:lvl>
    <w:lvl w:ilvl="6" w:tplc="A3F464D2">
      <w:start w:val="1"/>
      <w:numFmt w:val="decimal"/>
      <w:lvlText w:val="%7."/>
      <w:lvlJc w:val="left"/>
      <w:pPr>
        <w:ind w:left="3432" w:hanging="360"/>
      </w:pPr>
    </w:lvl>
    <w:lvl w:ilvl="7" w:tplc="3E1C4D30">
      <w:start w:val="1"/>
      <w:numFmt w:val="lowerLetter"/>
      <w:lvlText w:val="%8."/>
      <w:lvlJc w:val="left"/>
      <w:pPr>
        <w:ind w:left="4152" w:hanging="360"/>
      </w:pPr>
    </w:lvl>
    <w:lvl w:ilvl="8" w:tplc="7AF6D0F8">
      <w:start w:val="1"/>
      <w:numFmt w:val="lowerRoman"/>
      <w:lvlText w:val="%9."/>
      <w:lvlJc w:val="right"/>
      <w:pPr>
        <w:ind w:left="4872" w:hanging="180"/>
      </w:pPr>
    </w:lvl>
  </w:abstractNum>
  <w:abstractNum w:abstractNumId="1">
    <w:nsid w:val="06F04920"/>
    <w:multiLevelType w:val="hybridMultilevel"/>
    <w:tmpl w:val="4C466662"/>
    <w:lvl w:ilvl="0" w:tplc="7E96E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6B3A34"/>
    <w:multiLevelType w:val="hybridMultilevel"/>
    <w:tmpl w:val="8D9E4F08"/>
    <w:lvl w:ilvl="0" w:tplc="8884BB5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5868FE"/>
    <w:multiLevelType w:val="hybridMultilevel"/>
    <w:tmpl w:val="4F5E5C7A"/>
    <w:lvl w:ilvl="0" w:tplc="F0B02642">
      <w:numFmt w:val="bullet"/>
      <w:lvlText w:val="-"/>
      <w:lvlJc w:val="left"/>
      <w:pPr>
        <w:ind w:left="4320" w:hanging="324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2BB382B"/>
    <w:multiLevelType w:val="hybridMultilevel"/>
    <w:tmpl w:val="CF0E083C"/>
    <w:lvl w:ilvl="0" w:tplc="4F4692FC">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9B292F"/>
    <w:multiLevelType w:val="hybridMultilevel"/>
    <w:tmpl w:val="629A13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786064"/>
    <w:multiLevelType w:val="hybridMultilevel"/>
    <w:tmpl w:val="73D8C7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2320731"/>
    <w:multiLevelType w:val="hybridMultilevel"/>
    <w:tmpl w:val="1A966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27F1207"/>
    <w:multiLevelType w:val="hybridMultilevel"/>
    <w:tmpl w:val="702A654A"/>
    <w:lvl w:ilvl="0" w:tplc="1CF07F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425AC1"/>
    <w:multiLevelType w:val="hybridMultilevel"/>
    <w:tmpl w:val="F4C6D51C"/>
    <w:lvl w:ilvl="0" w:tplc="04090001">
      <w:start w:val="1"/>
      <w:numFmt w:val="bullet"/>
      <w:lvlText w:val=""/>
      <w:lvlJc w:val="left"/>
      <w:pPr>
        <w:ind w:left="1070" w:hanging="360"/>
      </w:pPr>
      <w:rPr>
        <w:rFonts w:ascii="Symbol" w:hAnsi="Symbol" w:hint="default"/>
      </w:rPr>
    </w:lvl>
    <w:lvl w:ilvl="1" w:tplc="04090003">
      <w:start w:val="1"/>
      <w:numFmt w:val="bullet"/>
      <w:lvlText w:val="o"/>
      <w:lvlJc w:val="left"/>
      <w:pPr>
        <w:ind w:left="1790" w:hanging="360"/>
      </w:pPr>
      <w:rPr>
        <w:rFonts w:ascii="Courier New" w:hAnsi="Courier New" w:cs="Courier New" w:hint="default"/>
      </w:rPr>
    </w:lvl>
    <w:lvl w:ilvl="2" w:tplc="04090005">
      <w:start w:val="1"/>
      <w:numFmt w:val="bullet"/>
      <w:lvlText w:val=""/>
      <w:lvlJc w:val="left"/>
      <w:pPr>
        <w:ind w:left="2510" w:hanging="360"/>
      </w:pPr>
      <w:rPr>
        <w:rFonts w:ascii="Wingdings" w:hAnsi="Wingdings" w:hint="default"/>
      </w:rPr>
    </w:lvl>
    <w:lvl w:ilvl="3" w:tplc="04090001">
      <w:start w:val="1"/>
      <w:numFmt w:val="bullet"/>
      <w:lvlText w:val=""/>
      <w:lvlJc w:val="left"/>
      <w:pPr>
        <w:ind w:left="3230" w:hanging="360"/>
      </w:pPr>
      <w:rPr>
        <w:rFonts w:ascii="Symbol" w:hAnsi="Symbol" w:hint="default"/>
      </w:rPr>
    </w:lvl>
    <w:lvl w:ilvl="4" w:tplc="04090003">
      <w:start w:val="1"/>
      <w:numFmt w:val="bullet"/>
      <w:lvlText w:val="o"/>
      <w:lvlJc w:val="left"/>
      <w:pPr>
        <w:ind w:left="3950" w:hanging="360"/>
      </w:pPr>
      <w:rPr>
        <w:rFonts w:ascii="Courier New" w:hAnsi="Courier New" w:cs="Courier New" w:hint="default"/>
      </w:rPr>
    </w:lvl>
    <w:lvl w:ilvl="5" w:tplc="04090005">
      <w:start w:val="1"/>
      <w:numFmt w:val="bullet"/>
      <w:lvlText w:val=""/>
      <w:lvlJc w:val="left"/>
      <w:pPr>
        <w:ind w:left="4670" w:hanging="360"/>
      </w:pPr>
      <w:rPr>
        <w:rFonts w:ascii="Wingdings" w:hAnsi="Wingdings" w:hint="default"/>
      </w:rPr>
    </w:lvl>
    <w:lvl w:ilvl="6" w:tplc="04090001">
      <w:start w:val="1"/>
      <w:numFmt w:val="bullet"/>
      <w:lvlText w:val=""/>
      <w:lvlJc w:val="left"/>
      <w:pPr>
        <w:ind w:left="5390" w:hanging="360"/>
      </w:pPr>
      <w:rPr>
        <w:rFonts w:ascii="Symbol" w:hAnsi="Symbol" w:hint="default"/>
      </w:rPr>
    </w:lvl>
    <w:lvl w:ilvl="7" w:tplc="04090003">
      <w:start w:val="1"/>
      <w:numFmt w:val="bullet"/>
      <w:lvlText w:val="o"/>
      <w:lvlJc w:val="left"/>
      <w:pPr>
        <w:ind w:left="6110" w:hanging="360"/>
      </w:pPr>
      <w:rPr>
        <w:rFonts w:ascii="Courier New" w:hAnsi="Courier New" w:cs="Courier New" w:hint="default"/>
      </w:rPr>
    </w:lvl>
    <w:lvl w:ilvl="8" w:tplc="04090005">
      <w:start w:val="1"/>
      <w:numFmt w:val="bullet"/>
      <w:lvlText w:val=""/>
      <w:lvlJc w:val="left"/>
      <w:pPr>
        <w:ind w:left="6830" w:hanging="360"/>
      </w:pPr>
      <w:rPr>
        <w:rFonts w:ascii="Wingdings" w:hAnsi="Wingdings" w:hint="default"/>
      </w:rPr>
    </w:lvl>
  </w:abstractNum>
  <w:abstractNum w:abstractNumId="10">
    <w:nsid w:val="2BFA46DB"/>
    <w:multiLevelType w:val="hybridMultilevel"/>
    <w:tmpl w:val="2266FFE6"/>
    <w:lvl w:ilvl="0" w:tplc="04090005">
      <w:start w:val="1"/>
      <w:numFmt w:val="bullet"/>
      <w:lvlText w:val=""/>
      <w:lvlJc w:val="left"/>
      <w:pPr>
        <w:ind w:left="2040" w:hanging="360"/>
      </w:pPr>
      <w:rPr>
        <w:rFonts w:ascii="Wingdings" w:hAnsi="Wingdings"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11">
    <w:nsid w:val="2EE24EEE"/>
    <w:multiLevelType w:val="hybridMultilevel"/>
    <w:tmpl w:val="38BCE6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32866CC6"/>
    <w:multiLevelType w:val="hybridMultilevel"/>
    <w:tmpl w:val="8B8C1048"/>
    <w:lvl w:ilvl="0" w:tplc="F0B02642">
      <w:numFmt w:val="bullet"/>
      <w:lvlText w:val="-"/>
      <w:lvlJc w:val="left"/>
      <w:pPr>
        <w:ind w:left="3960" w:hanging="324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3810AFC"/>
    <w:multiLevelType w:val="hybridMultilevel"/>
    <w:tmpl w:val="43B26420"/>
    <w:lvl w:ilvl="0" w:tplc="F4E242C8">
      <w:start w:val="1"/>
      <w:numFmt w:val="decimal"/>
      <w:lvlText w:val="%1."/>
      <w:lvlJc w:val="left"/>
      <w:pPr>
        <w:ind w:left="8220" w:hanging="78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BA23F8"/>
    <w:multiLevelType w:val="hybridMultilevel"/>
    <w:tmpl w:val="46405162"/>
    <w:lvl w:ilvl="0" w:tplc="D63683AE">
      <w:start w:val="1"/>
      <w:numFmt w:val="decimal"/>
      <w:lvlText w:val="%1-"/>
      <w:lvlJc w:val="left"/>
      <w:pPr>
        <w:ind w:left="8295" w:hanging="793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573057"/>
    <w:multiLevelType w:val="hybridMultilevel"/>
    <w:tmpl w:val="4ED6F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BD935F9"/>
    <w:multiLevelType w:val="hybridMultilevel"/>
    <w:tmpl w:val="9C223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244214"/>
    <w:multiLevelType w:val="hybridMultilevel"/>
    <w:tmpl w:val="71F41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7869AA"/>
    <w:multiLevelType w:val="hybridMultilevel"/>
    <w:tmpl w:val="1A360372"/>
    <w:lvl w:ilvl="0" w:tplc="99F27DD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3DBC131E"/>
    <w:multiLevelType w:val="hybridMultilevel"/>
    <w:tmpl w:val="FE80F758"/>
    <w:lvl w:ilvl="0" w:tplc="F0B02642">
      <w:numFmt w:val="bullet"/>
      <w:lvlText w:val="-"/>
      <w:lvlJc w:val="left"/>
      <w:pPr>
        <w:ind w:left="3600" w:hanging="324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7C41AF"/>
    <w:multiLevelType w:val="hybridMultilevel"/>
    <w:tmpl w:val="3CBC5EB4"/>
    <w:lvl w:ilvl="0" w:tplc="F1585FBE">
      <w:start w:val="1"/>
      <w:numFmt w:val="bullet"/>
      <w:lvlText w:val="·"/>
      <w:lvlJc w:val="left"/>
      <w:pPr>
        <w:ind w:left="720" w:hanging="360"/>
      </w:pPr>
      <w:rPr>
        <w:rFonts w:ascii="Symbol" w:eastAsia="Symbol" w:hAnsi="Symbol"/>
        <w:w w:val="100"/>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2B147B2"/>
    <w:multiLevelType w:val="hybridMultilevel"/>
    <w:tmpl w:val="980ED3EC"/>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2">
    <w:nsid w:val="44C73FFC"/>
    <w:multiLevelType w:val="hybridMultilevel"/>
    <w:tmpl w:val="AD2AC92A"/>
    <w:lvl w:ilvl="0" w:tplc="FF087414">
      <w:start w:val="1"/>
      <w:numFmt w:val="bullet"/>
      <w:lvlText w:val=""/>
      <w:lvlJc w:val="left"/>
      <w:pPr>
        <w:ind w:left="360" w:hanging="360"/>
      </w:pPr>
      <w:rPr>
        <w:rFonts w:ascii="Symbol" w:hAnsi="Symbol" w:hint="default"/>
        <w:sz w:val="36"/>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3">
    <w:nsid w:val="473E673B"/>
    <w:multiLevelType w:val="hybridMultilevel"/>
    <w:tmpl w:val="01E4D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90D3B36"/>
    <w:multiLevelType w:val="hybridMultilevel"/>
    <w:tmpl w:val="7436D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9AF7AE8"/>
    <w:multiLevelType w:val="hybridMultilevel"/>
    <w:tmpl w:val="2CE4AD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501152"/>
    <w:multiLevelType w:val="hybridMultilevel"/>
    <w:tmpl w:val="3216010E"/>
    <w:lvl w:ilvl="0" w:tplc="04090005">
      <w:start w:val="1"/>
      <w:numFmt w:val="bullet"/>
      <w:lvlText w:val=""/>
      <w:lvlJc w:val="left"/>
      <w:pPr>
        <w:ind w:left="2085" w:hanging="360"/>
      </w:pPr>
      <w:rPr>
        <w:rFonts w:ascii="Wingdings" w:hAnsi="Wingdings" w:hint="default"/>
      </w:rPr>
    </w:lvl>
    <w:lvl w:ilvl="1" w:tplc="04090003" w:tentative="1">
      <w:start w:val="1"/>
      <w:numFmt w:val="bullet"/>
      <w:lvlText w:val="o"/>
      <w:lvlJc w:val="left"/>
      <w:pPr>
        <w:ind w:left="2805" w:hanging="360"/>
      </w:pPr>
      <w:rPr>
        <w:rFonts w:ascii="Courier New" w:hAnsi="Courier New" w:cs="Courier New" w:hint="default"/>
      </w:rPr>
    </w:lvl>
    <w:lvl w:ilvl="2" w:tplc="04090005" w:tentative="1">
      <w:start w:val="1"/>
      <w:numFmt w:val="bullet"/>
      <w:lvlText w:val=""/>
      <w:lvlJc w:val="left"/>
      <w:pPr>
        <w:ind w:left="3525" w:hanging="360"/>
      </w:pPr>
      <w:rPr>
        <w:rFonts w:ascii="Wingdings" w:hAnsi="Wingdings" w:hint="default"/>
      </w:rPr>
    </w:lvl>
    <w:lvl w:ilvl="3" w:tplc="04090001" w:tentative="1">
      <w:start w:val="1"/>
      <w:numFmt w:val="bullet"/>
      <w:lvlText w:val=""/>
      <w:lvlJc w:val="left"/>
      <w:pPr>
        <w:ind w:left="4245" w:hanging="360"/>
      </w:pPr>
      <w:rPr>
        <w:rFonts w:ascii="Symbol" w:hAnsi="Symbol" w:hint="default"/>
      </w:rPr>
    </w:lvl>
    <w:lvl w:ilvl="4" w:tplc="04090003" w:tentative="1">
      <w:start w:val="1"/>
      <w:numFmt w:val="bullet"/>
      <w:lvlText w:val="o"/>
      <w:lvlJc w:val="left"/>
      <w:pPr>
        <w:ind w:left="4965" w:hanging="360"/>
      </w:pPr>
      <w:rPr>
        <w:rFonts w:ascii="Courier New" w:hAnsi="Courier New" w:cs="Courier New" w:hint="default"/>
      </w:rPr>
    </w:lvl>
    <w:lvl w:ilvl="5" w:tplc="04090005" w:tentative="1">
      <w:start w:val="1"/>
      <w:numFmt w:val="bullet"/>
      <w:lvlText w:val=""/>
      <w:lvlJc w:val="left"/>
      <w:pPr>
        <w:ind w:left="5685" w:hanging="360"/>
      </w:pPr>
      <w:rPr>
        <w:rFonts w:ascii="Wingdings" w:hAnsi="Wingdings" w:hint="default"/>
      </w:rPr>
    </w:lvl>
    <w:lvl w:ilvl="6" w:tplc="04090001" w:tentative="1">
      <w:start w:val="1"/>
      <w:numFmt w:val="bullet"/>
      <w:lvlText w:val=""/>
      <w:lvlJc w:val="left"/>
      <w:pPr>
        <w:ind w:left="6405" w:hanging="360"/>
      </w:pPr>
      <w:rPr>
        <w:rFonts w:ascii="Symbol" w:hAnsi="Symbol" w:hint="default"/>
      </w:rPr>
    </w:lvl>
    <w:lvl w:ilvl="7" w:tplc="04090003" w:tentative="1">
      <w:start w:val="1"/>
      <w:numFmt w:val="bullet"/>
      <w:lvlText w:val="o"/>
      <w:lvlJc w:val="left"/>
      <w:pPr>
        <w:ind w:left="7125" w:hanging="360"/>
      </w:pPr>
      <w:rPr>
        <w:rFonts w:ascii="Courier New" w:hAnsi="Courier New" w:cs="Courier New" w:hint="default"/>
      </w:rPr>
    </w:lvl>
    <w:lvl w:ilvl="8" w:tplc="04090005" w:tentative="1">
      <w:start w:val="1"/>
      <w:numFmt w:val="bullet"/>
      <w:lvlText w:val=""/>
      <w:lvlJc w:val="left"/>
      <w:pPr>
        <w:ind w:left="7845" w:hanging="360"/>
      </w:pPr>
      <w:rPr>
        <w:rFonts w:ascii="Wingdings" w:hAnsi="Wingdings" w:hint="default"/>
      </w:rPr>
    </w:lvl>
  </w:abstractNum>
  <w:abstractNum w:abstractNumId="27">
    <w:nsid w:val="4C860504"/>
    <w:multiLevelType w:val="hybridMultilevel"/>
    <w:tmpl w:val="01542A7C"/>
    <w:lvl w:ilvl="0" w:tplc="35D0E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9B6952"/>
    <w:multiLevelType w:val="hybridMultilevel"/>
    <w:tmpl w:val="68ECBF1C"/>
    <w:lvl w:ilvl="0" w:tplc="CDEC63A6">
      <w:start w:val="16"/>
      <w:numFmt w:val="bullet"/>
      <w:lvlText w:val="-"/>
      <w:lvlJc w:val="left"/>
      <w:pPr>
        <w:ind w:left="1080" w:hanging="360"/>
      </w:pPr>
      <w:rPr>
        <w:rFonts w:ascii="Times New Roman" w:eastAsia="Times New Roman" w:hAnsi="Times New Roman" w:hint="default"/>
        <w:b/>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9">
    <w:nsid w:val="67CB3367"/>
    <w:multiLevelType w:val="hybridMultilevel"/>
    <w:tmpl w:val="53984EA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132CDF"/>
    <w:multiLevelType w:val="hybridMultilevel"/>
    <w:tmpl w:val="6696E39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73461D4F"/>
    <w:multiLevelType w:val="hybridMultilevel"/>
    <w:tmpl w:val="AA82D35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7998112E"/>
    <w:multiLevelType w:val="hybridMultilevel"/>
    <w:tmpl w:val="CDF01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672FDD"/>
    <w:multiLevelType w:val="hybridMultilevel"/>
    <w:tmpl w:val="4ADC3280"/>
    <w:lvl w:ilvl="0" w:tplc="C6789F52">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976207"/>
    <w:multiLevelType w:val="hybridMultilevel"/>
    <w:tmpl w:val="62106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24"/>
  </w:num>
  <w:num w:numId="3">
    <w:abstractNumId w:val="23"/>
  </w:num>
  <w:num w:numId="4">
    <w:abstractNumId w:val="20"/>
  </w:num>
  <w:num w:numId="5">
    <w:abstractNumId w:val="9"/>
  </w:num>
  <w:num w:numId="6">
    <w:abstractNumId w:val="0"/>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5"/>
  </w:num>
  <w:num w:numId="10">
    <w:abstractNumId w:val="16"/>
  </w:num>
  <w:num w:numId="11">
    <w:abstractNumId w:val="10"/>
  </w:num>
  <w:num w:numId="12">
    <w:abstractNumId w:val="26"/>
  </w:num>
  <w:num w:numId="13">
    <w:abstractNumId w:val="19"/>
  </w:num>
  <w:num w:numId="14">
    <w:abstractNumId w:val="12"/>
  </w:num>
  <w:num w:numId="15">
    <w:abstractNumId w:val="3"/>
  </w:num>
  <w:num w:numId="16">
    <w:abstractNumId w:val="17"/>
  </w:num>
  <w:num w:numId="17">
    <w:abstractNumId w:val="8"/>
  </w:num>
  <w:num w:numId="18">
    <w:abstractNumId w:val="25"/>
  </w:num>
  <w:num w:numId="19">
    <w:abstractNumId w:val="32"/>
  </w:num>
  <w:num w:numId="20">
    <w:abstractNumId w:val="2"/>
  </w:num>
  <w:num w:numId="21">
    <w:abstractNumId w:val="5"/>
  </w:num>
  <w:num w:numId="22">
    <w:abstractNumId w:val="0"/>
  </w:num>
  <w:num w:numId="23">
    <w:abstractNumId w:val="30"/>
  </w:num>
  <w:num w:numId="24">
    <w:abstractNumId w:val="31"/>
  </w:num>
  <w:num w:numId="25">
    <w:abstractNumId w:val="21"/>
  </w:num>
  <w:num w:numId="26">
    <w:abstractNumId w:val="28"/>
  </w:num>
  <w:num w:numId="27">
    <w:abstractNumId w:val="22"/>
  </w:num>
  <w:num w:numId="28">
    <w:abstractNumId w:val="11"/>
  </w:num>
  <w:num w:numId="29">
    <w:abstractNumId w:val="4"/>
  </w:num>
  <w:num w:numId="30">
    <w:abstractNumId w:val="13"/>
  </w:num>
  <w:num w:numId="31">
    <w:abstractNumId w:val="14"/>
  </w:num>
  <w:num w:numId="32">
    <w:abstractNumId w:val="33"/>
  </w:num>
  <w:num w:numId="33">
    <w:abstractNumId w:val="27"/>
  </w:num>
  <w:num w:numId="34">
    <w:abstractNumId w:val="34"/>
  </w:num>
  <w:num w:numId="35">
    <w:abstractNumId w:val="29"/>
  </w:num>
  <w:num w:numId="36">
    <w:abstractNumId w:val="1"/>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useFELayout/>
  </w:compat>
  <w:rsids>
    <w:rsidRoot w:val="00C04E2B"/>
    <w:rsid w:val="00000E26"/>
    <w:rsid w:val="000047D5"/>
    <w:rsid w:val="000148C2"/>
    <w:rsid w:val="000212D5"/>
    <w:rsid w:val="0002561F"/>
    <w:rsid w:val="00045DC6"/>
    <w:rsid w:val="000508A3"/>
    <w:rsid w:val="000539BE"/>
    <w:rsid w:val="00062324"/>
    <w:rsid w:val="000631AF"/>
    <w:rsid w:val="00074000"/>
    <w:rsid w:val="00075DC1"/>
    <w:rsid w:val="00080A07"/>
    <w:rsid w:val="000B3E3B"/>
    <w:rsid w:val="000B5596"/>
    <w:rsid w:val="000C558A"/>
    <w:rsid w:val="000D3559"/>
    <w:rsid w:val="000D4D3D"/>
    <w:rsid w:val="000D519C"/>
    <w:rsid w:val="000D553B"/>
    <w:rsid w:val="000D568A"/>
    <w:rsid w:val="000F10A2"/>
    <w:rsid w:val="00106371"/>
    <w:rsid w:val="001116DB"/>
    <w:rsid w:val="00122E15"/>
    <w:rsid w:val="0012453D"/>
    <w:rsid w:val="001340C7"/>
    <w:rsid w:val="00146B28"/>
    <w:rsid w:val="00164F2B"/>
    <w:rsid w:val="0017064F"/>
    <w:rsid w:val="00182836"/>
    <w:rsid w:val="00196D2A"/>
    <w:rsid w:val="001C7C41"/>
    <w:rsid w:val="001E0815"/>
    <w:rsid w:val="001F3BB6"/>
    <w:rsid w:val="001F6FA9"/>
    <w:rsid w:val="0023562D"/>
    <w:rsid w:val="0024784B"/>
    <w:rsid w:val="00251492"/>
    <w:rsid w:val="00267E9F"/>
    <w:rsid w:val="00270A87"/>
    <w:rsid w:val="0027564A"/>
    <w:rsid w:val="00287334"/>
    <w:rsid w:val="00293ACF"/>
    <w:rsid w:val="002A4CD4"/>
    <w:rsid w:val="002B3B08"/>
    <w:rsid w:val="002B4110"/>
    <w:rsid w:val="002B76DD"/>
    <w:rsid w:val="002C325F"/>
    <w:rsid w:val="002C4DEE"/>
    <w:rsid w:val="002D3049"/>
    <w:rsid w:val="002D5F8B"/>
    <w:rsid w:val="002F0617"/>
    <w:rsid w:val="00330F73"/>
    <w:rsid w:val="00333F1F"/>
    <w:rsid w:val="00350D39"/>
    <w:rsid w:val="00364C77"/>
    <w:rsid w:val="003732D1"/>
    <w:rsid w:val="003735BF"/>
    <w:rsid w:val="003826F9"/>
    <w:rsid w:val="003A37BB"/>
    <w:rsid w:val="003B5674"/>
    <w:rsid w:val="003E140C"/>
    <w:rsid w:val="003F0839"/>
    <w:rsid w:val="00400A7C"/>
    <w:rsid w:val="00402CF1"/>
    <w:rsid w:val="00403BF0"/>
    <w:rsid w:val="00406DA6"/>
    <w:rsid w:val="004315CF"/>
    <w:rsid w:val="00435176"/>
    <w:rsid w:val="004452EB"/>
    <w:rsid w:val="004A20DF"/>
    <w:rsid w:val="004C4D3C"/>
    <w:rsid w:val="004E0A0E"/>
    <w:rsid w:val="004E335B"/>
    <w:rsid w:val="004E7473"/>
    <w:rsid w:val="004F20D3"/>
    <w:rsid w:val="00507E73"/>
    <w:rsid w:val="00515325"/>
    <w:rsid w:val="0052405C"/>
    <w:rsid w:val="00567C4E"/>
    <w:rsid w:val="00575AB0"/>
    <w:rsid w:val="00575AD8"/>
    <w:rsid w:val="00576B80"/>
    <w:rsid w:val="00582BCC"/>
    <w:rsid w:val="00587BFF"/>
    <w:rsid w:val="0059446E"/>
    <w:rsid w:val="00595452"/>
    <w:rsid w:val="0059613D"/>
    <w:rsid w:val="005A4B24"/>
    <w:rsid w:val="005A5DDD"/>
    <w:rsid w:val="005B2C61"/>
    <w:rsid w:val="005B32AF"/>
    <w:rsid w:val="005C6E79"/>
    <w:rsid w:val="005D2B60"/>
    <w:rsid w:val="00637467"/>
    <w:rsid w:val="00647B44"/>
    <w:rsid w:val="00690A9E"/>
    <w:rsid w:val="00694BEC"/>
    <w:rsid w:val="006A6C66"/>
    <w:rsid w:val="006B3FB5"/>
    <w:rsid w:val="006D1FFC"/>
    <w:rsid w:val="006E0243"/>
    <w:rsid w:val="006E1995"/>
    <w:rsid w:val="006E3CBE"/>
    <w:rsid w:val="0071001A"/>
    <w:rsid w:val="00720D82"/>
    <w:rsid w:val="007272D9"/>
    <w:rsid w:val="00740856"/>
    <w:rsid w:val="00750502"/>
    <w:rsid w:val="0075673F"/>
    <w:rsid w:val="00763DF6"/>
    <w:rsid w:val="00766078"/>
    <w:rsid w:val="00781FD0"/>
    <w:rsid w:val="00785F76"/>
    <w:rsid w:val="00795B7A"/>
    <w:rsid w:val="00797912"/>
    <w:rsid w:val="007A00E6"/>
    <w:rsid w:val="007C7522"/>
    <w:rsid w:val="007D3D42"/>
    <w:rsid w:val="007D4D31"/>
    <w:rsid w:val="007E2D7D"/>
    <w:rsid w:val="007F574A"/>
    <w:rsid w:val="008069C6"/>
    <w:rsid w:val="008119DE"/>
    <w:rsid w:val="008335AF"/>
    <w:rsid w:val="00863FEB"/>
    <w:rsid w:val="00877E4B"/>
    <w:rsid w:val="00892A03"/>
    <w:rsid w:val="00892DEA"/>
    <w:rsid w:val="008A053C"/>
    <w:rsid w:val="008A2BCF"/>
    <w:rsid w:val="008E1449"/>
    <w:rsid w:val="008E678E"/>
    <w:rsid w:val="00906A06"/>
    <w:rsid w:val="009168BA"/>
    <w:rsid w:val="00954415"/>
    <w:rsid w:val="00955FBD"/>
    <w:rsid w:val="00967FC7"/>
    <w:rsid w:val="00973322"/>
    <w:rsid w:val="009745B2"/>
    <w:rsid w:val="00975A39"/>
    <w:rsid w:val="00977E89"/>
    <w:rsid w:val="00987B33"/>
    <w:rsid w:val="0099227E"/>
    <w:rsid w:val="009B7DA6"/>
    <w:rsid w:val="009C7D7D"/>
    <w:rsid w:val="009D6667"/>
    <w:rsid w:val="009D7686"/>
    <w:rsid w:val="009E20F6"/>
    <w:rsid w:val="009E4478"/>
    <w:rsid w:val="00A10BE7"/>
    <w:rsid w:val="00A42E17"/>
    <w:rsid w:val="00A54219"/>
    <w:rsid w:val="00A63773"/>
    <w:rsid w:val="00A657BE"/>
    <w:rsid w:val="00A72D6E"/>
    <w:rsid w:val="00A752CC"/>
    <w:rsid w:val="00A84DD2"/>
    <w:rsid w:val="00A85ECF"/>
    <w:rsid w:val="00A91171"/>
    <w:rsid w:val="00A947AC"/>
    <w:rsid w:val="00A96190"/>
    <w:rsid w:val="00AA3E18"/>
    <w:rsid w:val="00AA52EC"/>
    <w:rsid w:val="00AD2BBF"/>
    <w:rsid w:val="00AF4425"/>
    <w:rsid w:val="00B232D1"/>
    <w:rsid w:val="00B53B6F"/>
    <w:rsid w:val="00B577B5"/>
    <w:rsid w:val="00B634F1"/>
    <w:rsid w:val="00B745D0"/>
    <w:rsid w:val="00B77456"/>
    <w:rsid w:val="00B77C3D"/>
    <w:rsid w:val="00B82528"/>
    <w:rsid w:val="00B938DB"/>
    <w:rsid w:val="00BA1B09"/>
    <w:rsid w:val="00BC2A10"/>
    <w:rsid w:val="00BD5A4B"/>
    <w:rsid w:val="00BE20CC"/>
    <w:rsid w:val="00BF0A55"/>
    <w:rsid w:val="00C04E2B"/>
    <w:rsid w:val="00C15BB6"/>
    <w:rsid w:val="00C16795"/>
    <w:rsid w:val="00C512C0"/>
    <w:rsid w:val="00C5476E"/>
    <w:rsid w:val="00C60369"/>
    <w:rsid w:val="00C6130E"/>
    <w:rsid w:val="00CA037B"/>
    <w:rsid w:val="00CA08D7"/>
    <w:rsid w:val="00CA4BEB"/>
    <w:rsid w:val="00CA5726"/>
    <w:rsid w:val="00CA7FD9"/>
    <w:rsid w:val="00CC1DDD"/>
    <w:rsid w:val="00CC6F4F"/>
    <w:rsid w:val="00CD2B67"/>
    <w:rsid w:val="00CD64AC"/>
    <w:rsid w:val="00CD755F"/>
    <w:rsid w:val="00CE42C4"/>
    <w:rsid w:val="00CF3529"/>
    <w:rsid w:val="00D02F90"/>
    <w:rsid w:val="00D06841"/>
    <w:rsid w:val="00D10409"/>
    <w:rsid w:val="00D26FA8"/>
    <w:rsid w:val="00D62A4D"/>
    <w:rsid w:val="00D67552"/>
    <w:rsid w:val="00D74717"/>
    <w:rsid w:val="00DA21DE"/>
    <w:rsid w:val="00DA44A4"/>
    <w:rsid w:val="00DA7D63"/>
    <w:rsid w:val="00DC493E"/>
    <w:rsid w:val="00DC4EA8"/>
    <w:rsid w:val="00DC6685"/>
    <w:rsid w:val="00DF181A"/>
    <w:rsid w:val="00DF4E4C"/>
    <w:rsid w:val="00E023B8"/>
    <w:rsid w:val="00E22104"/>
    <w:rsid w:val="00E41FA3"/>
    <w:rsid w:val="00E54E02"/>
    <w:rsid w:val="00E87DF2"/>
    <w:rsid w:val="00E92244"/>
    <w:rsid w:val="00E924A1"/>
    <w:rsid w:val="00E942FD"/>
    <w:rsid w:val="00E9617C"/>
    <w:rsid w:val="00E962BF"/>
    <w:rsid w:val="00EC3149"/>
    <w:rsid w:val="00EC46D6"/>
    <w:rsid w:val="00EC49C3"/>
    <w:rsid w:val="00EC4D4D"/>
    <w:rsid w:val="00EC600B"/>
    <w:rsid w:val="00EC7723"/>
    <w:rsid w:val="00ED5B09"/>
    <w:rsid w:val="00EE30AF"/>
    <w:rsid w:val="00EE7D9B"/>
    <w:rsid w:val="00EF25BB"/>
    <w:rsid w:val="00F16FD3"/>
    <w:rsid w:val="00F22321"/>
    <w:rsid w:val="00F24049"/>
    <w:rsid w:val="00F26D47"/>
    <w:rsid w:val="00F31415"/>
    <w:rsid w:val="00F3235E"/>
    <w:rsid w:val="00F418B7"/>
    <w:rsid w:val="00F52A68"/>
    <w:rsid w:val="00F56EE6"/>
    <w:rsid w:val="00F708FC"/>
    <w:rsid w:val="00F91292"/>
    <w:rsid w:val="00F97AD4"/>
    <w:rsid w:val="00FA021F"/>
    <w:rsid w:val="00FA04E4"/>
    <w:rsid w:val="00FB1541"/>
    <w:rsid w:val="00FC10F2"/>
    <w:rsid w:val="00FC4958"/>
    <w:rsid w:val="00FC72B1"/>
    <w:rsid w:val="00FE063D"/>
    <w:rsid w:val="00FE5946"/>
    <w:rsid w:val="00FE6A9C"/>
    <w:rsid w:val="00FF30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78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863FEB"/>
    <w:pPr>
      <w:spacing w:after="0" w:line="240" w:lineRule="auto"/>
    </w:pPr>
  </w:style>
  <w:style w:type="table" w:styleId="TableGrid">
    <w:name w:val="Table Grid"/>
    <w:basedOn w:val="TableNormal"/>
    <w:uiPriority w:val="59"/>
    <w:rsid w:val="00A42E1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42E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E17"/>
    <w:rPr>
      <w:rFonts w:ascii="Tahoma" w:hAnsi="Tahoma" w:cs="Tahoma"/>
      <w:sz w:val="16"/>
      <w:szCs w:val="16"/>
    </w:rPr>
  </w:style>
  <w:style w:type="paragraph" w:customStyle="1" w:styleId="Default">
    <w:name w:val="Default"/>
    <w:rsid w:val="00A42E1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272D9"/>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72D9"/>
  </w:style>
  <w:style w:type="paragraph" w:styleId="Footer">
    <w:name w:val="footer"/>
    <w:basedOn w:val="Normal"/>
    <w:link w:val="FooterChar"/>
    <w:uiPriority w:val="99"/>
    <w:unhideWhenUsed/>
    <w:rsid w:val="007272D9"/>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72D9"/>
  </w:style>
  <w:style w:type="paragraph" w:styleId="ListParagraph">
    <w:name w:val="List Paragraph"/>
    <w:basedOn w:val="Normal"/>
    <w:uiPriority w:val="34"/>
    <w:qFormat/>
    <w:rsid w:val="0027564A"/>
    <w:pPr>
      <w:ind w:left="720"/>
      <w:contextualSpacing/>
    </w:pPr>
  </w:style>
  <w:style w:type="character" w:customStyle="1" w:styleId="referencesnote">
    <w:name w:val="references__note"/>
    <w:basedOn w:val="DefaultParagraphFont"/>
    <w:rsid w:val="0024784B"/>
  </w:style>
  <w:style w:type="character" w:customStyle="1" w:styleId="referencesauthors">
    <w:name w:val="references__authors"/>
    <w:basedOn w:val="DefaultParagraphFont"/>
    <w:rsid w:val="0024784B"/>
  </w:style>
  <w:style w:type="character" w:customStyle="1" w:styleId="referencesauthorsothers">
    <w:name w:val="references__authors__others"/>
    <w:basedOn w:val="DefaultParagraphFont"/>
    <w:rsid w:val="0024784B"/>
  </w:style>
  <w:style w:type="character" w:customStyle="1" w:styleId="referencesarticle-title">
    <w:name w:val="references__article-title"/>
    <w:basedOn w:val="DefaultParagraphFont"/>
    <w:rsid w:val="0024784B"/>
  </w:style>
  <w:style w:type="character" w:styleId="Strong">
    <w:name w:val="Strong"/>
    <w:basedOn w:val="DefaultParagraphFont"/>
    <w:uiPriority w:val="22"/>
    <w:qFormat/>
    <w:rsid w:val="0024784B"/>
    <w:rPr>
      <w:b/>
      <w:bCs/>
    </w:rPr>
  </w:style>
  <w:style w:type="character" w:customStyle="1" w:styleId="referencesyear">
    <w:name w:val="references__year"/>
    <w:basedOn w:val="DefaultParagraphFont"/>
    <w:rsid w:val="0024784B"/>
  </w:style>
  <w:style w:type="character" w:styleId="Hyperlink">
    <w:name w:val="Hyperlink"/>
    <w:basedOn w:val="DefaultParagraphFont"/>
    <w:uiPriority w:val="99"/>
    <w:unhideWhenUsed/>
    <w:rsid w:val="007408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78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863FEB"/>
    <w:pPr>
      <w:spacing w:after="0" w:line="240" w:lineRule="auto"/>
    </w:pPr>
  </w:style>
  <w:style w:type="table" w:styleId="TableGrid">
    <w:name w:val="Table Grid"/>
    <w:basedOn w:val="TableNormal"/>
    <w:uiPriority w:val="59"/>
    <w:rsid w:val="00A42E1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42E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E17"/>
    <w:rPr>
      <w:rFonts w:ascii="Tahoma" w:hAnsi="Tahoma" w:cs="Tahoma"/>
      <w:sz w:val="16"/>
      <w:szCs w:val="16"/>
    </w:rPr>
  </w:style>
  <w:style w:type="paragraph" w:customStyle="1" w:styleId="Default">
    <w:name w:val="Default"/>
    <w:rsid w:val="00A42E1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272D9"/>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72D9"/>
  </w:style>
  <w:style w:type="paragraph" w:styleId="Footer">
    <w:name w:val="footer"/>
    <w:basedOn w:val="Normal"/>
    <w:link w:val="FooterChar"/>
    <w:uiPriority w:val="99"/>
    <w:unhideWhenUsed/>
    <w:rsid w:val="007272D9"/>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72D9"/>
  </w:style>
  <w:style w:type="paragraph" w:styleId="ListParagraph">
    <w:name w:val="List Paragraph"/>
    <w:basedOn w:val="Normal"/>
    <w:uiPriority w:val="34"/>
    <w:qFormat/>
    <w:rsid w:val="0027564A"/>
    <w:pPr>
      <w:ind w:left="720"/>
      <w:contextualSpacing/>
    </w:pPr>
  </w:style>
  <w:style w:type="character" w:customStyle="1" w:styleId="referencesnote">
    <w:name w:val="references__note"/>
    <w:basedOn w:val="DefaultParagraphFont"/>
    <w:rsid w:val="0024784B"/>
  </w:style>
  <w:style w:type="character" w:customStyle="1" w:styleId="referencesauthors">
    <w:name w:val="references__authors"/>
    <w:basedOn w:val="DefaultParagraphFont"/>
    <w:rsid w:val="0024784B"/>
  </w:style>
  <w:style w:type="character" w:customStyle="1" w:styleId="referencesauthorsothers">
    <w:name w:val="references__authors__others"/>
    <w:basedOn w:val="DefaultParagraphFont"/>
    <w:rsid w:val="0024784B"/>
  </w:style>
  <w:style w:type="character" w:customStyle="1" w:styleId="referencesarticle-title">
    <w:name w:val="references__article-title"/>
    <w:basedOn w:val="DefaultParagraphFont"/>
    <w:rsid w:val="0024784B"/>
  </w:style>
  <w:style w:type="character" w:styleId="Strong">
    <w:name w:val="Strong"/>
    <w:basedOn w:val="DefaultParagraphFont"/>
    <w:uiPriority w:val="22"/>
    <w:qFormat/>
    <w:rsid w:val="0024784B"/>
    <w:rPr>
      <w:b/>
      <w:bCs/>
    </w:rPr>
  </w:style>
  <w:style w:type="character" w:customStyle="1" w:styleId="referencesyear">
    <w:name w:val="references__year"/>
    <w:basedOn w:val="DefaultParagraphFont"/>
    <w:rsid w:val="0024784B"/>
  </w:style>
</w:styles>
</file>

<file path=word/webSettings.xml><?xml version="1.0" encoding="utf-8"?>
<w:webSettings xmlns:r="http://schemas.openxmlformats.org/officeDocument/2006/relationships" xmlns:w="http://schemas.openxmlformats.org/wordprocessingml/2006/main">
  <w:divs>
    <w:div w:id="133067973">
      <w:bodyDiv w:val="1"/>
      <w:marLeft w:val="0"/>
      <w:marRight w:val="0"/>
      <w:marTop w:val="0"/>
      <w:marBottom w:val="0"/>
      <w:divBdr>
        <w:top w:val="none" w:sz="0" w:space="0" w:color="auto"/>
        <w:left w:val="none" w:sz="0" w:space="0" w:color="auto"/>
        <w:bottom w:val="none" w:sz="0" w:space="0" w:color="auto"/>
        <w:right w:val="none" w:sz="0" w:space="0" w:color="auto"/>
      </w:divBdr>
      <w:divsChild>
        <w:div w:id="731468933">
          <w:marLeft w:val="0"/>
          <w:marRight w:val="0"/>
          <w:marTop w:val="0"/>
          <w:marBottom w:val="0"/>
          <w:divBdr>
            <w:top w:val="none" w:sz="0" w:space="0" w:color="auto"/>
            <w:left w:val="none" w:sz="0" w:space="0" w:color="auto"/>
            <w:bottom w:val="none" w:sz="0" w:space="0" w:color="auto"/>
            <w:right w:val="none" w:sz="0" w:space="0" w:color="auto"/>
          </w:divBdr>
        </w:div>
      </w:divsChild>
    </w:div>
    <w:div w:id="184439051">
      <w:bodyDiv w:val="1"/>
      <w:marLeft w:val="0"/>
      <w:marRight w:val="0"/>
      <w:marTop w:val="0"/>
      <w:marBottom w:val="0"/>
      <w:divBdr>
        <w:top w:val="none" w:sz="0" w:space="0" w:color="auto"/>
        <w:left w:val="none" w:sz="0" w:space="0" w:color="auto"/>
        <w:bottom w:val="none" w:sz="0" w:space="0" w:color="auto"/>
        <w:right w:val="none" w:sz="0" w:space="0" w:color="auto"/>
      </w:divBdr>
    </w:div>
    <w:div w:id="258493240">
      <w:bodyDiv w:val="1"/>
      <w:marLeft w:val="0"/>
      <w:marRight w:val="0"/>
      <w:marTop w:val="0"/>
      <w:marBottom w:val="0"/>
      <w:divBdr>
        <w:top w:val="none" w:sz="0" w:space="0" w:color="auto"/>
        <w:left w:val="none" w:sz="0" w:space="0" w:color="auto"/>
        <w:bottom w:val="none" w:sz="0" w:space="0" w:color="auto"/>
        <w:right w:val="none" w:sz="0" w:space="0" w:color="auto"/>
      </w:divBdr>
      <w:divsChild>
        <w:div w:id="320306956">
          <w:marLeft w:val="0"/>
          <w:marRight w:val="0"/>
          <w:marTop w:val="0"/>
          <w:marBottom w:val="0"/>
          <w:divBdr>
            <w:top w:val="none" w:sz="0" w:space="0" w:color="auto"/>
            <w:left w:val="none" w:sz="0" w:space="0" w:color="auto"/>
            <w:bottom w:val="none" w:sz="0" w:space="0" w:color="auto"/>
            <w:right w:val="none" w:sz="0" w:space="0" w:color="auto"/>
          </w:divBdr>
        </w:div>
      </w:divsChild>
    </w:div>
    <w:div w:id="340863172">
      <w:bodyDiv w:val="1"/>
      <w:marLeft w:val="0"/>
      <w:marRight w:val="0"/>
      <w:marTop w:val="0"/>
      <w:marBottom w:val="0"/>
      <w:divBdr>
        <w:top w:val="none" w:sz="0" w:space="0" w:color="auto"/>
        <w:left w:val="none" w:sz="0" w:space="0" w:color="auto"/>
        <w:bottom w:val="none" w:sz="0" w:space="0" w:color="auto"/>
        <w:right w:val="none" w:sz="0" w:space="0" w:color="auto"/>
      </w:divBdr>
      <w:divsChild>
        <w:div w:id="1349328288">
          <w:marLeft w:val="0"/>
          <w:marRight w:val="0"/>
          <w:marTop w:val="0"/>
          <w:marBottom w:val="0"/>
          <w:divBdr>
            <w:top w:val="none" w:sz="0" w:space="0" w:color="auto"/>
            <w:left w:val="none" w:sz="0" w:space="0" w:color="auto"/>
            <w:bottom w:val="none" w:sz="0" w:space="0" w:color="auto"/>
            <w:right w:val="none" w:sz="0" w:space="0" w:color="auto"/>
          </w:divBdr>
        </w:div>
      </w:divsChild>
    </w:div>
    <w:div w:id="698235808">
      <w:bodyDiv w:val="1"/>
      <w:marLeft w:val="0"/>
      <w:marRight w:val="0"/>
      <w:marTop w:val="0"/>
      <w:marBottom w:val="0"/>
      <w:divBdr>
        <w:top w:val="none" w:sz="0" w:space="0" w:color="auto"/>
        <w:left w:val="none" w:sz="0" w:space="0" w:color="auto"/>
        <w:bottom w:val="none" w:sz="0" w:space="0" w:color="auto"/>
        <w:right w:val="none" w:sz="0" w:space="0" w:color="auto"/>
      </w:divBdr>
      <w:divsChild>
        <w:div w:id="326635419">
          <w:marLeft w:val="0"/>
          <w:marRight w:val="0"/>
          <w:marTop w:val="0"/>
          <w:marBottom w:val="0"/>
          <w:divBdr>
            <w:top w:val="none" w:sz="0" w:space="0" w:color="auto"/>
            <w:left w:val="none" w:sz="0" w:space="0" w:color="auto"/>
            <w:bottom w:val="none" w:sz="0" w:space="0" w:color="auto"/>
            <w:right w:val="none" w:sz="0" w:space="0" w:color="auto"/>
          </w:divBdr>
        </w:div>
      </w:divsChild>
    </w:div>
    <w:div w:id="888610446">
      <w:bodyDiv w:val="1"/>
      <w:marLeft w:val="0"/>
      <w:marRight w:val="0"/>
      <w:marTop w:val="0"/>
      <w:marBottom w:val="0"/>
      <w:divBdr>
        <w:top w:val="none" w:sz="0" w:space="0" w:color="auto"/>
        <w:left w:val="none" w:sz="0" w:space="0" w:color="auto"/>
        <w:bottom w:val="none" w:sz="0" w:space="0" w:color="auto"/>
        <w:right w:val="none" w:sz="0" w:space="0" w:color="auto"/>
      </w:divBdr>
      <w:divsChild>
        <w:div w:id="1534268976">
          <w:marLeft w:val="0"/>
          <w:marRight w:val="0"/>
          <w:marTop w:val="0"/>
          <w:marBottom w:val="0"/>
          <w:divBdr>
            <w:top w:val="none" w:sz="0" w:space="0" w:color="auto"/>
            <w:left w:val="none" w:sz="0" w:space="0" w:color="auto"/>
            <w:bottom w:val="none" w:sz="0" w:space="0" w:color="auto"/>
            <w:right w:val="none" w:sz="0" w:space="0" w:color="auto"/>
          </w:divBdr>
        </w:div>
      </w:divsChild>
    </w:div>
    <w:div w:id="896283864">
      <w:bodyDiv w:val="1"/>
      <w:marLeft w:val="0"/>
      <w:marRight w:val="0"/>
      <w:marTop w:val="0"/>
      <w:marBottom w:val="0"/>
      <w:divBdr>
        <w:top w:val="none" w:sz="0" w:space="0" w:color="auto"/>
        <w:left w:val="none" w:sz="0" w:space="0" w:color="auto"/>
        <w:bottom w:val="none" w:sz="0" w:space="0" w:color="auto"/>
        <w:right w:val="none" w:sz="0" w:space="0" w:color="auto"/>
      </w:divBdr>
      <w:divsChild>
        <w:div w:id="1555578175">
          <w:marLeft w:val="0"/>
          <w:marRight w:val="0"/>
          <w:marTop w:val="0"/>
          <w:marBottom w:val="0"/>
          <w:divBdr>
            <w:top w:val="none" w:sz="0" w:space="0" w:color="auto"/>
            <w:left w:val="none" w:sz="0" w:space="0" w:color="auto"/>
            <w:bottom w:val="none" w:sz="0" w:space="0" w:color="auto"/>
            <w:right w:val="none" w:sz="0" w:space="0" w:color="auto"/>
          </w:divBdr>
        </w:div>
      </w:divsChild>
    </w:div>
    <w:div w:id="915629619">
      <w:bodyDiv w:val="1"/>
      <w:marLeft w:val="0"/>
      <w:marRight w:val="0"/>
      <w:marTop w:val="0"/>
      <w:marBottom w:val="0"/>
      <w:divBdr>
        <w:top w:val="none" w:sz="0" w:space="0" w:color="auto"/>
        <w:left w:val="none" w:sz="0" w:space="0" w:color="auto"/>
        <w:bottom w:val="none" w:sz="0" w:space="0" w:color="auto"/>
        <w:right w:val="none" w:sz="0" w:space="0" w:color="auto"/>
      </w:divBdr>
      <w:divsChild>
        <w:div w:id="1199665822">
          <w:marLeft w:val="0"/>
          <w:marRight w:val="0"/>
          <w:marTop w:val="0"/>
          <w:marBottom w:val="0"/>
          <w:divBdr>
            <w:top w:val="none" w:sz="0" w:space="0" w:color="auto"/>
            <w:left w:val="none" w:sz="0" w:space="0" w:color="auto"/>
            <w:bottom w:val="none" w:sz="0" w:space="0" w:color="auto"/>
            <w:right w:val="none" w:sz="0" w:space="0" w:color="auto"/>
          </w:divBdr>
        </w:div>
      </w:divsChild>
    </w:div>
    <w:div w:id="961380196">
      <w:bodyDiv w:val="1"/>
      <w:marLeft w:val="0"/>
      <w:marRight w:val="0"/>
      <w:marTop w:val="0"/>
      <w:marBottom w:val="0"/>
      <w:divBdr>
        <w:top w:val="none" w:sz="0" w:space="0" w:color="auto"/>
        <w:left w:val="none" w:sz="0" w:space="0" w:color="auto"/>
        <w:bottom w:val="none" w:sz="0" w:space="0" w:color="auto"/>
        <w:right w:val="none" w:sz="0" w:space="0" w:color="auto"/>
      </w:divBdr>
      <w:divsChild>
        <w:div w:id="1540586703">
          <w:marLeft w:val="0"/>
          <w:marRight w:val="0"/>
          <w:marTop w:val="0"/>
          <w:marBottom w:val="0"/>
          <w:divBdr>
            <w:top w:val="none" w:sz="0" w:space="0" w:color="auto"/>
            <w:left w:val="none" w:sz="0" w:space="0" w:color="auto"/>
            <w:bottom w:val="none" w:sz="0" w:space="0" w:color="auto"/>
            <w:right w:val="none" w:sz="0" w:space="0" w:color="auto"/>
          </w:divBdr>
        </w:div>
      </w:divsChild>
    </w:div>
    <w:div w:id="965501250">
      <w:bodyDiv w:val="1"/>
      <w:marLeft w:val="0"/>
      <w:marRight w:val="0"/>
      <w:marTop w:val="0"/>
      <w:marBottom w:val="0"/>
      <w:divBdr>
        <w:top w:val="none" w:sz="0" w:space="0" w:color="auto"/>
        <w:left w:val="none" w:sz="0" w:space="0" w:color="auto"/>
        <w:bottom w:val="none" w:sz="0" w:space="0" w:color="auto"/>
        <w:right w:val="none" w:sz="0" w:space="0" w:color="auto"/>
      </w:divBdr>
      <w:divsChild>
        <w:div w:id="1143159503">
          <w:marLeft w:val="0"/>
          <w:marRight w:val="0"/>
          <w:marTop w:val="0"/>
          <w:marBottom w:val="0"/>
          <w:divBdr>
            <w:top w:val="none" w:sz="0" w:space="0" w:color="auto"/>
            <w:left w:val="none" w:sz="0" w:space="0" w:color="auto"/>
            <w:bottom w:val="none" w:sz="0" w:space="0" w:color="auto"/>
            <w:right w:val="none" w:sz="0" w:space="0" w:color="auto"/>
          </w:divBdr>
        </w:div>
      </w:divsChild>
    </w:div>
    <w:div w:id="1033534045">
      <w:bodyDiv w:val="1"/>
      <w:marLeft w:val="0"/>
      <w:marRight w:val="0"/>
      <w:marTop w:val="0"/>
      <w:marBottom w:val="0"/>
      <w:divBdr>
        <w:top w:val="none" w:sz="0" w:space="0" w:color="auto"/>
        <w:left w:val="none" w:sz="0" w:space="0" w:color="auto"/>
        <w:bottom w:val="none" w:sz="0" w:space="0" w:color="auto"/>
        <w:right w:val="none" w:sz="0" w:space="0" w:color="auto"/>
      </w:divBdr>
      <w:divsChild>
        <w:div w:id="1564290253">
          <w:marLeft w:val="0"/>
          <w:marRight w:val="0"/>
          <w:marTop w:val="0"/>
          <w:marBottom w:val="0"/>
          <w:divBdr>
            <w:top w:val="none" w:sz="0" w:space="0" w:color="auto"/>
            <w:left w:val="none" w:sz="0" w:space="0" w:color="auto"/>
            <w:bottom w:val="none" w:sz="0" w:space="0" w:color="auto"/>
            <w:right w:val="none" w:sz="0" w:space="0" w:color="auto"/>
          </w:divBdr>
        </w:div>
      </w:divsChild>
    </w:div>
    <w:div w:id="1092319504">
      <w:bodyDiv w:val="1"/>
      <w:marLeft w:val="0"/>
      <w:marRight w:val="0"/>
      <w:marTop w:val="0"/>
      <w:marBottom w:val="0"/>
      <w:divBdr>
        <w:top w:val="none" w:sz="0" w:space="0" w:color="auto"/>
        <w:left w:val="none" w:sz="0" w:space="0" w:color="auto"/>
        <w:bottom w:val="none" w:sz="0" w:space="0" w:color="auto"/>
        <w:right w:val="none" w:sz="0" w:space="0" w:color="auto"/>
      </w:divBdr>
    </w:div>
    <w:div w:id="1130904530">
      <w:bodyDiv w:val="1"/>
      <w:marLeft w:val="0"/>
      <w:marRight w:val="0"/>
      <w:marTop w:val="0"/>
      <w:marBottom w:val="0"/>
      <w:divBdr>
        <w:top w:val="none" w:sz="0" w:space="0" w:color="auto"/>
        <w:left w:val="none" w:sz="0" w:space="0" w:color="auto"/>
        <w:bottom w:val="none" w:sz="0" w:space="0" w:color="auto"/>
        <w:right w:val="none" w:sz="0" w:space="0" w:color="auto"/>
      </w:divBdr>
    </w:div>
    <w:div w:id="1265727766">
      <w:bodyDiv w:val="1"/>
      <w:marLeft w:val="0"/>
      <w:marRight w:val="0"/>
      <w:marTop w:val="0"/>
      <w:marBottom w:val="0"/>
      <w:divBdr>
        <w:top w:val="none" w:sz="0" w:space="0" w:color="auto"/>
        <w:left w:val="none" w:sz="0" w:space="0" w:color="auto"/>
        <w:bottom w:val="none" w:sz="0" w:space="0" w:color="auto"/>
        <w:right w:val="none" w:sz="0" w:space="0" w:color="auto"/>
      </w:divBdr>
      <w:divsChild>
        <w:div w:id="1309896193">
          <w:marLeft w:val="0"/>
          <w:marRight w:val="0"/>
          <w:marTop w:val="0"/>
          <w:marBottom w:val="0"/>
          <w:divBdr>
            <w:top w:val="none" w:sz="0" w:space="0" w:color="auto"/>
            <w:left w:val="none" w:sz="0" w:space="0" w:color="auto"/>
            <w:bottom w:val="none" w:sz="0" w:space="0" w:color="auto"/>
            <w:right w:val="none" w:sz="0" w:space="0" w:color="auto"/>
          </w:divBdr>
        </w:div>
      </w:divsChild>
    </w:div>
    <w:div w:id="1690251170">
      <w:bodyDiv w:val="1"/>
      <w:marLeft w:val="0"/>
      <w:marRight w:val="0"/>
      <w:marTop w:val="0"/>
      <w:marBottom w:val="0"/>
      <w:divBdr>
        <w:top w:val="none" w:sz="0" w:space="0" w:color="auto"/>
        <w:left w:val="none" w:sz="0" w:space="0" w:color="auto"/>
        <w:bottom w:val="none" w:sz="0" w:space="0" w:color="auto"/>
        <w:right w:val="none" w:sz="0" w:space="0" w:color="auto"/>
      </w:divBdr>
      <w:divsChild>
        <w:div w:id="875122926">
          <w:marLeft w:val="0"/>
          <w:marRight w:val="0"/>
          <w:marTop w:val="0"/>
          <w:marBottom w:val="0"/>
          <w:divBdr>
            <w:top w:val="none" w:sz="0" w:space="0" w:color="auto"/>
            <w:left w:val="none" w:sz="0" w:space="0" w:color="auto"/>
            <w:bottom w:val="none" w:sz="0" w:space="0" w:color="auto"/>
            <w:right w:val="none" w:sz="0" w:space="0" w:color="auto"/>
          </w:divBdr>
        </w:div>
      </w:divsChild>
    </w:div>
    <w:div w:id="2134057123">
      <w:bodyDiv w:val="1"/>
      <w:marLeft w:val="0"/>
      <w:marRight w:val="0"/>
      <w:marTop w:val="0"/>
      <w:marBottom w:val="0"/>
      <w:divBdr>
        <w:top w:val="none" w:sz="0" w:space="0" w:color="auto"/>
        <w:left w:val="none" w:sz="0" w:space="0" w:color="auto"/>
        <w:bottom w:val="none" w:sz="0" w:space="0" w:color="auto"/>
        <w:right w:val="none" w:sz="0" w:space="0" w:color="auto"/>
      </w:divBdr>
      <w:divsChild>
        <w:div w:id="751853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mahmoudomar25@gmail.com" TargetMode="External"/><Relationship Id="rId13" Type="http://schemas.openxmlformats.org/officeDocument/2006/relationships/image" Target="media/image1.jpeg"/><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2.emf"/><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11.emf"/><Relationship Id="rId10" Type="http://schemas.openxmlformats.org/officeDocument/2006/relationships/hyperlink" Target="http://www.dx.doi.org/10.7537/marsnys120819.02" TargetMode="External"/><Relationship Id="rId19" Type="http://schemas.openxmlformats.org/officeDocument/2006/relationships/image" Target="media/image7.emf"/><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2.emf"/><Relationship Id="rId22" Type="http://schemas.openxmlformats.org/officeDocument/2006/relationships/image" Target="media/image10.e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2F76F-85AC-4C34-97DA-F43F60E17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4435</Words>
  <Characters>25280</Characters>
  <Application>Microsoft Office Word</Application>
  <DocSecurity>0</DocSecurity>
  <Lines>210</Lines>
  <Paragraphs>59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Sky123.Org</Company>
  <LinksUpToDate>false</LinksUpToDate>
  <CharactersWithSpaces>29656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dc:creator>
  <cp:lastModifiedBy>Administrator</cp:lastModifiedBy>
  <cp:revision>3</cp:revision>
  <cp:lastPrinted>2019-07-25T06:27:00Z</cp:lastPrinted>
  <dcterms:created xsi:type="dcterms:W3CDTF">2019-07-26T14:05:00Z</dcterms:created>
  <dcterms:modified xsi:type="dcterms:W3CDTF">2019-07-26T23:32:00Z</dcterms:modified>
</cp:coreProperties>
</file>