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F47" w:rsidRPr="008047D3" w:rsidRDefault="006F4997" w:rsidP="00657BEC">
      <w:pPr>
        <w:snapToGrid w:val="0"/>
        <w:spacing w:after="0" w:line="240" w:lineRule="auto"/>
        <w:jc w:val="center"/>
        <w:rPr>
          <w:rFonts w:ascii="Times New Roman" w:hAnsi="Times New Roman" w:cs="Times New Roman"/>
          <w:b/>
          <w:sz w:val="20"/>
          <w:szCs w:val="20"/>
          <w:lang w:bidi="ar-EG"/>
        </w:rPr>
      </w:pPr>
      <w:r w:rsidRPr="008047D3">
        <w:rPr>
          <w:rFonts w:ascii="Times New Roman" w:hAnsi="Times New Roman" w:cs="Times New Roman"/>
          <w:b/>
          <w:bCs/>
          <w:sz w:val="20"/>
          <w:szCs w:val="20"/>
          <w:lang w:bidi="ar-EG"/>
        </w:rPr>
        <w:t>Association of Peripheral Nesfatin-1 with Early Stage Diabetic Nephropathy</w:t>
      </w:r>
    </w:p>
    <w:p w:rsidR="00310F47" w:rsidRPr="008047D3" w:rsidRDefault="00310F47" w:rsidP="00657BEC">
      <w:pPr>
        <w:snapToGrid w:val="0"/>
        <w:spacing w:after="0" w:line="240" w:lineRule="auto"/>
        <w:jc w:val="center"/>
        <w:rPr>
          <w:rFonts w:ascii="Times New Roman" w:hAnsi="Times New Roman" w:cs="Times New Roman"/>
          <w:sz w:val="20"/>
          <w:szCs w:val="20"/>
          <w:lang w:bidi="ar-EG"/>
        </w:rPr>
      </w:pPr>
    </w:p>
    <w:p w:rsidR="00310F47" w:rsidRPr="008047D3" w:rsidRDefault="006F4997" w:rsidP="00657BEC">
      <w:pPr>
        <w:snapToGrid w:val="0"/>
        <w:spacing w:after="0" w:line="240" w:lineRule="auto"/>
        <w:jc w:val="center"/>
        <w:rPr>
          <w:rFonts w:ascii="Times New Roman" w:hAnsi="Times New Roman" w:cs="Times New Roman"/>
          <w:sz w:val="20"/>
          <w:szCs w:val="20"/>
          <w:vertAlign w:val="superscript"/>
          <w:lang w:eastAsia="zh-CN"/>
        </w:rPr>
      </w:pPr>
      <w:r w:rsidRPr="008047D3">
        <w:rPr>
          <w:rFonts w:ascii="Times New Roman" w:hAnsi="Times New Roman" w:cs="Times New Roman"/>
          <w:sz w:val="20"/>
          <w:szCs w:val="20"/>
        </w:rPr>
        <w:t>Prof. Dr. Atef Mohamed Taha, Prof</w:t>
      </w:r>
      <w:r w:rsidRPr="008047D3">
        <w:rPr>
          <w:rFonts w:ascii="Times New Roman" w:hAnsi="Times New Roman" w:cs="Times New Roman"/>
          <w:sz w:val="20"/>
          <w:szCs w:val="20"/>
          <w:vertAlign w:val="superscript"/>
        </w:rPr>
        <w:t>1</w:t>
      </w:r>
      <w:r w:rsidRPr="008047D3">
        <w:rPr>
          <w:rFonts w:ascii="Times New Roman" w:hAnsi="Times New Roman" w:cs="Times New Roman"/>
          <w:sz w:val="20"/>
          <w:szCs w:val="20"/>
        </w:rPr>
        <w:t>. Dr.</w:t>
      </w:r>
      <w:r w:rsidR="008047D3" w:rsidRPr="008047D3">
        <w:rPr>
          <w:rFonts w:ascii="Times New Roman" w:hAnsi="Times New Roman" w:cs="Times New Roman" w:hint="eastAsia"/>
          <w:sz w:val="20"/>
          <w:szCs w:val="20"/>
          <w:lang w:eastAsia="zh-CN"/>
        </w:rPr>
        <w:t xml:space="preserve"> </w:t>
      </w:r>
      <w:r w:rsidRPr="008047D3">
        <w:rPr>
          <w:rFonts w:ascii="Times New Roman" w:hAnsi="Times New Roman" w:cs="Times New Roman"/>
          <w:sz w:val="20"/>
          <w:szCs w:val="20"/>
        </w:rPr>
        <w:t>Amal</w:t>
      </w:r>
      <w:r w:rsidR="001B4234" w:rsidRPr="008047D3">
        <w:rPr>
          <w:rFonts w:ascii="Times New Roman" w:hAnsi="Times New Roman" w:cs="Times New Roman"/>
          <w:sz w:val="20"/>
          <w:szCs w:val="20"/>
          <w:lang w:eastAsia="zh-CN"/>
        </w:rPr>
        <w:t xml:space="preserve"> </w:t>
      </w:r>
      <w:r w:rsidRPr="008047D3">
        <w:rPr>
          <w:rFonts w:ascii="Times New Roman" w:hAnsi="Times New Roman" w:cs="Times New Roman"/>
          <w:sz w:val="20"/>
          <w:szCs w:val="20"/>
        </w:rPr>
        <w:t>Saeed</w:t>
      </w:r>
      <w:r w:rsidR="001B4234" w:rsidRPr="008047D3">
        <w:rPr>
          <w:rFonts w:ascii="Times New Roman" w:hAnsi="Times New Roman" w:cs="Times New Roman"/>
          <w:sz w:val="20"/>
          <w:szCs w:val="20"/>
          <w:lang w:eastAsia="zh-CN"/>
        </w:rPr>
        <w:t xml:space="preserve"> </w:t>
      </w:r>
      <w:r w:rsidRPr="008047D3">
        <w:rPr>
          <w:rFonts w:ascii="Times New Roman" w:hAnsi="Times New Roman" w:cs="Times New Roman"/>
          <w:sz w:val="20"/>
          <w:szCs w:val="20"/>
        </w:rPr>
        <w:t>El</w:t>
      </w:r>
      <w:r w:rsidR="001B4234" w:rsidRPr="008047D3">
        <w:rPr>
          <w:rFonts w:ascii="Times New Roman" w:hAnsi="Times New Roman" w:cs="Times New Roman"/>
          <w:sz w:val="20"/>
          <w:szCs w:val="20"/>
          <w:lang w:eastAsia="zh-CN"/>
        </w:rPr>
        <w:t xml:space="preserve"> </w:t>
      </w:r>
      <w:r w:rsidRPr="008047D3">
        <w:rPr>
          <w:rFonts w:ascii="Times New Roman" w:hAnsi="Times New Roman" w:cs="Times New Roman"/>
          <w:sz w:val="20"/>
          <w:szCs w:val="20"/>
        </w:rPr>
        <w:t>bendary</w:t>
      </w:r>
      <w:r w:rsidRPr="008047D3">
        <w:rPr>
          <w:rFonts w:ascii="Times New Roman" w:hAnsi="Times New Roman" w:cs="Times New Roman"/>
          <w:sz w:val="20"/>
          <w:szCs w:val="20"/>
          <w:vertAlign w:val="superscript"/>
        </w:rPr>
        <w:t>2</w:t>
      </w:r>
      <w:r w:rsidRPr="008047D3">
        <w:rPr>
          <w:rFonts w:ascii="Times New Roman" w:hAnsi="Times New Roman" w:cs="Times New Roman"/>
          <w:sz w:val="20"/>
          <w:szCs w:val="20"/>
        </w:rPr>
        <w:t>, Dr. Amal</w:t>
      </w:r>
      <w:r w:rsidR="001B4234" w:rsidRPr="008047D3">
        <w:rPr>
          <w:rFonts w:ascii="Times New Roman" w:hAnsi="Times New Roman" w:cs="Times New Roman"/>
          <w:sz w:val="20"/>
          <w:szCs w:val="20"/>
          <w:lang w:eastAsia="zh-CN"/>
        </w:rPr>
        <w:t xml:space="preserve"> </w:t>
      </w:r>
      <w:r w:rsidRPr="008047D3">
        <w:rPr>
          <w:rFonts w:ascii="Times New Roman" w:hAnsi="Times New Roman" w:cs="Times New Roman"/>
          <w:sz w:val="20"/>
          <w:szCs w:val="20"/>
        </w:rPr>
        <w:t>Abd El Moniem</w:t>
      </w:r>
      <w:r w:rsidR="001B4234" w:rsidRPr="008047D3">
        <w:rPr>
          <w:rFonts w:ascii="Times New Roman" w:hAnsi="Times New Roman" w:cs="Times New Roman"/>
          <w:sz w:val="20"/>
          <w:szCs w:val="20"/>
          <w:lang w:eastAsia="zh-CN"/>
        </w:rPr>
        <w:t xml:space="preserve"> </w:t>
      </w:r>
      <w:r w:rsidRPr="008047D3">
        <w:rPr>
          <w:rFonts w:ascii="Times New Roman" w:hAnsi="Times New Roman" w:cs="Times New Roman"/>
          <w:sz w:val="20"/>
          <w:szCs w:val="20"/>
        </w:rPr>
        <w:t>Selim</w:t>
      </w:r>
      <w:r w:rsidRPr="008047D3">
        <w:rPr>
          <w:rFonts w:ascii="Times New Roman" w:hAnsi="Times New Roman" w:cs="Times New Roman"/>
          <w:sz w:val="20"/>
          <w:szCs w:val="20"/>
          <w:vertAlign w:val="superscript"/>
        </w:rPr>
        <w:t>1</w:t>
      </w:r>
      <w:r w:rsidRPr="008047D3">
        <w:rPr>
          <w:rFonts w:ascii="Times New Roman" w:hAnsi="Times New Roman" w:cs="Times New Roman"/>
          <w:sz w:val="20"/>
          <w:szCs w:val="20"/>
        </w:rPr>
        <w:t xml:space="preserve"> and Sherif Mohamed Taher</w:t>
      </w:r>
      <w:r w:rsidR="00742C0E" w:rsidRPr="008047D3">
        <w:rPr>
          <w:rFonts w:ascii="Times New Roman" w:hAnsi="Times New Roman" w:cs="Times New Roman"/>
          <w:sz w:val="20"/>
          <w:szCs w:val="20"/>
          <w:vertAlign w:val="superscript"/>
        </w:rPr>
        <w:t>1</w:t>
      </w:r>
    </w:p>
    <w:p w:rsidR="00310F47" w:rsidRPr="008047D3" w:rsidRDefault="00310F47" w:rsidP="00657BEC">
      <w:pPr>
        <w:snapToGrid w:val="0"/>
        <w:spacing w:after="0" w:line="240" w:lineRule="auto"/>
        <w:jc w:val="center"/>
        <w:rPr>
          <w:rFonts w:ascii="Times New Roman" w:hAnsi="Times New Roman" w:cs="Times New Roman"/>
          <w:sz w:val="20"/>
          <w:szCs w:val="20"/>
          <w:vertAlign w:val="superscript"/>
          <w:lang w:eastAsia="zh-CN"/>
        </w:rPr>
      </w:pPr>
    </w:p>
    <w:p w:rsidR="006F4997" w:rsidRPr="008047D3" w:rsidRDefault="006F4997" w:rsidP="00657BEC">
      <w:pPr>
        <w:snapToGrid w:val="0"/>
        <w:spacing w:after="0" w:line="240" w:lineRule="auto"/>
        <w:jc w:val="center"/>
        <w:rPr>
          <w:rFonts w:ascii="Times New Roman" w:hAnsi="Times New Roman" w:cs="Times New Roman"/>
          <w:sz w:val="20"/>
          <w:szCs w:val="20"/>
        </w:rPr>
      </w:pPr>
      <w:r w:rsidRPr="008047D3">
        <w:rPr>
          <w:rFonts w:ascii="Times New Roman" w:hAnsi="Times New Roman" w:cs="Times New Roman"/>
          <w:sz w:val="20"/>
          <w:szCs w:val="20"/>
          <w:vertAlign w:val="superscript"/>
        </w:rPr>
        <w:t>1</w:t>
      </w:r>
      <w:r w:rsidRPr="008047D3">
        <w:rPr>
          <w:rFonts w:ascii="Times New Roman" w:hAnsi="Times New Roman" w:cs="Times New Roman"/>
          <w:sz w:val="20"/>
          <w:szCs w:val="20"/>
        </w:rPr>
        <w:t>Internal Medicine Department, Faculty of Medicine, Tanta University, Egypt</w:t>
      </w:r>
    </w:p>
    <w:p w:rsidR="006F4997" w:rsidRPr="008047D3" w:rsidRDefault="006F4997" w:rsidP="00657BEC">
      <w:pPr>
        <w:snapToGrid w:val="0"/>
        <w:spacing w:after="0" w:line="240" w:lineRule="auto"/>
        <w:jc w:val="center"/>
        <w:rPr>
          <w:rFonts w:ascii="Times New Roman" w:hAnsi="Times New Roman" w:cs="Times New Roman"/>
          <w:sz w:val="20"/>
          <w:szCs w:val="20"/>
        </w:rPr>
      </w:pPr>
      <w:r w:rsidRPr="008047D3">
        <w:rPr>
          <w:rFonts w:ascii="Times New Roman" w:hAnsi="Times New Roman" w:cs="Times New Roman"/>
          <w:sz w:val="20"/>
          <w:szCs w:val="20"/>
          <w:vertAlign w:val="superscript"/>
        </w:rPr>
        <w:t>2</w:t>
      </w:r>
      <w:r w:rsidR="00742C0E" w:rsidRPr="008047D3">
        <w:rPr>
          <w:rFonts w:ascii="Times New Roman" w:hAnsi="Times New Roman" w:cs="Times New Roman"/>
          <w:sz w:val="20"/>
          <w:szCs w:val="20"/>
        </w:rPr>
        <w:t xml:space="preserve"> Clinical Pathology</w:t>
      </w:r>
      <w:r w:rsidRPr="008047D3">
        <w:rPr>
          <w:rFonts w:ascii="Times New Roman" w:hAnsi="Times New Roman" w:cs="Times New Roman"/>
          <w:sz w:val="20"/>
          <w:szCs w:val="20"/>
        </w:rPr>
        <w:t xml:space="preserve"> Department, Faculty of Medicine, Tanta University, Egypt</w:t>
      </w:r>
    </w:p>
    <w:p w:rsidR="00310F47" w:rsidRPr="008047D3" w:rsidRDefault="002769C2" w:rsidP="00657BEC">
      <w:pPr>
        <w:snapToGrid w:val="0"/>
        <w:spacing w:after="0" w:line="240" w:lineRule="auto"/>
        <w:jc w:val="center"/>
        <w:rPr>
          <w:rFonts w:ascii="Times New Roman" w:hAnsi="Times New Roman" w:cs="Times New Roman" w:hint="eastAsia"/>
          <w:sz w:val="20"/>
          <w:szCs w:val="20"/>
          <w:lang w:eastAsia="zh-CN" w:bidi="ar-EG"/>
        </w:rPr>
      </w:pPr>
      <w:hyperlink r:id="rId8" w:history="1">
        <w:r w:rsidR="004D5079" w:rsidRPr="008047D3">
          <w:rPr>
            <w:rStyle w:val="Hyperlink"/>
            <w:rFonts w:ascii="Times New Roman" w:hAnsi="Times New Roman" w:cs="Times New Roman"/>
            <w:sz w:val="20"/>
            <w:szCs w:val="20"/>
            <w:u w:val="none"/>
            <w:lang w:bidi="ar-EG"/>
          </w:rPr>
          <w:t>Sheriftaher5@gmail.com</w:t>
        </w:r>
      </w:hyperlink>
      <w:r w:rsidR="008047D3" w:rsidRPr="008047D3">
        <w:rPr>
          <w:rFonts w:hint="eastAsia"/>
          <w:sz w:val="20"/>
          <w:szCs w:val="20"/>
          <w:lang w:eastAsia="zh-CN"/>
        </w:rPr>
        <w:t xml:space="preserve"> </w:t>
      </w:r>
    </w:p>
    <w:p w:rsidR="00310F47" w:rsidRPr="008047D3" w:rsidRDefault="00310F47" w:rsidP="00657BEC">
      <w:pPr>
        <w:snapToGrid w:val="0"/>
        <w:spacing w:after="0" w:line="240" w:lineRule="auto"/>
        <w:jc w:val="center"/>
        <w:rPr>
          <w:rFonts w:ascii="Times New Roman" w:hAnsi="Times New Roman" w:cs="Times New Roman"/>
          <w:sz w:val="20"/>
          <w:szCs w:val="20"/>
          <w:lang w:bidi="ar-EG"/>
        </w:rPr>
      </w:pPr>
    </w:p>
    <w:p w:rsidR="006F4997" w:rsidRPr="008047D3" w:rsidRDefault="006F4997" w:rsidP="008047D3">
      <w:pPr>
        <w:snapToGrid w:val="0"/>
        <w:spacing w:after="0" w:line="240" w:lineRule="auto"/>
        <w:jc w:val="both"/>
        <w:rPr>
          <w:rFonts w:ascii="Times New Roman" w:hAnsi="Times New Roman" w:cs="Times New Roman"/>
          <w:sz w:val="20"/>
          <w:szCs w:val="20"/>
        </w:rPr>
      </w:pPr>
      <w:r w:rsidRPr="008047D3">
        <w:rPr>
          <w:rFonts w:ascii="Times New Roman" w:hAnsi="Times New Roman" w:cs="Times New Roman"/>
          <w:b/>
          <w:bCs/>
          <w:sz w:val="20"/>
          <w:szCs w:val="20"/>
        </w:rPr>
        <w:t>Abstract: Background:</w:t>
      </w:r>
      <w:r w:rsidRPr="008047D3">
        <w:rPr>
          <w:rFonts w:ascii="Times New Roman" w:hAnsi="Times New Roman" w:cs="Times New Roman"/>
          <w:sz w:val="20"/>
          <w:szCs w:val="20"/>
        </w:rPr>
        <w:t xml:space="preserve"> It is well known that diabetes mellitus is a major health problem with worldwide spectrum. Diabetic nephropathy is one of its major microvascular complications which is a leading cause for end stage renal disease, hence comes the importance of its early detection even before the development of its triad: albuminuria, hypertension and declining renal function.</w:t>
      </w:r>
      <w:r w:rsidR="00310F47" w:rsidRPr="008047D3">
        <w:rPr>
          <w:rFonts w:ascii="Times New Roman" w:hAnsi="Times New Roman" w:cs="Times New Roman"/>
          <w:sz w:val="20"/>
          <w:szCs w:val="20"/>
        </w:rPr>
        <w:t xml:space="preserve"> </w:t>
      </w:r>
      <w:r w:rsidRPr="008047D3">
        <w:rPr>
          <w:rFonts w:ascii="Times New Roman" w:hAnsi="Times New Roman" w:cs="Times New Roman"/>
          <w:b/>
          <w:bCs/>
          <w:sz w:val="20"/>
          <w:szCs w:val="20"/>
        </w:rPr>
        <w:t xml:space="preserve">Aim of the work: </w:t>
      </w:r>
      <w:r w:rsidRPr="008047D3">
        <w:rPr>
          <w:rFonts w:ascii="Times New Roman" w:hAnsi="Times New Roman" w:cs="Times New Roman"/>
          <w:sz w:val="20"/>
          <w:szCs w:val="20"/>
        </w:rPr>
        <w:t>This study aims to evaluate serum Nesfatin-1 as a potential early biomarker of diabetic kidney disease (DKD) in type 2 diabetic patients.</w:t>
      </w:r>
      <w:r w:rsidRPr="008047D3">
        <w:rPr>
          <w:rFonts w:ascii="Times New Roman" w:hAnsi="Times New Roman" w:cs="Times New Roman"/>
          <w:b/>
          <w:bCs/>
          <w:sz w:val="20"/>
          <w:szCs w:val="20"/>
        </w:rPr>
        <w:t xml:space="preserve"> Patients and methods:</w:t>
      </w:r>
      <w:r w:rsidRPr="008047D3">
        <w:rPr>
          <w:rFonts w:ascii="Times New Roman" w:hAnsi="Times New Roman" w:cs="Times New Roman"/>
          <w:sz w:val="20"/>
          <w:szCs w:val="20"/>
        </w:rPr>
        <w:t xml:space="preserve"> The study enrolled 100 adult patients from Tanta University Hospital and Ahmed Maher Teaching Hospital (Internal medicine inpatient wards and outpatient clinics) over twelve months duration and divided into two groups: Group І which included 50 adult patients with type 2 diabetes and normoalbuminuria (UAE&lt;30) mg/day) and group ІІ which included 50 adult patients with type 2 diabetes and albuminuria (UAE&gt;30 mg/day)</w:t>
      </w:r>
      <w:r w:rsidR="00D62B3D" w:rsidRPr="008047D3">
        <w:rPr>
          <w:rFonts w:ascii="Times New Roman" w:hAnsi="Times New Roman" w:cs="Times New Roman"/>
          <w:sz w:val="20"/>
          <w:szCs w:val="20"/>
        </w:rPr>
        <w:t>. B</w:t>
      </w:r>
      <w:r w:rsidRPr="008047D3">
        <w:rPr>
          <w:rFonts w:ascii="Times New Roman" w:hAnsi="Times New Roman" w:cs="Times New Roman"/>
          <w:sz w:val="20"/>
          <w:szCs w:val="20"/>
        </w:rPr>
        <w:t>oth patients groups were subjected to the following: full history taking, clinical examination, laboratory investigations which included complete blood picture, serum fasting blood glucose, 2 hours post prandial blood glucose</w:t>
      </w:r>
      <w:r w:rsidR="00310F47" w:rsidRPr="008047D3">
        <w:rPr>
          <w:rFonts w:ascii="Times New Roman" w:hAnsi="Times New Roman" w:cs="Times New Roman"/>
          <w:sz w:val="20"/>
          <w:szCs w:val="20"/>
        </w:rPr>
        <w:t>,</w:t>
      </w:r>
      <w:r w:rsidRPr="008047D3">
        <w:rPr>
          <w:rFonts w:ascii="Times New Roman" w:hAnsi="Times New Roman" w:cs="Times New Roman"/>
          <w:sz w:val="20"/>
          <w:szCs w:val="20"/>
        </w:rPr>
        <w:t xml:space="preserve"> HbA</w:t>
      </w:r>
      <w:r w:rsidRPr="008047D3">
        <w:rPr>
          <w:rFonts w:ascii="Times New Roman" w:hAnsi="Times New Roman" w:cs="Times New Roman"/>
          <w:sz w:val="20"/>
          <w:szCs w:val="20"/>
          <w:vertAlign w:val="subscript"/>
        </w:rPr>
        <w:t>1C.</w:t>
      </w:r>
      <w:r w:rsidRPr="008047D3">
        <w:rPr>
          <w:rFonts w:ascii="Times New Roman" w:hAnsi="Times New Roman" w:cs="Times New Roman"/>
          <w:sz w:val="20"/>
          <w:szCs w:val="20"/>
        </w:rPr>
        <w:t>, total cholesterol and triglycerides levels, kidney function tests including: blood urea nitrogen and serum creatinine levels, uric acid, ALT, AST, alkaline phosphatase and serum albumin levels, urinary albumin to creatinine ratio, complete urine analysis, determination of serum Nesfatin-1 levels and</w:t>
      </w:r>
      <w:r w:rsidR="00310F47" w:rsidRPr="008047D3">
        <w:rPr>
          <w:rFonts w:ascii="Times New Roman" w:hAnsi="Times New Roman" w:cs="Times New Roman"/>
          <w:sz w:val="20"/>
          <w:szCs w:val="20"/>
        </w:rPr>
        <w:t xml:space="preserve"> </w:t>
      </w:r>
      <w:r w:rsidRPr="008047D3">
        <w:rPr>
          <w:rFonts w:ascii="Times New Roman" w:hAnsi="Times New Roman" w:cs="Times New Roman"/>
          <w:sz w:val="20"/>
          <w:szCs w:val="20"/>
        </w:rPr>
        <w:t>pelvi-abdominal ultrasonography.</w:t>
      </w:r>
      <w:r w:rsidRPr="008047D3">
        <w:rPr>
          <w:rFonts w:ascii="Times New Roman" w:hAnsi="Times New Roman" w:cs="Times New Roman"/>
          <w:b/>
          <w:bCs/>
          <w:sz w:val="20"/>
          <w:szCs w:val="20"/>
        </w:rPr>
        <w:t xml:space="preserve"> Results: </w:t>
      </w:r>
      <w:r w:rsidRPr="008047D3">
        <w:rPr>
          <w:rFonts w:ascii="Times New Roman" w:hAnsi="Times New Roman" w:cs="Times New Roman"/>
          <w:sz w:val="20"/>
          <w:szCs w:val="20"/>
        </w:rPr>
        <w:t>This study revealed a statistically high significant increase regarding serum Nesfatin-1 levels in group ІІ (diabetics with albuminuria) when compared to group І (diabetics with normoalbuminuria). Serum Nesfatin-1 levels had statistically significant positive</w:t>
      </w:r>
      <w:r w:rsidR="001B4234" w:rsidRPr="008047D3">
        <w:rPr>
          <w:rFonts w:ascii="Times New Roman" w:hAnsi="Times New Roman" w:cs="Times New Roman"/>
          <w:sz w:val="20"/>
          <w:szCs w:val="20"/>
          <w:lang w:eastAsia="zh-CN"/>
        </w:rPr>
        <w:t xml:space="preserve"> </w:t>
      </w:r>
      <w:r w:rsidRPr="008047D3">
        <w:rPr>
          <w:rFonts w:ascii="Times New Roman" w:hAnsi="Times New Roman" w:cs="Times New Roman"/>
          <w:sz w:val="20"/>
          <w:szCs w:val="20"/>
        </w:rPr>
        <w:t>correlation with DM duration, serum triglycerides, HBA1c</w:t>
      </w:r>
      <w:r w:rsidR="00D62B3D" w:rsidRPr="008047D3">
        <w:rPr>
          <w:rFonts w:ascii="Times New Roman" w:hAnsi="Times New Roman" w:cs="Times New Roman"/>
          <w:sz w:val="20"/>
          <w:szCs w:val="20"/>
        </w:rPr>
        <w:t>, s</w:t>
      </w:r>
      <w:r w:rsidRPr="008047D3">
        <w:rPr>
          <w:rFonts w:ascii="Times New Roman" w:hAnsi="Times New Roman" w:cs="Times New Roman"/>
          <w:sz w:val="20"/>
          <w:szCs w:val="20"/>
        </w:rPr>
        <w:t>erum uric acid, serum creatinine, BUN levels and UACR in the studied groups. There was no statistically significant correlation between serum Nesfatin-1 levels and age, SBP, DBP, BMI, ALT, AST, serum cholesterol level, FBS and 2HP.P BG. Serum Nesfatin-1 had an optimal cutoff value &gt; 12.65 mmol/L with area under the ROC curve at 0.841 and at 95% confidence interval (CI) the lower bound was 0.752 and the upper bound was 0.930 and with sensitivity 80.0% and specificity 74.0%.</w:t>
      </w:r>
      <w:r w:rsidR="008047D3" w:rsidRPr="008047D3">
        <w:rPr>
          <w:rFonts w:ascii="Times New Roman" w:hAnsi="Times New Roman" w:cs="Times New Roman" w:hint="eastAsia"/>
          <w:sz w:val="20"/>
          <w:szCs w:val="20"/>
          <w:lang w:eastAsia="zh-CN"/>
        </w:rPr>
        <w:t xml:space="preserve"> </w:t>
      </w:r>
      <w:r w:rsidRPr="008047D3">
        <w:rPr>
          <w:rFonts w:ascii="Times New Roman" w:hAnsi="Times New Roman" w:cs="Times New Roman"/>
          <w:b/>
          <w:bCs/>
          <w:sz w:val="20"/>
          <w:szCs w:val="20"/>
        </w:rPr>
        <w:t xml:space="preserve">Conclusion: </w:t>
      </w:r>
      <w:r w:rsidRPr="008047D3">
        <w:rPr>
          <w:rFonts w:ascii="Times New Roman" w:hAnsi="Times New Roman" w:cs="Times New Roman"/>
          <w:sz w:val="20"/>
          <w:szCs w:val="20"/>
          <w:lang w:bidi="ar-EG"/>
        </w:rPr>
        <w:t>In the present study, we concluded that serum Nesfatin-1 can be considered an early biomarker for diabetic nephropathy in type 2 diabetic patients.</w:t>
      </w:r>
    </w:p>
    <w:p w:rsidR="00657BEC" w:rsidRPr="008047D3" w:rsidRDefault="006F4997" w:rsidP="00657BEC">
      <w:pPr>
        <w:snapToGrid w:val="0"/>
        <w:spacing w:after="0" w:line="240" w:lineRule="auto"/>
        <w:jc w:val="both"/>
        <w:rPr>
          <w:rFonts w:ascii="Times New Roman" w:hAnsi="Times New Roman" w:cs="Times New Roman"/>
          <w:b/>
          <w:sz w:val="20"/>
          <w:szCs w:val="20"/>
          <w:lang w:bidi="ar-EG"/>
        </w:rPr>
      </w:pPr>
      <w:r w:rsidRPr="008047D3">
        <w:rPr>
          <w:rFonts w:ascii="Times New Roman" w:hAnsi="Times New Roman" w:cs="Times New Roman"/>
          <w:sz w:val="20"/>
          <w:szCs w:val="20"/>
        </w:rPr>
        <w:t>[Atef Mohamed Taha, Prof. Ama</w:t>
      </w:r>
      <w:r w:rsidR="00D62B3D" w:rsidRPr="008047D3">
        <w:rPr>
          <w:rFonts w:ascii="Times New Roman" w:hAnsi="Times New Roman" w:cs="Times New Roman"/>
          <w:sz w:val="20"/>
          <w:szCs w:val="20"/>
        </w:rPr>
        <w:t>l S</w:t>
      </w:r>
      <w:r w:rsidRPr="008047D3">
        <w:rPr>
          <w:rFonts w:ascii="Times New Roman" w:hAnsi="Times New Roman" w:cs="Times New Roman"/>
          <w:sz w:val="20"/>
          <w:szCs w:val="20"/>
        </w:rPr>
        <w:t>aee</w:t>
      </w:r>
      <w:r w:rsidR="00D62B3D" w:rsidRPr="008047D3">
        <w:rPr>
          <w:rFonts w:ascii="Times New Roman" w:hAnsi="Times New Roman" w:cs="Times New Roman"/>
          <w:sz w:val="20"/>
          <w:szCs w:val="20"/>
        </w:rPr>
        <w:t>d E</w:t>
      </w:r>
      <w:r w:rsidRPr="008047D3">
        <w:rPr>
          <w:rFonts w:ascii="Times New Roman" w:hAnsi="Times New Roman" w:cs="Times New Roman"/>
          <w:sz w:val="20"/>
          <w:szCs w:val="20"/>
        </w:rPr>
        <w:t>lbendary, Ama</w:t>
      </w:r>
      <w:r w:rsidR="00D62B3D" w:rsidRPr="008047D3">
        <w:rPr>
          <w:rFonts w:ascii="Times New Roman" w:hAnsi="Times New Roman" w:cs="Times New Roman"/>
          <w:sz w:val="20"/>
          <w:szCs w:val="20"/>
        </w:rPr>
        <w:t>l A</w:t>
      </w:r>
      <w:r w:rsidRPr="008047D3">
        <w:rPr>
          <w:rFonts w:ascii="Times New Roman" w:hAnsi="Times New Roman" w:cs="Times New Roman"/>
          <w:sz w:val="20"/>
          <w:szCs w:val="20"/>
        </w:rPr>
        <w:t>bd El Monie</w:t>
      </w:r>
      <w:r w:rsidR="00D62B3D" w:rsidRPr="008047D3">
        <w:rPr>
          <w:rFonts w:ascii="Times New Roman" w:hAnsi="Times New Roman" w:cs="Times New Roman"/>
          <w:sz w:val="20"/>
          <w:szCs w:val="20"/>
        </w:rPr>
        <w:t>m S</w:t>
      </w:r>
      <w:r w:rsidRPr="008047D3">
        <w:rPr>
          <w:rFonts w:ascii="Times New Roman" w:hAnsi="Times New Roman" w:cs="Times New Roman"/>
          <w:sz w:val="20"/>
          <w:szCs w:val="20"/>
        </w:rPr>
        <w:t>elim and Sherif Mohamed Taher</w:t>
      </w:r>
      <w:r w:rsidR="00657BEC" w:rsidRPr="008047D3">
        <w:rPr>
          <w:rFonts w:ascii="Times New Roman" w:hAnsi="Times New Roman" w:cs="Times New Roman"/>
          <w:sz w:val="20"/>
          <w:szCs w:val="20"/>
          <w:lang w:eastAsia="zh-CN"/>
        </w:rPr>
        <w:t>.</w:t>
      </w:r>
      <w:r w:rsidRPr="008047D3">
        <w:rPr>
          <w:rFonts w:ascii="Times New Roman" w:hAnsi="Times New Roman" w:cs="Times New Roman"/>
          <w:sz w:val="20"/>
          <w:szCs w:val="20"/>
        </w:rPr>
        <w:t xml:space="preserve"> </w:t>
      </w:r>
      <w:r w:rsidRPr="008047D3">
        <w:rPr>
          <w:rFonts w:ascii="Times New Roman" w:hAnsi="Times New Roman" w:cs="Times New Roman"/>
          <w:b/>
          <w:bCs/>
          <w:sz w:val="20"/>
          <w:szCs w:val="20"/>
          <w:lang w:bidi="ar-EG"/>
        </w:rPr>
        <w:t>Association of Peripheral Nesfatin-1 with Early Stage Diabetic Nephropathy</w:t>
      </w:r>
      <w:r w:rsidR="00657BEC" w:rsidRPr="008047D3">
        <w:rPr>
          <w:rFonts w:ascii="Times New Roman" w:eastAsia="Times New Roman" w:hAnsi="Times New Roman" w:cs="Times New Roman"/>
          <w:b/>
          <w:bCs/>
          <w:sz w:val="20"/>
          <w:szCs w:val="20"/>
          <w:lang w:bidi="fa-IR"/>
        </w:rPr>
        <w:t>.</w:t>
      </w:r>
      <w:r w:rsidR="00657BEC" w:rsidRPr="008047D3">
        <w:rPr>
          <w:rFonts w:ascii="Times New Roman" w:hAnsi="Times New Roman" w:cs="Times New Roman"/>
          <w:bCs/>
          <w:i/>
          <w:sz w:val="20"/>
          <w:szCs w:val="20"/>
        </w:rPr>
        <w:t xml:space="preserve"> N Y Sci J</w:t>
      </w:r>
      <w:r w:rsidR="00657BEC" w:rsidRPr="008047D3">
        <w:rPr>
          <w:rFonts w:ascii="Times New Roman" w:hAnsi="Times New Roman" w:cs="Times New Roman"/>
          <w:bCs/>
          <w:sz w:val="20"/>
          <w:szCs w:val="20"/>
        </w:rPr>
        <w:t xml:space="preserve"> </w:t>
      </w:r>
      <w:r w:rsidR="00657BEC" w:rsidRPr="008047D3">
        <w:rPr>
          <w:rFonts w:ascii="Times New Roman" w:hAnsi="Times New Roman" w:cs="Times New Roman"/>
          <w:sz w:val="20"/>
          <w:szCs w:val="20"/>
        </w:rPr>
        <w:t>2019;12(8):</w:t>
      </w:r>
      <w:r w:rsidR="00E61456" w:rsidRPr="008047D3">
        <w:rPr>
          <w:rFonts w:ascii="Times New Roman" w:hAnsi="Times New Roman" w:cs="Times New Roman"/>
          <w:noProof/>
          <w:color w:val="000000"/>
          <w:sz w:val="20"/>
          <w:szCs w:val="20"/>
        </w:rPr>
        <w:t>33-43</w:t>
      </w:r>
      <w:r w:rsidR="00657BEC" w:rsidRPr="008047D3">
        <w:rPr>
          <w:rFonts w:ascii="Times New Roman" w:hAnsi="Times New Roman" w:cs="Times New Roman"/>
          <w:sz w:val="20"/>
          <w:szCs w:val="20"/>
        </w:rPr>
        <w:t xml:space="preserve">]. </w:t>
      </w:r>
      <w:r w:rsidR="00657BEC" w:rsidRPr="008047D3">
        <w:rPr>
          <w:rFonts w:ascii="Times New Roman" w:hAnsi="Times New Roman" w:cs="Times New Roman"/>
          <w:iCs/>
          <w:color w:val="000000"/>
          <w:sz w:val="20"/>
          <w:szCs w:val="20"/>
        </w:rPr>
        <w:t>ISSN 1554-0200 (print); ISSN 2375-723X (online)</w:t>
      </w:r>
      <w:r w:rsidR="00657BEC" w:rsidRPr="008047D3">
        <w:rPr>
          <w:rFonts w:ascii="Times New Roman" w:hAnsi="Times New Roman" w:cs="Times New Roman"/>
          <w:sz w:val="20"/>
          <w:szCs w:val="20"/>
        </w:rPr>
        <w:t xml:space="preserve">. </w:t>
      </w:r>
      <w:hyperlink r:id="rId9" w:history="1">
        <w:r w:rsidR="00657BEC" w:rsidRPr="008047D3">
          <w:rPr>
            <w:rStyle w:val="Hyperlink"/>
            <w:rFonts w:ascii="Times New Roman" w:hAnsi="Times New Roman" w:cs="Times New Roman"/>
            <w:color w:val="0000FF"/>
            <w:sz w:val="20"/>
            <w:szCs w:val="20"/>
          </w:rPr>
          <w:t>http://www.sciencepub.net/newyork</w:t>
        </w:r>
      </w:hyperlink>
      <w:r w:rsidR="00657BEC" w:rsidRPr="008047D3">
        <w:rPr>
          <w:rFonts w:ascii="Times New Roman" w:hAnsi="Times New Roman" w:cs="Times New Roman"/>
          <w:sz w:val="20"/>
          <w:szCs w:val="20"/>
        </w:rPr>
        <w:t xml:space="preserve">. </w:t>
      </w:r>
      <w:r w:rsidR="00657BEC" w:rsidRPr="008047D3">
        <w:rPr>
          <w:rFonts w:ascii="Times New Roman" w:hAnsi="Times New Roman" w:cs="Times New Roman"/>
          <w:sz w:val="20"/>
          <w:szCs w:val="20"/>
          <w:lang w:eastAsia="zh-CN"/>
        </w:rPr>
        <w:t>5</w:t>
      </w:r>
      <w:r w:rsidR="00657BEC" w:rsidRPr="008047D3">
        <w:rPr>
          <w:rFonts w:ascii="Times New Roman" w:hAnsi="Times New Roman" w:cs="Times New Roman"/>
          <w:sz w:val="20"/>
          <w:szCs w:val="20"/>
        </w:rPr>
        <w:t xml:space="preserve">. </w:t>
      </w:r>
      <w:r w:rsidR="00657BEC" w:rsidRPr="008047D3">
        <w:rPr>
          <w:rFonts w:ascii="Times New Roman" w:hAnsi="Times New Roman" w:cs="Times New Roman"/>
          <w:color w:val="000000"/>
          <w:sz w:val="20"/>
          <w:szCs w:val="20"/>
          <w:shd w:val="clear" w:color="auto" w:fill="FFFFFF"/>
        </w:rPr>
        <w:t>doi:</w:t>
      </w:r>
      <w:hyperlink r:id="rId10" w:history="1">
        <w:r w:rsidR="00657BEC" w:rsidRPr="008047D3">
          <w:rPr>
            <w:rStyle w:val="Hyperlink"/>
            <w:rFonts w:ascii="Times New Roman" w:hAnsi="Times New Roman" w:cs="Times New Roman"/>
            <w:color w:val="0000FF"/>
            <w:sz w:val="20"/>
            <w:szCs w:val="20"/>
            <w:shd w:val="clear" w:color="auto" w:fill="FFFFFF"/>
          </w:rPr>
          <w:t>10.7537/marsnys120819.0</w:t>
        </w:r>
        <w:r w:rsidR="00657BEC" w:rsidRPr="008047D3">
          <w:rPr>
            <w:rStyle w:val="Hyperlink"/>
            <w:rFonts w:ascii="Times New Roman" w:hAnsi="Times New Roman" w:cs="Times New Roman"/>
            <w:color w:val="0000FF"/>
            <w:sz w:val="20"/>
            <w:szCs w:val="20"/>
            <w:shd w:val="clear" w:color="auto" w:fill="FFFFFF"/>
            <w:lang w:eastAsia="zh-CN"/>
          </w:rPr>
          <w:t>5</w:t>
        </w:r>
      </w:hyperlink>
      <w:r w:rsidR="00657BEC" w:rsidRPr="008047D3">
        <w:rPr>
          <w:rFonts w:ascii="Times New Roman" w:hAnsi="Times New Roman" w:cs="Times New Roman"/>
          <w:color w:val="000000"/>
          <w:sz w:val="20"/>
          <w:szCs w:val="20"/>
          <w:shd w:val="clear" w:color="auto" w:fill="FFFFFF"/>
        </w:rPr>
        <w:t>.</w:t>
      </w:r>
    </w:p>
    <w:p w:rsidR="001B4234" w:rsidRPr="008047D3" w:rsidRDefault="001B4234" w:rsidP="00657BEC">
      <w:pPr>
        <w:snapToGrid w:val="0"/>
        <w:spacing w:after="0" w:line="240" w:lineRule="auto"/>
        <w:jc w:val="both"/>
        <w:rPr>
          <w:rFonts w:ascii="Times New Roman" w:hAnsi="Times New Roman" w:cs="Times New Roman"/>
          <w:b/>
          <w:bCs/>
          <w:sz w:val="20"/>
          <w:szCs w:val="20"/>
          <w:lang w:eastAsia="zh-CN" w:bidi="ar-EG"/>
        </w:rPr>
      </w:pPr>
    </w:p>
    <w:p w:rsidR="001B4234" w:rsidRPr="008047D3" w:rsidRDefault="001B4234" w:rsidP="00657BEC">
      <w:pPr>
        <w:snapToGrid w:val="0"/>
        <w:spacing w:after="0" w:line="240" w:lineRule="auto"/>
        <w:jc w:val="both"/>
        <w:rPr>
          <w:rFonts w:ascii="Times New Roman" w:hAnsi="Times New Roman" w:cs="Times New Roman"/>
          <w:sz w:val="20"/>
          <w:szCs w:val="20"/>
          <w:lang w:eastAsia="zh-CN"/>
        </w:rPr>
      </w:pPr>
      <w:r w:rsidRPr="008047D3">
        <w:rPr>
          <w:rFonts w:ascii="Times New Roman" w:hAnsi="Times New Roman" w:cs="Times New Roman"/>
          <w:b/>
          <w:bCs/>
          <w:sz w:val="20"/>
          <w:szCs w:val="20"/>
          <w:lang w:eastAsia="zh-CN" w:bidi="ar-EG"/>
        </w:rPr>
        <w:t xml:space="preserve">Keywords: </w:t>
      </w:r>
      <w:r w:rsidRPr="008047D3">
        <w:rPr>
          <w:rFonts w:ascii="Times New Roman" w:hAnsi="Times New Roman" w:cs="Times New Roman"/>
          <w:bCs/>
          <w:sz w:val="20"/>
          <w:szCs w:val="20"/>
          <w:lang w:bidi="ar-EG"/>
        </w:rPr>
        <w:t>Association</w:t>
      </w:r>
      <w:r w:rsidRPr="008047D3">
        <w:rPr>
          <w:rFonts w:ascii="Times New Roman" w:hAnsi="Times New Roman" w:cs="Times New Roman"/>
          <w:bCs/>
          <w:sz w:val="20"/>
          <w:szCs w:val="20"/>
          <w:lang w:eastAsia="zh-CN" w:bidi="ar-EG"/>
        </w:rPr>
        <w:t>;</w:t>
      </w:r>
      <w:r w:rsidRPr="008047D3">
        <w:rPr>
          <w:rFonts w:ascii="Times New Roman" w:hAnsi="Times New Roman" w:cs="Times New Roman"/>
          <w:bCs/>
          <w:sz w:val="20"/>
          <w:szCs w:val="20"/>
          <w:lang w:bidi="ar-EG"/>
        </w:rPr>
        <w:t xml:space="preserve"> Peripheral Nesfatin-1</w:t>
      </w:r>
      <w:r w:rsidRPr="008047D3">
        <w:rPr>
          <w:rFonts w:ascii="Times New Roman" w:hAnsi="Times New Roman" w:cs="Times New Roman"/>
          <w:bCs/>
          <w:sz w:val="20"/>
          <w:szCs w:val="20"/>
          <w:lang w:eastAsia="zh-CN" w:bidi="ar-EG"/>
        </w:rPr>
        <w:t>;</w:t>
      </w:r>
      <w:r w:rsidRPr="008047D3">
        <w:rPr>
          <w:rFonts w:ascii="Times New Roman" w:hAnsi="Times New Roman" w:cs="Times New Roman"/>
          <w:bCs/>
          <w:sz w:val="20"/>
          <w:szCs w:val="20"/>
          <w:lang w:bidi="ar-EG"/>
        </w:rPr>
        <w:t xml:space="preserve"> Early Stage Diabetic Nephropathy</w:t>
      </w:r>
    </w:p>
    <w:p w:rsidR="006F4997" w:rsidRPr="008047D3" w:rsidRDefault="006F4997" w:rsidP="00657BEC">
      <w:pPr>
        <w:snapToGrid w:val="0"/>
        <w:spacing w:after="0" w:line="240" w:lineRule="auto"/>
        <w:jc w:val="both"/>
        <w:rPr>
          <w:rFonts w:ascii="Times New Roman" w:hAnsi="Times New Roman" w:cs="Times New Roman"/>
          <w:b/>
          <w:bCs/>
          <w:sz w:val="20"/>
          <w:szCs w:val="20"/>
          <w:lang w:bidi="ar-EG"/>
        </w:rPr>
      </w:pPr>
    </w:p>
    <w:p w:rsidR="00657BEC" w:rsidRPr="008047D3" w:rsidRDefault="00657BEC" w:rsidP="00657BEC">
      <w:pPr>
        <w:snapToGrid w:val="0"/>
        <w:spacing w:after="0" w:line="240" w:lineRule="auto"/>
        <w:jc w:val="both"/>
        <w:rPr>
          <w:rFonts w:ascii="Times New Roman" w:hAnsi="Times New Roman" w:cs="Times New Roman"/>
          <w:b/>
          <w:bCs/>
          <w:sz w:val="20"/>
          <w:szCs w:val="20"/>
          <w:lang w:bidi="ar-EG"/>
        </w:rPr>
        <w:sectPr w:rsidR="00657BEC" w:rsidRPr="008047D3" w:rsidSect="00E61456">
          <w:headerReference w:type="default" r:id="rId11"/>
          <w:footerReference w:type="default" r:id="rId12"/>
          <w:type w:val="continuous"/>
          <w:pgSz w:w="12240" w:h="15840" w:code="13"/>
          <w:pgMar w:top="1440" w:right="1440" w:bottom="1440" w:left="1440" w:header="720" w:footer="720" w:gutter="0"/>
          <w:pgNumType w:start="33"/>
          <w:cols w:space="720"/>
          <w:docGrid w:linePitch="360"/>
        </w:sectPr>
      </w:pPr>
    </w:p>
    <w:p w:rsidR="00940A9F" w:rsidRPr="008047D3" w:rsidRDefault="006F4997" w:rsidP="00657BEC">
      <w:pPr>
        <w:snapToGrid w:val="0"/>
        <w:spacing w:after="0" w:line="240" w:lineRule="auto"/>
        <w:jc w:val="both"/>
        <w:rPr>
          <w:rFonts w:ascii="Times New Roman" w:hAnsi="Times New Roman" w:cs="Times New Roman"/>
          <w:b/>
          <w:bCs/>
          <w:sz w:val="20"/>
          <w:szCs w:val="20"/>
          <w:lang w:bidi="ar-EG"/>
        </w:rPr>
      </w:pPr>
      <w:r w:rsidRPr="008047D3">
        <w:rPr>
          <w:rFonts w:ascii="Times New Roman" w:hAnsi="Times New Roman" w:cs="Times New Roman"/>
          <w:b/>
          <w:bCs/>
          <w:sz w:val="20"/>
          <w:szCs w:val="20"/>
          <w:lang w:bidi="ar-EG"/>
        </w:rPr>
        <w:lastRenderedPageBreak/>
        <w:t xml:space="preserve">1. </w:t>
      </w:r>
      <w:r w:rsidR="00940A9F" w:rsidRPr="008047D3">
        <w:rPr>
          <w:rFonts w:ascii="Times New Roman" w:hAnsi="Times New Roman" w:cs="Times New Roman"/>
          <w:b/>
          <w:bCs/>
          <w:sz w:val="20"/>
          <w:szCs w:val="20"/>
          <w:lang w:bidi="ar-EG"/>
        </w:rPr>
        <w:t>Introduction</w:t>
      </w:r>
    </w:p>
    <w:p w:rsidR="00310F47" w:rsidRPr="008047D3" w:rsidRDefault="00713072" w:rsidP="00657BEC">
      <w:pPr>
        <w:snapToGrid w:val="0"/>
        <w:spacing w:after="0" w:line="240" w:lineRule="auto"/>
        <w:ind w:firstLine="425"/>
        <w:jc w:val="both"/>
        <w:rPr>
          <w:rFonts w:ascii="Times New Roman" w:hAnsi="Times New Roman" w:cs="Times New Roman"/>
          <w:sz w:val="20"/>
          <w:szCs w:val="20"/>
          <w:vertAlign w:val="superscript"/>
        </w:rPr>
      </w:pPr>
      <w:r w:rsidRPr="008047D3">
        <w:rPr>
          <w:rFonts w:ascii="Times New Roman" w:hAnsi="Times New Roman" w:cs="Times New Roman"/>
          <w:sz w:val="20"/>
          <w:szCs w:val="20"/>
        </w:rPr>
        <w:t>Diabetes mellitus</w:t>
      </w:r>
      <w:r w:rsidR="00673EAA" w:rsidRPr="008047D3">
        <w:rPr>
          <w:rFonts w:ascii="Times New Roman" w:hAnsi="Times New Roman" w:cs="Times New Roman"/>
          <w:sz w:val="20"/>
          <w:szCs w:val="20"/>
        </w:rPr>
        <w:t xml:space="preserve"> (DM)</w:t>
      </w:r>
      <w:bookmarkStart w:id="0" w:name="_GoBack"/>
      <w:bookmarkEnd w:id="0"/>
      <w:r w:rsidRPr="008047D3">
        <w:rPr>
          <w:rFonts w:ascii="Times New Roman" w:hAnsi="Times New Roman" w:cs="Times New Roman"/>
          <w:sz w:val="20"/>
          <w:szCs w:val="20"/>
        </w:rPr>
        <w:t xml:space="preserve"> is a chronic disease caused by inherited and/or acquired deficiency in production of insulin by the pancreas, or by the ineffectiveness of the insulin produced. Such a deficiency results in increased concentrations of glucose in the blood, which in turn is associated with both microvascular and macrovascular complications. </w:t>
      </w:r>
      <w:r w:rsidRPr="008047D3">
        <w:rPr>
          <w:rFonts w:ascii="Times New Roman" w:hAnsi="Times New Roman" w:cs="Times New Roman"/>
          <w:sz w:val="20"/>
          <w:szCs w:val="20"/>
          <w:vertAlign w:val="superscript"/>
        </w:rPr>
        <w:t>(1)</w:t>
      </w:r>
    </w:p>
    <w:p w:rsidR="00713072" w:rsidRPr="008047D3" w:rsidRDefault="00310F47" w:rsidP="00657BEC">
      <w:pPr>
        <w:snapToGrid w:val="0"/>
        <w:spacing w:after="0" w:line="240" w:lineRule="auto"/>
        <w:ind w:firstLine="425"/>
        <w:jc w:val="both"/>
        <w:rPr>
          <w:rFonts w:ascii="Times New Roman" w:hAnsi="Times New Roman" w:cs="Times New Roman"/>
          <w:sz w:val="20"/>
          <w:szCs w:val="20"/>
          <w:vertAlign w:val="superscript"/>
        </w:rPr>
      </w:pPr>
      <w:r w:rsidRPr="008047D3">
        <w:rPr>
          <w:rFonts w:ascii="Times New Roman" w:hAnsi="Times New Roman" w:cs="Times New Roman"/>
          <w:sz w:val="20"/>
          <w:szCs w:val="20"/>
        </w:rPr>
        <w:t>G</w:t>
      </w:r>
      <w:r w:rsidR="00713072" w:rsidRPr="008047D3">
        <w:rPr>
          <w:rFonts w:ascii="Times New Roman" w:hAnsi="Times New Roman" w:cs="Times New Roman"/>
          <w:sz w:val="20"/>
          <w:szCs w:val="20"/>
        </w:rPr>
        <w:t>lobally, an estimated 422 million adults are diabetic patients, according to the latest 2016 data from the World Health Organization (WHO).</w:t>
      </w:r>
      <w:r w:rsidR="00713072" w:rsidRPr="008047D3">
        <w:rPr>
          <w:rFonts w:ascii="Times New Roman" w:hAnsi="Times New Roman" w:cs="Times New Roman"/>
          <w:sz w:val="20"/>
          <w:szCs w:val="20"/>
          <w:vertAlign w:val="superscript"/>
        </w:rPr>
        <w:t xml:space="preserve"> (2)</w:t>
      </w:r>
    </w:p>
    <w:p w:rsidR="00713072" w:rsidRPr="008047D3" w:rsidRDefault="00713072" w:rsidP="00657BEC">
      <w:pPr>
        <w:snapToGrid w:val="0"/>
        <w:spacing w:after="0" w:line="240" w:lineRule="auto"/>
        <w:ind w:firstLine="425"/>
        <w:jc w:val="both"/>
        <w:rPr>
          <w:rFonts w:ascii="Times New Roman" w:hAnsi="Times New Roman" w:cs="Times New Roman"/>
          <w:sz w:val="20"/>
          <w:szCs w:val="20"/>
          <w:vertAlign w:val="superscript"/>
        </w:rPr>
      </w:pPr>
      <w:r w:rsidRPr="008047D3">
        <w:rPr>
          <w:rFonts w:ascii="Times New Roman" w:hAnsi="Times New Roman" w:cs="Times New Roman"/>
          <w:sz w:val="20"/>
          <w:szCs w:val="20"/>
        </w:rPr>
        <w:t>Diabetic kidney disease (DKD) is a chronic microvascular complication of diabetes which may lead to end-stage renal disease</w:t>
      </w:r>
      <w:r w:rsidR="00310F47" w:rsidRPr="008047D3">
        <w:rPr>
          <w:rFonts w:ascii="Times New Roman" w:hAnsi="Times New Roman" w:cs="Times New Roman"/>
          <w:sz w:val="20"/>
          <w:szCs w:val="20"/>
        </w:rPr>
        <w:t xml:space="preserve"> </w:t>
      </w:r>
      <w:r w:rsidRPr="008047D3">
        <w:rPr>
          <w:rFonts w:ascii="Times New Roman" w:hAnsi="Times New Roman" w:cs="Times New Roman"/>
          <w:sz w:val="20"/>
          <w:szCs w:val="20"/>
        </w:rPr>
        <w:t xml:space="preserve">It is suggested that in people with diabetes, hyperglycemia, by inducing the production of advanced glycation end-products, leads </w:t>
      </w:r>
      <w:r w:rsidRPr="008047D3">
        <w:rPr>
          <w:rFonts w:ascii="Times New Roman" w:hAnsi="Times New Roman" w:cs="Times New Roman"/>
          <w:sz w:val="20"/>
          <w:szCs w:val="20"/>
        </w:rPr>
        <w:lastRenderedPageBreak/>
        <w:t xml:space="preserve">to structural alterations in proteins, and these processes are presumed to be the key roots in the pathogenesis of diabetic nephropathy. </w:t>
      </w:r>
      <w:r w:rsidRPr="008047D3">
        <w:rPr>
          <w:rFonts w:ascii="Times New Roman" w:hAnsi="Times New Roman" w:cs="Times New Roman"/>
          <w:sz w:val="20"/>
          <w:szCs w:val="20"/>
          <w:vertAlign w:val="superscript"/>
        </w:rPr>
        <w:t>(3)</w:t>
      </w:r>
    </w:p>
    <w:p w:rsidR="00713072" w:rsidRPr="008047D3" w:rsidRDefault="00713072" w:rsidP="00657BEC">
      <w:pPr>
        <w:snapToGrid w:val="0"/>
        <w:spacing w:after="0" w:line="240" w:lineRule="auto"/>
        <w:ind w:firstLine="425"/>
        <w:jc w:val="both"/>
        <w:rPr>
          <w:rFonts w:ascii="Times New Roman" w:hAnsi="Times New Roman" w:cs="Times New Roman"/>
          <w:sz w:val="20"/>
          <w:szCs w:val="20"/>
          <w:vertAlign w:val="superscript"/>
        </w:rPr>
      </w:pPr>
      <w:r w:rsidRPr="008047D3">
        <w:rPr>
          <w:rFonts w:ascii="Times New Roman" w:hAnsi="Times New Roman" w:cs="Times New Roman"/>
          <w:sz w:val="20"/>
          <w:szCs w:val="20"/>
        </w:rPr>
        <w:t xml:space="preserve">Nesfatin-1 is a newly found neuropeptide consisting of 82 amino acids with predominantly anorectic effects that participates in the regulation of hunger and fat storage and is also characterized as a potent regulator of metabolism. Nesfatin-1 is expressed in several tissues including the pancreatic islet cells and the central nervous system (CNS). </w:t>
      </w:r>
      <w:r w:rsidRPr="008047D3">
        <w:rPr>
          <w:rFonts w:ascii="Times New Roman" w:hAnsi="Times New Roman" w:cs="Times New Roman"/>
          <w:sz w:val="20"/>
          <w:szCs w:val="20"/>
          <w:vertAlign w:val="superscript"/>
        </w:rPr>
        <w:t>(4)</w:t>
      </w:r>
    </w:p>
    <w:p w:rsidR="00713072" w:rsidRPr="008047D3" w:rsidRDefault="00713072" w:rsidP="00657BEC">
      <w:pPr>
        <w:snapToGrid w:val="0"/>
        <w:spacing w:after="0" w:line="240" w:lineRule="auto"/>
        <w:ind w:firstLine="425"/>
        <w:jc w:val="both"/>
        <w:rPr>
          <w:rFonts w:ascii="Times New Roman" w:hAnsi="Times New Roman" w:cs="Times New Roman"/>
          <w:sz w:val="20"/>
          <w:szCs w:val="20"/>
          <w:vertAlign w:val="superscript"/>
        </w:rPr>
      </w:pPr>
      <w:r w:rsidRPr="008047D3">
        <w:rPr>
          <w:rFonts w:ascii="Times New Roman" w:hAnsi="Times New Roman" w:cs="Times New Roman"/>
          <w:sz w:val="20"/>
          <w:szCs w:val="20"/>
        </w:rPr>
        <w:t xml:space="preserve">Being mostly generated in the hypothalamus nuclei, nesfatin-1 has the ability to cross the blood–brain barrier without molecular saturation. Through further observations it was shown that nesfatin-1 suppresses food intake after being intracerebroventriculary injected, the injection decreases food intake in a dose-dependent manner </w:t>
      </w:r>
      <w:r w:rsidRPr="008047D3">
        <w:rPr>
          <w:rFonts w:ascii="Times New Roman" w:hAnsi="Times New Roman" w:cs="Times New Roman"/>
          <w:sz w:val="20"/>
          <w:szCs w:val="20"/>
        </w:rPr>
        <w:lastRenderedPageBreak/>
        <w:t xml:space="preserve">while the injection of a nesfatin-1 neutralizing antibody stimulates appetite. </w:t>
      </w:r>
      <w:r w:rsidRPr="008047D3">
        <w:rPr>
          <w:rFonts w:ascii="Times New Roman" w:hAnsi="Times New Roman" w:cs="Times New Roman"/>
          <w:sz w:val="20"/>
          <w:szCs w:val="20"/>
          <w:vertAlign w:val="superscript"/>
        </w:rPr>
        <w:t>(5)</w:t>
      </w:r>
    </w:p>
    <w:p w:rsidR="00713072" w:rsidRPr="008047D3" w:rsidRDefault="00713072" w:rsidP="00657BEC">
      <w:pPr>
        <w:snapToGrid w:val="0"/>
        <w:spacing w:after="0" w:line="240" w:lineRule="auto"/>
        <w:ind w:firstLine="425"/>
        <w:jc w:val="both"/>
        <w:rPr>
          <w:rFonts w:ascii="Times New Roman" w:eastAsia="Times New Roman" w:hAnsi="Times New Roman" w:cs="Times New Roman"/>
          <w:sz w:val="20"/>
          <w:szCs w:val="20"/>
          <w:vertAlign w:val="superscript"/>
          <w:lang w:bidi="ar-EG"/>
        </w:rPr>
      </w:pPr>
      <w:r w:rsidRPr="008047D3">
        <w:rPr>
          <w:rFonts w:ascii="Times New Roman" w:eastAsia="Times New Roman" w:hAnsi="Times New Roman" w:cs="Times New Roman"/>
          <w:sz w:val="20"/>
          <w:szCs w:val="20"/>
          <w:lang w:bidi="ar-EG"/>
        </w:rPr>
        <w:t xml:space="preserve">Nesfatin-1 is expressed in neurons of various brain areas including hypothalamic nuclei such as paraventricular nucleus (PVN), arcuate nucleus (ARC), lateral hypothalamic area (LHA) and in the nucleus of the solitary tract (NTS) and Dorsal motor nucleus of the vagus (DMNX) at the brainstem level. Nesfatin-1 is also secreted in pancreatic islets, gastric endocrine cells and adipocytes. </w:t>
      </w:r>
      <w:r w:rsidRPr="008047D3">
        <w:rPr>
          <w:rFonts w:ascii="Times New Roman" w:eastAsia="Times New Roman" w:hAnsi="Times New Roman" w:cs="Times New Roman"/>
          <w:sz w:val="20"/>
          <w:szCs w:val="20"/>
          <w:vertAlign w:val="superscript"/>
          <w:lang w:bidi="ar-EG"/>
        </w:rPr>
        <w:t>(6)</w:t>
      </w:r>
    </w:p>
    <w:p w:rsidR="006F4997" w:rsidRPr="008047D3" w:rsidRDefault="006F4997" w:rsidP="00657BEC">
      <w:pPr>
        <w:autoSpaceDE w:val="0"/>
        <w:autoSpaceDN w:val="0"/>
        <w:adjustRightInd w:val="0"/>
        <w:snapToGrid w:val="0"/>
        <w:spacing w:after="0" w:line="240" w:lineRule="auto"/>
        <w:jc w:val="both"/>
        <w:rPr>
          <w:rFonts w:ascii="Times New Roman" w:eastAsia="Times New Roman" w:hAnsi="Times New Roman" w:cs="Times New Roman"/>
          <w:b/>
          <w:bCs/>
          <w:sz w:val="20"/>
          <w:szCs w:val="20"/>
          <w:lang w:bidi="ar-EG"/>
        </w:rPr>
      </w:pPr>
      <w:r w:rsidRPr="008047D3">
        <w:rPr>
          <w:rFonts w:ascii="Times New Roman" w:eastAsia="Times New Roman" w:hAnsi="Times New Roman" w:cs="Times New Roman"/>
          <w:b/>
          <w:bCs/>
          <w:sz w:val="20"/>
          <w:szCs w:val="20"/>
          <w:lang w:bidi="ar-EG"/>
        </w:rPr>
        <w:t>Aim of the work</w:t>
      </w:r>
    </w:p>
    <w:p w:rsidR="006F4997" w:rsidRPr="008047D3" w:rsidRDefault="006F4997" w:rsidP="00657BEC">
      <w:pPr>
        <w:snapToGrid w:val="0"/>
        <w:spacing w:after="0" w:line="240" w:lineRule="auto"/>
        <w:ind w:firstLine="425"/>
        <w:jc w:val="both"/>
        <w:rPr>
          <w:rFonts w:ascii="Times New Roman" w:eastAsia="Times New Roman" w:hAnsi="Times New Roman" w:cs="Times New Roman"/>
          <w:sz w:val="20"/>
          <w:szCs w:val="20"/>
          <w:lang w:bidi="ar-EG"/>
        </w:rPr>
      </w:pPr>
      <w:r w:rsidRPr="008047D3">
        <w:rPr>
          <w:rFonts w:ascii="Times New Roman" w:eastAsia="Times New Roman" w:hAnsi="Times New Roman" w:cs="Times New Roman"/>
          <w:sz w:val="20"/>
          <w:szCs w:val="20"/>
          <w:lang w:bidi="ar-EG"/>
        </w:rPr>
        <w:t>This study aims to evaluate Nesfatin-1 as a potential early biomarker of diabetic kidney disease (DKD) in type 2 diabetic patients.</w:t>
      </w:r>
    </w:p>
    <w:p w:rsidR="00742C0E" w:rsidRPr="008047D3" w:rsidRDefault="00742C0E" w:rsidP="00657BEC">
      <w:pPr>
        <w:snapToGrid w:val="0"/>
        <w:spacing w:after="0" w:line="240" w:lineRule="auto"/>
        <w:ind w:firstLine="425"/>
        <w:jc w:val="both"/>
        <w:rPr>
          <w:rFonts w:ascii="Times New Roman" w:hAnsi="Times New Roman" w:cs="Times New Roman"/>
          <w:sz w:val="20"/>
          <w:szCs w:val="20"/>
          <w:lang w:bidi="ar-EG"/>
        </w:rPr>
      </w:pPr>
    </w:p>
    <w:p w:rsidR="00F95C12" w:rsidRPr="008047D3" w:rsidRDefault="00742C0E" w:rsidP="00657BEC">
      <w:pPr>
        <w:snapToGrid w:val="0"/>
        <w:spacing w:after="0" w:line="240" w:lineRule="auto"/>
        <w:jc w:val="both"/>
        <w:rPr>
          <w:rFonts w:ascii="Times New Roman" w:hAnsi="Times New Roman" w:cs="Times New Roman"/>
          <w:b/>
          <w:bCs/>
          <w:color w:val="000000"/>
          <w:sz w:val="20"/>
          <w:szCs w:val="20"/>
          <w:lang w:bidi="ar-EG"/>
        </w:rPr>
      </w:pPr>
      <w:r w:rsidRPr="008047D3">
        <w:rPr>
          <w:rFonts w:ascii="Times New Roman" w:hAnsi="Times New Roman" w:cs="Times New Roman"/>
          <w:b/>
          <w:bCs/>
          <w:sz w:val="20"/>
          <w:szCs w:val="20"/>
          <w:lang w:bidi="ar-EG"/>
        </w:rPr>
        <w:t>2. Patients and Meth</w:t>
      </w:r>
      <w:r w:rsidRPr="008047D3">
        <w:rPr>
          <w:rFonts w:ascii="Times New Roman" w:hAnsi="Times New Roman" w:cs="Times New Roman"/>
          <w:b/>
          <w:bCs/>
          <w:color w:val="000000"/>
          <w:sz w:val="20"/>
          <w:szCs w:val="20"/>
          <w:lang w:bidi="ar-EG"/>
        </w:rPr>
        <w:t>od</w:t>
      </w:r>
    </w:p>
    <w:p w:rsidR="00F95C12" w:rsidRPr="008047D3" w:rsidRDefault="00F95C12" w:rsidP="00657BEC">
      <w:pPr>
        <w:snapToGrid w:val="0"/>
        <w:spacing w:after="0" w:line="240" w:lineRule="auto"/>
        <w:jc w:val="both"/>
        <w:rPr>
          <w:rFonts w:ascii="Times New Roman" w:hAnsi="Times New Roman" w:cs="Times New Roman"/>
          <w:b/>
          <w:bCs/>
          <w:sz w:val="20"/>
          <w:szCs w:val="20"/>
          <w:lang w:bidi="ar-EG"/>
        </w:rPr>
      </w:pPr>
      <w:r w:rsidRPr="008047D3">
        <w:rPr>
          <w:rFonts w:ascii="Times New Roman" w:hAnsi="Times New Roman" w:cs="Times New Roman"/>
          <w:b/>
          <w:bCs/>
          <w:sz w:val="20"/>
          <w:szCs w:val="20"/>
          <w:lang w:bidi="ar-EG"/>
        </w:rPr>
        <w:t>1. Patients:</w:t>
      </w:r>
    </w:p>
    <w:p w:rsidR="00F95C12" w:rsidRPr="008047D3" w:rsidRDefault="00F95C12" w:rsidP="00657BEC">
      <w:pPr>
        <w:snapToGrid w:val="0"/>
        <w:spacing w:after="0" w:line="240" w:lineRule="auto"/>
        <w:ind w:firstLine="425"/>
        <w:jc w:val="both"/>
        <w:rPr>
          <w:rFonts w:ascii="Times New Roman" w:hAnsi="Times New Roman" w:cs="Times New Roman"/>
          <w:sz w:val="20"/>
          <w:szCs w:val="20"/>
        </w:rPr>
      </w:pPr>
      <w:r w:rsidRPr="008047D3">
        <w:rPr>
          <w:rFonts w:ascii="Times New Roman" w:hAnsi="Times New Roman" w:cs="Times New Roman"/>
          <w:sz w:val="20"/>
          <w:szCs w:val="20"/>
        </w:rPr>
        <w:t>The study enrolled 100 adult patients from Tanta University Hospital and Ahmed Maher Teaching Hospital (Internal Medicine inpatient wards and outpatient clinics) over twelve months duration.</w:t>
      </w:r>
    </w:p>
    <w:p w:rsidR="00F95C12" w:rsidRPr="008047D3" w:rsidRDefault="00F95C12" w:rsidP="00657BEC">
      <w:pPr>
        <w:snapToGrid w:val="0"/>
        <w:spacing w:after="0" w:line="240" w:lineRule="auto"/>
        <w:ind w:firstLine="425"/>
        <w:jc w:val="both"/>
        <w:rPr>
          <w:rFonts w:ascii="Times New Roman" w:hAnsi="Times New Roman" w:cs="Times New Roman"/>
          <w:sz w:val="20"/>
          <w:szCs w:val="20"/>
        </w:rPr>
      </w:pPr>
      <w:r w:rsidRPr="008047D3">
        <w:rPr>
          <w:rFonts w:ascii="Times New Roman" w:hAnsi="Times New Roman" w:cs="Times New Roman"/>
          <w:sz w:val="20"/>
          <w:szCs w:val="20"/>
        </w:rPr>
        <w:t>They were divided into two groups:</w:t>
      </w:r>
    </w:p>
    <w:p w:rsidR="00F95C12" w:rsidRPr="008047D3" w:rsidRDefault="00F95C12" w:rsidP="00657BEC">
      <w:pPr>
        <w:snapToGrid w:val="0"/>
        <w:spacing w:after="0" w:line="240" w:lineRule="auto"/>
        <w:ind w:firstLine="425"/>
        <w:jc w:val="both"/>
        <w:rPr>
          <w:rFonts w:ascii="Times New Roman" w:hAnsi="Times New Roman" w:cs="Times New Roman"/>
          <w:sz w:val="20"/>
          <w:szCs w:val="20"/>
        </w:rPr>
      </w:pPr>
      <w:r w:rsidRPr="008047D3">
        <w:rPr>
          <w:rFonts w:ascii="Times New Roman" w:hAnsi="Times New Roman" w:cs="Times New Roman"/>
          <w:b/>
          <w:bCs/>
          <w:sz w:val="20"/>
          <w:szCs w:val="20"/>
        </w:rPr>
        <w:t>Group І</w:t>
      </w:r>
      <w:r w:rsidRPr="008047D3">
        <w:rPr>
          <w:rFonts w:ascii="Times New Roman" w:hAnsi="Times New Roman" w:cs="Times New Roman"/>
          <w:sz w:val="20"/>
          <w:szCs w:val="20"/>
        </w:rPr>
        <w:t xml:space="preserve"> (n: 50):</w:t>
      </w:r>
    </w:p>
    <w:p w:rsidR="00F95C12" w:rsidRPr="008047D3" w:rsidRDefault="00F95C12" w:rsidP="00657BEC">
      <w:pPr>
        <w:snapToGrid w:val="0"/>
        <w:spacing w:after="0" w:line="240" w:lineRule="auto"/>
        <w:ind w:firstLine="425"/>
        <w:jc w:val="both"/>
        <w:rPr>
          <w:rFonts w:ascii="Times New Roman" w:hAnsi="Times New Roman" w:cs="Times New Roman"/>
          <w:sz w:val="20"/>
          <w:szCs w:val="20"/>
        </w:rPr>
      </w:pPr>
      <w:r w:rsidRPr="008047D3">
        <w:rPr>
          <w:rFonts w:ascii="Times New Roman" w:hAnsi="Times New Roman" w:cs="Times New Roman"/>
          <w:sz w:val="20"/>
          <w:szCs w:val="20"/>
        </w:rPr>
        <w:t>Included 50 adult patients with type 2 diabetes mellitus and normo-albuminuria (UAE&lt;30 mg/day)</w:t>
      </w:r>
    </w:p>
    <w:p w:rsidR="00F95C12" w:rsidRPr="008047D3" w:rsidRDefault="00F95C12" w:rsidP="00657BEC">
      <w:pPr>
        <w:snapToGrid w:val="0"/>
        <w:spacing w:after="0" w:line="240" w:lineRule="auto"/>
        <w:ind w:firstLine="425"/>
        <w:jc w:val="both"/>
        <w:rPr>
          <w:rFonts w:ascii="Times New Roman" w:hAnsi="Times New Roman" w:cs="Times New Roman"/>
          <w:sz w:val="20"/>
          <w:szCs w:val="20"/>
        </w:rPr>
      </w:pPr>
      <w:r w:rsidRPr="008047D3">
        <w:rPr>
          <w:rFonts w:ascii="Times New Roman" w:hAnsi="Times New Roman" w:cs="Times New Roman"/>
          <w:b/>
          <w:bCs/>
          <w:sz w:val="20"/>
          <w:szCs w:val="20"/>
        </w:rPr>
        <w:t>Group ІІ</w:t>
      </w:r>
      <w:r w:rsidRPr="008047D3">
        <w:rPr>
          <w:rFonts w:ascii="Times New Roman" w:hAnsi="Times New Roman" w:cs="Times New Roman"/>
          <w:sz w:val="20"/>
          <w:szCs w:val="20"/>
        </w:rPr>
        <w:t xml:space="preserve"> (n: 50):</w:t>
      </w:r>
    </w:p>
    <w:p w:rsidR="00F95C12" w:rsidRPr="008047D3" w:rsidRDefault="00F95C12" w:rsidP="00657BEC">
      <w:pPr>
        <w:snapToGrid w:val="0"/>
        <w:spacing w:after="0" w:line="240" w:lineRule="auto"/>
        <w:ind w:firstLine="425"/>
        <w:jc w:val="both"/>
        <w:rPr>
          <w:rFonts w:ascii="Times New Roman" w:hAnsi="Times New Roman" w:cs="Times New Roman"/>
          <w:sz w:val="20"/>
          <w:szCs w:val="20"/>
        </w:rPr>
      </w:pPr>
      <w:r w:rsidRPr="008047D3">
        <w:rPr>
          <w:rFonts w:ascii="Times New Roman" w:hAnsi="Times New Roman" w:cs="Times New Roman"/>
          <w:sz w:val="20"/>
          <w:szCs w:val="20"/>
        </w:rPr>
        <w:t>Included 50 adult patients with type 2 diabetes mellitus and albuminuria (UAE≥ 30) mg/day).</w:t>
      </w:r>
    </w:p>
    <w:p w:rsidR="00F95C12" w:rsidRPr="008047D3" w:rsidRDefault="00F95C12" w:rsidP="00657BEC">
      <w:pPr>
        <w:snapToGrid w:val="0"/>
        <w:spacing w:after="0" w:line="240" w:lineRule="auto"/>
        <w:jc w:val="both"/>
        <w:rPr>
          <w:rFonts w:ascii="Times New Roman" w:hAnsi="Times New Roman" w:cs="Times New Roman"/>
          <w:b/>
          <w:bCs/>
          <w:color w:val="000000"/>
          <w:sz w:val="20"/>
          <w:szCs w:val="20"/>
          <w:lang w:bidi="ar-EG"/>
        </w:rPr>
      </w:pPr>
      <w:r w:rsidRPr="008047D3">
        <w:rPr>
          <w:rFonts w:ascii="Times New Roman" w:hAnsi="Times New Roman" w:cs="Times New Roman"/>
          <w:b/>
          <w:bCs/>
          <w:color w:val="000000"/>
          <w:sz w:val="20"/>
          <w:szCs w:val="20"/>
          <w:lang w:bidi="ar-EG"/>
        </w:rPr>
        <w:t>2. Methods</w:t>
      </w:r>
    </w:p>
    <w:p w:rsidR="00F95C12" w:rsidRPr="008047D3" w:rsidRDefault="00F95C12" w:rsidP="00657BEC">
      <w:pPr>
        <w:snapToGrid w:val="0"/>
        <w:spacing w:after="0" w:line="240" w:lineRule="auto"/>
        <w:jc w:val="both"/>
        <w:rPr>
          <w:rFonts w:ascii="Times New Roman" w:hAnsi="Times New Roman" w:cs="Times New Roman"/>
          <w:b/>
          <w:bCs/>
          <w:color w:val="000000"/>
          <w:sz w:val="20"/>
          <w:szCs w:val="20"/>
          <w:lang w:bidi="ar-EG"/>
        </w:rPr>
      </w:pPr>
      <w:r w:rsidRPr="008047D3">
        <w:rPr>
          <w:rFonts w:ascii="Times New Roman" w:hAnsi="Times New Roman" w:cs="Times New Roman"/>
          <w:b/>
          <w:bCs/>
          <w:color w:val="000000"/>
          <w:sz w:val="20"/>
          <w:szCs w:val="20"/>
          <w:lang w:bidi="ar-EG"/>
        </w:rPr>
        <w:t>All patients in both groups were subjected to:</w:t>
      </w:r>
    </w:p>
    <w:p w:rsidR="00F95C12" w:rsidRPr="008047D3" w:rsidRDefault="00F95C12" w:rsidP="00657BEC">
      <w:pPr>
        <w:snapToGrid w:val="0"/>
        <w:spacing w:after="0" w:line="240" w:lineRule="auto"/>
        <w:ind w:firstLine="425"/>
        <w:jc w:val="both"/>
        <w:rPr>
          <w:rFonts w:ascii="Times New Roman" w:hAnsi="Times New Roman" w:cs="Times New Roman"/>
          <w:color w:val="000000"/>
          <w:sz w:val="20"/>
          <w:szCs w:val="20"/>
          <w:lang w:bidi="ar-EG"/>
        </w:rPr>
      </w:pPr>
      <w:r w:rsidRPr="008047D3">
        <w:rPr>
          <w:rFonts w:ascii="Times New Roman" w:hAnsi="Times New Roman" w:cs="Times New Roman"/>
          <w:color w:val="000000"/>
          <w:sz w:val="20"/>
          <w:szCs w:val="20"/>
          <w:lang w:bidi="ar-EG"/>
        </w:rPr>
        <w:t>1. Full history taking.</w:t>
      </w:r>
    </w:p>
    <w:p w:rsidR="00F95C12" w:rsidRPr="008047D3" w:rsidRDefault="00F95C12" w:rsidP="00657BEC">
      <w:pPr>
        <w:snapToGrid w:val="0"/>
        <w:spacing w:after="0" w:line="240" w:lineRule="auto"/>
        <w:ind w:firstLine="425"/>
        <w:jc w:val="both"/>
        <w:rPr>
          <w:rFonts w:ascii="Times New Roman" w:hAnsi="Times New Roman" w:cs="Times New Roman"/>
          <w:color w:val="000000"/>
          <w:sz w:val="20"/>
          <w:szCs w:val="20"/>
          <w:lang w:bidi="ar-EG"/>
        </w:rPr>
      </w:pPr>
      <w:r w:rsidRPr="008047D3">
        <w:rPr>
          <w:rFonts w:ascii="Times New Roman" w:hAnsi="Times New Roman" w:cs="Times New Roman"/>
          <w:color w:val="000000"/>
          <w:sz w:val="20"/>
          <w:szCs w:val="20"/>
          <w:lang w:bidi="ar-EG"/>
        </w:rPr>
        <w:t>2. Clinical examination.</w:t>
      </w:r>
    </w:p>
    <w:p w:rsidR="00F95C12" w:rsidRPr="008047D3" w:rsidRDefault="00F95C12" w:rsidP="00657BEC">
      <w:pPr>
        <w:snapToGrid w:val="0"/>
        <w:spacing w:after="0" w:line="240" w:lineRule="auto"/>
        <w:ind w:firstLine="425"/>
        <w:jc w:val="both"/>
        <w:rPr>
          <w:rFonts w:ascii="Times New Roman" w:hAnsi="Times New Roman" w:cs="Times New Roman"/>
          <w:color w:val="000000"/>
          <w:sz w:val="20"/>
          <w:szCs w:val="20"/>
          <w:lang w:bidi="ar-EG"/>
        </w:rPr>
      </w:pPr>
      <w:r w:rsidRPr="008047D3">
        <w:rPr>
          <w:rFonts w:ascii="Times New Roman" w:hAnsi="Times New Roman" w:cs="Times New Roman"/>
          <w:color w:val="000000"/>
          <w:sz w:val="20"/>
          <w:szCs w:val="20"/>
          <w:lang w:bidi="ar-EG"/>
        </w:rPr>
        <w:t>3. Routine laboratory investigations:</w:t>
      </w:r>
    </w:p>
    <w:p w:rsidR="00F95C12" w:rsidRPr="008047D3" w:rsidRDefault="00F95C12" w:rsidP="00657BEC">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Complete blood picture.</w:t>
      </w:r>
    </w:p>
    <w:p w:rsidR="00F95C12" w:rsidRPr="008047D3" w:rsidRDefault="00F95C12" w:rsidP="00657BEC">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Serum fasting blood glucose, 2H post prandial blood glucose and HbA</w:t>
      </w:r>
      <w:r w:rsidRPr="008047D3">
        <w:rPr>
          <w:rFonts w:ascii="Times New Roman" w:hAnsi="Times New Roman" w:cs="Times New Roman"/>
          <w:sz w:val="20"/>
          <w:szCs w:val="20"/>
          <w:vertAlign w:val="subscript"/>
        </w:rPr>
        <w:t>1C.</w:t>
      </w:r>
    </w:p>
    <w:p w:rsidR="00F95C12" w:rsidRPr="008047D3" w:rsidRDefault="00F95C12" w:rsidP="00657BEC">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Lipid profile: Total cholesterol and triglycerides levels.</w:t>
      </w:r>
    </w:p>
    <w:p w:rsidR="00F95C12" w:rsidRPr="008047D3" w:rsidRDefault="00F95C12" w:rsidP="00657BEC">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Kidney function tests including: blood urea nitrogen and serum creatinine.</w:t>
      </w:r>
    </w:p>
    <w:p w:rsidR="00F95C12" w:rsidRPr="008047D3" w:rsidRDefault="00F95C12" w:rsidP="00657BEC">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Uric acid, ALT, AST, Alkaline phosphatase and serum albumin levels.</w:t>
      </w:r>
    </w:p>
    <w:p w:rsidR="00F95C12" w:rsidRPr="008047D3" w:rsidRDefault="00F95C12" w:rsidP="00657BEC">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Urinary albumin to creatinine ratio.</w:t>
      </w:r>
    </w:p>
    <w:p w:rsidR="00F95C12" w:rsidRPr="008047D3" w:rsidRDefault="00F95C12" w:rsidP="00657BEC">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Complete urine analysis.</w:t>
      </w:r>
    </w:p>
    <w:p w:rsidR="00F95C12" w:rsidRPr="008047D3" w:rsidRDefault="00F95C12" w:rsidP="00657BEC">
      <w:pPr>
        <w:snapToGrid w:val="0"/>
        <w:spacing w:after="0" w:line="240" w:lineRule="auto"/>
        <w:ind w:firstLine="425"/>
        <w:jc w:val="both"/>
        <w:rPr>
          <w:rFonts w:ascii="Times New Roman" w:hAnsi="Times New Roman" w:cs="Times New Roman"/>
          <w:sz w:val="20"/>
          <w:szCs w:val="20"/>
        </w:rPr>
      </w:pPr>
      <w:r w:rsidRPr="008047D3">
        <w:rPr>
          <w:rFonts w:ascii="Times New Roman" w:hAnsi="Times New Roman" w:cs="Times New Roman"/>
          <w:sz w:val="20"/>
          <w:szCs w:val="20"/>
        </w:rPr>
        <w:t>4. Pelvi-abdominal sonography.</w:t>
      </w:r>
    </w:p>
    <w:p w:rsidR="00F95C12" w:rsidRPr="008047D3" w:rsidRDefault="00F95C12" w:rsidP="00657BEC">
      <w:pPr>
        <w:snapToGrid w:val="0"/>
        <w:spacing w:after="0" w:line="240" w:lineRule="auto"/>
        <w:ind w:firstLine="425"/>
        <w:jc w:val="both"/>
        <w:rPr>
          <w:rFonts w:ascii="Times New Roman" w:hAnsi="Times New Roman" w:cs="Times New Roman"/>
          <w:b/>
          <w:bCs/>
          <w:sz w:val="20"/>
          <w:szCs w:val="20"/>
        </w:rPr>
      </w:pPr>
      <w:r w:rsidRPr="008047D3">
        <w:rPr>
          <w:rFonts w:ascii="Times New Roman" w:hAnsi="Times New Roman" w:cs="Times New Roman"/>
          <w:b/>
          <w:bCs/>
          <w:sz w:val="20"/>
          <w:szCs w:val="20"/>
        </w:rPr>
        <w:t>5. Specific laboratory investigation:</w:t>
      </w:r>
    </w:p>
    <w:p w:rsidR="00F95C12" w:rsidRPr="008047D3" w:rsidRDefault="00F95C12" w:rsidP="00657BEC">
      <w:pPr>
        <w:snapToGrid w:val="0"/>
        <w:spacing w:after="0" w:line="240" w:lineRule="auto"/>
        <w:ind w:firstLine="425"/>
        <w:jc w:val="both"/>
        <w:rPr>
          <w:rFonts w:ascii="Times New Roman" w:hAnsi="Times New Roman" w:cs="Times New Roman"/>
          <w:sz w:val="20"/>
          <w:szCs w:val="20"/>
        </w:rPr>
      </w:pPr>
      <w:r w:rsidRPr="008047D3">
        <w:rPr>
          <w:rFonts w:ascii="Times New Roman" w:hAnsi="Times New Roman" w:cs="Times New Roman"/>
          <w:sz w:val="20"/>
          <w:szCs w:val="20"/>
        </w:rPr>
        <w:t xml:space="preserve">Determination of serum </w:t>
      </w:r>
      <w:r w:rsidRPr="008047D3">
        <w:rPr>
          <w:rFonts w:ascii="Times New Roman" w:hAnsi="Times New Roman" w:cs="Times New Roman"/>
          <w:b/>
          <w:bCs/>
          <w:sz w:val="20"/>
          <w:szCs w:val="20"/>
        </w:rPr>
        <w:t xml:space="preserve">Nesfatin-1 </w:t>
      </w:r>
      <w:r w:rsidRPr="008047D3">
        <w:rPr>
          <w:rFonts w:ascii="Times New Roman" w:hAnsi="Times New Roman" w:cs="Times New Roman"/>
          <w:sz w:val="20"/>
          <w:szCs w:val="20"/>
        </w:rPr>
        <w:t>levels (by ELISA kit for Nesfatin-1)</w:t>
      </w:r>
    </w:p>
    <w:p w:rsidR="00F95C12" w:rsidRPr="008047D3" w:rsidRDefault="00F95C12" w:rsidP="00657BEC">
      <w:pPr>
        <w:snapToGrid w:val="0"/>
        <w:spacing w:after="0" w:line="240" w:lineRule="auto"/>
        <w:jc w:val="both"/>
        <w:rPr>
          <w:rFonts w:ascii="Times New Roman" w:hAnsi="Times New Roman" w:cs="Times New Roman"/>
          <w:b/>
          <w:bCs/>
          <w:sz w:val="20"/>
          <w:szCs w:val="20"/>
        </w:rPr>
      </w:pPr>
      <w:r w:rsidRPr="008047D3">
        <w:rPr>
          <w:rFonts w:ascii="Times New Roman" w:hAnsi="Times New Roman" w:cs="Times New Roman"/>
          <w:b/>
          <w:bCs/>
          <w:sz w:val="20"/>
          <w:szCs w:val="20"/>
        </w:rPr>
        <w:t>3. Inclusion criteria:</w:t>
      </w:r>
    </w:p>
    <w:p w:rsidR="00F95C12" w:rsidRPr="008047D3" w:rsidRDefault="00F95C12" w:rsidP="00657BEC">
      <w:pPr>
        <w:snapToGrid w:val="0"/>
        <w:spacing w:after="0" w:line="240" w:lineRule="auto"/>
        <w:jc w:val="both"/>
        <w:rPr>
          <w:rFonts w:ascii="Times New Roman" w:hAnsi="Times New Roman" w:cs="Times New Roman"/>
          <w:b/>
          <w:bCs/>
          <w:sz w:val="20"/>
          <w:szCs w:val="20"/>
        </w:rPr>
      </w:pPr>
      <w:r w:rsidRPr="008047D3">
        <w:rPr>
          <w:rFonts w:ascii="Times New Roman" w:hAnsi="Times New Roman" w:cs="Times New Roman"/>
          <w:b/>
          <w:bCs/>
          <w:sz w:val="20"/>
          <w:szCs w:val="20"/>
        </w:rPr>
        <w:t>Patients with:</w:t>
      </w:r>
    </w:p>
    <w:p w:rsidR="00F95C12" w:rsidRPr="008047D3" w:rsidRDefault="00F95C12" w:rsidP="00657BEC">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Type 2 Diabetes Mellitus on oral anti-hyperglycemic agents and /or insulin and statins in dyslipidemic subjects.</w:t>
      </w:r>
    </w:p>
    <w:p w:rsidR="00F95C12" w:rsidRPr="008047D3" w:rsidRDefault="00F95C12" w:rsidP="00657BEC">
      <w:pPr>
        <w:snapToGrid w:val="0"/>
        <w:spacing w:after="0" w:line="240" w:lineRule="auto"/>
        <w:jc w:val="both"/>
        <w:rPr>
          <w:rFonts w:ascii="Times New Roman" w:hAnsi="Times New Roman" w:cs="Times New Roman"/>
          <w:b/>
          <w:bCs/>
          <w:sz w:val="20"/>
          <w:szCs w:val="20"/>
        </w:rPr>
      </w:pPr>
      <w:r w:rsidRPr="008047D3">
        <w:rPr>
          <w:rFonts w:ascii="Times New Roman" w:hAnsi="Times New Roman" w:cs="Times New Roman"/>
          <w:b/>
          <w:bCs/>
          <w:sz w:val="20"/>
          <w:szCs w:val="20"/>
        </w:rPr>
        <w:t>4. Exclusion criteria:</w:t>
      </w:r>
    </w:p>
    <w:p w:rsidR="00F95C12" w:rsidRPr="008047D3" w:rsidRDefault="00F95C12" w:rsidP="00657BEC">
      <w:pPr>
        <w:snapToGrid w:val="0"/>
        <w:spacing w:after="0" w:line="240" w:lineRule="auto"/>
        <w:jc w:val="both"/>
        <w:rPr>
          <w:rFonts w:ascii="Times New Roman" w:hAnsi="Times New Roman" w:cs="Times New Roman"/>
          <w:b/>
          <w:bCs/>
          <w:sz w:val="20"/>
          <w:szCs w:val="20"/>
        </w:rPr>
      </w:pPr>
      <w:r w:rsidRPr="008047D3">
        <w:rPr>
          <w:rFonts w:ascii="Times New Roman" w:hAnsi="Times New Roman" w:cs="Times New Roman"/>
          <w:b/>
          <w:bCs/>
          <w:sz w:val="20"/>
          <w:szCs w:val="20"/>
        </w:rPr>
        <w:t>Patients with:</w:t>
      </w:r>
    </w:p>
    <w:p w:rsidR="00F95C12" w:rsidRPr="008047D3" w:rsidRDefault="00F95C12" w:rsidP="00657BEC">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lastRenderedPageBreak/>
        <w:t>Type 1 Diabetes Mellitus.</w:t>
      </w:r>
    </w:p>
    <w:p w:rsidR="00F95C12" w:rsidRPr="008047D3" w:rsidRDefault="00F95C12" w:rsidP="00657BEC">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Serum creatinine level &gt;2 mg/dl.</w:t>
      </w:r>
    </w:p>
    <w:p w:rsidR="00F95C12" w:rsidRPr="008047D3" w:rsidRDefault="00F95C12" w:rsidP="00657BEC">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History of renal disease before to the onset of Diabetes Mellitus.</w:t>
      </w:r>
    </w:p>
    <w:p w:rsidR="00F95C12" w:rsidRPr="008047D3" w:rsidRDefault="00F95C12" w:rsidP="00657BEC">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Any symptoms or signs of inflammatory renal disease.</w:t>
      </w:r>
    </w:p>
    <w:p w:rsidR="00F95C12" w:rsidRPr="008047D3" w:rsidRDefault="00F95C12" w:rsidP="00657BEC">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Poor compliance to treatment (e.g.: due to side effects of drugs or irregular consumption of medications).</w:t>
      </w:r>
    </w:p>
    <w:p w:rsidR="00F95C12" w:rsidRPr="008047D3" w:rsidRDefault="00F95C12" w:rsidP="00657BEC">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Cigarette/tobacco or alcohol consumption.</w:t>
      </w:r>
    </w:p>
    <w:p w:rsidR="00F95C12" w:rsidRPr="008047D3" w:rsidRDefault="00F95C12" w:rsidP="00657BEC">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Obesity (BMI ≥30 mg/kg</w:t>
      </w:r>
      <w:r w:rsidRPr="008047D3">
        <w:rPr>
          <w:rFonts w:ascii="Times New Roman" w:hAnsi="Times New Roman" w:cs="Times New Roman"/>
          <w:sz w:val="20"/>
          <w:szCs w:val="20"/>
          <w:vertAlign w:val="superscript"/>
        </w:rPr>
        <w:t>2</w:t>
      </w:r>
      <w:r w:rsidRPr="008047D3">
        <w:rPr>
          <w:rFonts w:ascii="Times New Roman" w:hAnsi="Times New Roman" w:cs="Times New Roman"/>
          <w:sz w:val="20"/>
          <w:szCs w:val="20"/>
        </w:rPr>
        <w:t>).</w:t>
      </w:r>
    </w:p>
    <w:p w:rsidR="00F95C12" w:rsidRPr="008047D3" w:rsidRDefault="00F95C12" w:rsidP="00657BEC">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Evidence of renal damage and dysfunction (eGFR &lt; 60 ml/min/1.73 m</w:t>
      </w:r>
      <w:r w:rsidRPr="008047D3">
        <w:rPr>
          <w:rFonts w:ascii="Times New Roman" w:hAnsi="Times New Roman" w:cs="Times New Roman"/>
          <w:sz w:val="20"/>
          <w:szCs w:val="20"/>
          <w:vertAlign w:val="superscript"/>
        </w:rPr>
        <w:t>2</w:t>
      </w:r>
      <w:r w:rsidRPr="008047D3">
        <w:rPr>
          <w:rFonts w:ascii="Times New Roman" w:hAnsi="Times New Roman" w:cs="Times New Roman"/>
          <w:sz w:val="20"/>
          <w:szCs w:val="20"/>
        </w:rPr>
        <w:t>).</w:t>
      </w:r>
    </w:p>
    <w:p w:rsidR="00F95C12" w:rsidRPr="008047D3" w:rsidRDefault="00F95C12" w:rsidP="00657BEC">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Current or recurrent urinary tract infection.</w:t>
      </w:r>
    </w:p>
    <w:p w:rsidR="00F95C12" w:rsidRPr="008047D3" w:rsidRDefault="00F95C12" w:rsidP="00657BEC">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Active viral/bacterial infection.</w:t>
      </w:r>
    </w:p>
    <w:p w:rsidR="00F95C12" w:rsidRPr="008047D3" w:rsidRDefault="00F95C12" w:rsidP="00657BEC">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Evidence of fatty liver degenerative disease (non-alcoholic fatty liver disease and non-alcoholic steatohepatitis).</w:t>
      </w:r>
    </w:p>
    <w:p w:rsidR="00F95C12" w:rsidRPr="008047D3" w:rsidRDefault="00F95C12" w:rsidP="00657BEC">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Use of drugs known to affect serum Nesfatin-1 level as anti-epileptic drugs.</w:t>
      </w:r>
    </w:p>
    <w:p w:rsidR="00F95C12" w:rsidRPr="008047D3" w:rsidRDefault="00F95C12" w:rsidP="00657BEC">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 xml:space="preserve">History of chronic macrovascluar complications due to DM. </w:t>
      </w:r>
    </w:p>
    <w:p w:rsidR="00F95C12" w:rsidRPr="008047D3" w:rsidRDefault="00F95C12" w:rsidP="00657BEC">
      <w:pPr>
        <w:snapToGrid w:val="0"/>
        <w:spacing w:after="0" w:line="240" w:lineRule="auto"/>
        <w:jc w:val="both"/>
        <w:rPr>
          <w:rFonts w:ascii="Times New Roman" w:hAnsi="Times New Roman" w:cs="Times New Roman"/>
          <w:b/>
          <w:bCs/>
          <w:sz w:val="20"/>
          <w:szCs w:val="20"/>
        </w:rPr>
      </w:pPr>
      <w:r w:rsidRPr="008047D3">
        <w:rPr>
          <w:rFonts w:ascii="Times New Roman" w:hAnsi="Times New Roman" w:cs="Times New Roman"/>
          <w:b/>
          <w:bCs/>
          <w:sz w:val="20"/>
          <w:szCs w:val="20"/>
        </w:rPr>
        <w:t>5. Ethical consideration:</w:t>
      </w:r>
    </w:p>
    <w:p w:rsidR="00F95C12" w:rsidRPr="008047D3" w:rsidRDefault="00F95C12" w:rsidP="00657BEC">
      <w:pPr>
        <w:pStyle w:val="ListParagraph"/>
        <w:numPr>
          <w:ilvl w:val="0"/>
          <w:numId w:val="9"/>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A written informed consent was obtained from each patient after explanation of risk and benefits in the study.</w:t>
      </w:r>
    </w:p>
    <w:p w:rsidR="00F95C12" w:rsidRPr="008047D3" w:rsidRDefault="00F95C12" w:rsidP="00657BEC">
      <w:pPr>
        <w:pStyle w:val="ListParagraph"/>
        <w:numPr>
          <w:ilvl w:val="0"/>
          <w:numId w:val="9"/>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Complete data obtained from patients confidentially and every subject had a code number to his/ her file which contained all investigations and clinical data collected.</w:t>
      </w:r>
    </w:p>
    <w:p w:rsidR="00F95C12" w:rsidRPr="008047D3" w:rsidRDefault="00F95C12" w:rsidP="00657BEC">
      <w:pPr>
        <w:pStyle w:val="ListParagraph"/>
        <w:numPr>
          <w:ilvl w:val="0"/>
          <w:numId w:val="9"/>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The study is approved by the Ethics Committee of Faculty of Medicine, Tanta University.</w:t>
      </w:r>
    </w:p>
    <w:p w:rsidR="00F95C12" w:rsidRPr="008047D3" w:rsidRDefault="00F95C12" w:rsidP="00657BEC">
      <w:pPr>
        <w:snapToGrid w:val="0"/>
        <w:spacing w:after="0" w:line="240" w:lineRule="auto"/>
        <w:jc w:val="both"/>
        <w:rPr>
          <w:rFonts w:ascii="Times New Roman" w:hAnsi="Times New Roman" w:cs="Times New Roman"/>
          <w:b/>
          <w:bCs/>
          <w:sz w:val="20"/>
          <w:szCs w:val="20"/>
        </w:rPr>
      </w:pPr>
      <w:r w:rsidRPr="008047D3">
        <w:rPr>
          <w:rFonts w:ascii="Times New Roman" w:hAnsi="Times New Roman" w:cs="Times New Roman"/>
          <w:b/>
          <w:bCs/>
          <w:sz w:val="20"/>
          <w:szCs w:val="20"/>
        </w:rPr>
        <w:t>6. Sample:</w:t>
      </w:r>
    </w:p>
    <w:p w:rsidR="00F95C12" w:rsidRPr="008047D3" w:rsidRDefault="00F95C12" w:rsidP="00657BEC">
      <w:pPr>
        <w:snapToGrid w:val="0"/>
        <w:spacing w:after="0" w:line="240" w:lineRule="auto"/>
        <w:ind w:firstLine="425"/>
        <w:jc w:val="both"/>
        <w:rPr>
          <w:rFonts w:ascii="Times New Roman" w:hAnsi="Times New Roman" w:cs="Times New Roman"/>
          <w:sz w:val="20"/>
          <w:szCs w:val="20"/>
        </w:rPr>
      </w:pPr>
      <w:r w:rsidRPr="008047D3">
        <w:rPr>
          <w:rFonts w:ascii="Times New Roman" w:hAnsi="Times New Roman" w:cs="Times New Roman"/>
          <w:b/>
          <w:bCs/>
          <w:sz w:val="20"/>
          <w:szCs w:val="20"/>
        </w:rPr>
        <w:t>a)</w:t>
      </w:r>
      <w:r w:rsidRPr="008047D3">
        <w:rPr>
          <w:rFonts w:ascii="Times New Roman" w:hAnsi="Times New Roman" w:cs="Times New Roman"/>
          <w:sz w:val="20"/>
          <w:szCs w:val="20"/>
        </w:rPr>
        <w:t xml:space="preserve"> 1 ml. of venous blood sample in Wasserman tube was collected from each patient. Serum- coagulation was allowed at room temperature for 10-20 minutes.</w:t>
      </w:r>
      <w:r w:rsidR="00310F47" w:rsidRPr="008047D3">
        <w:rPr>
          <w:rFonts w:ascii="Times New Roman" w:hAnsi="Times New Roman" w:cs="Times New Roman"/>
          <w:sz w:val="20"/>
          <w:szCs w:val="20"/>
        </w:rPr>
        <w:t xml:space="preserve"> </w:t>
      </w:r>
      <w:r w:rsidRPr="008047D3">
        <w:rPr>
          <w:rFonts w:ascii="Times New Roman" w:hAnsi="Times New Roman" w:cs="Times New Roman"/>
          <w:sz w:val="20"/>
          <w:szCs w:val="20"/>
        </w:rPr>
        <w:t xml:space="preserve">Centrifugation was done for 20 minutes at the speed of 2000-3000 R.P.M. </w:t>
      </w:r>
    </w:p>
    <w:p w:rsidR="00F95C12" w:rsidRPr="008047D3" w:rsidRDefault="00F95C12" w:rsidP="00657BEC">
      <w:pPr>
        <w:snapToGrid w:val="0"/>
        <w:spacing w:after="0" w:line="240" w:lineRule="auto"/>
        <w:jc w:val="both"/>
        <w:rPr>
          <w:rFonts w:ascii="Times New Roman" w:hAnsi="Times New Roman" w:cs="Times New Roman"/>
          <w:b/>
          <w:bCs/>
          <w:sz w:val="20"/>
          <w:szCs w:val="20"/>
        </w:rPr>
      </w:pPr>
      <w:r w:rsidRPr="008047D3">
        <w:rPr>
          <w:rFonts w:ascii="Times New Roman" w:hAnsi="Times New Roman" w:cs="Times New Roman"/>
          <w:b/>
          <w:bCs/>
          <w:sz w:val="20"/>
          <w:szCs w:val="20"/>
        </w:rPr>
        <w:t>b) Assay procedure:</w:t>
      </w:r>
    </w:p>
    <w:p w:rsidR="00F95C12" w:rsidRPr="008047D3" w:rsidRDefault="00F95C12" w:rsidP="00657BEC">
      <w:pPr>
        <w:snapToGrid w:val="0"/>
        <w:spacing w:after="0" w:line="240" w:lineRule="auto"/>
        <w:ind w:firstLine="425"/>
        <w:jc w:val="both"/>
        <w:rPr>
          <w:rFonts w:ascii="Times New Roman" w:hAnsi="Times New Roman" w:cs="Times New Roman"/>
          <w:sz w:val="20"/>
          <w:szCs w:val="20"/>
        </w:rPr>
      </w:pPr>
      <w:r w:rsidRPr="008047D3">
        <w:rPr>
          <w:rFonts w:ascii="Times New Roman" w:hAnsi="Times New Roman" w:cs="Times New Roman"/>
          <w:sz w:val="20"/>
          <w:szCs w:val="20"/>
        </w:rPr>
        <w:t>All reagents and samples were brought to room temperature before use. It is recommended that blank, standards, positive control and samples be assayed in duplicates.</w:t>
      </w:r>
    </w:p>
    <w:p w:rsidR="00F95C12" w:rsidRPr="008047D3" w:rsidRDefault="00F95C12" w:rsidP="00657BEC">
      <w:pPr>
        <w:snapToGrid w:val="0"/>
        <w:spacing w:after="0" w:line="240" w:lineRule="auto"/>
        <w:ind w:firstLine="425"/>
        <w:jc w:val="both"/>
        <w:rPr>
          <w:rFonts w:ascii="Times New Roman" w:hAnsi="Times New Roman" w:cs="Times New Roman"/>
          <w:sz w:val="20"/>
          <w:szCs w:val="20"/>
        </w:rPr>
      </w:pPr>
      <w:r w:rsidRPr="008047D3">
        <w:rPr>
          <w:rFonts w:ascii="Times New Roman" w:hAnsi="Times New Roman" w:cs="Times New Roman"/>
          <w:sz w:val="20"/>
          <w:szCs w:val="20"/>
        </w:rPr>
        <w:t>The essay was performed using the following steps:</w:t>
      </w:r>
    </w:p>
    <w:p w:rsidR="00F95C12" w:rsidRPr="008047D3" w:rsidRDefault="00F95C12" w:rsidP="00657BEC">
      <w:pPr>
        <w:pStyle w:val="ListParagraph"/>
        <w:numPr>
          <w:ilvl w:val="0"/>
          <w:numId w:val="10"/>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Prepare all reagents and working standards as directed.</w:t>
      </w:r>
    </w:p>
    <w:p w:rsidR="00F95C12" w:rsidRPr="008047D3" w:rsidRDefault="00F95C12" w:rsidP="00657BEC">
      <w:pPr>
        <w:pStyle w:val="ListParagraph"/>
        <w:numPr>
          <w:ilvl w:val="0"/>
          <w:numId w:val="10"/>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Blank well: don’t add samples and NES1-antibody labeled</w:t>
      </w:r>
    </w:p>
    <w:p w:rsidR="00310F47" w:rsidRPr="008047D3" w:rsidRDefault="00F95C12" w:rsidP="00657BEC">
      <w:pPr>
        <w:pStyle w:val="ListParagraph"/>
        <w:numPr>
          <w:ilvl w:val="0"/>
          <w:numId w:val="10"/>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With biotin, Streptavidin-HRP, only Chromogen solution A and B, and stop solution are allowed; other operations are the same.</w:t>
      </w:r>
    </w:p>
    <w:p w:rsidR="00F95C12" w:rsidRPr="008047D3" w:rsidRDefault="00310F47" w:rsidP="00657BEC">
      <w:pPr>
        <w:pStyle w:val="ListParagraph"/>
        <w:numPr>
          <w:ilvl w:val="0"/>
          <w:numId w:val="10"/>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S</w:t>
      </w:r>
      <w:r w:rsidR="00F95C12" w:rsidRPr="008047D3">
        <w:rPr>
          <w:rFonts w:ascii="Times New Roman" w:hAnsi="Times New Roman" w:cs="Times New Roman"/>
          <w:sz w:val="20"/>
          <w:szCs w:val="20"/>
        </w:rPr>
        <w:t xml:space="preserve">tandard wells: add standard 50μl, Streptavidin-HRP 50μl (since the standard already has </w:t>
      </w:r>
      <w:r w:rsidR="00F95C12" w:rsidRPr="008047D3">
        <w:rPr>
          <w:rFonts w:ascii="Times New Roman" w:hAnsi="Times New Roman" w:cs="Times New Roman"/>
          <w:sz w:val="20"/>
          <w:szCs w:val="20"/>
        </w:rPr>
        <w:lastRenderedPageBreak/>
        <w:t>combined biotin antibody, it is not necessary to add the antibody).</w:t>
      </w:r>
    </w:p>
    <w:p w:rsidR="00F95C12" w:rsidRPr="008047D3" w:rsidRDefault="00F95C12" w:rsidP="00657BEC">
      <w:pPr>
        <w:pStyle w:val="ListParagraph"/>
        <w:numPr>
          <w:ilvl w:val="0"/>
          <w:numId w:val="10"/>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 xml:space="preserve">To be test wells: add sample 40μl, and then add both NES1-antibody 10μl and Streptavidin-HRP 50μl. Then seal the sealing membranes, and gently shaking, incubated 60 minutes at 37 </w:t>
      </w:r>
      <w:r w:rsidRPr="008047D3">
        <w:rPr>
          <w:rFonts w:ascii="Cambria Math" w:hAnsi="Cambria Math" w:cs="Times New Roman"/>
          <w:sz w:val="20"/>
          <w:szCs w:val="20"/>
        </w:rPr>
        <w:t>℃</w:t>
      </w:r>
      <w:r w:rsidRPr="008047D3">
        <w:rPr>
          <w:rFonts w:ascii="Times New Roman" w:hAnsi="Times New Roman" w:cs="Times New Roman"/>
          <w:sz w:val="20"/>
          <w:szCs w:val="20"/>
        </w:rPr>
        <w:t>.</w:t>
      </w:r>
    </w:p>
    <w:p w:rsidR="00F95C12" w:rsidRPr="008047D3" w:rsidRDefault="00F95C12" w:rsidP="00657BEC">
      <w:pPr>
        <w:pStyle w:val="ListParagraph"/>
        <w:numPr>
          <w:ilvl w:val="0"/>
          <w:numId w:val="10"/>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Confection: dilute 30 times the 30×washing concentrate with distilled water as standby.</w:t>
      </w:r>
    </w:p>
    <w:p w:rsidR="00F95C12" w:rsidRPr="008047D3" w:rsidRDefault="00F95C12" w:rsidP="00657BEC">
      <w:pPr>
        <w:pStyle w:val="ListParagraph"/>
        <w:numPr>
          <w:ilvl w:val="0"/>
          <w:numId w:val="10"/>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5. Washing: remove the membranes carefully, and drain the liquid, shake away the remaining water.</w:t>
      </w:r>
    </w:p>
    <w:p w:rsidR="00F95C12" w:rsidRPr="008047D3" w:rsidRDefault="00F95C12" w:rsidP="00657BEC">
      <w:pPr>
        <w:pStyle w:val="ListParagraph"/>
        <w:numPr>
          <w:ilvl w:val="0"/>
          <w:numId w:val="10"/>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Add chromogen solution A 50μl, then chromogen solution B 50μl to each well. Gently mixed, incubate for 10 min at 37</w:t>
      </w:r>
      <w:r w:rsidRPr="008047D3">
        <w:rPr>
          <w:rFonts w:ascii="Cambria Math" w:hAnsi="Cambria Math" w:cs="Times New Roman"/>
          <w:sz w:val="20"/>
          <w:szCs w:val="20"/>
        </w:rPr>
        <w:t>℃</w:t>
      </w:r>
      <w:r w:rsidRPr="008047D3">
        <w:rPr>
          <w:rFonts w:ascii="Times New Roman" w:hAnsi="Times New Roman" w:cs="Times New Roman"/>
          <w:sz w:val="20"/>
          <w:szCs w:val="20"/>
        </w:rPr>
        <w:t xml:space="preserve"> away from light.</w:t>
      </w:r>
    </w:p>
    <w:p w:rsidR="00F95C12" w:rsidRPr="008047D3" w:rsidRDefault="00F95C12" w:rsidP="00657BEC">
      <w:pPr>
        <w:pStyle w:val="ListParagraph"/>
        <w:numPr>
          <w:ilvl w:val="0"/>
          <w:numId w:val="10"/>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Stop: Add Stop Solution 50μl into each well to stop the reaction (the blue changes into yellow immediately).</w:t>
      </w:r>
    </w:p>
    <w:p w:rsidR="00F95C12" w:rsidRPr="008047D3" w:rsidRDefault="00F95C12" w:rsidP="00657BEC">
      <w:pPr>
        <w:pStyle w:val="ListParagraph"/>
        <w:numPr>
          <w:ilvl w:val="0"/>
          <w:numId w:val="10"/>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Final measurement: Take blank well as zero, measure the optical density (OD) under 450 nm wave length which should be carried out within 15min after adding the stop solution.</w:t>
      </w:r>
    </w:p>
    <w:p w:rsidR="00F95C12" w:rsidRPr="008047D3" w:rsidRDefault="00F95C12" w:rsidP="00657BEC">
      <w:pPr>
        <w:pStyle w:val="ListParagraph"/>
        <w:numPr>
          <w:ilvl w:val="0"/>
          <w:numId w:val="10"/>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 xml:space="preserve">According to standards’ concentration and the corresponding OD values, calculate out the standard curve linear regression equation, and then </w:t>
      </w:r>
      <w:r w:rsidRPr="008047D3">
        <w:rPr>
          <w:rFonts w:ascii="Times New Roman" w:hAnsi="Times New Roman" w:cs="Times New Roman"/>
          <w:sz w:val="20"/>
          <w:szCs w:val="20"/>
        </w:rPr>
        <w:lastRenderedPageBreak/>
        <w:t>apply the OD values of the sample on the regression equation to calculate the corresponding sample’s concentration. It is acceptable to use kinds of software to make calculations.</w:t>
      </w:r>
    </w:p>
    <w:p w:rsidR="00742C0E" w:rsidRPr="008047D3" w:rsidRDefault="00742C0E" w:rsidP="00657BEC">
      <w:pPr>
        <w:snapToGrid w:val="0"/>
        <w:spacing w:after="0" w:line="240" w:lineRule="auto"/>
        <w:jc w:val="both"/>
        <w:rPr>
          <w:rFonts w:ascii="Times New Roman" w:hAnsi="Times New Roman" w:cs="Times New Roman"/>
          <w:b/>
          <w:bCs/>
          <w:sz w:val="20"/>
          <w:szCs w:val="20"/>
        </w:rPr>
      </w:pPr>
    </w:p>
    <w:p w:rsidR="00F95C12" w:rsidRPr="008047D3" w:rsidRDefault="00742C0E" w:rsidP="00657BEC">
      <w:pPr>
        <w:snapToGrid w:val="0"/>
        <w:spacing w:after="0" w:line="240" w:lineRule="auto"/>
        <w:jc w:val="both"/>
        <w:rPr>
          <w:rFonts w:ascii="Times New Roman" w:hAnsi="Times New Roman" w:cs="Times New Roman"/>
          <w:b/>
          <w:bCs/>
          <w:sz w:val="20"/>
          <w:szCs w:val="20"/>
        </w:rPr>
      </w:pPr>
      <w:r w:rsidRPr="008047D3">
        <w:rPr>
          <w:rFonts w:ascii="Times New Roman" w:hAnsi="Times New Roman" w:cs="Times New Roman"/>
          <w:b/>
          <w:bCs/>
          <w:sz w:val="20"/>
          <w:szCs w:val="20"/>
        </w:rPr>
        <w:t xml:space="preserve">3. </w:t>
      </w:r>
      <w:r w:rsidR="00F95C12" w:rsidRPr="008047D3">
        <w:rPr>
          <w:rFonts w:ascii="Times New Roman" w:hAnsi="Times New Roman" w:cs="Times New Roman"/>
          <w:b/>
          <w:bCs/>
          <w:sz w:val="20"/>
          <w:szCs w:val="20"/>
        </w:rPr>
        <w:t>Results</w:t>
      </w:r>
    </w:p>
    <w:p w:rsidR="00F95C12" w:rsidRPr="008047D3" w:rsidRDefault="00F95C12" w:rsidP="00657BEC">
      <w:pPr>
        <w:pStyle w:val="ListParagraph"/>
        <w:numPr>
          <w:ilvl w:val="0"/>
          <w:numId w:val="11"/>
        </w:numPr>
        <w:tabs>
          <w:tab w:val="right" w:pos="284"/>
        </w:tabs>
        <w:snapToGrid w:val="0"/>
        <w:spacing w:after="0" w:line="240" w:lineRule="auto"/>
        <w:ind w:left="0" w:firstLine="0"/>
        <w:jc w:val="both"/>
        <w:rPr>
          <w:rFonts w:ascii="Times New Roman" w:eastAsia="Times New Roman" w:hAnsi="Times New Roman" w:cs="Times New Roman"/>
          <w:b/>
          <w:bCs/>
          <w:sz w:val="20"/>
          <w:szCs w:val="20"/>
          <w:lang w:bidi="ar-EG"/>
        </w:rPr>
      </w:pPr>
      <w:r w:rsidRPr="008047D3">
        <w:rPr>
          <w:rFonts w:ascii="Times New Roman" w:eastAsia="Times New Roman" w:hAnsi="Times New Roman" w:cs="Times New Roman"/>
          <w:b/>
          <w:bCs/>
          <w:sz w:val="20"/>
          <w:szCs w:val="20"/>
          <w:lang w:bidi="ar-EG"/>
        </w:rPr>
        <w:t>Demographic data of the two studied groups:</w:t>
      </w:r>
    </w:p>
    <w:p w:rsidR="00F95C12" w:rsidRPr="008047D3" w:rsidRDefault="00F95C12" w:rsidP="00657BEC">
      <w:pPr>
        <w:snapToGrid w:val="0"/>
        <w:spacing w:after="0" w:line="240" w:lineRule="auto"/>
        <w:ind w:firstLine="425"/>
        <w:jc w:val="both"/>
        <w:rPr>
          <w:rFonts w:ascii="Times New Roman" w:hAnsi="Times New Roman" w:cs="Times New Roman"/>
          <w:sz w:val="20"/>
          <w:szCs w:val="20"/>
        </w:rPr>
      </w:pPr>
      <w:r w:rsidRPr="008047D3">
        <w:rPr>
          <w:rFonts w:ascii="Times New Roman" w:hAnsi="Times New Roman" w:cs="Times New Roman"/>
          <w:sz w:val="20"/>
          <w:szCs w:val="20"/>
        </w:rPr>
        <w:t>The study was conducted on 100 adult patients selected from Tanta University Hospital and Ahmed Maher Teaching hospital (Internal Medicine inpatient wards and outpatient clinics). Divided into two groups:</w:t>
      </w:r>
    </w:p>
    <w:p w:rsidR="00F95C12" w:rsidRPr="008047D3" w:rsidRDefault="00F95C12" w:rsidP="00657BEC">
      <w:pPr>
        <w:snapToGrid w:val="0"/>
        <w:spacing w:after="0" w:line="240" w:lineRule="auto"/>
        <w:ind w:firstLine="425"/>
        <w:jc w:val="both"/>
        <w:rPr>
          <w:rFonts w:ascii="Times New Roman" w:hAnsi="Times New Roman" w:cs="Times New Roman"/>
          <w:sz w:val="20"/>
          <w:szCs w:val="20"/>
        </w:rPr>
      </w:pPr>
      <w:r w:rsidRPr="008047D3">
        <w:rPr>
          <w:rFonts w:ascii="Times New Roman" w:hAnsi="Times New Roman" w:cs="Times New Roman"/>
          <w:b/>
          <w:bCs/>
          <w:sz w:val="20"/>
          <w:szCs w:val="20"/>
        </w:rPr>
        <w:t>Group I</w:t>
      </w:r>
      <w:r w:rsidR="00D62B3D" w:rsidRPr="008047D3">
        <w:rPr>
          <w:rFonts w:ascii="Times New Roman" w:hAnsi="Times New Roman" w:cs="Times New Roman"/>
          <w:sz w:val="20"/>
          <w:szCs w:val="20"/>
        </w:rPr>
        <w:t>: I</w:t>
      </w:r>
      <w:r w:rsidRPr="008047D3">
        <w:rPr>
          <w:rFonts w:ascii="Times New Roman" w:hAnsi="Times New Roman" w:cs="Times New Roman"/>
          <w:sz w:val="20"/>
          <w:szCs w:val="20"/>
        </w:rPr>
        <w:t>ncluded 50 adult patients with type 2 diabetes and normoalbuminuria (UAE&lt;30 mg/day).</w:t>
      </w:r>
    </w:p>
    <w:p w:rsidR="00F95C12" w:rsidRPr="008047D3" w:rsidRDefault="00F95C12" w:rsidP="00657BEC">
      <w:pPr>
        <w:snapToGrid w:val="0"/>
        <w:spacing w:after="0" w:line="240" w:lineRule="auto"/>
        <w:ind w:firstLine="425"/>
        <w:jc w:val="both"/>
        <w:rPr>
          <w:rFonts w:ascii="Times New Roman" w:hAnsi="Times New Roman" w:cs="Times New Roman"/>
          <w:sz w:val="20"/>
          <w:szCs w:val="20"/>
        </w:rPr>
      </w:pPr>
      <w:r w:rsidRPr="008047D3">
        <w:rPr>
          <w:rFonts w:ascii="Times New Roman" w:hAnsi="Times New Roman" w:cs="Times New Roman"/>
          <w:b/>
          <w:bCs/>
          <w:sz w:val="20"/>
          <w:szCs w:val="20"/>
        </w:rPr>
        <w:t>Group II:</w:t>
      </w:r>
      <w:r w:rsidRPr="008047D3">
        <w:rPr>
          <w:rFonts w:ascii="Times New Roman" w:hAnsi="Times New Roman" w:cs="Times New Roman"/>
          <w:sz w:val="20"/>
          <w:szCs w:val="20"/>
        </w:rPr>
        <w:t xml:space="preserve"> Included 50 adult patients with type 2 diabetes and albuminuria (UAE≥30mg/day).</w:t>
      </w:r>
    </w:p>
    <w:p w:rsidR="00742C0E" w:rsidRPr="008047D3" w:rsidRDefault="00742C0E" w:rsidP="00657BEC">
      <w:pPr>
        <w:snapToGrid w:val="0"/>
        <w:spacing w:after="0" w:line="240" w:lineRule="auto"/>
        <w:ind w:firstLine="425"/>
        <w:jc w:val="both"/>
        <w:rPr>
          <w:rFonts w:ascii="Times New Roman" w:hAnsi="Times New Roman" w:cs="Times New Roman"/>
          <w:b/>
          <w:bCs/>
          <w:sz w:val="20"/>
          <w:szCs w:val="20"/>
        </w:rPr>
      </w:pPr>
      <w:r w:rsidRPr="008047D3">
        <w:rPr>
          <w:rFonts w:ascii="Times New Roman" w:hAnsi="Times New Roman" w:cs="Times New Roman"/>
          <w:sz w:val="20"/>
          <w:szCs w:val="20"/>
        </w:rPr>
        <w:t>Table (1) demonstrated comparison between the two studied groups regarding age. There was no statistically significant difference between the mean values for age in the two studied groups.</w:t>
      </w:r>
    </w:p>
    <w:p w:rsidR="00742C0E" w:rsidRPr="008047D3" w:rsidRDefault="00742C0E" w:rsidP="00657BEC">
      <w:pPr>
        <w:snapToGrid w:val="0"/>
        <w:spacing w:after="0" w:line="240" w:lineRule="auto"/>
        <w:ind w:firstLine="425"/>
        <w:jc w:val="both"/>
        <w:rPr>
          <w:rFonts w:ascii="Times New Roman" w:hAnsi="Times New Roman" w:cs="Times New Roman"/>
          <w:sz w:val="20"/>
          <w:szCs w:val="20"/>
        </w:rPr>
      </w:pPr>
      <w:r w:rsidRPr="008047D3">
        <w:rPr>
          <w:rFonts w:ascii="Times New Roman" w:hAnsi="Times New Roman" w:cs="Times New Roman"/>
          <w:sz w:val="20"/>
          <w:szCs w:val="20"/>
        </w:rPr>
        <w:t>The mean value for age in group I was 58.6±5.79 years and in group II was 60.74±5.18 years (t=0.677, P-value= 0.084).</w:t>
      </w:r>
    </w:p>
    <w:p w:rsidR="00657BEC" w:rsidRPr="008047D3" w:rsidRDefault="00657BEC" w:rsidP="00657BEC">
      <w:pPr>
        <w:snapToGrid w:val="0"/>
        <w:spacing w:after="0" w:line="240" w:lineRule="auto"/>
        <w:jc w:val="center"/>
        <w:rPr>
          <w:rFonts w:ascii="Times New Roman" w:hAnsi="Times New Roman" w:cs="Times New Roman"/>
          <w:b/>
          <w:bCs/>
          <w:sz w:val="20"/>
          <w:szCs w:val="20"/>
        </w:rPr>
        <w:sectPr w:rsidR="00657BEC" w:rsidRPr="008047D3" w:rsidSect="005E40AC">
          <w:type w:val="continuous"/>
          <w:pgSz w:w="12240" w:h="15840" w:code="13"/>
          <w:pgMar w:top="1440" w:right="1440" w:bottom="1440" w:left="1440" w:header="720" w:footer="720" w:gutter="0"/>
          <w:cols w:num="2" w:space="550"/>
          <w:docGrid w:linePitch="360"/>
        </w:sectPr>
      </w:pPr>
    </w:p>
    <w:p w:rsidR="00742C0E" w:rsidRPr="008047D3" w:rsidRDefault="00742C0E" w:rsidP="00657BEC">
      <w:pPr>
        <w:snapToGrid w:val="0"/>
        <w:spacing w:after="0" w:line="240" w:lineRule="auto"/>
        <w:jc w:val="center"/>
        <w:rPr>
          <w:rFonts w:ascii="Times New Roman" w:hAnsi="Times New Roman" w:cs="Times New Roman"/>
          <w:b/>
          <w:bCs/>
          <w:sz w:val="20"/>
          <w:szCs w:val="20"/>
        </w:rPr>
      </w:pPr>
    </w:p>
    <w:p w:rsidR="00F95C12" w:rsidRPr="008047D3" w:rsidRDefault="00F95C12" w:rsidP="00657BEC">
      <w:pPr>
        <w:snapToGrid w:val="0"/>
        <w:spacing w:after="0" w:line="240" w:lineRule="auto"/>
        <w:jc w:val="center"/>
        <w:rPr>
          <w:rFonts w:ascii="Times New Roman" w:hAnsi="Times New Roman" w:cs="Times New Roman"/>
          <w:sz w:val="20"/>
          <w:szCs w:val="20"/>
        </w:rPr>
      </w:pPr>
      <w:r w:rsidRPr="008047D3">
        <w:rPr>
          <w:rFonts w:ascii="Times New Roman" w:hAnsi="Times New Roman" w:cs="Times New Roman"/>
          <w:b/>
          <w:bCs/>
          <w:sz w:val="20"/>
          <w:szCs w:val="20"/>
        </w:rPr>
        <w:t>Table (1): Age distribution between studied groups</w:t>
      </w:r>
    </w:p>
    <w:tbl>
      <w:tblPr>
        <w:tblStyle w:val="TableGrid"/>
        <w:tblW w:w="5000" w:type="pct"/>
        <w:jc w:val="center"/>
        <w:tblCellMar>
          <w:left w:w="57" w:type="dxa"/>
          <w:right w:w="57" w:type="dxa"/>
        </w:tblCellMar>
        <w:tblLook w:val="0000"/>
      </w:tblPr>
      <w:tblGrid>
        <w:gridCol w:w="1980"/>
        <w:gridCol w:w="2647"/>
        <w:gridCol w:w="2789"/>
        <w:gridCol w:w="1029"/>
        <w:gridCol w:w="1029"/>
      </w:tblGrid>
      <w:tr w:rsidR="00F95C12" w:rsidRPr="008047D3" w:rsidTr="00310F47">
        <w:trPr>
          <w:jc w:val="center"/>
        </w:trPr>
        <w:tc>
          <w:tcPr>
            <w:tcW w:w="1045" w:type="pct"/>
            <w:shd w:val="clear" w:color="auto" w:fill="DEEAF6" w:themeFill="accent1" w:themeFillTint="33"/>
            <w:vAlign w:val="center"/>
          </w:tcPr>
          <w:p w:rsidR="00F95C12" w:rsidRPr="008047D3" w:rsidRDefault="00F95C12" w:rsidP="00657BEC">
            <w:pPr>
              <w:bidi w:val="0"/>
              <w:snapToGrid w:val="0"/>
              <w:jc w:val="both"/>
            </w:pPr>
          </w:p>
        </w:tc>
        <w:tc>
          <w:tcPr>
            <w:tcW w:w="1397" w:type="pct"/>
            <w:shd w:val="clear" w:color="auto" w:fill="DEEAF6" w:themeFill="accent1" w:themeFillTint="33"/>
            <w:vAlign w:val="center"/>
          </w:tcPr>
          <w:p w:rsidR="00F95C12" w:rsidRPr="008047D3" w:rsidRDefault="00F95C12" w:rsidP="00657BEC">
            <w:pPr>
              <w:bidi w:val="0"/>
              <w:snapToGrid w:val="0"/>
              <w:jc w:val="both"/>
              <w:rPr>
                <w:b/>
                <w:bCs/>
              </w:rPr>
            </w:pPr>
            <w:r w:rsidRPr="008047D3">
              <w:rPr>
                <w:b/>
                <w:bCs/>
              </w:rPr>
              <w:t>Group I</w:t>
            </w:r>
            <w:r w:rsidR="00742C0E" w:rsidRPr="008047D3">
              <w:rPr>
                <w:b/>
                <w:bCs/>
              </w:rPr>
              <w:t xml:space="preserve"> </w:t>
            </w:r>
            <w:r w:rsidRPr="008047D3">
              <w:rPr>
                <w:b/>
                <w:bCs/>
              </w:rPr>
              <w:t>(N=50)</w:t>
            </w:r>
          </w:p>
        </w:tc>
        <w:tc>
          <w:tcPr>
            <w:tcW w:w="1472" w:type="pct"/>
            <w:shd w:val="clear" w:color="auto" w:fill="DEEAF6" w:themeFill="accent1" w:themeFillTint="33"/>
            <w:vAlign w:val="center"/>
          </w:tcPr>
          <w:p w:rsidR="00F95C12" w:rsidRPr="008047D3" w:rsidRDefault="00F95C12" w:rsidP="00657BEC">
            <w:pPr>
              <w:bidi w:val="0"/>
              <w:snapToGrid w:val="0"/>
              <w:jc w:val="both"/>
              <w:rPr>
                <w:b/>
                <w:bCs/>
              </w:rPr>
            </w:pPr>
            <w:r w:rsidRPr="008047D3">
              <w:rPr>
                <w:b/>
                <w:bCs/>
              </w:rPr>
              <w:t>Group II</w:t>
            </w:r>
            <w:r w:rsidR="00742C0E" w:rsidRPr="008047D3">
              <w:rPr>
                <w:b/>
                <w:bCs/>
              </w:rPr>
              <w:t xml:space="preserve"> </w:t>
            </w:r>
            <w:r w:rsidRPr="008047D3">
              <w:rPr>
                <w:b/>
                <w:bCs/>
              </w:rPr>
              <w:t>(N=50)</w:t>
            </w:r>
          </w:p>
        </w:tc>
        <w:tc>
          <w:tcPr>
            <w:tcW w:w="543" w:type="pct"/>
            <w:shd w:val="clear" w:color="auto" w:fill="DEEAF6" w:themeFill="accent1" w:themeFillTint="33"/>
            <w:vAlign w:val="center"/>
          </w:tcPr>
          <w:p w:rsidR="00F95C12" w:rsidRPr="008047D3" w:rsidRDefault="00F95C12" w:rsidP="00657BEC">
            <w:pPr>
              <w:bidi w:val="0"/>
              <w:snapToGrid w:val="0"/>
              <w:jc w:val="both"/>
              <w:rPr>
                <w:b/>
                <w:bCs/>
                <w:lang w:bidi="ar-EG"/>
              </w:rPr>
            </w:pPr>
            <w:r w:rsidRPr="008047D3">
              <w:rPr>
                <w:b/>
                <w:bCs/>
              </w:rPr>
              <w:t>t</w:t>
            </w:r>
          </w:p>
        </w:tc>
        <w:tc>
          <w:tcPr>
            <w:tcW w:w="543" w:type="pct"/>
            <w:shd w:val="clear" w:color="auto" w:fill="DEEAF6" w:themeFill="accent1" w:themeFillTint="33"/>
            <w:vAlign w:val="center"/>
          </w:tcPr>
          <w:p w:rsidR="00F95C12" w:rsidRPr="008047D3" w:rsidRDefault="00F95C12" w:rsidP="00657BEC">
            <w:pPr>
              <w:bidi w:val="0"/>
              <w:snapToGrid w:val="0"/>
              <w:jc w:val="both"/>
              <w:rPr>
                <w:b/>
                <w:bCs/>
              </w:rPr>
            </w:pPr>
            <w:r w:rsidRPr="008047D3">
              <w:rPr>
                <w:b/>
                <w:bCs/>
              </w:rPr>
              <w:t>P</w:t>
            </w:r>
          </w:p>
        </w:tc>
      </w:tr>
      <w:tr w:rsidR="00F95C12" w:rsidRPr="008047D3" w:rsidTr="00310F47">
        <w:trPr>
          <w:jc w:val="center"/>
        </w:trPr>
        <w:tc>
          <w:tcPr>
            <w:tcW w:w="1045" w:type="pct"/>
            <w:shd w:val="clear" w:color="auto" w:fill="DEEAF6" w:themeFill="accent1" w:themeFillTint="33"/>
            <w:vAlign w:val="center"/>
          </w:tcPr>
          <w:p w:rsidR="00F95C12" w:rsidRPr="008047D3" w:rsidRDefault="00F95C12" w:rsidP="00657BEC">
            <w:pPr>
              <w:bidi w:val="0"/>
              <w:snapToGrid w:val="0"/>
              <w:jc w:val="both"/>
              <w:rPr>
                <w:b/>
                <w:bCs/>
              </w:rPr>
            </w:pPr>
            <w:r w:rsidRPr="008047D3">
              <w:rPr>
                <w:b/>
                <w:bCs/>
              </w:rPr>
              <w:t>Age (years)</w:t>
            </w:r>
          </w:p>
        </w:tc>
        <w:tc>
          <w:tcPr>
            <w:tcW w:w="1397" w:type="pct"/>
            <w:vAlign w:val="center"/>
          </w:tcPr>
          <w:p w:rsidR="00F95C12" w:rsidRPr="008047D3" w:rsidRDefault="00F95C12" w:rsidP="00657BEC">
            <w:pPr>
              <w:bidi w:val="0"/>
              <w:snapToGrid w:val="0"/>
              <w:jc w:val="both"/>
            </w:pPr>
            <w:r w:rsidRPr="008047D3">
              <w:t>58.6±5.79</w:t>
            </w:r>
          </w:p>
        </w:tc>
        <w:tc>
          <w:tcPr>
            <w:tcW w:w="1472" w:type="pct"/>
            <w:vAlign w:val="center"/>
          </w:tcPr>
          <w:p w:rsidR="00F95C12" w:rsidRPr="008047D3" w:rsidRDefault="00F95C12" w:rsidP="00657BEC">
            <w:pPr>
              <w:bidi w:val="0"/>
              <w:snapToGrid w:val="0"/>
              <w:jc w:val="both"/>
            </w:pPr>
            <w:r w:rsidRPr="008047D3">
              <w:t>60.74±5.18</w:t>
            </w:r>
          </w:p>
        </w:tc>
        <w:tc>
          <w:tcPr>
            <w:tcW w:w="543" w:type="pct"/>
            <w:vAlign w:val="center"/>
          </w:tcPr>
          <w:p w:rsidR="00F95C12" w:rsidRPr="008047D3" w:rsidRDefault="00F95C12" w:rsidP="00657BEC">
            <w:pPr>
              <w:bidi w:val="0"/>
              <w:snapToGrid w:val="0"/>
              <w:jc w:val="both"/>
              <w:rPr>
                <w:lang w:bidi="ar-EG"/>
              </w:rPr>
            </w:pPr>
            <w:r w:rsidRPr="008047D3">
              <w:t>0.677</w:t>
            </w:r>
          </w:p>
        </w:tc>
        <w:tc>
          <w:tcPr>
            <w:tcW w:w="543" w:type="pct"/>
            <w:vAlign w:val="center"/>
          </w:tcPr>
          <w:p w:rsidR="00F95C12" w:rsidRPr="008047D3" w:rsidRDefault="00F95C12" w:rsidP="00657BEC">
            <w:pPr>
              <w:bidi w:val="0"/>
              <w:snapToGrid w:val="0"/>
              <w:jc w:val="both"/>
            </w:pPr>
            <w:r w:rsidRPr="008047D3">
              <w:t>0.084</w:t>
            </w:r>
          </w:p>
        </w:tc>
      </w:tr>
    </w:tbl>
    <w:p w:rsidR="00310F47" w:rsidRPr="008047D3" w:rsidRDefault="00613BFC" w:rsidP="00657BEC">
      <w:pPr>
        <w:snapToGrid w:val="0"/>
        <w:spacing w:after="0" w:line="240" w:lineRule="auto"/>
        <w:jc w:val="both"/>
        <w:rPr>
          <w:rFonts w:ascii="Times New Roman" w:eastAsia="Times New Roman" w:hAnsi="Times New Roman" w:cs="Times New Roman"/>
          <w:sz w:val="20"/>
          <w:szCs w:val="20"/>
          <w:lang w:bidi="ar-EG"/>
        </w:rPr>
      </w:pPr>
      <w:r w:rsidRPr="008047D3">
        <w:rPr>
          <w:rFonts w:ascii="Times New Roman" w:eastAsia="Times New Roman" w:hAnsi="Times New Roman" w:cs="Times New Roman"/>
          <w:sz w:val="20"/>
          <w:szCs w:val="20"/>
          <w:lang w:bidi="ar-EG"/>
        </w:rPr>
        <w:t>P =probability value</w:t>
      </w:r>
      <w:r w:rsidR="00310F47" w:rsidRPr="008047D3">
        <w:rPr>
          <w:rFonts w:ascii="Times New Roman" w:eastAsia="Times New Roman" w:hAnsi="Times New Roman" w:cs="Times New Roman"/>
          <w:sz w:val="20"/>
          <w:szCs w:val="20"/>
          <w:lang w:bidi="ar-EG"/>
        </w:rPr>
        <w:t xml:space="preserve"> </w:t>
      </w:r>
      <w:r w:rsidR="00F95C12" w:rsidRPr="008047D3">
        <w:rPr>
          <w:rFonts w:ascii="Times New Roman" w:eastAsia="Times New Roman" w:hAnsi="Times New Roman" w:cs="Times New Roman"/>
          <w:sz w:val="20"/>
          <w:szCs w:val="20"/>
          <w:lang w:bidi="ar-EG"/>
        </w:rPr>
        <w:t>N. =number</w:t>
      </w:r>
      <m:oMath>
        <m:r>
          <m:rPr>
            <m:sty m:val="bi"/>
          </m:rPr>
          <w:rPr>
            <w:rFonts w:ascii="Cambria Math" w:hAnsi="Times New Roman" w:cs="Times New Roman"/>
            <w:sz w:val="20"/>
            <w:szCs w:val="20"/>
            <w:lang w:bidi="ar-EG"/>
          </w:rPr>
          <m:t xml:space="preserve"> </m:t>
        </m:r>
        <m:r>
          <m:rPr>
            <m:sty m:val="bi"/>
          </m:rPr>
          <w:rPr>
            <w:rFonts w:ascii="Cambria Math" w:hAnsi="Cambria Math" w:cs="Times New Roman"/>
            <w:sz w:val="20"/>
            <w:szCs w:val="20"/>
            <w:lang w:bidi="ar-EG"/>
          </w:rPr>
          <m:t>t</m:t>
        </m:r>
        <m:r>
          <w:rPr>
            <w:rFonts w:ascii="Cambria Math" w:eastAsia="Times New Roman" w:hAnsi="Times New Roman" w:cs="Times New Roman"/>
            <w:sz w:val="20"/>
            <w:szCs w:val="20"/>
            <w:lang w:bidi="ar-EG"/>
          </w:rPr>
          <m:t>=</m:t>
        </m:r>
      </m:oMath>
      <w:r w:rsidRPr="008047D3">
        <w:rPr>
          <w:rFonts w:ascii="Times New Roman" w:eastAsia="Times New Roman" w:hAnsi="Times New Roman" w:cs="Times New Roman"/>
          <w:sz w:val="20"/>
          <w:szCs w:val="20"/>
          <w:lang w:bidi="ar-EG"/>
        </w:rPr>
        <w:t>Student's t test</w:t>
      </w:r>
      <w:r w:rsidR="00310F47" w:rsidRPr="008047D3">
        <w:rPr>
          <w:rFonts w:ascii="Times New Roman" w:eastAsia="Times New Roman" w:hAnsi="Times New Roman" w:cs="Times New Roman"/>
          <w:sz w:val="20"/>
          <w:szCs w:val="20"/>
          <w:lang w:bidi="ar-EG"/>
        </w:rPr>
        <w:t xml:space="preserve"> </w:t>
      </w:r>
      <w:r w:rsidR="00F95C12" w:rsidRPr="008047D3">
        <w:rPr>
          <w:rFonts w:ascii="Times New Roman" w:eastAsia="Times New Roman" w:hAnsi="Times New Roman" w:cs="Times New Roman"/>
          <w:sz w:val="20"/>
          <w:szCs w:val="20"/>
          <w:lang w:bidi="ar-EG"/>
        </w:rPr>
        <w:t>on significant: P &gt; 0.05</w:t>
      </w:r>
      <w:r w:rsidR="00310F47" w:rsidRPr="008047D3">
        <w:rPr>
          <w:rFonts w:ascii="Times New Roman" w:eastAsia="Times New Roman" w:hAnsi="Times New Roman" w:cs="Times New Roman"/>
          <w:sz w:val="20"/>
          <w:szCs w:val="20"/>
          <w:lang w:bidi="ar-EG"/>
        </w:rPr>
        <w:t xml:space="preserve"> </w:t>
      </w:r>
      <w:r w:rsidR="00F95C12" w:rsidRPr="008047D3">
        <w:rPr>
          <w:rFonts w:ascii="Times New Roman" w:eastAsia="Times New Roman" w:hAnsi="Times New Roman" w:cs="Times New Roman"/>
          <w:sz w:val="20"/>
          <w:szCs w:val="20"/>
          <w:lang w:bidi="ar-EG"/>
        </w:rPr>
        <w:t xml:space="preserve">Significant: P &lt; 0.05 </w:t>
      </w:r>
    </w:p>
    <w:p w:rsidR="00657BEC" w:rsidRPr="008047D3" w:rsidRDefault="00657BEC" w:rsidP="00657BEC">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657BEC" w:rsidRPr="008047D3" w:rsidRDefault="00657BEC" w:rsidP="00657BEC">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sectPr w:rsidR="00657BEC" w:rsidRPr="008047D3" w:rsidSect="005E40AC">
          <w:type w:val="continuous"/>
          <w:pgSz w:w="12240" w:h="15840" w:code="13"/>
          <w:pgMar w:top="1440" w:right="1440" w:bottom="1440" w:left="1440" w:header="720" w:footer="720" w:gutter="0"/>
          <w:cols w:space="720"/>
          <w:docGrid w:linePitch="360"/>
        </w:sectPr>
      </w:pPr>
    </w:p>
    <w:p w:rsidR="00742C0E" w:rsidRPr="008047D3" w:rsidRDefault="00310F47" w:rsidP="00657BEC">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8047D3">
        <w:rPr>
          <w:rFonts w:ascii="Times New Roman" w:hAnsi="Times New Roman" w:cs="Times New Roman"/>
          <w:sz w:val="20"/>
          <w:szCs w:val="20"/>
        </w:rPr>
        <w:lastRenderedPageBreak/>
        <w:t>T</w:t>
      </w:r>
      <w:r w:rsidR="00742C0E" w:rsidRPr="008047D3">
        <w:rPr>
          <w:rFonts w:ascii="Times New Roman" w:hAnsi="Times New Roman" w:cs="Times New Roman"/>
          <w:sz w:val="20"/>
          <w:szCs w:val="20"/>
        </w:rPr>
        <w:t>able (2) demonstrated comparison between the two studied groups regarding the gender. There was no statistically significant difference between genders in the two groups.</w:t>
      </w:r>
    </w:p>
    <w:p w:rsidR="00742C0E" w:rsidRPr="008047D3" w:rsidRDefault="00742C0E" w:rsidP="00657BEC">
      <w:pPr>
        <w:snapToGrid w:val="0"/>
        <w:spacing w:after="0" w:line="240" w:lineRule="auto"/>
        <w:ind w:firstLine="425"/>
        <w:jc w:val="both"/>
        <w:rPr>
          <w:rFonts w:ascii="Times New Roman" w:hAnsi="Times New Roman" w:cs="Times New Roman"/>
          <w:sz w:val="20"/>
          <w:szCs w:val="20"/>
        </w:rPr>
      </w:pPr>
      <w:r w:rsidRPr="008047D3">
        <w:rPr>
          <w:rFonts w:ascii="Times New Roman" w:hAnsi="Times New Roman" w:cs="Times New Roman"/>
          <w:sz w:val="20"/>
          <w:szCs w:val="20"/>
        </w:rPr>
        <w:t xml:space="preserve">In group I the number of females was 16 representing 32% of the group and the number of </w:t>
      </w:r>
      <w:r w:rsidRPr="008047D3">
        <w:rPr>
          <w:rFonts w:ascii="Times New Roman" w:hAnsi="Times New Roman" w:cs="Times New Roman"/>
          <w:sz w:val="20"/>
          <w:szCs w:val="20"/>
        </w:rPr>
        <w:lastRenderedPageBreak/>
        <w:t>males was 34 representing 68% of the group. In group</w:t>
      </w:r>
      <w:r w:rsidR="008047D3">
        <w:rPr>
          <w:rFonts w:ascii="Times New Roman" w:hAnsi="Times New Roman" w:cs="Times New Roman" w:hint="eastAsia"/>
          <w:sz w:val="20"/>
          <w:szCs w:val="20"/>
          <w:lang w:eastAsia="zh-CN"/>
        </w:rPr>
        <w:t xml:space="preserve"> </w:t>
      </w:r>
      <w:r w:rsidRPr="008047D3">
        <w:rPr>
          <w:rFonts w:ascii="Times New Roman" w:hAnsi="Times New Roman" w:cs="Times New Roman"/>
          <w:sz w:val="20"/>
          <w:szCs w:val="20"/>
        </w:rPr>
        <w:t>II the number of females was 19 representing 38% of the group and the number of males was 31 representing 62% of the group (x</w:t>
      </w:r>
      <w:r w:rsidRPr="008047D3">
        <w:rPr>
          <w:rFonts w:ascii="Times New Roman" w:hAnsi="Times New Roman" w:cs="Times New Roman"/>
          <w:sz w:val="20"/>
          <w:szCs w:val="20"/>
          <w:vertAlign w:val="superscript"/>
        </w:rPr>
        <w:t>2</w:t>
      </w:r>
      <w:r w:rsidRPr="008047D3">
        <w:rPr>
          <w:rFonts w:ascii="Times New Roman" w:hAnsi="Times New Roman" w:cs="Times New Roman"/>
          <w:sz w:val="20"/>
          <w:szCs w:val="20"/>
        </w:rPr>
        <w:t xml:space="preserve">=0.39, P-value=0.52). </w:t>
      </w:r>
    </w:p>
    <w:p w:rsidR="00657BEC" w:rsidRPr="008047D3" w:rsidRDefault="00657BEC" w:rsidP="00657BEC">
      <w:pPr>
        <w:snapToGrid w:val="0"/>
        <w:spacing w:after="0" w:line="240" w:lineRule="auto"/>
        <w:jc w:val="center"/>
        <w:rPr>
          <w:rFonts w:ascii="Times New Roman" w:hAnsi="Times New Roman" w:cs="Times New Roman"/>
          <w:b/>
          <w:bCs/>
          <w:color w:val="000000"/>
          <w:sz w:val="20"/>
          <w:szCs w:val="20"/>
        </w:rPr>
        <w:sectPr w:rsidR="00657BEC" w:rsidRPr="008047D3" w:rsidSect="005E40AC">
          <w:type w:val="continuous"/>
          <w:pgSz w:w="12240" w:h="15840" w:code="13"/>
          <w:pgMar w:top="1440" w:right="1440" w:bottom="1440" w:left="1440" w:header="720" w:footer="720" w:gutter="0"/>
          <w:cols w:num="2" w:space="550"/>
          <w:docGrid w:linePitch="360"/>
        </w:sectPr>
      </w:pPr>
    </w:p>
    <w:p w:rsidR="00613BFC" w:rsidRPr="008047D3" w:rsidRDefault="00613BFC" w:rsidP="00657BEC">
      <w:pPr>
        <w:snapToGrid w:val="0"/>
        <w:spacing w:after="0" w:line="240" w:lineRule="auto"/>
        <w:jc w:val="center"/>
        <w:rPr>
          <w:rFonts w:ascii="Times New Roman" w:hAnsi="Times New Roman" w:cs="Times New Roman"/>
          <w:b/>
          <w:bCs/>
          <w:color w:val="000000"/>
          <w:sz w:val="20"/>
          <w:szCs w:val="20"/>
        </w:rPr>
      </w:pPr>
    </w:p>
    <w:p w:rsidR="00F95C12" w:rsidRPr="008047D3" w:rsidRDefault="00F95C12" w:rsidP="00657BEC">
      <w:pPr>
        <w:snapToGrid w:val="0"/>
        <w:spacing w:after="0" w:line="240" w:lineRule="auto"/>
        <w:jc w:val="center"/>
        <w:rPr>
          <w:rFonts w:ascii="Times New Roman" w:hAnsi="Times New Roman" w:cs="Times New Roman"/>
          <w:sz w:val="20"/>
          <w:szCs w:val="20"/>
        </w:rPr>
      </w:pPr>
      <w:r w:rsidRPr="008047D3">
        <w:rPr>
          <w:rFonts w:ascii="Times New Roman" w:hAnsi="Times New Roman" w:cs="Times New Roman"/>
          <w:b/>
          <w:bCs/>
          <w:color w:val="000000"/>
          <w:sz w:val="20"/>
          <w:szCs w:val="20"/>
        </w:rPr>
        <w:t>Table (2</w:t>
      </w:r>
      <w:r w:rsidR="00D62B3D" w:rsidRPr="008047D3">
        <w:rPr>
          <w:rFonts w:ascii="Times New Roman" w:hAnsi="Times New Roman" w:cs="Times New Roman"/>
          <w:b/>
          <w:bCs/>
          <w:color w:val="000000"/>
          <w:sz w:val="20"/>
          <w:szCs w:val="20"/>
        </w:rPr>
        <w:t>) G</w:t>
      </w:r>
      <w:r w:rsidRPr="008047D3">
        <w:rPr>
          <w:rFonts w:ascii="Times New Roman" w:hAnsi="Times New Roman" w:cs="Times New Roman"/>
          <w:b/>
          <w:bCs/>
          <w:color w:val="000000"/>
          <w:sz w:val="20"/>
          <w:szCs w:val="20"/>
        </w:rPr>
        <w:t xml:space="preserve">ender distribution between groups </w:t>
      </w:r>
    </w:p>
    <w:tbl>
      <w:tblPr>
        <w:tblStyle w:val="TableGrid"/>
        <w:tblW w:w="5000" w:type="pct"/>
        <w:jc w:val="center"/>
        <w:tblCellMar>
          <w:left w:w="57" w:type="dxa"/>
          <w:right w:w="57" w:type="dxa"/>
        </w:tblCellMar>
        <w:tblLook w:val="0000"/>
      </w:tblPr>
      <w:tblGrid>
        <w:gridCol w:w="834"/>
        <w:gridCol w:w="1482"/>
        <w:gridCol w:w="631"/>
        <w:gridCol w:w="1518"/>
        <w:gridCol w:w="1673"/>
        <w:gridCol w:w="1470"/>
        <w:gridCol w:w="934"/>
        <w:gridCol w:w="932"/>
      </w:tblGrid>
      <w:tr w:rsidR="00F95C12" w:rsidRPr="008047D3" w:rsidTr="00310F47">
        <w:trPr>
          <w:jc w:val="center"/>
        </w:trPr>
        <w:tc>
          <w:tcPr>
            <w:tcW w:w="1555" w:type="pct"/>
            <w:gridSpan w:val="3"/>
            <w:vMerge w:val="restart"/>
            <w:shd w:val="clear" w:color="auto" w:fill="DEEAF6" w:themeFill="accent1" w:themeFillTint="33"/>
            <w:vAlign w:val="center"/>
          </w:tcPr>
          <w:p w:rsidR="00F95C12" w:rsidRPr="008047D3" w:rsidRDefault="00F95C12" w:rsidP="00657BEC">
            <w:pPr>
              <w:autoSpaceDE w:val="0"/>
              <w:autoSpaceDN w:val="0"/>
              <w:bidi w:val="0"/>
              <w:adjustRightInd w:val="0"/>
              <w:snapToGrid w:val="0"/>
              <w:jc w:val="both"/>
              <w:rPr>
                <w:color w:val="000000"/>
                <w:lang w:bidi="ar-EG"/>
              </w:rPr>
            </w:pPr>
          </w:p>
        </w:tc>
        <w:tc>
          <w:tcPr>
            <w:tcW w:w="1683" w:type="pct"/>
            <w:gridSpan w:val="2"/>
            <w:shd w:val="clear" w:color="auto" w:fill="DEEAF6" w:themeFill="accent1" w:themeFillTint="33"/>
            <w:vAlign w:val="center"/>
          </w:tcPr>
          <w:p w:rsidR="00F95C12" w:rsidRPr="008047D3" w:rsidRDefault="00F95C12" w:rsidP="00657BEC">
            <w:pPr>
              <w:autoSpaceDE w:val="0"/>
              <w:autoSpaceDN w:val="0"/>
              <w:bidi w:val="0"/>
              <w:adjustRightInd w:val="0"/>
              <w:snapToGrid w:val="0"/>
              <w:jc w:val="both"/>
              <w:rPr>
                <w:b/>
                <w:bCs/>
                <w:color w:val="000000"/>
              </w:rPr>
            </w:pPr>
            <w:r w:rsidRPr="008047D3">
              <w:rPr>
                <w:b/>
                <w:bCs/>
                <w:color w:val="000000"/>
              </w:rPr>
              <w:t>Group</w:t>
            </w:r>
          </w:p>
        </w:tc>
        <w:tc>
          <w:tcPr>
            <w:tcW w:w="776" w:type="pct"/>
            <w:vMerge w:val="restart"/>
            <w:shd w:val="clear" w:color="auto" w:fill="DEEAF6" w:themeFill="accent1" w:themeFillTint="33"/>
            <w:vAlign w:val="center"/>
          </w:tcPr>
          <w:p w:rsidR="00F95C12" w:rsidRPr="008047D3" w:rsidRDefault="00F95C12" w:rsidP="00657BEC">
            <w:pPr>
              <w:autoSpaceDE w:val="0"/>
              <w:autoSpaceDN w:val="0"/>
              <w:bidi w:val="0"/>
              <w:adjustRightInd w:val="0"/>
              <w:snapToGrid w:val="0"/>
              <w:jc w:val="both"/>
              <w:rPr>
                <w:b/>
                <w:bCs/>
                <w:color w:val="000000"/>
              </w:rPr>
            </w:pPr>
            <w:r w:rsidRPr="008047D3">
              <w:rPr>
                <w:b/>
                <w:bCs/>
                <w:color w:val="000000"/>
              </w:rPr>
              <w:t>Total</w:t>
            </w:r>
          </w:p>
        </w:tc>
        <w:tc>
          <w:tcPr>
            <w:tcW w:w="493" w:type="pct"/>
            <w:vMerge w:val="restart"/>
            <w:shd w:val="clear" w:color="auto" w:fill="DEEAF6" w:themeFill="accent1" w:themeFillTint="33"/>
            <w:vAlign w:val="center"/>
          </w:tcPr>
          <w:p w:rsidR="00F95C12" w:rsidRPr="008047D3" w:rsidRDefault="00F95C12" w:rsidP="00657BEC">
            <w:pPr>
              <w:autoSpaceDE w:val="0"/>
              <w:autoSpaceDN w:val="0"/>
              <w:bidi w:val="0"/>
              <w:adjustRightInd w:val="0"/>
              <w:snapToGrid w:val="0"/>
              <w:jc w:val="both"/>
              <w:rPr>
                <w:b/>
                <w:bCs/>
                <w:color w:val="000000"/>
                <w:vertAlign w:val="superscript"/>
              </w:rPr>
            </w:pPr>
            <w:r w:rsidRPr="008047D3">
              <w:rPr>
                <w:b/>
                <w:bCs/>
                <w:color w:val="000000"/>
              </w:rPr>
              <w:t>X</w:t>
            </w:r>
            <w:r w:rsidRPr="008047D3">
              <w:rPr>
                <w:b/>
                <w:bCs/>
                <w:color w:val="000000"/>
                <w:vertAlign w:val="superscript"/>
              </w:rPr>
              <w:t>2</w:t>
            </w:r>
          </w:p>
        </w:tc>
        <w:tc>
          <w:tcPr>
            <w:tcW w:w="493" w:type="pct"/>
            <w:vMerge w:val="restart"/>
            <w:shd w:val="clear" w:color="auto" w:fill="DEEAF6" w:themeFill="accent1" w:themeFillTint="33"/>
            <w:vAlign w:val="center"/>
          </w:tcPr>
          <w:p w:rsidR="00F95C12" w:rsidRPr="008047D3" w:rsidRDefault="00F95C12" w:rsidP="00657BEC">
            <w:pPr>
              <w:autoSpaceDE w:val="0"/>
              <w:autoSpaceDN w:val="0"/>
              <w:bidi w:val="0"/>
              <w:adjustRightInd w:val="0"/>
              <w:snapToGrid w:val="0"/>
              <w:jc w:val="both"/>
              <w:rPr>
                <w:b/>
                <w:bCs/>
                <w:color w:val="000000"/>
              </w:rPr>
            </w:pPr>
            <w:r w:rsidRPr="008047D3">
              <w:rPr>
                <w:b/>
                <w:bCs/>
                <w:color w:val="000000"/>
              </w:rPr>
              <w:t>P</w:t>
            </w:r>
          </w:p>
        </w:tc>
      </w:tr>
      <w:tr w:rsidR="00F95C12" w:rsidRPr="008047D3" w:rsidTr="00310F47">
        <w:trPr>
          <w:jc w:val="center"/>
        </w:trPr>
        <w:tc>
          <w:tcPr>
            <w:tcW w:w="1555" w:type="pct"/>
            <w:gridSpan w:val="3"/>
            <w:vMerge/>
            <w:vAlign w:val="center"/>
          </w:tcPr>
          <w:p w:rsidR="00F95C12" w:rsidRPr="008047D3" w:rsidRDefault="00F95C12" w:rsidP="00657BEC">
            <w:pPr>
              <w:autoSpaceDE w:val="0"/>
              <w:autoSpaceDN w:val="0"/>
              <w:bidi w:val="0"/>
              <w:adjustRightInd w:val="0"/>
              <w:snapToGrid w:val="0"/>
              <w:jc w:val="both"/>
              <w:rPr>
                <w:color w:val="000000"/>
              </w:rPr>
            </w:pPr>
          </w:p>
        </w:tc>
        <w:tc>
          <w:tcPr>
            <w:tcW w:w="801" w:type="pct"/>
            <w:shd w:val="clear" w:color="auto" w:fill="DEEAF6" w:themeFill="accent1" w:themeFillTint="33"/>
            <w:vAlign w:val="center"/>
          </w:tcPr>
          <w:p w:rsidR="00F95C12" w:rsidRPr="008047D3" w:rsidRDefault="00F95C12" w:rsidP="00657BEC">
            <w:pPr>
              <w:autoSpaceDE w:val="0"/>
              <w:autoSpaceDN w:val="0"/>
              <w:bidi w:val="0"/>
              <w:adjustRightInd w:val="0"/>
              <w:snapToGrid w:val="0"/>
              <w:jc w:val="both"/>
              <w:rPr>
                <w:b/>
                <w:bCs/>
                <w:color w:val="000000"/>
                <w:lang w:bidi="ar-EG"/>
              </w:rPr>
            </w:pPr>
            <w:r w:rsidRPr="008047D3">
              <w:rPr>
                <w:b/>
                <w:bCs/>
                <w:color w:val="000000"/>
              </w:rPr>
              <w:t>group I</w:t>
            </w:r>
          </w:p>
        </w:tc>
        <w:tc>
          <w:tcPr>
            <w:tcW w:w="883" w:type="pct"/>
            <w:shd w:val="clear" w:color="auto" w:fill="DEEAF6" w:themeFill="accent1" w:themeFillTint="33"/>
            <w:vAlign w:val="center"/>
          </w:tcPr>
          <w:p w:rsidR="00F95C12" w:rsidRPr="008047D3" w:rsidRDefault="00F95C12" w:rsidP="00657BEC">
            <w:pPr>
              <w:autoSpaceDE w:val="0"/>
              <w:autoSpaceDN w:val="0"/>
              <w:bidi w:val="0"/>
              <w:adjustRightInd w:val="0"/>
              <w:snapToGrid w:val="0"/>
              <w:jc w:val="both"/>
              <w:rPr>
                <w:b/>
                <w:bCs/>
                <w:color w:val="000000"/>
              </w:rPr>
            </w:pPr>
            <w:r w:rsidRPr="008047D3">
              <w:rPr>
                <w:b/>
                <w:bCs/>
                <w:color w:val="000000"/>
              </w:rPr>
              <w:t>group II</w:t>
            </w:r>
          </w:p>
        </w:tc>
        <w:tc>
          <w:tcPr>
            <w:tcW w:w="776" w:type="pct"/>
            <w:vMerge/>
            <w:vAlign w:val="center"/>
          </w:tcPr>
          <w:p w:rsidR="00F95C12" w:rsidRPr="008047D3" w:rsidRDefault="00F95C12" w:rsidP="00657BEC">
            <w:pPr>
              <w:autoSpaceDE w:val="0"/>
              <w:autoSpaceDN w:val="0"/>
              <w:bidi w:val="0"/>
              <w:adjustRightInd w:val="0"/>
              <w:snapToGrid w:val="0"/>
              <w:jc w:val="both"/>
              <w:rPr>
                <w:color w:val="000000"/>
              </w:rPr>
            </w:pPr>
          </w:p>
        </w:tc>
        <w:tc>
          <w:tcPr>
            <w:tcW w:w="493" w:type="pct"/>
            <w:vMerge/>
            <w:vAlign w:val="center"/>
          </w:tcPr>
          <w:p w:rsidR="00F95C12" w:rsidRPr="008047D3" w:rsidRDefault="00F95C12" w:rsidP="00657BEC">
            <w:pPr>
              <w:autoSpaceDE w:val="0"/>
              <w:autoSpaceDN w:val="0"/>
              <w:bidi w:val="0"/>
              <w:adjustRightInd w:val="0"/>
              <w:snapToGrid w:val="0"/>
              <w:jc w:val="both"/>
              <w:rPr>
                <w:color w:val="000000"/>
              </w:rPr>
            </w:pPr>
          </w:p>
        </w:tc>
        <w:tc>
          <w:tcPr>
            <w:tcW w:w="493" w:type="pct"/>
            <w:vMerge/>
            <w:vAlign w:val="center"/>
          </w:tcPr>
          <w:p w:rsidR="00F95C12" w:rsidRPr="008047D3" w:rsidRDefault="00F95C12" w:rsidP="00657BEC">
            <w:pPr>
              <w:autoSpaceDE w:val="0"/>
              <w:autoSpaceDN w:val="0"/>
              <w:bidi w:val="0"/>
              <w:adjustRightInd w:val="0"/>
              <w:snapToGrid w:val="0"/>
              <w:jc w:val="both"/>
              <w:rPr>
                <w:color w:val="000000"/>
              </w:rPr>
            </w:pPr>
          </w:p>
        </w:tc>
      </w:tr>
      <w:tr w:rsidR="00F95C12" w:rsidRPr="008047D3" w:rsidTr="00310F47">
        <w:trPr>
          <w:jc w:val="center"/>
        </w:trPr>
        <w:tc>
          <w:tcPr>
            <w:tcW w:w="440" w:type="pct"/>
            <w:vMerge w:val="restart"/>
            <w:shd w:val="clear" w:color="auto" w:fill="DEEAF6" w:themeFill="accent1" w:themeFillTint="33"/>
            <w:vAlign w:val="center"/>
          </w:tcPr>
          <w:p w:rsidR="00F95C12" w:rsidRPr="008047D3" w:rsidRDefault="00F95C12" w:rsidP="00657BEC">
            <w:pPr>
              <w:autoSpaceDE w:val="0"/>
              <w:autoSpaceDN w:val="0"/>
              <w:bidi w:val="0"/>
              <w:adjustRightInd w:val="0"/>
              <w:snapToGrid w:val="0"/>
              <w:jc w:val="both"/>
              <w:rPr>
                <w:b/>
                <w:bCs/>
                <w:color w:val="000000"/>
              </w:rPr>
            </w:pPr>
            <w:r w:rsidRPr="008047D3">
              <w:rPr>
                <w:b/>
                <w:bCs/>
                <w:color w:val="000000"/>
              </w:rPr>
              <w:t>Sex</w:t>
            </w:r>
          </w:p>
        </w:tc>
        <w:tc>
          <w:tcPr>
            <w:tcW w:w="782" w:type="pct"/>
            <w:vMerge w:val="restart"/>
            <w:shd w:val="clear" w:color="auto" w:fill="DEEAF6" w:themeFill="accent1" w:themeFillTint="33"/>
            <w:vAlign w:val="center"/>
          </w:tcPr>
          <w:p w:rsidR="00F95C12" w:rsidRPr="008047D3" w:rsidRDefault="00F95C12" w:rsidP="00657BEC">
            <w:pPr>
              <w:autoSpaceDE w:val="0"/>
              <w:autoSpaceDN w:val="0"/>
              <w:bidi w:val="0"/>
              <w:adjustRightInd w:val="0"/>
              <w:snapToGrid w:val="0"/>
              <w:jc w:val="both"/>
              <w:rPr>
                <w:b/>
                <w:bCs/>
                <w:color w:val="000000"/>
              </w:rPr>
            </w:pPr>
            <w:r w:rsidRPr="008047D3">
              <w:rPr>
                <w:b/>
                <w:bCs/>
                <w:color w:val="000000"/>
              </w:rPr>
              <w:t>Female</w:t>
            </w:r>
          </w:p>
        </w:tc>
        <w:tc>
          <w:tcPr>
            <w:tcW w:w="333" w:type="pct"/>
            <w:shd w:val="clear" w:color="auto" w:fill="DEEAF6" w:themeFill="accent1" w:themeFillTint="33"/>
            <w:vAlign w:val="center"/>
          </w:tcPr>
          <w:p w:rsidR="00F95C12" w:rsidRPr="008047D3" w:rsidRDefault="00F95C12" w:rsidP="00657BEC">
            <w:pPr>
              <w:autoSpaceDE w:val="0"/>
              <w:autoSpaceDN w:val="0"/>
              <w:bidi w:val="0"/>
              <w:adjustRightInd w:val="0"/>
              <w:snapToGrid w:val="0"/>
              <w:jc w:val="both"/>
              <w:rPr>
                <w:b/>
                <w:bCs/>
                <w:color w:val="000000"/>
              </w:rPr>
            </w:pPr>
            <w:r w:rsidRPr="008047D3">
              <w:rPr>
                <w:b/>
                <w:bCs/>
                <w:color w:val="000000"/>
              </w:rPr>
              <w:t xml:space="preserve">N </w:t>
            </w:r>
          </w:p>
        </w:tc>
        <w:tc>
          <w:tcPr>
            <w:tcW w:w="801"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16</w:t>
            </w:r>
          </w:p>
        </w:tc>
        <w:tc>
          <w:tcPr>
            <w:tcW w:w="883"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19</w:t>
            </w:r>
          </w:p>
        </w:tc>
        <w:tc>
          <w:tcPr>
            <w:tcW w:w="776"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35</w:t>
            </w:r>
          </w:p>
        </w:tc>
        <w:tc>
          <w:tcPr>
            <w:tcW w:w="493" w:type="pct"/>
            <w:vMerge w:val="restar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0.39</w:t>
            </w:r>
          </w:p>
        </w:tc>
        <w:tc>
          <w:tcPr>
            <w:tcW w:w="493" w:type="pct"/>
            <w:vMerge w:val="restart"/>
            <w:vAlign w:val="center"/>
          </w:tcPr>
          <w:p w:rsidR="00F95C12" w:rsidRPr="008047D3" w:rsidRDefault="00F95C12" w:rsidP="00657BEC">
            <w:pPr>
              <w:autoSpaceDE w:val="0"/>
              <w:autoSpaceDN w:val="0"/>
              <w:bidi w:val="0"/>
              <w:adjustRightInd w:val="0"/>
              <w:snapToGrid w:val="0"/>
              <w:jc w:val="both"/>
              <w:rPr>
                <w:color w:val="000000"/>
                <w:lang w:bidi="ar-EG"/>
              </w:rPr>
            </w:pPr>
            <w:r w:rsidRPr="008047D3">
              <w:rPr>
                <w:color w:val="000000"/>
              </w:rPr>
              <w:t>0.52</w:t>
            </w:r>
          </w:p>
        </w:tc>
      </w:tr>
      <w:tr w:rsidR="00F95C12" w:rsidRPr="008047D3" w:rsidTr="00310F47">
        <w:trPr>
          <w:jc w:val="center"/>
        </w:trPr>
        <w:tc>
          <w:tcPr>
            <w:tcW w:w="440" w:type="pct"/>
            <w:vMerge/>
            <w:shd w:val="clear" w:color="auto" w:fill="DEEAF6" w:themeFill="accent1" w:themeFillTint="33"/>
            <w:vAlign w:val="center"/>
          </w:tcPr>
          <w:p w:rsidR="00F95C12" w:rsidRPr="008047D3" w:rsidRDefault="00F95C12" w:rsidP="00657BEC">
            <w:pPr>
              <w:autoSpaceDE w:val="0"/>
              <w:autoSpaceDN w:val="0"/>
              <w:bidi w:val="0"/>
              <w:adjustRightInd w:val="0"/>
              <w:snapToGrid w:val="0"/>
              <w:jc w:val="both"/>
              <w:rPr>
                <w:b/>
                <w:bCs/>
                <w:color w:val="000000"/>
              </w:rPr>
            </w:pPr>
          </w:p>
        </w:tc>
        <w:tc>
          <w:tcPr>
            <w:tcW w:w="782" w:type="pct"/>
            <w:vMerge/>
            <w:shd w:val="clear" w:color="auto" w:fill="DEEAF6" w:themeFill="accent1" w:themeFillTint="33"/>
            <w:vAlign w:val="center"/>
          </w:tcPr>
          <w:p w:rsidR="00F95C12" w:rsidRPr="008047D3" w:rsidRDefault="00F95C12" w:rsidP="00657BEC">
            <w:pPr>
              <w:autoSpaceDE w:val="0"/>
              <w:autoSpaceDN w:val="0"/>
              <w:bidi w:val="0"/>
              <w:adjustRightInd w:val="0"/>
              <w:snapToGrid w:val="0"/>
              <w:jc w:val="both"/>
              <w:rPr>
                <w:b/>
                <w:bCs/>
                <w:color w:val="000000"/>
              </w:rPr>
            </w:pPr>
          </w:p>
        </w:tc>
        <w:tc>
          <w:tcPr>
            <w:tcW w:w="333" w:type="pct"/>
            <w:shd w:val="clear" w:color="auto" w:fill="DEEAF6" w:themeFill="accent1" w:themeFillTint="33"/>
            <w:vAlign w:val="center"/>
          </w:tcPr>
          <w:p w:rsidR="00F95C12" w:rsidRPr="008047D3" w:rsidRDefault="00F95C12" w:rsidP="00657BEC">
            <w:pPr>
              <w:autoSpaceDE w:val="0"/>
              <w:autoSpaceDN w:val="0"/>
              <w:bidi w:val="0"/>
              <w:adjustRightInd w:val="0"/>
              <w:snapToGrid w:val="0"/>
              <w:jc w:val="both"/>
              <w:rPr>
                <w:b/>
                <w:bCs/>
                <w:color w:val="000000"/>
              </w:rPr>
            </w:pPr>
            <w:r w:rsidRPr="008047D3">
              <w:rPr>
                <w:b/>
                <w:bCs/>
                <w:color w:val="000000"/>
              </w:rPr>
              <w:t xml:space="preserve">% </w:t>
            </w:r>
          </w:p>
        </w:tc>
        <w:tc>
          <w:tcPr>
            <w:tcW w:w="801"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32.0%</w:t>
            </w:r>
          </w:p>
        </w:tc>
        <w:tc>
          <w:tcPr>
            <w:tcW w:w="883"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38.0%</w:t>
            </w:r>
          </w:p>
        </w:tc>
        <w:tc>
          <w:tcPr>
            <w:tcW w:w="776"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35.0%</w:t>
            </w:r>
          </w:p>
        </w:tc>
        <w:tc>
          <w:tcPr>
            <w:tcW w:w="493" w:type="pct"/>
            <w:vMerge/>
            <w:vAlign w:val="center"/>
          </w:tcPr>
          <w:p w:rsidR="00F95C12" w:rsidRPr="008047D3" w:rsidRDefault="00F95C12" w:rsidP="00657BEC">
            <w:pPr>
              <w:autoSpaceDE w:val="0"/>
              <w:autoSpaceDN w:val="0"/>
              <w:bidi w:val="0"/>
              <w:adjustRightInd w:val="0"/>
              <w:snapToGrid w:val="0"/>
              <w:jc w:val="both"/>
              <w:rPr>
                <w:color w:val="000000"/>
              </w:rPr>
            </w:pPr>
          </w:p>
        </w:tc>
        <w:tc>
          <w:tcPr>
            <w:tcW w:w="493" w:type="pct"/>
            <w:vMerge/>
            <w:vAlign w:val="center"/>
          </w:tcPr>
          <w:p w:rsidR="00F95C12" w:rsidRPr="008047D3" w:rsidRDefault="00F95C12" w:rsidP="00657BEC">
            <w:pPr>
              <w:autoSpaceDE w:val="0"/>
              <w:autoSpaceDN w:val="0"/>
              <w:bidi w:val="0"/>
              <w:adjustRightInd w:val="0"/>
              <w:snapToGrid w:val="0"/>
              <w:jc w:val="both"/>
              <w:rPr>
                <w:color w:val="000000"/>
              </w:rPr>
            </w:pPr>
          </w:p>
        </w:tc>
      </w:tr>
      <w:tr w:rsidR="00F95C12" w:rsidRPr="008047D3" w:rsidTr="00310F47">
        <w:trPr>
          <w:jc w:val="center"/>
        </w:trPr>
        <w:tc>
          <w:tcPr>
            <w:tcW w:w="440" w:type="pct"/>
            <w:vMerge/>
            <w:shd w:val="clear" w:color="auto" w:fill="DEEAF6" w:themeFill="accent1" w:themeFillTint="33"/>
            <w:vAlign w:val="center"/>
          </w:tcPr>
          <w:p w:rsidR="00F95C12" w:rsidRPr="008047D3" w:rsidRDefault="00F95C12" w:rsidP="00657BEC">
            <w:pPr>
              <w:autoSpaceDE w:val="0"/>
              <w:autoSpaceDN w:val="0"/>
              <w:bidi w:val="0"/>
              <w:adjustRightInd w:val="0"/>
              <w:snapToGrid w:val="0"/>
              <w:jc w:val="both"/>
              <w:rPr>
                <w:b/>
                <w:bCs/>
                <w:color w:val="000000"/>
              </w:rPr>
            </w:pPr>
          </w:p>
        </w:tc>
        <w:tc>
          <w:tcPr>
            <w:tcW w:w="782" w:type="pct"/>
            <w:vMerge w:val="restart"/>
            <w:shd w:val="clear" w:color="auto" w:fill="DEEAF6" w:themeFill="accent1" w:themeFillTint="33"/>
            <w:vAlign w:val="center"/>
          </w:tcPr>
          <w:p w:rsidR="00F95C12" w:rsidRPr="008047D3" w:rsidRDefault="00F95C12" w:rsidP="00657BEC">
            <w:pPr>
              <w:autoSpaceDE w:val="0"/>
              <w:autoSpaceDN w:val="0"/>
              <w:bidi w:val="0"/>
              <w:adjustRightInd w:val="0"/>
              <w:snapToGrid w:val="0"/>
              <w:jc w:val="both"/>
              <w:rPr>
                <w:b/>
                <w:bCs/>
                <w:color w:val="000000"/>
              </w:rPr>
            </w:pPr>
            <w:r w:rsidRPr="008047D3">
              <w:rPr>
                <w:b/>
                <w:bCs/>
                <w:color w:val="000000"/>
              </w:rPr>
              <w:t>Male</w:t>
            </w:r>
          </w:p>
        </w:tc>
        <w:tc>
          <w:tcPr>
            <w:tcW w:w="333" w:type="pct"/>
            <w:shd w:val="clear" w:color="auto" w:fill="DEEAF6" w:themeFill="accent1" w:themeFillTint="33"/>
            <w:vAlign w:val="center"/>
          </w:tcPr>
          <w:p w:rsidR="00F95C12" w:rsidRPr="008047D3" w:rsidRDefault="00F95C12" w:rsidP="00657BEC">
            <w:pPr>
              <w:autoSpaceDE w:val="0"/>
              <w:autoSpaceDN w:val="0"/>
              <w:bidi w:val="0"/>
              <w:adjustRightInd w:val="0"/>
              <w:snapToGrid w:val="0"/>
              <w:jc w:val="both"/>
              <w:rPr>
                <w:b/>
                <w:bCs/>
                <w:color w:val="000000"/>
              </w:rPr>
            </w:pPr>
            <w:r w:rsidRPr="008047D3">
              <w:rPr>
                <w:b/>
                <w:bCs/>
                <w:color w:val="000000"/>
              </w:rPr>
              <w:t xml:space="preserve">N </w:t>
            </w:r>
          </w:p>
        </w:tc>
        <w:tc>
          <w:tcPr>
            <w:tcW w:w="801"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34</w:t>
            </w:r>
          </w:p>
        </w:tc>
        <w:tc>
          <w:tcPr>
            <w:tcW w:w="883"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31</w:t>
            </w:r>
          </w:p>
        </w:tc>
        <w:tc>
          <w:tcPr>
            <w:tcW w:w="776"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65</w:t>
            </w:r>
          </w:p>
        </w:tc>
        <w:tc>
          <w:tcPr>
            <w:tcW w:w="493" w:type="pct"/>
            <w:vMerge/>
            <w:vAlign w:val="center"/>
          </w:tcPr>
          <w:p w:rsidR="00F95C12" w:rsidRPr="008047D3" w:rsidRDefault="00F95C12" w:rsidP="00657BEC">
            <w:pPr>
              <w:autoSpaceDE w:val="0"/>
              <w:autoSpaceDN w:val="0"/>
              <w:bidi w:val="0"/>
              <w:adjustRightInd w:val="0"/>
              <w:snapToGrid w:val="0"/>
              <w:jc w:val="both"/>
              <w:rPr>
                <w:color w:val="000000"/>
              </w:rPr>
            </w:pPr>
          </w:p>
        </w:tc>
        <w:tc>
          <w:tcPr>
            <w:tcW w:w="493" w:type="pct"/>
            <w:vMerge/>
            <w:vAlign w:val="center"/>
          </w:tcPr>
          <w:p w:rsidR="00F95C12" w:rsidRPr="008047D3" w:rsidRDefault="00F95C12" w:rsidP="00657BEC">
            <w:pPr>
              <w:autoSpaceDE w:val="0"/>
              <w:autoSpaceDN w:val="0"/>
              <w:bidi w:val="0"/>
              <w:adjustRightInd w:val="0"/>
              <w:snapToGrid w:val="0"/>
              <w:jc w:val="both"/>
              <w:rPr>
                <w:color w:val="000000"/>
              </w:rPr>
            </w:pPr>
          </w:p>
        </w:tc>
      </w:tr>
      <w:tr w:rsidR="00F95C12" w:rsidRPr="008047D3" w:rsidTr="00310F47">
        <w:trPr>
          <w:jc w:val="center"/>
        </w:trPr>
        <w:tc>
          <w:tcPr>
            <w:tcW w:w="440" w:type="pct"/>
            <w:vMerge/>
            <w:shd w:val="clear" w:color="auto" w:fill="DEEAF6" w:themeFill="accent1" w:themeFillTint="33"/>
            <w:vAlign w:val="center"/>
          </w:tcPr>
          <w:p w:rsidR="00F95C12" w:rsidRPr="008047D3" w:rsidRDefault="00F95C12" w:rsidP="00657BEC">
            <w:pPr>
              <w:autoSpaceDE w:val="0"/>
              <w:autoSpaceDN w:val="0"/>
              <w:bidi w:val="0"/>
              <w:adjustRightInd w:val="0"/>
              <w:snapToGrid w:val="0"/>
              <w:jc w:val="both"/>
              <w:rPr>
                <w:b/>
                <w:bCs/>
                <w:color w:val="000000"/>
              </w:rPr>
            </w:pPr>
          </w:p>
        </w:tc>
        <w:tc>
          <w:tcPr>
            <w:tcW w:w="782" w:type="pct"/>
            <w:vMerge/>
            <w:shd w:val="clear" w:color="auto" w:fill="DEEAF6" w:themeFill="accent1" w:themeFillTint="33"/>
            <w:vAlign w:val="center"/>
          </w:tcPr>
          <w:p w:rsidR="00F95C12" w:rsidRPr="008047D3" w:rsidRDefault="00F95C12" w:rsidP="00657BEC">
            <w:pPr>
              <w:autoSpaceDE w:val="0"/>
              <w:autoSpaceDN w:val="0"/>
              <w:bidi w:val="0"/>
              <w:adjustRightInd w:val="0"/>
              <w:snapToGrid w:val="0"/>
              <w:jc w:val="both"/>
              <w:rPr>
                <w:b/>
                <w:bCs/>
                <w:color w:val="000000"/>
              </w:rPr>
            </w:pPr>
          </w:p>
        </w:tc>
        <w:tc>
          <w:tcPr>
            <w:tcW w:w="333" w:type="pct"/>
            <w:shd w:val="clear" w:color="auto" w:fill="DEEAF6" w:themeFill="accent1" w:themeFillTint="33"/>
            <w:vAlign w:val="center"/>
          </w:tcPr>
          <w:p w:rsidR="00F95C12" w:rsidRPr="008047D3" w:rsidRDefault="00F95C12" w:rsidP="00657BEC">
            <w:pPr>
              <w:autoSpaceDE w:val="0"/>
              <w:autoSpaceDN w:val="0"/>
              <w:bidi w:val="0"/>
              <w:adjustRightInd w:val="0"/>
              <w:snapToGrid w:val="0"/>
              <w:jc w:val="both"/>
              <w:rPr>
                <w:b/>
                <w:bCs/>
                <w:color w:val="000000"/>
              </w:rPr>
            </w:pPr>
            <w:r w:rsidRPr="008047D3">
              <w:rPr>
                <w:b/>
                <w:bCs/>
                <w:color w:val="000000"/>
              </w:rPr>
              <w:t xml:space="preserve">% </w:t>
            </w:r>
          </w:p>
        </w:tc>
        <w:tc>
          <w:tcPr>
            <w:tcW w:w="801"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68.0%</w:t>
            </w:r>
          </w:p>
        </w:tc>
        <w:tc>
          <w:tcPr>
            <w:tcW w:w="883"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62.0%</w:t>
            </w:r>
          </w:p>
        </w:tc>
        <w:tc>
          <w:tcPr>
            <w:tcW w:w="776"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65.0%</w:t>
            </w:r>
          </w:p>
        </w:tc>
        <w:tc>
          <w:tcPr>
            <w:tcW w:w="493" w:type="pct"/>
            <w:vMerge/>
            <w:vAlign w:val="center"/>
          </w:tcPr>
          <w:p w:rsidR="00F95C12" w:rsidRPr="008047D3" w:rsidRDefault="00F95C12" w:rsidP="00657BEC">
            <w:pPr>
              <w:autoSpaceDE w:val="0"/>
              <w:autoSpaceDN w:val="0"/>
              <w:bidi w:val="0"/>
              <w:adjustRightInd w:val="0"/>
              <w:snapToGrid w:val="0"/>
              <w:jc w:val="both"/>
              <w:rPr>
                <w:color w:val="000000"/>
              </w:rPr>
            </w:pPr>
          </w:p>
        </w:tc>
        <w:tc>
          <w:tcPr>
            <w:tcW w:w="493" w:type="pct"/>
            <w:vMerge/>
            <w:vAlign w:val="center"/>
          </w:tcPr>
          <w:p w:rsidR="00F95C12" w:rsidRPr="008047D3" w:rsidRDefault="00F95C12" w:rsidP="00657BEC">
            <w:pPr>
              <w:autoSpaceDE w:val="0"/>
              <w:autoSpaceDN w:val="0"/>
              <w:bidi w:val="0"/>
              <w:adjustRightInd w:val="0"/>
              <w:snapToGrid w:val="0"/>
              <w:jc w:val="both"/>
              <w:rPr>
                <w:color w:val="000000"/>
              </w:rPr>
            </w:pPr>
          </w:p>
        </w:tc>
      </w:tr>
      <w:tr w:rsidR="00F95C12" w:rsidRPr="008047D3" w:rsidTr="00310F47">
        <w:trPr>
          <w:jc w:val="center"/>
        </w:trPr>
        <w:tc>
          <w:tcPr>
            <w:tcW w:w="1221" w:type="pct"/>
            <w:gridSpan w:val="2"/>
            <w:vMerge w:val="restart"/>
            <w:shd w:val="clear" w:color="auto" w:fill="DEEAF6" w:themeFill="accent1" w:themeFillTint="33"/>
            <w:vAlign w:val="center"/>
          </w:tcPr>
          <w:p w:rsidR="00F95C12" w:rsidRPr="008047D3" w:rsidRDefault="00F95C12" w:rsidP="00657BEC">
            <w:pPr>
              <w:autoSpaceDE w:val="0"/>
              <w:autoSpaceDN w:val="0"/>
              <w:bidi w:val="0"/>
              <w:adjustRightInd w:val="0"/>
              <w:snapToGrid w:val="0"/>
              <w:jc w:val="both"/>
              <w:rPr>
                <w:b/>
                <w:bCs/>
                <w:color w:val="000000"/>
              </w:rPr>
            </w:pPr>
            <w:r w:rsidRPr="008047D3">
              <w:rPr>
                <w:b/>
                <w:bCs/>
                <w:color w:val="000000"/>
              </w:rPr>
              <w:t>Total</w:t>
            </w:r>
          </w:p>
        </w:tc>
        <w:tc>
          <w:tcPr>
            <w:tcW w:w="333" w:type="pct"/>
            <w:shd w:val="clear" w:color="auto" w:fill="DEEAF6" w:themeFill="accent1" w:themeFillTint="33"/>
            <w:vAlign w:val="center"/>
          </w:tcPr>
          <w:p w:rsidR="00F95C12" w:rsidRPr="008047D3" w:rsidRDefault="00F95C12" w:rsidP="00657BEC">
            <w:pPr>
              <w:autoSpaceDE w:val="0"/>
              <w:autoSpaceDN w:val="0"/>
              <w:bidi w:val="0"/>
              <w:adjustRightInd w:val="0"/>
              <w:snapToGrid w:val="0"/>
              <w:jc w:val="both"/>
              <w:rPr>
                <w:b/>
                <w:bCs/>
                <w:color w:val="000000"/>
              </w:rPr>
            </w:pPr>
            <w:r w:rsidRPr="008047D3">
              <w:rPr>
                <w:b/>
                <w:bCs/>
                <w:color w:val="000000"/>
              </w:rPr>
              <w:t xml:space="preserve">N </w:t>
            </w:r>
          </w:p>
        </w:tc>
        <w:tc>
          <w:tcPr>
            <w:tcW w:w="801"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50</w:t>
            </w:r>
          </w:p>
        </w:tc>
        <w:tc>
          <w:tcPr>
            <w:tcW w:w="883"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50</w:t>
            </w:r>
          </w:p>
        </w:tc>
        <w:tc>
          <w:tcPr>
            <w:tcW w:w="776"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100</w:t>
            </w:r>
          </w:p>
        </w:tc>
        <w:tc>
          <w:tcPr>
            <w:tcW w:w="493" w:type="pct"/>
            <w:vAlign w:val="center"/>
          </w:tcPr>
          <w:p w:rsidR="00F95C12" w:rsidRPr="008047D3" w:rsidRDefault="00F95C12" w:rsidP="00657BEC">
            <w:pPr>
              <w:autoSpaceDE w:val="0"/>
              <w:autoSpaceDN w:val="0"/>
              <w:bidi w:val="0"/>
              <w:adjustRightInd w:val="0"/>
              <w:snapToGrid w:val="0"/>
              <w:jc w:val="both"/>
              <w:rPr>
                <w:color w:val="000000"/>
              </w:rPr>
            </w:pPr>
          </w:p>
        </w:tc>
        <w:tc>
          <w:tcPr>
            <w:tcW w:w="493" w:type="pct"/>
            <w:vAlign w:val="center"/>
          </w:tcPr>
          <w:p w:rsidR="00F95C12" w:rsidRPr="008047D3" w:rsidRDefault="00F95C12" w:rsidP="00657BEC">
            <w:pPr>
              <w:autoSpaceDE w:val="0"/>
              <w:autoSpaceDN w:val="0"/>
              <w:bidi w:val="0"/>
              <w:adjustRightInd w:val="0"/>
              <w:snapToGrid w:val="0"/>
              <w:jc w:val="both"/>
              <w:rPr>
                <w:color w:val="000000"/>
              </w:rPr>
            </w:pPr>
          </w:p>
        </w:tc>
      </w:tr>
      <w:tr w:rsidR="00F95C12" w:rsidRPr="008047D3" w:rsidTr="00310F47">
        <w:trPr>
          <w:jc w:val="center"/>
        </w:trPr>
        <w:tc>
          <w:tcPr>
            <w:tcW w:w="1221" w:type="pct"/>
            <w:gridSpan w:val="2"/>
            <w:vMerge/>
            <w:shd w:val="clear" w:color="auto" w:fill="DEEAF6" w:themeFill="accent1" w:themeFillTint="33"/>
            <w:vAlign w:val="center"/>
          </w:tcPr>
          <w:p w:rsidR="00F95C12" w:rsidRPr="008047D3" w:rsidRDefault="00F95C12" w:rsidP="00657BEC">
            <w:pPr>
              <w:autoSpaceDE w:val="0"/>
              <w:autoSpaceDN w:val="0"/>
              <w:bidi w:val="0"/>
              <w:adjustRightInd w:val="0"/>
              <w:snapToGrid w:val="0"/>
              <w:jc w:val="both"/>
              <w:rPr>
                <w:b/>
                <w:bCs/>
                <w:color w:val="000000"/>
              </w:rPr>
            </w:pPr>
          </w:p>
        </w:tc>
        <w:tc>
          <w:tcPr>
            <w:tcW w:w="333" w:type="pct"/>
            <w:shd w:val="clear" w:color="auto" w:fill="DEEAF6" w:themeFill="accent1" w:themeFillTint="33"/>
            <w:vAlign w:val="center"/>
          </w:tcPr>
          <w:p w:rsidR="00F95C12" w:rsidRPr="008047D3" w:rsidRDefault="00F95C12" w:rsidP="00657BEC">
            <w:pPr>
              <w:autoSpaceDE w:val="0"/>
              <w:autoSpaceDN w:val="0"/>
              <w:bidi w:val="0"/>
              <w:adjustRightInd w:val="0"/>
              <w:snapToGrid w:val="0"/>
              <w:jc w:val="both"/>
              <w:rPr>
                <w:b/>
                <w:bCs/>
                <w:color w:val="000000"/>
              </w:rPr>
            </w:pPr>
            <w:r w:rsidRPr="008047D3">
              <w:rPr>
                <w:b/>
                <w:bCs/>
                <w:color w:val="000000"/>
              </w:rPr>
              <w:t xml:space="preserve">% </w:t>
            </w:r>
          </w:p>
        </w:tc>
        <w:tc>
          <w:tcPr>
            <w:tcW w:w="801"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100.0%</w:t>
            </w:r>
          </w:p>
        </w:tc>
        <w:tc>
          <w:tcPr>
            <w:tcW w:w="883"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100.0%</w:t>
            </w:r>
          </w:p>
        </w:tc>
        <w:tc>
          <w:tcPr>
            <w:tcW w:w="776"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100.0%</w:t>
            </w:r>
          </w:p>
        </w:tc>
        <w:tc>
          <w:tcPr>
            <w:tcW w:w="493" w:type="pct"/>
            <w:vAlign w:val="center"/>
          </w:tcPr>
          <w:p w:rsidR="00F95C12" w:rsidRPr="008047D3" w:rsidRDefault="00F95C12" w:rsidP="00657BEC">
            <w:pPr>
              <w:autoSpaceDE w:val="0"/>
              <w:autoSpaceDN w:val="0"/>
              <w:bidi w:val="0"/>
              <w:adjustRightInd w:val="0"/>
              <w:snapToGrid w:val="0"/>
              <w:jc w:val="both"/>
              <w:rPr>
                <w:color w:val="000000"/>
              </w:rPr>
            </w:pPr>
          </w:p>
        </w:tc>
        <w:tc>
          <w:tcPr>
            <w:tcW w:w="493" w:type="pct"/>
            <w:vAlign w:val="center"/>
          </w:tcPr>
          <w:p w:rsidR="00F95C12" w:rsidRPr="008047D3" w:rsidRDefault="00F95C12" w:rsidP="00657BEC">
            <w:pPr>
              <w:autoSpaceDE w:val="0"/>
              <w:autoSpaceDN w:val="0"/>
              <w:bidi w:val="0"/>
              <w:adjustRightInd w:val="0"/>
              <w:snapToGrid w:val="0"/>
              <w:jc w:val="both"/>
              <w:rPr>
                <w:color w:val="000000"/>
              </w:rPr>
            </w:pPr>
          </w:p>
        </w:tc>
      </w:tr>
    </w:tbl>
    <w:p w:rsidR="00F95C12" w:rsidRPr="008047D3" w:rsidRDefault="00F95C12" w:rsidP="00657BEC">
      <w:pPr>
        <w:snapToGrid w:val="0"/>
        <w:spacing w:after="0" w:line="240" w:lineRule="auto"/>
        <w:jc w:val="both"/>
        <w:rPr>
          <w:rFonts w:ascii="Times New Roman" w:eastAsia="Times New Roman" w:hAnsi="Times New Roman" w:cs="Times New Roman"/>
          <w:sz w:val="20"/>
          <w:szCs w:val="20"/>
          <w:lang w:bidi="ar-EG"/>
        </w:rPr>
      </w:pPr>
      <w:r w:rsidRPr="008047D3">
        <w:rPr>
          <w:rFonts w:ascii="Times New Roman" w:eastAsia="Times New Roman" w:hAnsi="Times New Roman" w:cs="Times New Roman"/>
          <w:sz w:val="20"/>
          <w:szCs w:val="20"/>
          <w:lang w:bidi="ar-EG"/>
        </w:rPr>
        <w:t>P =probability value</w:t>
      </w:r>
      <w:r w:rsidR="00310F47" w:rsidRPr="008047D3">
        <w:rPr>
          <w:rFonts w:ascii="Times New Roman" w:eastAsia="Times New Roman" w:hAnsi="Times New Roman" w:cs="Times New Roman"/>
          <w:sz w:val="20"/>
          <w:szCs w:val="20"/>
          <w:lang w:bidi="ar-EG"/>
        </w:rPr>
        <w:t xml:space="preserve"> </w:t>
      </w:r>
      <w:r w:rsidRPr="008047D3">
        <w:rPr>
          <w:rFonts w:ascii="Times New Roman" w:eastAsia="Times New Roman" w:hAnsi="Times New Roman" w:cs="Times New Roman"/>
          <w:sz w:val="20"/>
          <w:szCs w:val="20"/>
          <w:lang w:bidi="ar-EG"/>
        </w:rPr>
        <w:t>N. =number</w:t>
      </w:r>
      <m:oMath>
        <m:r>
          <m:rPr>
            <m:sty m:val="bi"/>
          </m:rPr>
          <w:rPr>
            <w:rFonts w:ascii="Cambria Math" w:hAnsi="Times New Roman" w:cs="Times New Roman"/>
            <w:sz w:val="20"/>
            <w:szCs w:val="20"/>
            <w:lang w:bidi="ar-EG"/>
          </w:rPr>
          <m:t xml:space="preserve"> </m:t>
        </m:r>
        <m:r>
          <m:rPr>
            <m:sty m:val="bi"/>
          </m:rPr>
          <w:rPr>
            <w:rFonts w:ascii="Cambria Math" w:hAnsi="Cambria Math" w:cs="Times New Roman"/>
            <w:sz w:val="20"/>
            <w:szCs w:val="20"/>
            <w:lang w:bidi="ar-EG"/>
          </w:rPr>
          <m:t>t</m:t>
        </m:r>
        <m:r>
          <w:rPr>
            <w:rFonts w:ascii="Cambria Math" w:eastAsia="Times New Roman" w:hAnsi="Times New Roman" w:cs="Times New Roman"/>
            <w:sz w:val="20"/>
            <w:szCs w:val="20"/>
            <w:lang w:bidi="ar-EG"/>
          </w:rPr>
          <m:t>=</m:t>
        </m:r>
      </m:oMath>
      <w:r w:rsidRPr="008047D3">
        <w:rPr>
          <w:rFonts w:ascii="Times New Roman" w:eastAsia="Times New Roman" w:hAnsi="Times New Roman" w:cs="Times New Roman"/>
          <w:sz w:val="20"/>
          <w:szCs w:val="20"/>
          <w:lang w:bidi="ar-EG"/>
        </w:rPr>
        <w:t>Student's t test</w:t>
      </w:r>
      <w:r w:rsidR="00310F47" w:rsidRPr="008047D3">
        <w:rPr>
          <w:rFonts w:ascii="Times New Roman" w:eastAsia="Times New Roman" w:hAnsi="Times New Roman" w:cs="Times New Roman"/>
          <w:sz w:val="20"/>
          <w:szCs w:val="20"/>
          <w:lang w:bidi="ar-EG"/>
        </w:rPr>
        <w:t xml:space="preserve"> </w:t>
      </w:r>
      <w:r w:rsidRPr="008047D3">
        <w:rPr>
          <w:rFonts w:ascii="Times New Roman" w:eastAsia="Times New Roman" w:hAnsi="Times New Roman" w:cs="Times New Roman"/>
          <w:sz w:val="20"/>
          <w:szCs w:val="20"/>
          <w:lang w:bidi="ar-EG"/>
        </w:rPr>
        <w:t>Non significant: P &gt; 0.05</w:t>
      </w:r>
      <w:r w:rsidR="00310F47" w:rsidRPr="008047D3">
        <w:rPr>
          <w:rFonts w:ascii="Times New Roman" w:eastAsia="Times New Roman" w:hAnsi="Times New Roman" w:cs="Times New Roman"/>
          <w:sz w:val="20"/>
          <w:szCs w:val="20"/>
          <w:lang w:bidi="ar-EG"/>
        </w:rPr>
        <w:t xml:space="preserve"> </w:t>
      </w:r>
    </w:p>
    <w:p w:rsidR="00310F47" w:rsidRPr="008047D3" w:rsidRDefault="00F95C12" w:rsidP="00657BEC">
      <w:pPr>
        <w:snapToGrid w:val="0"/>
        <w:spacing w:after="0" w:line="240" w:lineRule="auto"/>
        <w:jc w:val="both"/>
        <w:rPr>
          <w:rFonts w:ascii="Times New Roman" w:eastAsia="Times New Roman" w:hAnsi="Times New Roman" w:cs="Times New Roman"/>
          <w:sz w:val="20"/>
          <w:szCs w:val="20"/>
          <w:lang w:bidi="ar-EG"/>
        </w:rPr>
      </w:pPr>
      <w:r w:rsidRPr="008047D3">
        <w:rPr>
          <w:rFonts w:ascii="Times New Roman" w:eastAsia="Times New Roman" w:hAnsi="Times New Roman" w:cs="Times New Roman"/>
          <w:sz w:val="20"/>
          <w:szCs w:val="20"/>
          <w:lang w:bidi="ar-EG"/>
        </w:rPr>
        <w:t>* Significant: P &lt; 0.05</w:t>
      </w:r>
      <w:r w:rsidR="00310F47" w:rsidRPr="008047D3">
        <w:rPr>
          <w:rFonts w:ascii="Times New Roman" w:eastAsia="Times New Roman" w:hAnsi="Times New Roman" w:cs="Times New Roman"/>
          <w:sz w:val="20"/>
          <w:szCs w:val="20"/>
          <w:lang w:bidi="ar-EG"/>
        </w:rPr>
        <w:t xml:space="preserve"> </w:t>
      </w:r>
    </w:p>
    <w:p w:rsidR="00310F47" w:rsidRPr="008047D3" w:rsidRDefault="00310F47" w:rsidP="00657BEC">
      <w:pPr>
        <w:snapToGrid w:val="0"/>
        <w:spacing w:after="0" w:line="240" w:lineRule="auto"/>
        <w:jc w:val="center"/>
        <w:rPr>
          <w:rFonts w:ascii="Times New Roman" w:eastAsia="Times New Roman" w:hAnsi="Times New Roman" w:cs="Times New Roman"/>
          <w:sz w:val="20"/>
          <w:szCs w:val="20"/>
          <w:lang w:bidi="ar-EG"/>
        </w:rPr>
      </w:pPr>
    </w:p>
    <w:p w:rsidR="00657BEC" w:rsidRPr="008047D3" w:rsidRDefault="00657BEC" w:rsidP="00657BEC">
      <w:pPr>
        <w:snapToGrid w:val="0"/>
        <w:spacing w:after="0" w:line="240" w:lineRule="auto"/>
        <w:jc w:val="center"/>
        <w:rPr>
          <w:rFonts w:ascii="Times New Roman" w:hAnsi="Times New Roman" w:cs="Times New Roman"/>
          <w:sz w:val="20"/>
          <w:szCs w:val="20"/>
        </w:rPr>
        <w:sectPr w:rsidR="00657BEC" w:rsidRPr="008047D3" w:rsidSect="005E40AC">
          <w:type w:val="continuous"/>
          <w:pgSz w:w="12240" w:h="15840" w:code="13"/>
          <w:pgMar w:top="1440" w:right="1440" w:bottom="1440" w:left="1440" w:header="720" w:footer="720" w:gutter="0"/>
          <w:cols w:space="720"/>
          <w:docGrid w:linePitch="360"/>
        </w:sectPr>
      </w:pPr>
    </w:p>
    <w:p w:rsidR="00742C0E" w:rsidRPr="008047D3" w:rsidRDefault="00742C0E" w:rsidP="00657BEC">
      <w:pPr>
        <w:snapToGrid w:val="0"/>
        <w:spacing w:after="0" w:line="240" w:lineRule="auto"/>
        <w:ind w:firstLine="425"/>
        <w:jc w:val="both"/>
        <w:rPr>
          <w:rFonts w:ascii="Times New Roman" w:hAnsi="Times New Roman" w:cs="Times New Roman"/>
          <w:sz w:val="20"/>
          <w:szCs w:val="20"/>
        </w:rPr>
      </w:pPr>
      <w:r w:rsidRPr="008047D3">
        <w:rPr>
          <w:rFonts w:ascii="Times New Roman" w:hAnsi="Times New Roman" w:cs="Times New Roman"/>
          <w:sz w:val="20"/>
          <w:szCs w:val="20"/>
        </w:rPr>
        <w:lastRenderedPageBreak/>
        <w:t xml:space="preserve">Table (3) demonstrated comparison between the two studied groups regarding body mass index (BMI) and diabetes mellitus DM duration. There was no statistically significant difference between the mean values of BMI but there was a statistically significant </w:t>
      </w:r>
      <w:r w:rsidRPr="008047D3">
        <w:rPr>
          <w:rFonts w:ascii="Times New Roman" w:hAnsi="Times New Roman" w:cs="Times New Roman"/>
          <w:sz w:val="20"/>
          <w:szCs w:val="20"/>
        </w:rPr>
        <w:lastRenderedPageBreak/>
        <w:t>difference between the mean values of DM duration in the two studied groups.</w:t>
      </w:r>
    </w:p>
    <w:p w:rsidR="00742C0E" w:rsidRPr="008047D3" w:rsidRDefault="00742C0E" w:rsidP="00657BEC">
      <w:pPr>
        <w:snapToGrid w:val="0"/>
        <w:spacing w:after="0" w:line="240" w:lineRule="auto"/>
        <w:ind w:firstLine="425"/>
        <w:jc w:val="both"/>
        <w:rPr>
          <w:rFonts w:ascii="Times New Roman" w:hAnsi="Times New Roman" w:cs="Times New Roman"/>
          <w:color w:val="000000"/>
          <w:sz w:val="20"/>
          <w:szCs w:val="20"/>
        </w:rPr>
      </w:pPr>
      <w:r w:rsidRPr="008047D3">
        <w:rPr>
          <w:rFonts w:ascii="Times New Roman" w:hAnsi="Times New Roman" w:cs="Times New Roman"/>
          <w:sz w:val="20"/>
          <w:szCs w:val="20"/>
        </w:rPr>
        <w:t xml:space="preserve">The mean value for BMI in group I was 25.53±2.99 and in group II was 25.72±2.23 (t=0.363, P-value 0.717). The mean value for DM duration in </w:t>
      </w:r>
      <w:r w:rsidRPr="008047D3">
        <w:rPr>
          <w:rFonts w:ascii="Times New Roman" w:hAnsi="Times New Roman" w:cs="Times New Roman"/>
          <w:sz w:val="20"/>
          <w:szCs w:val="20"/>
        </w:rPr>
        <w:lastRenderedPageBreak/>
        <w:t>group I was 6.56±1.76 years and in group II was 11.42±3.33 years (t=9.102, P-value 0.00).</w:t>
      </w:r>
    </w:p>
    <w:p w:rsidR="00F95C12" w:rsidRPr="008047D3" w:rsidRDefault="00F95C12" w:rsidP="00657BEC">
      <w:pPr>
        <w:pStyle w:val="ListParagraph"/>
        <w:snapToGrid w:val="0"/>
        <w:spacing w:after="0" w:line="240" w:lineRule="auto"/>
        <w:ind w:left="0"/>
        <w:jc w:val="both"/>
        <w:rPr>
          <w:rFonts w:ascii="Times New Roman" w:hAnsi="Times New Roman" w:cs="Times New Roman"/>
          <w:b/>
          <w:bCs/>
          <w:sz w:val="20"/>
          <w:szCs w:val="20"/>
        </w:rPr>
      </w:pPr>
    </w:p>
    <w:p w:rsidR="00F95C12" w:rsidRPr="008047D3" w:rsidRDefault="00F95C12" w:rsidP="00657BEC">
      <w:pPr>
        <w:pStyle w:val="ListParagraph"/>
        <w:numPr>
          <w:ilvl w:val="0"/>
          <w:numId w:val="11"/>
        </w:numPr>
        <w:snapToGrid w:val="0"/>
        <w:spacing w:after="0" w:line="240" w:lineRule="auto"/>
        <w:ind w:left="0" w:firstLine="0"/>
        <w:jc w:val="both"/>
        <w:rPr>
          <w:rFonts w:ascii="Times New Roman" w:hAnsi="Times New Roman" w:cs="Times New Roman"/>
          <w:b/>
          <w:bCs/>
          <w:sz w:val="20"/>
          <w:szCs w:val="20"/>
        </w:rPr>
      </w:pPr>
      <w:r w:rsidRPr="008047D3">
        <w:rPr>
          <w:rFonts w:ascii="Times New Roman" w:hAnsi="Times New Roman" w:cs="Times New Roman"/>
          <w:b/>
          <w:bCs/>
          <w:sz w:val="20"/>
          <w:szCs w:val="20"/>
        </w:rPr>
        <w:lastRenderedPageBreak/>
        <w:t>BMI, DM duration and blood pressure distribution of the two studied groups:</w:t>
      </w:r>
    </w:p>
    <w:p w:rsidR="00657BEC" w:rsidRPr="008047D3" w:rsidRDefault="00657BEC" w:rsidP="00657BEC">
      <w:pPr>
        <w:snapToGrid w:val="0"/>
        <w:spacing w:after="0" w:line="240" w:lineRule="auto"/>
        <w:jc w:val="center"/>
        <w:rPr>
          <w:rFonts w:ascii="Times New Roman" w:hAnsi="Times New Roman" w:cs="Times New Roman"/>
          <w:b/>
          <w:bCs/>
          <w:sz w:val="20"/>
          <w:szCs w:val="20"/>
        </w:rPr>
        <w:sectPr w:rsidR="00657BEC" w:rsidRPr="008047D3" w:rsidSect="005E40AC">
          <w:type w:val="continuous"/>
          <w:pgSz w:w="12240" w:h="15840" w:code="13"/>
          <w:pgMar w:top="1440" w:right="1440" w:bottom="1440" w:left="1440" w:header="720" w:footer="720" w:gutter="0"/>
          <w:cols w:num="2" w:space="550"/>
          <w:docGrid w:linePitch="360"/>
        </w:sectPr>
      </w:pPr>
    </w:p>
    <w:p w:rsidR="00F95C12" w:rsidRPr="008047D3" w:rsidRDefault="00F95C12" w:rsidP="00657BEC">
      <w:pPr>
        <w:snapToGrid w:val="0"/>
        <w:spacing w:after="0" w:line="240" w:lineRule="auto"/>
        <w:jc w:val="center"/>
        <w:rPr>
          <w:rFonts w:ascii="Times New Roman" w:hAnsi="Times New Roman" w:cs="Times New Roman"/>
          <w:b/>
          <w:bCs/>
          <w:sz w:val="20"/>
          <w:szCs w:val="20"/>
        </w:rPr>
      </w:pPr>
      <w:r w:rsidRPr="008047D3">
        <w:rPr>
          <w:rFonts w:ascii="Times New Roman" w:hAnsi="Times New Roman" w:cs="Times New Roman"/>
          <w:b/>
          <w:bCs/>
          <w:sz w:val="20"/>
          <w:szCs w:val="20"/>
        </w:rPr>
        <w:lastRenderedPageBreak/>
        <w:t>Table (3): BMI and DM duration distribution between groups</w:t>
      </w:r>
    </w:p>
    <w:tbl>
      <w:tblPr>
        <w:tblStyle w:val="LightGrid-Accent12"/>
        <w:tblW w:w="5000" w:type="pct"/>
        <w:jc w:val="center"/>
        <w:tblCellMar>
          <w:left w:w="57" w:type="dxa"/>
          <w:right w:w="57" w:type="dxa"/>
        </w:tblCellMar>
        <w:tblLook w:val="0000"/>
      </w:tblPr>
      <w:tblGrid>
        <w:gridCol w:w="2927"/>
        <w:gridCol w:w="2257"/>
        <w:gridCol w:w="2380"/>
        <w:gridCol w:w="877"/>
        <w:gridCol w:w="1033"/>
      </w:tblGrid>
      <w:tr w:rsidR="00310F47" w:rsidRPr="008047D3" w:rsidTr="00310F47">
        <w:trPr>
          <w:cnfStyle w:val="000000100000"/>
          <w:jc w:val="center"/>
        </w:trPr>
        <w:tc>
          <w:tcPr>
            <w:cnfStyle w:val="000010000000"/>
            <w:tcW w:w="1545" w:type="pc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p>
        </w:tc>
        <w:tc>
          <w:tcPr>
            <w:tcW w:w="1191" w:type="pct"/>
            <w:shd w:val="clear" w:color="auto" w:fill="DEEAF6" w:themeFill="accent1" w:themeFillTint="33"/>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Group I</w:t>
            </w:r>
            <w:r w:rsidR="00613BFC" w:rsidRPr="008047D3">
              <w:rPr>
                <w:rFonts w:ascii="Times New Roman" w:hAnsi="Times New Roman" w:cs="Times New Roman"/>
                <w:b/>
                <w:bCs/>
                <w:color w:val="000000"/>
                <w:sz w:val="20"/>
                <w:szCs w:val="20"/>
              </w:rPr>
              <w:t xml:space="preserve"> </w:t>
            </w:r>
            <w:r w:rsidRPr="008047D3">
              <w:rPr>
                <w:rFonts w:ascii="Times New Roman" w:hAnsi="Times New Roman" w:cs="Times New Roman"/>
                <w:b/>
                <w:bCs/>
                <w:color w:val="000000"/>
                <w:sz w:val="20"/>
                <w:szCs w:val="20"/>
              </w:rPr>
              <w:t>(N=50)</w:t>
            </w:r>
          </w:p>
        </w:tc>
        <w:tc>
          <w:tcPr>
            <w:cnfStyle w:val="000010000000"/>
            <w:tcW w:w="1256" w:type="pc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Group II</w:t>
            </w:r>
            <w:r w:rsidR="00613BFC" w:rsidRPr="008047D3">
              <w:rPr>
                <w:rFonts w:ascii="Times New Roman" w:hAnsi="Times New Roman" w:cs="Times New Roman"/>
                <w:b/>
                <w:bCs/>
                <w:color w:val="000000"/>
                <w:sz w:val="20"/>
                <w:szCs w:val="20"/>
              </w:rPr>
              <w:t xml:space="preserve"> </w:t>
            </w:r>
            <w:r w:rsidRPr="008047D3">
              <w:rPr>
                <w:rFonts w:ascii="Times New Roman" w:hAnsi="Times New Roman" w:cs="Times New Roman"/>
                <w:b/>
                <w:bCs/>
                <w:color w:val="000000"/>
                <w:sz w:val="20"/>
                <w:szCs w:val="20"/>
              </w:rPr>
              <w:t>(N=50)</w:t>
            </w:r>
          </w:p>
        </w:tc>
        <w:tc>
          <w:tcPr>
            <w:tcW w:w="463" w:type="pct"/>
            <w:shd w:val="clear" w:color="auto" w:fill="DEEAF6" w:themeFill="accent1" w:themeFillTint="33"/>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t</w:t>
            </w:r>
          </w:p>
        </w:tc>
        <w:tc>
          <w:tcPr>
            <w:cnfStyle w:val="000010000000"/>
            <w:tcW w:w="545" w:type="pc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P</w:t>
            </w:r>
          </w:p>
        </w:tc>
      </w:tr>
      <w:tr w:rsidR="00F95C12" w:rsidRPr="008047D3" w:rsidTr="00310F47">
        <w:trPr>
          <w:cnfStyle w:val="000000010000"/>
          <w:jc w:val="center"/>
        </w:trPr>
        <w:tc>
          <w:tcPr>
            <w:cnfStyle w:val="000010000000"/>
            <w:tcW w:w="1545" w:type="pc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BMI</w:t>
            </w:r>
          </w:p>
        </w:tc>
        <w:tc>
          <w:tcPr>
            <w:tcW w:w="1191" w:type="pct"/>
            <w:shd w:val="clear" w:color="auto" w:fill="auto"/>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25.53±2.99</w:t>
            </w:r>
          </w:p>
        </w:tc>
        <w:tc>
          <w:tcPr>
            <w:cnfStyle w:val="000010000000"/>
            <w:tcW w:w="1256"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25.72±2.23</w:t>
            </w:r>
          </w:p>
        </w:tc>
        <w:tc>
          <w:tcPr>
            <w:tcW w:w="463" w:type="pct"/>
            <w:shd w:val="clear" w:color="auto" w:fill="auto"/>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0.363</w:t>
            </w:r>
          </w:p>
        </w:tc>
        <w:tc>
          <w:tcPr>
            <w:cnfStyle w:val="000010000000"/>
            <w:tcW w:w="545"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0.717</w:t>
            </w:r>
          </w:p>
        </w:tc>
      </w:tr>
      <w:tr w:rsidR="00F95C12" w:rsidRPr="008047D3" w:rsidTr="00310F47">
        <w:trPr>
          <w:cnfStyle w:val="000000100000"/>
          <w:jc w:val="center"/>
        </w:trPr>
        <w:tc>
          <w:tcPr>
            <w:cnfStyle w:val="000010000000"/>
            <w:tcW w:w="1545" w:type="pc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DM duration (years)</w:t>
            </w:r>
          </w:p>
        </w:tc>
        <w:tc>
          <w:tcPr>
            <w:tcW w:w="1191" w:type="pct"/>
            <w:shd w:val="clear" w:color="auto" w:fill="auto"/>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color w:val="000000"/>
                <w:sz w:val="20"/>
                <w:szCs w:val="20"/>
              </w:rPr>
            </w:pPr>
            <w:r w:rsidRPr="008047D3">
              <w:rPr>
                <w:rFonts w:ascii="Times New Roman" w:hAnsi="Times New Roman" w:cs="Times New Roman"/>
                <w:color w:val="000000"/>
                <w:sz w:val="20"/>
                <w:szCs w:val="20"/>
              </w:rPr>
              <w:t>6.56±1.76</w:t>
            </w:r>
          </w:p>
        </w:tc>
        <w:tc>
          <w:tcPr>
            <w:cnfStyle w:val="000010000000"/>
            <w:tcW w:w="1256"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11.42±3.33</w:t>
            </w:r>
          </w:p>
        </w:tc>
        <w:tc>
          <w:tcPr>
            <w:tcW w:w="463" w:type="pct"/>
            <w:shd w:val="clear" w:color="auto" w:fill="auto"/>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color w:val="000000"/>
                <w:sz w:val="20"/>
                <w:szCs w:val="20"/>
              </w:rPr>
            </w:pPr>
            <w:r w:rsidRPr="008047D3">
              <w:rPr>
                <w:rFonts w:ascii="Times New Roman" w:hAnsi="Times New Roman" w:cs="Times New Roman"/>
                <w:color w:val="000000"/>
                <w:sz w:val="20"/>
                <w:szCs w:val="20"/>
              </w:rPr>
              <w:t>9.102</w:t>
            </w:r>
          </w:p>
        </w:tc>
        <w:tc>
          <w:tcPr>
            <w:cnfStyle w:val="000010000000"/>
            <w:tcW w:w="545"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0.00**</w:t>
            </w:r>
          </w:p>
        </w:tc>
      </w:tr>
    </w:tbl>
    <w:p w:rsidR="00310F47" w:rsidRPr="008047D3" w:rsidRDefault="00613BFC" w:rsidP="00657BEC">
      <w:pPr>
        <w:snapToGrid w:val="0"/>
        <w:spacing w:after="0" w:line="240" w:lineRule="auto"/>
        <w:jc w:val="both"/>
        <w:rPr>
          <w:rFonts w:ascii="Times New Roman" w:eastAsia="Times New Roman" w:hAnsi="Times New Roman" w:cs="Times New Roman"/>
          <w:sz w:val="20"/>
          <w:szCs w:val="20"/>
          <w:lang w:bidi="ar-EG"/>
        </w:rPr>
      </w:pPr>
      <w:r w:rsidRPr="008047D3">
        <w:rPr>
          <w:rFonts w:ascii="Times New Roman" w:eastAsia="Times New Roman" w:hAnsi="Times New Roman" w:cs="Times New Roman"/>
          <w:sz w:val="20"/>
          <w:szCs w:val="20"/>
          <w:lang w:bidi="ar-EG"/>
        </w:rPr>
        <w:t>P =probability value</w:t>
      </w:r>
      <w:r w:rsidR="00310F47" w:rsidRPr="008047D3">
        <w:rPr>
          <w:rFonts w:ascii="Times New Roman" w:eastAsia="Times New Roman" w:hAnsi="Times New Roman" w:cs="Times New Roman"/>
          <w:sz w:val="20"/>
          <w:szCs w:val="20"/>
          <w:lang w:bidi="ar-EG"/>
        </w:rPr>
        <w:t xml:space="preserve"> </w:t>
      </w:r>
      <w:r w:rsidR="00F95C12" w:rsidRPr="008047D3">
        <w:rPr>
          <w:rFonts w:ascii="Times New Roman" w:eastAsia="Times New Roman" w:hAnsi="Times New Roman" w:cs="Times New Roman"/>
          <w:sz w:val="20"/>
          <w:szCs w:val="20"/>
          <w:lang w:bidi="ar-EG"/>
        </w:rPr>
        <w:t>N. =number</w:t>
      </w:r>
      <m:oMath>
        <m:r>
          <m:rPr>
            <m:sty m:val="bi"/>
          </m:rPr>
          <w:rPr>
            <w:rFonts w:ascii="Cambria Math" w:hAnsi="Times New Roman" w:cs="Times New Roman"/>
            <w:sz w:val="20"/>
            <w:szCs w:val="20"/>
            <w:lang w:bidi="ar-EG"/>
          </w:rPr>
          <m:t xml:space="preserve"> </m:t>
        </m:r>
        <m:r>
          <m:rPr>
            <m:sty m:val="bi"/>
          </m:rPr>
          <w:rPr>
            <w:rFonts w:ascii="Cambria Math" w:hAnsi="Cambria Math" w:cs="Times New Roman"/>
            <w:sz w:val="20"/>
            <w:szCs w:val="20"/>
            <w:lang w:bidi="ar-EG"/>
          </w:rPr>
          <m:t>t</m:t>
        </m:r>
        <m:r>
          <w:rPr>
            <w:rFonts w:ascii="Cambria Math" w:eastAsia="Times New Roman" w:hAnsi="Times New Roman" w:cs="Times New Roman"/>
            <w:sz w:val="20"/>
            <w:szCs w:val="20"/>
            <w:lang w:bidi="ar-EG"/>
          </w:rPr>
          <m:t>=</m:t>
        </m:r>
      </m:oMath>
      <w:r w:rsidRPr="008047D3">
        <w:rPr>
          <w:rFonts w:ascii="Times New Roman" w:eastAsia="Times New Roman" w:hAnsi="Times New Roman" w:cs="Times New Roman"/>
          <w:sz w:val="20"/>
          <w:szCs w:val="20"/>
          <w:lang w:bidi="ar-EG"/>
        </w:rPr>
        <w:t>Student's t test Non significant</w:t>
      </w:r>
      <w:r w:rsidR="00D62B3D" w:rsidRPr="008047D3">
        <w:rPr>
          <w:rFonts w:ascii="Times New Roman" w:eastAsia="Times New Roman" w:hAnsi="Times New Roman" w:cs="Times New Roman"/>
          <w:sz w:val="20"/>
          <w:szCs w:val="20"/>
          <w:lang w:bidi="ar-EG"/>
        </w:rPr>
        <w:t>: P</w:t>
      </w:r>
      <w:r w:rsidRPr="008047D3">
        <w:rPr>
          <w:rFonts w:ascii="Times New Roman" w:eastAsia="Times New Roman" w:hAnsi="Times New Roman" w:cs="Times New Roman"/>
          <w:sz w:val="20"/>
          <w:szCs w:val="20"/>
          <w:lang w:bidi="ar-EG"/>
        </w:rPr>
        <w:t xml:space="preserve"> &gt; 0.05 </w:t>
      </w:r>
      <w:r w:rsidR="00F95C12" w:rsidRPr="008047D3">
        <w:rPr>
          <w:rFonts w:ascii="Times New Roman" w:eastAsia="Times New Roman" w:hAnsi="Times New Roman" w:cs="Times New Roman"/>
          <w:sz w:val="20"/>
          <w:szCs w:val="20"/>
          <w:lang w:bidi="ar-EG"/>
        </w:rPr>
        <w:t>* Significant: P &lt; 0.05</w:t>
      </w:r>
    </w:p>
    <w:p w:rsidR="00657BEC" w:rsidRPr="008047D3" w:rsidRDefault="00657BEC" w:rsidP="00657BEC">
      <w:pPr>
        <w:snapToGrid w:val="0"/>
        <w:spacing w:after="0" w:line="240" w:lineRule="auto"/>
        <w:ind w:firstLine="425"/>
        <w:jc w:val="both"/>
        <w:rPr>
          <w:rFonts w:ascii="Times New Roman" w:hAnsi="Times New Roman" w:cs="Times New Roman"/>
          <w:sz w:val="20"/>
          <w:szCs w:val="20"/>
          <w:lang w:eastAsia="zh-CN"/>
        </w:rPr>
      </w:pPr>
    </w:p>
    <w:p w:rsidR="00657BEC" w:rsidRPr="008047D3" w:rsidRDefault="00657BEC" w:rsidP="00657BEC">
      <w:pPr>
        <w:snapToGrid w:val="0"/>
        <w:spacing w:after="0" w:line="240" w:lineRule="auto"/>
        <w:ind w:firstLine="425"/>
        <w:jc w:val="both"/>
        <w:rPr>
          <w:rFonts w:ascii="Times New Roman" w:hAnsi="Times New Roman" w:cs="Times New Roman"/>
          <w:sz w:val="20"/>
          <w:szCs w:val="20"/>
          <w:lang w:eastAsia="zh-CN"/>
        </w:rPr>
        <w:sectPr w:rsidR="00657BEC" w:rsidRPr="008047D3" w:rsidSect="005E40AC">
          <w:type w:val="continuous"/>
          <w:pgSz w:w="12240" w:h="15840" w:code="13"/>
          <w:pgMar w:top="1440" w:right="1440" w:bottom="1440" w:left="1440" w:header="720" w:footer="720" w:gutter="0"/>
          <w:cols w:space="720"/>
          <w:docGrid w:linePitch="360"/>
        </w:sectPr>
      </w:pPr>
    </w:p>
    <w:p w:rsidR="00742C0E" w:rsidRPr="008047D3" w:rsidRDefault="00310F47" w:rsidP="00657BEC">
      <w:pPr>
        <w:snapToGrid w:val="0"/>
        <w:spacing w:after="0" w:line="240" w:lineRule="auto"/>
        <w:ind w:firstLine="425"/>
        <w:jc w:val="both"/>
        <w:rPr>
          <w:rFonts w:ascii="Times New Roman" w:eastAsia="Times New Roman" w:hAnsi="Times New Roman" w:cs="Times New Roman"/>
          <w:b/>
          <w:bCs/>
          <w:sz w:val="20"/>
          <w:szCs w:val="20"/>
          <w:lang w:bidi="ar-EG"/>
        </w:rPr>
      </w:pPr>
      <w:r w:rsidRPr="008047D3">
        <w:rPr>
          <w:rFonts w:ascii="Times New Roman" w:hAnsi="Times New Roman" w:cs="Times New Roman"/>
          <w:sz w:val="20"/>
          <w:szCs w:val="20"/>
        </w:rPr>
        <w:lastRenderedPageBreak/>
        <w:t>T</w:t>
      </w:r>
      <w:r w:rsidR="00742C0E" w:rsidRPr="008047D3">
        <w:rPr>
          <w:rFonts w:ascii="Times New Roman" w:hAnsi="Times New Roman" w:cs="Times New Roman"/>
          <w:sz w:val="20"/>
          <w:szCs w:val="20"/>
        </w:rPr>
        <w:t>able (4) demonstrated comparison between the two studied groups regarding blood pressure. There was no statistically significant difference between the mean values of SBP and DBP in the two studied groups.</w:t>
      </w:r>
    </w:p>
    <w:p w:rsidR="00742C0E" w:rsidRPr="008047D3" w:rsidRDefault="00742C0E" w:rsidP="00657BEC">
      <w:pPr>
        <w:snapToGrid w:val="0"/>
        <w:spacing w:after="0" w:line="240" w:lineRule="auto"/>
        <w:ind w:firstLine="425"/>
        <w:jc w:val="both"/>
        <w:rPr>
          <w:rFonts w:ascii="Times New Roman" w:hAnsi="Times New Roman" w:cs="Times New Roman"/>
          <w:color w:val="000000"/>
          <w:sz w:val="20"/>
          <w:szCs w:val="20"/>
        </w:rPr>
      </w:pPr>
      <w:r w:rsidRPr="008047D3">
        <w:rPr>
          <w:rFonts w:ascii="Times New Roman" w:hAnsi="Times New Roman" w:cs="Times New Roman"/>
          <w:sz w:val="20"/>
          <w:szCs w:val="20"/>
        </w:rPr>
        <w:t>Regarding systolic blood pressure (SBP); in group I the mean value was</w:t>
      </w:r>
      <w:r w:rsidR="008047D3">
        <w:rPr>
          <w:rFonts w:ascii="Times New Roman" w:hAnsi="Times New Roman" w:cs="Times New Roman" w:hint="eastAsia"/>
          <w:sz w:val="20"/>
          <w:szCs w:val="20"/>
          <w:lang w:eastAsia="zh-CN"/>
        </w:rPr>
        <w:t xml:space="preserve"> </w:t>
      </w:r>
      <w:r w:rsidRPr="008047D3">
        <w:rPr>
          <w:rFonts w:ascii="Times New Roman" w:hAnsi="Times New Roman" w:cs="Times New Roman"/>
          <w:color w:val="000000"/>
          <w:sz w:val="20"/>
          <w:szCs w:val="20"/>
        </w:rPr>
        <w:t xml:space="preserve">128.8±8.66 mmHg and in </w:t>
      </w:r>
      <w:r w:rsidRPr="008047D3">
        <w:rPr>
          <w:rFonts w:ascii="Times New Roman" w:hAnsi="Times New Roman" w:cs="Times New Roman"/>
          <w:color w:val="000000"/>
          <w:sz w:val="20"/>
          <w:szCs w:val="20"/>
        </w:rPr>
        <w:lastRenderedPageBreak/>
        <w:t xml:space="preserve">group II was 129.4±9.5 mmHg (t=0.330, P-value=0.742). </w:t>
      </w:r>
    </w:p>
    <w:p w:rsidR="00742C0E" w:rsidRPr="008047D3" w:rsidRDefault="00742C0E" w:rsidP="00657BEC">
      <w:pPr>
        <w:snapToGrid w:val="0"/>
        <w:spacing w:after="0" w:line="240" w:lineRule="auto"/>
        <w:ind w:firstLine="425"/>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Regarding diastolic blood pressure (DBP); in group I the mean value was 83.8±5.6 mmHg and in group II was 81.8±6.2 mmHg (t=0.682, P-value=0.096).</w:t>
      </w:r>
    </w:p>
    <w:p w:rsidR="00657BEC" w:rsidRPr="008047D3" w:rsidRDefault="00657BEC" w:rsidP="00657BEC">
      <w:pPr>
        <w:snapToGrid w:val="0"/>
        <w:spacing w:after="0" w:line="240" w:lineRule="auto"/>
        <w:jc w:val="center"/>
        <w:rPr>
          <w:rFonts w:ascii="Times New Roman" w:hAnsi="Times New Roman" w:cs="Times New Roman"/>
          <w:b/>
          <w:bCs/>
          <w:sz w:val="20"/>
          <w:szCs w:val="20"/>
        </w:rPr>
        <w:sectPr w:rsidR="00657BEC" w:rsidRPr="008047D3" w:rsidSect="005E40AC">
          <w:type w:val="continuous"/>
          <w:pgSz w:w="12240" w:h="15840" w:code="13"/>
          <w:pgMar w:top="1440" w:right="1440" w:bottom="1440" w:left="1440" w:header="720" w:footer="720" w:gutter="0"/>
          <w:cols w:num="2" w:space="550"/>
          <w:docGrid w:linePitch="360"/>
        </w:sectPr>
      </w:pPr>
    </w:p>
    <w:p w:rsidR="00613BFC" w:rsidRPr="008047D3" w:rsidRDefault="00613BFC" w:rsidP="00657BEC">
      <w:pPr>
        <w:snapToGrid w:val="0"/>
        <w:spacing w:after="0" w:line="240" w:lineRule="auto"/>
        <w:jc w:val="center"/>
        <w:rPr>
          <w:rFonts w:ascii="Times New Roman" w:hAnsi="Times New Roman" w:cs="Times New Roman"/>
          <w:b/>
          <w:bCs/>
          <w:sz w:val="20"/>
          <w:szCs w:val="20"/>
        </w:rPr>
      </w:pPr>
    </w:p>
    <w:p w:rsidR="00F95C12" w:rsidRPr="008047D3" w:rsidRDefault="00F95C12" w:rsidP="00657BEC">
      <w:pPr>
        <w:snapToGrid w:val="0"/>
        <w:spacing w:after="0" w:line="240" w:lineRule="auto"/>
        <w:jc w:val="center"/>
        <w:rPr>
          <w:rFonts w:ascii="Times New Roman" w:hAnsi="Times New Roman" w:cs="Times New Roman"/>
          <w:color w:val="000000"/>
          <w:sz w:val="20"/>
          <w:szCs w:val="20"/>
        </w:rPr>
      </w:pPr>
      <w:r w:rsidRPr="008047D3">
        <w:rPr>
          <w:rFonts w:ascii="Times New Roman" w:hAnsi="Times New Roman" w:cs="Times New Roman"/>
          <w:b/>
          <w:bCs/>
          <w:sz w:val="20"/>
          <w:szCs w:val="20"/>
        </w:rPr>
        <w:t>Table (4): Blood pressure distribution between studied groups</w:t>
      </w:r>
    </w:p>
    <w:tbl>
      <w:tblPr>
        <w:tblStyle w:val="LightGrid-Accent14"/>
        <w:tblW w:w="5000" w:type="pct"/>
        <w:jc w:val="center"/>
        <w:tblCellMar>
          <w:left w:w="57" w:type="dxa"/>
          <w:right w:w="57" w:type="dxa"/>
        </w:tblCellMar>
        <w:tblLook w:val="0000"/>
      </w:tblPr>
      <w:tblGrid>
        <w:gridCol w:w="2258"/>
        <w:gridCol w:w="2549"/>
        <w:gridCol w:w="2685"/>
        <w:gridCol w:w="991"/>
        <w:gridCol w:w="991"/>
      </w:tblGrid>
      <w:tr w:rsidR="00F95C12" w:rsidRPr="008047D3" w:rsidTr="00310F47">
        <w:trPr>
          <w:cnfStyle w:val="000000100000"/>
          <w:jc w:val="center"/>
        </w:trPr>
        <w:tc>
          <w:tcPr>
            <w:cnfStyle w:val="000010000000"/>
            <w:tcW w:w="1192" w:type="pc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p>
        </w:tc>
        <w:tc>
          <w:tcPr>
            <w:tcW w:w="1345" w:type="pct"/>
            <w:shd w:val="clear" w:color="auto" w:fill="DEEAF6" w:themeFill="accent1" w:themeFillTint="33"/>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Group I</w:t>
            </w:r>
            <w:r w:rsidR="00613BFC" w:rsidRPr="008047D3">
              <w:rPr>
                <w:rFonts w:ascii="Times New Roman" w:hAnsi="Times New Roman" w:cs="Times New Roman"/>
                <w:b/>
                <w:bCs/>
                <w:color w:val="000000"/>
                <w:sz w:val="20"/>
                <w:szCs w:val="20"/>
              </w:rPr>
              <w:t xml:space="preserve"> </w:t>
            </w:r>
            <w:r w:rsidRPr="008047D3">
              <w:rPr>
                <w:rFonts w:ascii="Times New Roman" w:hAnsi="Times New Roman" w:cs="Times New Roman"/>
                <w:b/>
                <w:bCs/>
                <w:color w:val="000000"/>
                <w:sz w:val="20"/>
                <w:szCs w:val="20"/>
              </w:rPr>
              <w:t>(N=50)</w:t>
            </w:r>
          </w:p>
        </w:tc>
        <w:tc>
          <w:tcPr>
            <w:cnfStyle w:val="000010000000"/>
            <w:tcW w:w="1417" w:type="pc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Group II</w:t>
            </w:r>
            <w:r w:rsidR="00613BFC" w:rsidRPr="008047D3">
              <w:rPr>
                <w:rFonts w:ascii="Times New Roman" w:hAnsi="Times New Roman" w:cs="Times New Roman"/>
                <w:b/>
                <w:bCs/>
                <w:color w:val="000000"/>
                <w:sz w:val="20"/>
                <w:szCs w:val="20"/>
              </w:rPr>
              <w:t xml:space="preserve"> </w:t>
            </w:r>
            <w:r w:rsidRPr="008047D3">
              <w:rPr>
                <w:rFonts w:ascii="Times New Roman" w:hAnsi="Times New Roman" w:cs="Times New Roman"/>
                <w:b/>
                <w:bCs/>
                <w:color w:val="000000"/>
                <w:sz w:val="20"/>
                <w:szCs w:val="20"/>
              </w:rPr>
              <w:t>(N=50)</w:t>
            </w:r>
          </w:p>
        </w:tc>
        <w:tc>
          <w:tcPr>
            <w:tcW w:w="523" w:type="pct"/>
            <w:shd w:val="clear" w:color="auto" w:fill="DEEAF6" w:themeFill="accent1" w:themeFillTint="33"/>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t</w:t>
            </w:r>
          </w:p>
        </w:tc>
        <w:tc>
          <w:tcPr>
            <w:cnfStyle w:val="000010000000"/>
            <w:tcW w:w="523" w:type="pc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P</w:t>
            </w:r>
          </w:p>
        </w:tc>
      </w:tr>
      <w:tr w:rsidR="00F95C12" w:rsidRPr="008047D3" w:rsidTr="00310F47">
        <w:trPr>
          <w:cnfStyle w:val="000000010000"/>
          <w:jc w:val="center"/>
        </w:trPr>
        <w:tc>
          <w:tcPr>
            <w:cnfStyle w:val="000010000000"/>
            <w:tcW w:w="1192" w:type="pc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SBP (mmHg)</w:t>
            </w:r>
          </w:p>
        </w:tc>
        <w:tc>
          <w:tcPr>
            <w:tcW w:w="1345" w:type="pct"/>
            <w:shd w:val="clear" w:color="auto" w:fill="auto"/>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128.8±8.66</w:t>
            </w:r>
          </w:p>
        </w:tc>
        <w:tc>
          <w:tcPr>
            <w:cnfStyle w:val="000010000000"/>
            <w:tcW w:w="1417"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129.4±9.5</w:t>
            </w:r>
          </w:p>
        </w:tc>
        <w:tc>
          <w:tcPr>
            <w:tcW w:w="523" w:type="pct"/>
            <w:shd w:val="clear" w:color="auto" w:fill="auto"/>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0.330</w:t>
            </w:r>
          </w:p>
        </w:tc>
        <w:tc>
          <w:tcPr>
            <w:cnfStyle w:val="000010000000"/>
            <w:tcW w:w="523"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0.742</w:t>
            </w:r>
          </w:p>
        </w:tc>
      </w:tr>
      <w:tr w:rsidR="00F95C12" w:rsidRPr="008047D3" w:rsidTr="00310F47">
        <w:trPr>
          <w:cnfStyle w:val="000000100000"/>
          <w:jc w:val="center"/>
        </w:trPr>
        <w:tc>
          <w:tcPr>
            <w:cnfStyle w:val="000010000000"/>
            <w:tcW w:w="1192" w:type="pc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 xml:space="preserve">DBP (mmHg) </w:t>
            </w:r>
          </w:p>
        </w:tc>
        <w:tc>
          <w:tcPr>
            <w:tcW w:w="1345" w:type="pct"/>
            <w:shd w:val="clear" w:color="auto" w:fill="auto"/>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color w:val="000000"/>
                <w:sz w:val="20"/>
                <w:szCs w:val="20"/>
              </w:rPr>
            </w:pPr>
            <w:r w:rsidRPr="008047D3">
              <w:rPr>
                <w:rFonts w:ascii="Times New Roman" w:hAnsi="Times New Roman" w:cs="Times New Roman"/>
                <w:color w:val="000000"/>
                <w:sz w:val="20"/>
                <w:szCs w:val="20"/>
              </w:rPr>
              <w:t>83.8±5.6</w:t>
            </w:r>
          </w:p>
        </w:tc>
        <w:tc>
          <w:tcPr>
            <w:cnfStyle w:val="000010000000"/>
            <w:tcW w:w="1417"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81.8±6.2</w:t>
            </w:r>
          </w:p>
        </w:tc>
        <w:tc>
          <w:tcPr>
            <w:tcW w:w="523" w:type="pct"/>
            <w:shd w:val="clear" w:color="auto" w:fill="auto"/>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color w:val="000000"/>
                <w:sz w:val="20"/>
                <w:szCs w:val="20"/>
              </w:rPr>
            </w:pPr>
            <w:r w:rsidRPr="008047D3">
              <w:rPr>
                <w:rFonts w:ascii="Times New Roman" w:hAnsi="Times New Roman" w:cs="Times New Roman"/>
                <w:color w:val="000000"/>
                <w:sz w:val="20"/>
                <w:szCs w:val="20"/>
              </w:rPr>
              <w:t>0.682</w:t>
            </w:r>
          </w:p>
        </w:tc>
        <w:tc>
          <w:tcPr>
            <w:cnfStyle w:val="000010000000"/>
            <w:tcW w:w="523"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0.096</w:t>
            </w:r>
          </w:p>
        </w:tc>
      </w:tr>
    </w:tbl>
    <w:p w:rsidR="00310F47" w:rsidRPr="008047D3" w:rsidRDefault="00613BFC" w:rsidP="00657BEC">
      <w:pPr>
        <w:snapToGrid w:val="0"/>
        <w:spacing w:after="0" w:line="240" w:lineRule="auto"/>
        <w:jc w:val="both"/>
        <w:rPr>
          <w:rFonts w:ascii="Times New Roman" w:eastAsia="Times New Roman" w:hAnsi="Times New Roman" w:cs="Times New Roman"/>
          <w:sz w:val="20"/>
          <w:szCs w:val="20"/>
          <w:lang w:bidi="ar-EG"/>
        </w:rPr>
      </w:pPr>
      <w:r w:rsidRPr="008047D3">
        <w:rPr>
          <w:rFonts w:ascii="Times New Roman" w:eastAsia="Times New Roman" w:hAnsi="Times New Roman" w:cs="Times New Roman"/>
          <w:sz w:val="20"/>
          <w:szCs w:val="20"/>
          <w:lang w:bidi="ar-EG"/>
        </w:rPr>
        <w:t>P =probability value</w:t>
      </w:r>
      <w:r w:rsidR="00310F47" w:rsidRPr="008047D3">
        <w:rPr>
          <w:rFonts w:ascii="Times New Roman" w:eastAsia="Times New Roman" w:hAnsi="Times New Roman" w:cs="Times New Roman"/>
          <w:sz w:val="20"/>
          <w:szCs w:val="20"/>
          <w:lang w:bidi="ar-EG"/>
        </w:rPr>
        <w:t xml:space="preserve"> </w:t>
      </w:r>
      <w:r w:rsidR="00F95C12" w:rsidRPr="008047D3">
        <w:rPr>
          <w:rFonts w:ascii="Times New Roman" w:eastAsia="Times New Roman" w:hAnsi="Times New Roman" w:cs="Times New Roman"/>
          <w:sz w:val="20"/>
          <w:szCs w:val="20"/>
          <w:lang w:bidi="ar-EG"/>
        </w:rPr>
        <w:t>N. =number</w:t>
      </w:r>
      <m:oMath>
        <m:r>
          <m:rPr>
            <m:sty m:val="bi"/>
          </m:rPr>
          <w:rPr>
            <w:rFonts w:ascii="Cambria Math" w:hAnsi="Times New Roman" w:cs="Times New Roman"/>
            <w:sz w:val="20"/>
            <w:szCs w:val="20"/>
            <w:lang w:bidi="ar-EG"/>
          </w:rPr>
          <m:t xml:space="preserve"> </m:t>
        </m:r>
        <m:r>
          <m:rPr>
            <m:sty m:val="bi"/>
          </m:rPr>
          <w:rPr>
            <w:rFonts w:ascii="Cambria Math" w:hAnsi="Cambria Math" w:cs="Times New Roman"/>
            <w:sz w:val="20"/>
            <w:szCs w:val="20"/>
            <w:lang w:bidi="ar-EG"/>
          </w:rPr>
          <m:t>t</m:t>
        </m:r>
        <m:r>
          <w:rPr>
            <w:rFonts w:ascii="Cambria Math" w:eastAsia="Times New Roman" w:hAnsi="Times New Roman" w:cs="Times New Roman"/>
            <w:sz w:val="20"/>
            <w:szCs w:val="20"/>
            <w:lang w:bidi="ar-EG"/>
          </w:rPr>
          <m:t>=</m:t>
        </m:r>
      </m:oMath>
      <w:r w:rsidRPr="008047D3">
        <w:rPr>
          <w:rFonts w:ascii="Times New Roman" w:eastAsia="Times New Roman" w:hAnsi="Times New Roman" w:cs="Times New Roman"/>
          <w:sz w:val="20"/>
          <w:szCs w:val="20"/>
          <w:lang w:bidi="ar-EG"/>
        </w:rPr>
        <w:t>Student's t test</w:t>
      </w:r>
      <w:r w:rsidR="00310F47" w:rsidRPr="008047D3">
        <w:rPr>
          <w:rFonts w:ascii="Times New Roman" w:eastAsia="Times New Roman" w:hAnsi="Times New Roman" w:cs="Times New Roman"/>
          <w:sz w:val="20"/>
          <w:szCs w:val="20"/>
          <w:lang w:bidi="ar-EG"/>
        </w:rPr>
        <w:t xml:space="preserve"> </w:t>
      </w:r>
      <w:r w:rsidR="00F95C12" w:rsidRPr="008047D3">
        <w:rPr>
          <w:rFonts w:ascii="Times New Roman" w:eastAsia="Times New Roman" w:hAnsi="Times New Roman" w:cs="Times New Roman"/>
          <w:sz w:val="20"/>
          <w:szCs w:val="20"/>
          <w:lang w:bidi="ar-EG"/>
        </w:rPr>
        <w:t xml:space="preserve">Non significant: P &gt; 0.05 * Significant: P &lt; 0.05 </w:t>
      </w:r>
    </w:p>
    <w:p w:rsidR="00657BEC" w:rsidRPr="008047D3" w:rsidRDefault="00657BEC" w:rsidP="00657BEC">
      <w:pPr>
        <w:snapToGrid w:val="0"/>
        <w:spacing w:after="0" w:line="240" w:lineRule="auto"/>
        <w:jc w:val="center"/>
        <w:rPr>
          <w:rFonts w:ascii="Times New Roman" w:hAnsi="Times New Roman" w:cs="Times New Roman"/>
          <w:b/>
          <w:bCs/>
          <w:sz w:val="20"/>
          <w:szCs w:val="20"/>
          <w:lang w:eastAsia="zh-CN"/>
        </w:rPr>
      </w:pPr>
    </w:p>
    <w:p w:rsidR="00657BEC" w:rsidRPr="008047D3" w:rsidRDefault="00657BEC" w:rsidP="00657BEC">
      <w:pPr>
        <w:snapToGrid w:val="0"/>
        <w:spacing w:after="0" w:line="240" w:lineRule="auto"/>
        <w:jc w:val="center"/>
        <w:rPr>
          <w:rFonts w:ascii="Times New Roman" w:hAnsi="Times New Roman" w:cs="Times New Roman"/>
          <w:b/>
          <w:bCs/>
          <w:sz w:val="20"/>
          <w:szCs w:val="20"/>
          <w:lang w:eastAsia="zh-CN"/>
        </w:rPr>
        <w:sectPr w:rsidR="00657BEC" w:rsidRPr="008047D3" w:rsidSect="005E40AC">
          <w:type w:val="continuous"/>
          <w:pgSz w:w="12240" w:h="15840" w:code="13"/>
          <w:pgMar w:top="1440" w:right="1440" w:bottom="1440" w:left="1440" w:header="720" w:footer="720" w:gutter="0"/>
          <w:cols w:space="720"/>
          <w:docGrid w:linePitch="360"/>
        </w:sectPr>
      </w:pPr>
    </w:p>
    <w:p w:rsidR="00F95C12" w:rsidRPr="008047D3" w:rsidRDefault="00310F47" w:rsidP="00657BEC">
      <w:pPr>
        <w:pStyle w:val="ListParagraph"/>
        <w:numPr>
          <w:ilvl w:val="0"/>
          <w:numId w:val="11"/>
        </w:numPr>
        <w:snapToGrid w:val="0"/>
        <w:spacing w:after="0" w:line="240" w:lineRule="auto"/>
        <w:ind w:left="0" w:firstLine="0"/>
        <w:jc w:val="both"/>
        <w:rPr>
          <w:rFonts w:ascii="Times New Roman" w:hAnsi="Times New Roman" w:cs="Times New Roman"/>
          <w:b/>
          <w:bCs/>
          <w:sz w:val="20"/>
          <w:szCs w:val="20"/>
        </w:rPr>
      </w:pPr>
      <w:r w:rsidRPr="008047D3">
        <w:rPr>
          <w:rFonts w:ascii="Times New Roman" w:hAnsi="Times New Roman" w:cs="Times New Roman"/>
          <w:b/>
          <w:bCs/>
          <w:sz w:val="20"/>
          <w:szCs w:val="20"/>
        </w:rPr>
        <w:lastRenderedPageBreak/>
        <w:t>C</w:t>
      </w:r>
      <w:r w:rsidR="00F95C12" w:rsidRPr="008047D3">
        <w:rPr>
          <w:rFonts w:ascii="Times New Roman" w:hAnsi="Times New Roman" w:cs="Times New Roman"/>
          <w:b/>
          <w:bCs/>
          <w:sz w:val="20"/>
          <w:szCs w:val="20"/>
        </w:rPr>
        <w:t>omparison between the laboratory parameters of the two studied groups:</w:t>
      </w:r>
    </w:p>
    <w:p w:rsidR="00742C0E" w:rsidRPr="008047D3" w:rsidRDefault="00742C0E" w:rsidP="00657BEC">
      <w:pPr>
        <w:snapToGrid w:val="0"/>
        <w:spacing w:after="0" w:line="240" w:lineRule="auto"/>
        <w:ind w:firstLine="425"/>
        <w:jc w:val="both"/>
        <w:rPr>
          <w:rFonts w:ascii="Times New Roman" w:hAnsi="Times New Roman" w:cs="Times New Roman"/>
          <w:sz w:val="20"/>
          <w:szCs w:val="20"/>
        </w:rPr>
      </w:pPr>
      <w:r w:rsidRPr="008047D3">
        <w:rPr>
          <w:rFonts w:ascii="Times New Roman" w:hAnsi="Times New Roman" w:cs="Times New Roman"/>
          <w:sz w:val="20"/>
          <w:szCs w:val="20"/>
        </w:rPr>
        <w:t>Table (5) demonstrated comparison between the two studied groups regarding CBC. There was no statistically significant difference between the mean values of HB, TLC and PLT in the two studied groups.</w:t>
      </w:r>
    </w:p>
    <w:p w:rsidR="00742C0E" w:rsidRPr="008047D3" w:rsidRDefault="00742C0E" w:rsidP="00657BEC">
      <w:pPr>
        <w:snapToGrid w:val="0"/>
        <w:spacing w:after="0" w:line="240" w:lineRule="auto"/>
        <w:ind w:firstLine="425"/>
        <w:jc w:val="both"/>
        <w:rPr>
          <w:rFonts w:ascii="Times New Roman" w:hAnsi="Times New Roman" w:cs="Times New Roman"/>
          <w:sz w:val="20"/>
          <w:szCs w:val="20"/>
        </w:rPr>
      </w:pPr>
      <w:r w:rsidRPr="008047D3">
        <w:rPr>
          <w:rFonts w:ascii="Times New Roman" w:hAnsi="Times New Roman" w:cs="Times New Roman"/>
          <w:sz w:val="20"/>
          <w:szCs w:val="20"/>
        </w:rPr>
        <w:t>In group I the mean value of Hb was 12.8±1.7gm/dl and in group II was 12.52±1.7gm/dl (t=0.791, P-value=0.431).</w:t>
      </w:r>
    </w:p>
    <w:p w:rsidR="00742C0E" w:rsidRPr="008047D3" w:rsidRDefault="00742C0E" w:rsidP="00657BEC">
      <w:pPr>
        <w:snapToGrid w:val="0"/>
        <w:spacing w:after="0" w:line="240" w:lineRule="auto"/>
        <w:ind w:firstLine="425"/>
        <w:jc w:val="both"/>
        <w:rPr>
          <w:rFonts w:ascii="Times New Roman" w:hAnsi="Times New Roman" w:cs="Times New Roman"/>
          <w:sz w:val="20"/>
          <w:szCs w:val="20"/>
        </w:rPr>
      </w:pPr>
      <w:r w:rsidRPr="008047D3">
        <w:rPr>
          <w:rFonts w:ascii="Times New Roman" w:hAnsi="Times New Roman" w:cs="Times New Roman"/>
          <w:sz w:val="20"/>
          <w:szCs w:val="20"/>
        </w:rPr>
        <w:lastRenderedPageBreak/>
        <w:t>In group I the mean value of TLC was 7.28±1.46×10</w:t>
      </w:r>
      <w:r w:rsidRPr="008047D3">
        <w:rPr>
          <w:rFonts w:ascii="Times New Roman" w:hAnsi="Times New Roman" w:cs="Times New Roman"/>
          <w:sz w:val="20"/>
          <w:szCs w:val="20"/>
          <w:vertAlign w:val="superscript"/>
        </w:rPr>
        <w:t>3</w:t>
      </w:r>
      <w:r w:rsidRPr="008047D3">
        <w:rPr>
          <w:rFonts w:ascii="Times New Roman" w:hAnsi="Times New Roman" w:cs="Times New Roman"/>
          <w:sz w:val="20"/>
          <w:szCs w:val="20"/>
        </w:rPr>
        <w:t xml:space="preserve"> cells/mm</w:t>
      </w:r>
      <w:r w:rsidRPr="008047D3">
        <w:rPr>
          <w:rFonts w:ascii="Times New Roman" w:hAnsi="Times New Roman" w:cs="Times New Roman"/>
          <w:sz w:val="20"/>
          <w:szCs w:val="20"/>
          <w:vertAlign w:val="superscript"/>
        </w:rPr>
        <w:t>3</w:t>
      </w:r>
      <w:r w:rsidRPr="008047D3">
        <w:rPr>
          <w:rFonts w:ascii="Times New Roman" w:hAnsi="Times New Roman" w:cs="Times New Roman"/>
          <w:sz w:val="20"/>
          <w:szCs w:val="20"/>
        </w:rPr>
        <w:t xml:space="preserve"> and in group II was 7.01±1.47×10</w:t>
      </w:r>
      <w:r w:rsidRPr="008047D3">
        <w:rPr>
          <w:rFonts w:ascii="Times New Roman" w:hAnsi="Times New Roman" w:cs="Times New Roman"/>
          <w:sz w:val="20"/>
          <w:szCs w:val="20"/>
          <w:vertAlign w:val="superscript"/>
        </w:rPr>
        <w:t>3</w:t>
      </w:r>
      <w:r w:rsidRPr="008047D3">
        <w:rPr>
          <w:rFonts w:ascii="Times New Roman" w:hAnsi="Times New Roman" w:cs="Times New Roman"/>
          <w:sz w:val="20"/>
          <w:szCs w:val="20"/>
        </w:rPr>
        <w:t xml:space="preserve"> cells/mm</w:t>
      </w:r>
      <w:r w:rsidRPr="008047D3">
        <w:rPr>
          <w:rFonts w:ascii="Times New Roman" w:hAnsi="Times New Roman" w:cs="Times New Roman"/>
          <w:sz w:val="20"/>
          <w:szCs w:val="20"/>
          <w:vertAlign w:val="superscript"/>
        </w:rPr>
        <w:t xml:space="preserve">3 </w:t>
      </w:r>
      <w:r w:rsidRPr="008047D3">
        <w:rPr>
          <w:rFonts w:ascii="Times New Roman" w:hAnsi="Times New Roman" w:cs="Times New Roman"/>
          <w:sz w:val="20"/>
          <w:szCs w:val="20"/>
        </w:rPr>
        <w:t>(t=0.926, P-value=0.357).</w:t>
      </w:r>
    </w:p>
    <w:p w:rsidR="00742C0E" w:rsidRPr="008047D3" w:rsidRDefault="00742C0E" w:rsidP="00657BEC">
      <w:pPr>
        <w:snapToGrid w:val="0"/>
        <w:spacing w:after="0" w:line="240" w:lineRule="auto"/>
        <w:ind w:firstLine="425"/>
        <w:jc w:val="both"/>
        <w:rPr>
          <w:rFonts w:ascii="Times New Roman" w:hAnsi="Times New Roman" w:cs="Times New Roman"/>
          <w:sz w:val="20"/>
          <w:szCs w:val="20"/>
        </w:rPr>
      </w:pPr>
      <w:r w:rsidRPr="008047D3">
        <w:rPr>
          <w:rFonts w:ascii="Times New Roman" w:hAnsi="Times New Roman" w:cs="Times New Roman"/>
          <w:sz w:val="20"/>
          <w:szCs w:val="20"/>
        </w:rPr>
        <w:t>In group I the mean value of PLT was 228.7±69.9</w:t>
      </w:r>
      <w:r w:rsidRPr="008047D3">
        <w:rPr>
          <w:rFonts w:ascii="Times New Roman" w:hAnsi="Times New Roman" w:cs="Times New Roman"/>
          <w:b/>
          <w:bCs/>
          <w:color w:val="000000"/>
          <w:sz w:val="20"/>
          <w:szCs w:val="20"/>
        </w:rPr>
        <w:t>×</w:t>
      </w:r>
      <w:r w:rsidRPr="008047D3">
        <w:rPr>
          <w:rFonts w:ascii="Times New Roman" w:hAnsi="Times New Roman" w:cs="Times New Roman"/>
          <w:color w:val="000000"/>
          <w:sz w:val="20"/>
          <w:szCs w:val="20"/>
        </w:rPr>
        <w:t>10</w:t>
      </w:r>
      <w:r w:rsidRPr="008047D3">
        <w:rPr>
          <w:rFonts w:ascii="Times New Roman" w:hAnsi="Times New Roman" w:cs="Times New Roman"/>
          <w:color w:val="000000"/>
          <w:sz w:val="20"/>
          <w:szCs w:val="20"/>
          <w:vertAlign w:val="superscript"/>
        </w:rPr>
        <w:t>3</w:t>
      </w:r>
      <w:r w:rsidRPr="008047D3">
        <w:rPr>
          <w:rFonts w:ascii="Times New Roman" w:hAnsi="Times New Roman" w:cs="Times New Roman"/>
          <w:color w:val="000000"/>
          <w:sz w:val="20"/>
          <w:szCs w:val="20"/>
        </w:rPr>
        <w:t xml:space="preserve"> µl and in group II was 226.82±71.4×103 µl (t=0.133, P-value=0.894).</w:t>
      </w:r>
    </w:p>
    <w:p w:rsidR="00657BEC" w:rsidRPr="008047D3" w:rsidRDefault="00657BEC" w:rsidP="00657BEC">
      <w:pPr>
        <w:snapToGrid w:val="0"/>
        <w:spacing w:after="0" w:line="240" w:lineRule="auto"/>
        <w:jc w:val="both"/>
        <w:rPr>
          <w:rFonts w:ascii="Times New Roman" w:hAnsi="Times New Roman" w:cs="Times New Roman"/>
          <w:b/>
          <w:bCs/>
          <w:sz w:val="20"/>
          <w:szCs w:val="20"/>
        </w:rPr>
        <w:sectPr w:rsidR="00657BEC" w:rsidRPr="008047D3" w:rsidSect="005E40AC">
          <w:type w:val="continuous"/>
          <w:pgSz w:w="12240" w:h="15840" w:code="13"/>
          <w:pgMar w:top="1440" w:right="1440" w:bottom="1440" w:left="1440" w:header="720" w:footer="720" w:gutter="0"/>
          <w:cols w:num="2" w:space="550"/>
          <w:docGrid w:linePitch="360"/>
        </w:sectPr>
      </w:pPr>
    </w:p>
    <w:p w:rsidR="00742C0E" w:rsidRPr="008047D3" w:rsidRDefault="00742C0E" w:rsidP="00657BEC">
      <w:pPr>
        <w:snapToGrid w:val="0"/>
        <w:spacing w:after="0" w:line="240" w:lineRule="auto"/>
        <w:jc w:val="both"/>
        <w:rPr>
          <w:rFonts w:ascii="Times New Roman" w:hAnsi="Times New Roman" w:cs="Times New Roman"/>
          <w:b/>
          <w:bCs/>
          <w:sz w:val="20"/>
          <w:szCs w:val="20"/>
        </w:rPr>
      </w:pPr>
    </w:p>
    <w:p w:rsidR="00F95C12" w:rsidRPr="008047D3" w:rsidRDefault="00F95C12" w:rsidP="00657BEC">
      <w:pPr>
        <w:snapToGrid w:val="0"/>
        <w:spacing w:after="0" w:line="240" w:lineRule="auto"/>
        <w:jc w:val="center"/>
        <w:rPr>
          <w:rFonts w:ascii="Times New Roman" w:hAnsi="Times New Roman" w:cs="Times New Roman"/>
          <w:b/>
          <w:bCs/>
          <w:sz w:val="20"/>
          <w:szCs w:val="20"/>
        </w:rPr>
      </w:pPr>
      <w:r w:rsidRPr="008047D3">
        <w:rPr>
          <w:rFonts w:ascii="Times New Roman" w:hAnsi="Times New Roman" w:cs="Times New Roman"/>
          <w:b/>
          <w:bCs/>
          <w:sz w:val="20"/>
          <w:szCs w:val="20"/>
        </w:rPr>
        <w:t>Table (5): Comparison between the two studied groups regarding complete blood picture</w:t>
      </w:r>
    </w:p>
    <w:tbl>
      <w:tblPr>
        <w:tblStyle w:val="LightGrid-Accent1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839"/>
        <w:gridCol w:w="2344"/>
        <w:gridCol w:w="2469"/>
        <w:gridCol w:w="911"/>
        <w:gridCol w:w="911"/>
      </w:tblGrid>
      <w:tr w:rsidR="00F95C12" w:rsidRPr="008047D3" w:rsidTr="00310F47">
        <w:trPr>
          <w:cnfStyle w:val="000000100000"/>
          <w:jc w:val="center"/>
        </w:trPr>
        <w:tc>
          <w:tcPr>
            <w:cnfStyle w:val="000010000000"/>
            <w:tcW w:w="1498" w:type="pc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p>
        </w:tc>
        <w:tc>
          <w:tcPr>
            <w:tcW w:w="1237" w:type="pct"/>
            <w:shd w:val="clear" w:color="auto" w:fill="DEEAF6" w:themeFill="accent1" w:themeFillTint="33"/>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Group I</w:t>
            </w:r>
            <w:r w:rsidR="00613BFC" w:rsidRPr="008047D3">
              <w:rPr>
                <w:rFonts w:ascii="Times New Roman" w:hAnsi="Times New Roman" w:cs="Times New Roman"/>
                <w:b/>
                <w:bCs/>
                <w:color w:val="000000"/>
                <w:sz w:val="20"/>
                <w:szCs w:val="20"/>
              </w:rPr>
              <w:t xml:space="preserve"> </w:t>
            </w:r>
            <w:r w:rsidRPr="008047D3">
              <w:rPr>
                <w:rFonts w:ascii="Times New Roman" w:hAnsi="Times New Roman" w:cs="Times New Roman"/>
                <w:b/>
                <w:bCs/>
                <w:color w:val="000000"/>
                <w:sz w:val="20"/>
                <w:szCs w:val="20"/>
              </w:rPr>
              <w:t>(N=50)</w:t>
            </w:r>
          </w:p>
        </w:tc>
        <w:tc>
          <w:tcPr>
            <w:cnfStyle w:val="000010000000"/>
            <w:tcW w:w="1303" w:type="pc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Group II</w:t>
            </w:r>
            <w:r w:rsidR="00613BFC" w:rsidRPr="008047D3">
              <w:rPr>
                <w:rFonts w:ascii="Times New Roman" w:hAnsi="Times New Roman" w:cs="Times New Roman"/>
                <w:b/>
                <w:bCs/>
                <w:color w:val="000000"/>
                <w:sz w:val="20"/>
                <w:szCs w:val="20"/>
              </w:rPr>
              <w:t xml:space="preserve"> </w:t>
            </w:r>
            <w:r w:rsidRPr="008047D3">
              <w:rPr>
                <w:rFonts w:ascii="Times New Roman" w:hAnsi="Times New Roman" w:cs="Times New Roman"/>
                <w:b/>
                <w:bCs/>
                <w:color w:val="000000"/>
                <w:sz w:val="20"/>
                <w:szCs w:val="20"/>
              </w:rPr>
              <w:t>(N=50)</w:t>
            </w:r>
          </w:p>
        </w:tc>
        <w:tc>
          <w:tcPr>
            <w:tcW w:w="481" w:type="pct"/>
            <w:shd w:val="clear" w:color="auto" w:fill="DEEAF6" w:themeFill="accent1" w:themeFillTint="33"/>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t</w:t>
            </w:r>
          </w:p>
        </w:tc>
        <w:tc>
          <w:tcPr>
            <w:cnfStyle w:val="000010000000"/>
            <w:tcW w:w="481" w:type="pc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P</w:t>
            </w:r>
          </w:p>
        </w:tc>
      </w:tr>
      <w:tr w:rsidR="00F95C12" w:rsidRPr="008047D3" w:rsidTr="00310F47">
        <w:trPr>
          <w:cnfStyle w:val="000000010000"/>
          <w:jc w:val="center"/>
        </w:trPr>
        <w:tc>
          <w:tcPr>
            <w:cnfStyle w:val="000010000000"/>
            <w:tcW w:w="1498" w:type="pc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Hb (gm/dl)</w:t>
            </w:r>
          </w:p>
        </w:tc>
        <w:tc>
          <w:tcPr>
            <w:tcW w:w="1237" w:type="pct"/>
            <w:shd w:val="clear" w:color="auto" w:fill="auto"/>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12.8±1.7</w:t>
            </w:r>
          </w:p>
        </w:tc>
        <w:tc>
          <w:tcPr>
            <w:cnfStyle w:val="000010000000"/>
            <w:tcW w:w="1303"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12.52±1.7</w:t>
            </w:r>
          </w:p>
        </w:tc>
        <w:tc>
          <w:tcPr>
            <w:tcW w:w="481" w:type="pct"/>
            <w:shd w:val="clear" w:color="auto" w:fill="auto"/>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0.791</w:t>
            </w:r>
          </w:p>
        </w:tc>
        <w:tc>
          <w:tcPr>
            <w:cnfStyle w:val="000010000000"/>
            <w:tcW w:w="481"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0.431</w:t>
            </w:r>
          </w:p>
        </w:tc>
      </w:tr>
      <w:tr w:rsidR="00F95C12" w:rsidRPr="008047D3" w:rsidTr="00310F47">
        <w:trPr>
          <w:cnfStyle w:val="000000100000"/>
          <w:jc w:val="center"/>
        </w:trPr>
        <w:tc>
          <w:tcPr>
            <w:cnfStyle w:val="000010000000"/>
            <w:tcW w:w="1498" w:type="pc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TLC×10</w:t>
            </w:r>
            <w:r w:rsidRPr="008047D3">
              <w:rPr>
                <w:rFonts w:ascii="Times New Roman" w:hAnsi="Times New Roman" w:cs="Times New Roman"/>
                <w:b/>
                <w:bCs/>
                <w:color w:val="000000"/>
                <w:sz w:val="20"/>
                <w:szCs w:val="20"/>
                <w:vertAlign w:val="superscript"/>
              </w:rPr>
              <w:t xml:space="preserve">3 </w:t>
            </w:r>
            <w:r w:rsidRPr="008047D3">
              <w:rPr>
                <w:rFonts w:ascii="Times New Roman" w:hAnsi="Times New Roman" w:cs="Times New Roman"/>
                <w:b/>
                <w:bCs/>
                <w:color w:val="000000"/>
                <w:sz w:val="20"/>
                <w:szCs w:val="20"/>
              </w:rPr>
              <w:t>cells/mm</w:t>
            </w:r>
            <w:r w:rsidRPr="008047D3">
              <w:rPr>
                <w:rFonts w:ascii="Times New Roman" w:hAnsi="Times New Roman" w:cs="Times New Roman"/>
                <w:b/>
                <w:bCs/>
                <w:color w:val="000000"/>
                <w:sz w:val="20"/>
                <w:szCs w:val="20"/>
                <w:vertAlign w:val="superscript"/>
              </w:rPr>
              <w:t>3</w:t>
            </w:r>
          </w:p>
        </w:tc>
        <w:tc>
          <w:tcPr>
            <w:tcW w:w="1237" w:type="pct"/>
            <w:shd w:val="clear" w:color="auto" w:fill="auto"/>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color w:val="000000"/>
                <w:sz w:val="20"/>
                <w:szCs w:val="20"/>
              </w:rPr>
            </w:pPr>
            <w:r w:rsidRPr="008047D3">
              <w:rPr>
                <w:rFonts w:ascii="Times New Roman" w:hAnsi="Times New Roman" w:cs="Times New Roman"/>
                <w:color w:val="000000"/>
                <w:sz w:val="20"/>
                <w:szCs w:val="20"/>
              </w:rPr>
              <w:t>7.28±1.46</w:t>
            </w:r>
          </w:p>
        </w:tc>
        <w:tc>
          <w:tcPr>
            <w:cnfStyle w:val="000010000000"/>
            <w:tcW w:w="1303"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7.01±1.47</w:t>
            </w:r>
          </w:p>
        </w:tc>
        <w:tc>
          <w:tcPr>
            <w:tcW w:w="481" w:type="pct"/>
            <w:shd w:val="clear" w:color="auto" w:fill="auto"/>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color w:val="000000"/>
                <w:sz w:val="20"/>
                <w:szCs w:val="20"/>
              </w:rPr>
            </w:pPr>
            <w:r w:rsidRPr="008047D3">
              <w:rPr>
                <w:rFonts w:ascii="Times New Roman" w:hAnsi="Times New Roman" w:cs="Times New Roman"/>
                <w:color w:val="000000"/>
                <w:sz w:val="20"/>
                <w:szCs w:val="20"/>
              </w:rPr>
              <w:t>0.926</w:t>
            </w:r>
          </w:p>
        </w:tc>
        <w:tc>
          <w:tcPr>
            <w:cnfStyle w:val="000010000000"/>
            <w:tcW w:w="481"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0.357</w:t>
            </w:r>
          </w:p>
        </w:tc>
      </w:tr>
      <w:tr w:rsidR="00F95C12" w:rsidRPr="008047D3" w:rsidTr="00310F47">
        <w:trPr>
          <w:cnfStyle w:val="000000010000"/>
          <w:jc w:val="center"/>
        </w:trPr>
        <w:tc>
          <w:tcPr>
            <w:cnfStyle w:val="000010000000"/>
            <w:tcW w:w="1498" w:type="pc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PLT×10</w:t>
            </w:r>
            <w:r w:rsidRPr="008047D3">
              <w:rPr>
                <w:rFonts w:ascii="Times New Roman" w:hAnsi="Times New Roman" w:cs="Times New Roman"/>
                <w:b/>
                <w:bCs/>
                <w:color w:val="000000"/>
                <w:sz w:val="20"/>
                <w:szCs w:val="20"/>
                <w:vertAlign w:val="superscript"/>
              </w:rPr>
              <w:t>3</w:t>
            </w:r>
            <w:r w:rsidRPr="008047D3">
              <w:rPr>
                <w:rFonts w:ascii="Times New Roman" w:hAnsi="Times New Roman" w:cs="Times New Roman"/>
                <w:b/>
                <w:bCs/>
                <w:color w:val="000000"/>
                <w:sz w:val="20"/>
                <w:szCs w:val="20"/>
              </w:rPr>
              <w:t xml:space="preserve"> µl</w:t>
            </w:r>
          </w:p>
        </w:tc>
        <w:tc>
          <w:tcPr>
            <w:tcW w:w="1237" w:type="pct"/>
            <w:shd w:val="clear" w:color="auto" w:fill="auto"/>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228.7±69.9</w:t>
            </w:r>
          </w:p>
        </w:tc>
        <w:tc>
          <w:tcPr>
            <w:cnfStyle w:val="000010000000"/>
            <w:tcW w:w="1303"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226.82±71.4</w:t>
            </w:r>
          </w:p>
        </w:tc>
        <w:tc>
          <w:tcPr>
            <w:tcW w:w="481" w:type="pct"/>
            <w:shd w:val="clear" w:color="auto" w:fill="auto"/>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0.133</w:t>
            </w:r>
          </w:p>
        </w:tc>
        <w:tc>
          <w:tcPr>
            <w:cnfStyle w:val="000010000000"/>
            <w:tcW w:w="481" w:type="pct"/>
            <w:shd w:val="clear" w:color="auto" w:fill="auto"/>
            <w:vAlign w:val="center"/>
          </w:tcPr>
          <w:p w:rsidR="00F95C12" w:rsidRPr="008047D3" w:rsidRDefault="00F95C12" w:rsidP="00657BEC">
            <w:pPr>
              <w:tabs>
                <w:tab w:val="center" w:pos="515"/>
                <w:tab w:val="right" w:pos="971"/>
              </w:tabs>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0.894</w:t>
            </w:r>
          </w:p>
        </w:tc>
      </w:tr>
    </w:tbl>
    <w:p w:rsidR="00F95C12" w:rsidRPr="008047D3" w:rsidRDefault="00613BFC" w:rsidP="00D62B3D">
      <w:pPr>
        <w:snapToGrid w:val="0"/>
        <w:spacing w:after="0" w:line="240" w:lineRule="auto"/>
        <w:jc w:val="both"/>
        <w:rPr>
          <w:rFonts w:ascii="Times New Roman" w:eastAsia="Times New Roman" w:hAnsi="Times New Roman" w:cs="Times New Roman"/>
          <w:sz w:val="20"/>
          <w:szCs w:val="20"/>
          <w:lang w:bidi="ar-EG"/>
        </w:rPr>
      </w:pPr>
      <w:r w:rsidRPr="008047D3">
        <w:rPr>
          <w:rFonts w:ascii="Times New Roman" w:eastAsia="Times New Roman" w:hAnsi="Times New Roman" w:cs="Times New Roman"/>
          <w:sz w:val="20"/>
          <w:szCs w:val="20"/>
          <w:lang w:bidi="ar-EG"/>
        </w:rPr>
        <w:t>P =probability value</w:t>
      </w:r>
      <w:r w:rsidR="00310F47" w:rsidRPr="008047D3">
        <w:rPr>
          <w:rFonts w:ascii="Times New Roman" w:eastAsia="Times New Roman" w:hAnsi="Times New Roman" w:cs="Times New Roman"/>
          <w:sz w:val="20"/>
          <w:szCs w:val="20"/>
          <w:lang w:bidi="ar-EG"/>
        </w:rPr>
        <w:t xml:space="preserve"> </w:t>
      </w:r>
      <w:r w:rsidR="00F95C12" w:rsidRPr="008047D3">
        <w:rPr>
          <w:rFonts w:ascii="Times New Roman" w:eastAsia="Times New Roman" w:hAnsi="Times New Roman" w:cs="Times New Roman"/>
          <w:sz w:val="20"/>
          <w:szCs w:val="20"/>
          <w:lang w:bidi="ar-EG"/>
        </w:rPr>
        <w:t>N. =number</w:t>
      </w:r>
      <m:oMath>
        <m:r>
          <m:rPr>
            <m:sty m:val="bi"/>
          </m:rPr>
          <w:rPr>
            <w:rFonts w:ascii="Cambria Math" w:hAnsi="Times New Roman" w:cs="Times New Roman"/>
            <w:sz w:val="20"/>
            <w:szCs w:val="20"/>
            <w:lang w:bidi="ar-EG"/>
          </w:rPr>
          <m:t xml:space="preserve"> </m:t>
        </m:r>
        <m:r>
          <m:rPr>
            <m:sty m:val="bi"/>
          </m:rPr>
          <w:rPr>
            <w:rFonts w:ascii="Cambria Math" w:hAnsi="Cambria Math" w:cs="Times New Roman"/>
            <w:sz w:val="20"/>
            <w:szCs w:val="20"/>
            <w:lang w:bidi="ar-EG"/>
          </w:rPr>
          <m:t>t</m:t>
        </m:r>
        <m:r>
          <w:rPr>
            <w:rFonts w:ascii="Cambria Math" w:eastAsia="Times New Roman" w:hAnsi="Times New Roman" w:cs="Times New Roman"/>
            <w:sz w:val="20"/>
            <w:szCs w:val="20"/>
            <w:lang w:bidi="ar-EG"/>
          </w:rPr>
          <m:t>=</m:t>
        </m:r>
      </m:oMath>
      <w:r w:rsidRPr="008047D3">
        <w:rPr>
          <w:rFonts w:ascii="Times New Roman" w:eastAsia="Times New Roman" w:hAnsi="Times New Roman" w:cs="Times New Roman"/>
          <w:sz w:val="20"/>
          <w:szCs w:val="20"/>
          <w:lang w:bidi="ar-EG"/>
        </w:rPr>
        <w:t>Student's t test</w:t>
      </w:r>
      <w:r w:rsidR="00310F47" w:rsidRPr="008047D3">
        <w:rPr>
          <w:rFonts w:ascii="Times New Roman" w:eastAsia="Times New Roman" w:hAnsi="Times New Roman" w:cs="Times New Roman"/>
          <w:sz w:val="20"/>
          <w:szCs w:val="20"/>
          <w:lang w:bidi="ar-EG"/>
        </w:rPr>
        <w:t xml:space="preserve"> </w:t>
      </w:r>
      <w:r w:rsidRPr="008047D3">
        <w:rPr>
          <w:rFonts w:ascii="Times New Roman" w:eastAsia="Times New Roman" w:hAnsi="Times New Roman" w:cs="Times New Roman"/>
          <w:sz w:val="20"/>
          <w:szCs w:val="20"/>
          <w:lang w:bidi="ar-EG"/>
        </w:rPr>
        <w:t xml:space="preserve">Non significant: P &gt; 0.05 </w:t>
      </w:r>
      <w:r w:rsidR="00F95C12" w:rsidRPr="008047D3">
        <w:rPr>
          <w:rFonts w:ascii="Times New Roman" w:eastAsia="Times New Roman" w:hAnsi="Times New Roman" w:cs="Times New Roman"/>
          <w:sz w:val="20"/>
          <w:szCs w:val="20"/>
          <w:lang w:bidi="ar-EG"/>
        </w:rPr>
        <w:t>* Significant: P &lt; 0.05</w:t>
      </w:r>
      <w:r w:rsidR="00310F47" w:rsidRPr="008047D3">
        <w:rPr>
          <w:rFonts w:ascii="Times New Roman" w:eastAsia="Times New Roman" w:hAnsi="Times New Roman" w:cs="Times New Roman"/>
          <w:sz w:val="20"/>
          <w:szCs w:val="20"/>
          <w:lang w:bidi="ar-EG"/>
        </w:rPr>
        <w:t xml:space="preserve"> </w:t>
      </w:r>
    </w:p>
    <w:p w:rsidR="00742C0E" w:rsidRPr="008047D3" w:rsidRDefault="00742C0E" w:rsidP="00657BEC">
      <w:pPr>
        <w:snapToGrid w:val="0"/>
        <w:spacing w:after="0" w:line="240" w:lineRule="auto"/>
        <w:jc w:val="center"/>
        <w:rPr>
          <w:rFonts w:ascii="Times New Roman" w:eastAsia="Times New Roman" w:hAnsi="Times New Roman" w:cs="Times New Roman"/>
          <w:sz w:val="20"/>
          <w:szCs w:val="20"/>
          <w:lang w:bidi="ar-EG"/>
        </w:rPr>
      </w:pPr>
    </w:p>
    <w:p w:rsidR="009514E0" w:rsidRPr="008047D3" w:rsidRDefault="009514E0" w:rsidP="009514E0">
      <w:pPr>
        <w:snapToGrid w:val="0"/>
        <w:spacing w:after="0" w:line="240" w:lineRule="auto"/>
        <w:jc w:val="center"/>
        <w:rPr>
          <w:rFonts w:ascii="Times New Roman" w:hAnsi="Times New Roman" w:cs="Times New Roman"/>
          <w:b/>
          <w:bCs/>
          <w:sz w:val="20"/>
          <w:szCs w:val="20"/>
        </w:rPr>
      </w:pPr>
      <w:r w:rsidRPr="008047D3">
        <w:rPr>
          <w:rFonts w:ascii="Times New Roman" w:hAnsi="Times New Roman" w:cs="Times New Roman"/>
          <w:b/>
          <w:bCs/>
          <w:sz w:val="20"/>
          <w:szCs w:val="20"/>
        </w:rPr>
        <w:t>Table (6): Liver function tests in the two studied groups</w:t>
      </w:r>
    </w:p>
    <w:tbl>
      <w:tblPr>
        <w:tblStyle w:val="LightGrid-Accent1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584"/>
        <w:gridCol w:w="2080"/>
        <w:gridCol w:w="2192"/>
        <w:gridCol w:w="809"/>
        <w:gridCol w:w="809"/>
      </w:tblGrid>
      <w:tr w:rsidR="009514E0" w:rsidRPr="008047D3" w:rsidTr="008047D3">
        <w:trPr>
          <w:cnfStyle w:val="100000000000"/>
          <w:jc w:val="center"/>
        </w:trPr>
        <w:tc>
          <w:tcPr>
            <w:cnfStyle w:val="001000000000"/>
            <w:tcW w:w="1891" w:type="pct"/>
            <w:shd w:val="clear" w:color="auto" w:fill="DEEAF6" w:themeFill="accent1" w:themeFillTint="33"/>
            <w:vAlign w:val="center"/>
          </w:tcPr>
          <w:p w:rsidR="009514E0" w:rsidRPr="008047D3" w:rsidRDefault="009514E0" w:rsidP="008047D3">
            <w:pPr>
              <w:autoSpaceDE w:val="0"/>
              <w:autoSpaceDN w:val="0"/>
              <w:adjustRightInd w:val="0"/>
              <w:snapToGrid w:val="0"/>
              <w:jc w:val="both"/>
              <w:rPr>
                <w:rFonts w:ascii="Times New Roman" w:hAnsi="Times New Roman" w:cs="Times New Roman"/>
                <w:b w:val="0"/>
                <w:bCs w:val="0"/>
                <w:color w:val="000000"/>
                <w:sz w:val="20"/>
                <w:szCs w:val="20"/>
              </w:rPr>
            </w:pPr>
          </w:p>
        </w:tc>
        <w:tc>
          <w:tcPr>
            <w:tcW w:w="1098" w:type="pct"/>
            <w:shd w:val="clear" w:color="auto" w:fill="DEEAF6" w:themeFill="accent1" w:themeFillTint="33"/>
            <w:vAlign w:val="center"/>
          </w:tcPr>
          <w:p w:rsidR="009514E0" w:rsidRPr="008047D3" w:rsidRDefault="009514E0" w:rsidP="008047D3">
            <w:pPr>
              <w:autoSpaceDE w:val="0"/>
              <w:autoSpaceDN w:val="0"/>
              <w:adjustRightInd w:val="0"/>
              <w:snapToGrid w:val="0"/>
              <w:jc w:val="both"/>
              <w:cnfStyle w:val="100000000000"/>
              <w:rPr>
                <w:rFonts w:ascii="Times New Roman" w:hAnsi="Times New Roman" w:cs="Times New Roman"/>
                <w:b w:val="0"/>
                <w:bCs w:val="0"/>
                <w:color w:val="000000"/>
                <w:sz w:val="20"/>
                <w:szCs w:val="20"/>
              </w:rPr>
            </w:pPr>
            <w:r w:rsidRPr="008047D3">
              <w:rPr>
                <w:rFonts w:ascii="Times New Roman" w:hAnsi="Times New Roman" w:cs="Times New Roman"/>
                <w:color w:val="000000"/>
                <w:sz w:val="20"/>
                <w:szCs w:val="20"/>
              </w:rPr>
              <w:t>Group I</w:t>
            </w:r>
            <w:r w:rsidRPr="008047D3">
              <w:rPr>
                <w:rFonts w:ascii="Times New Roman" w:hAnsi="Times New Roman" w:cs="Times New Roman"/>
                <w:b w:val="0"/>
                <w:bCs w:val="0"/>
                <w:color w:val="000000"/>
                <w:sz w:val="20"/>
                <w:szCs w:val="20"/>
              </w:rPr>
              <w:t xml:space="preserve"> </w:t>
            </w:r>
            <w:r w:rsidRPr="008047D3">
              <w:rPr>
                <w:rFonts w:ascii="Times New Roman" w:hAnsi="Times New Roman" w:cs="Times New Roman"/>
                <w:color w:val="000000"/>
                <w:sz w:val="20"/>
                <w:szCs w:val="20"/>
              </w:rPr>
              <w:t>(N=50)</w:t>
            </w:r>
          </w:p>
        </w:tc>
        <w:tc>
          <w:tcPr>
            <w:tcW w:w="1157" w:type="pct"/>
            <w:shd w:val="clear" w:color="auto" w:fill="DEEAF6" w:themeFill="accent1" w:themeFillTint="33"/>
            <w:vAlign w:val="center"/>
          </w:tcPr>
          <w:p w:rsidR="009514E0" w:rsidRPr="008047D3" w:rsidRDefault="009514E0" w:rsidP="008047D3">
            <w:pPr>
              <w:autoSpaceDE w:val="0"/>
              <w:autoSpaceDN w:val="0"/>
              <w:adjustRightInd w:val="0"/>
              <w:snapToGrid w:val="0"/>
              <w:jc w:val="both"/>
              <w:cnfStyle w:val="100000000000"/>
              <w:rPr>
                <w:rFonts w:ascii="Times New Roman" w:hAnsi="Times New Roman" w:cs="Times New Roman"/>
                <w:b w:val="0"/>
                <w:bCs w:val="0"/>
                <w:color w:val="000000"/>
                <w:sz w:val="20"/>
                <w:szCs w:val="20"/>
              </w:rPr>
            </w:pPr>
            <w:r w:rsidRPr="008047D3">
              <w:rPr>
                <w:rFonts w:ascii="Times New Roman" w:hAnsi="Times New Roman" w:cs="Times New Roman"/>
                <w:color w:val="000000"/>
                <w:sz w:val="20"/>
                <w:szCs w:val="20"/>
              </w:rPr>
              <w:t>Group II</w:t>
            </w:r>
            <w:r w:rsidRPr="008047D3">
              <w:rPr>
                <w:rFonts w:ascii="Times New Roman" w:hAnsi="Times New Roman" w:cs="Times New Roman"/>
                <w:b w:val="0"/>
                <w:bCs w:val="0"/>
                <w:color w:val="000000"/>
                <w:sz w:val="20"/>
                <w:szCs w:val="20"/>
              </w:rPr>
              <w:t xml:space="preserve"> </w:t>
            </w:r>
            <w:r w:rsidRPr="008047D3">
              <w:rPr>
                <w:rFonts w:ascii="Times New Roman" w:hAnsi="Times New Roman" w:cs="Times New Roman"/>
                <w:color w:val="000000"/>
                <w:sz w:val="20"/>
                <w:szCs w:val="20"/>
              </w:rPr>
              <w:t>(N=50)</w:t>
            </w:r>
          </w:p>
        </w:tc>
        <w:tc>
          <w:tcPr>
            <w:tcW w:w="427" w:type="pct"/>
            <w:shd w:val="clear" w:color="auto" w:fill="DEEAF6" w:themeFill="accent1" w:themeFillTint="33"/>
            <w:vAlign w:val="center"/>
          </w:tcPr>
          <w:p w:rsidR="009514E0" w:rsidRPr="008047D3" w:rsidRDefault="009514E0" w:rsidP="008047D3">
            <w:pPr>
              <w:autoSpaceDE w:val="0"/>
              <w:autoSpaceDN w:val="0"/>
              <w:adjustRightInd w:val="0"/>
              <w:snapToGrid w:val="0"/>
              <w:jc w:val="both"/>
              <w:cnfStyle w:val="100000000000"/>
              <w:rPr>
                <w:rFonts w:ascii="Times New Roman" w:hAnsi="Times New Roman" w:cs="Times New Roman"/>
                <w:b w:val="0"/>
                <w:bCs w:val="0"/>
                <w:color w:val="000000"/>
                <w:sz w:val="20"/>
                <w:szCs w:val="20"/>
              </w:rPr>
            </w:pPr>
            <w:r w:rsidRPr="008047D3">
              <w:rPr>
                <w:rFonts w:ascii="Times New Roman" w:hAnsi="Times New Roman" w:cs="Times New Roman"/>
                <w:color w:val="000000"/>
                <w:sz w:val="20"/>
                <w:szCs w:val="20"/>
              </w:rPr>
              <w:t>t</w:t>
            </w:r>
          </w:p>
        </w:tc>
        <w:tc>
          <w:tcPr>
            <w:tcW w:w="427" w:type="pct"/>
            <w:shd w:val="clear" w:color="auto" w:fill="DEEAF6" w:themeFill="accent1" w:themeFillTint="33"/>
            <w:vAlign w:val="center"/>
          </w:tcPr>
          <w:p w:rsidR="009514E0" w:rsidRPr="008047D3" w:rsidRDefault="009514E0" w:rsidP="008047D3">
            <w:pPr>
              <w:autoSpaceDE w:val="0"/>
              <w:autoSpaceDN w:val="0"/>
              <w:adjustRightInd w:val="0"/>
              <w:snapToGrid w:val="0"/>
              <w:jc w:val="both"/>
              <w:cnfStyle w:val="100000000000"/>
              <w:rPr>
                <w:rFonts w:ascii="Times New Roman" w:hAnsi="Times New Roman" w:cs="Times New Roman"/>
                <w:b w:val="0"/>
                <w:bCs w:val="0"/>
                <w:color w:val="000000"/>
                <w:sz w:val="20"/>
                <w:szCs w:val="20"/>
              </w:rPr>
            </w:pPr>
            <w:r w:rsidRPr="008047D3">
              <w:rPr>
                <w:rFonts w:ascii="Times New Roman" w:hAnsi="Times New Roman" w:cs="Times New Roman"/>
                <w:color w:val="000000"/>
                <w:sz w:val="20"/>
                <w:szCs w:val="20"/>
              </w:rPr>
              <w:t>P</w:t>
            </w:r>
          </w:p>
        </w:tc>
      </w:tr>
      <w:tr w:rsidR="009514E0" w:rsidRPr="008047D3" w:rsidTr="008047D3">
        <w:trPr>
          <w:cnfStyle w:val="000000100000"/>
          <w:jc w:val="center"/>
        </w:trPr>
        <w:tc>
          <w:tcPr>
            <w:cnfStyle w:val="001000000000"/>
            <w:tcW w:w="1891" w:type="pct"/>
            <w:shd w:val="clear" w:color="auto" w:fill="DEEAF6" w:themeFill="accent1" w:themeFillTint="33"/>
            <w:vAlign w:val="center"/>
          </w:tcPr>
          <w:p w:rsidR="009514E0" w:rsidRPr="008047D3" w:rsidRDefault="009514E0" w:rsidP="008047D3">
            <w:pPr>
              <w:autoSpaceDE w:val="0"/>
              <w:autoSpaceDN w:val="0"/>
              <w:adjustRightInd w:val="0"/>
              <w:snapToGrid w:val="0"/>
              <w:jc w:val="both"/>
              <w:rPr>
                <w:rFonts w:ascii="Times New Roman" w:hAnsi="Times New Roman" w:cs="Times New Roman"/>
                <w:b w:val="0"/>
                <w:bCs w:val="0"/>
                <w:color w:val="000000"/>
                <w:sz w:val="20"/>
                <w:szCs w:val="20"/>
              </w:rPr>
            </w:pPr>
            <w:r w:rsidRPr="008047D3">
              <w:rPr>
                <w:rFonts w:ascii="Times New Roman" w:hAnsi="Times New Roman" w:cs="Times New Roman"/>
                <w:color w:val="000000"/>
                <w:sz w:val="20"/>
                <w:szCs w:val="20"/>
              </w:rPr>
              <w:t xml:space="preserve">ALT </w:t>
            </w:r>
            <w:r w:rsidRPr="008047D3">
              <w:rPr>
                <w:rFonts w:ascii="Times New Roman" w:hAnsi="Times New Roman" w:cs="Times New Roman"/>
                <w:sz w:val="20"/>
                <w:szCs w:val="20"/>
                <w:lang w:bidi="ar-EG"/>
              </w:rPr>
              <w:t>(</w:t>
            </w:r>
            <w:r w:rsidRPr="008047D3">
              <w:rPr>
                <w:rFonts w:ascii="Times New Roman" w:hAnsi="Times New Roman" w:cs="Times New Roman"/>
                <w:color w:val="000000"/>
                <w:sz w:val="20"/>
                <w:szCs w:val="20"/>
              </w:rPr>
              <w:t>IU/L)</w:t>
            </w:r>
          </w:p>
        </w:tc>
        <w:tc>
          <w:tcPr>
            <w:tcW w:w="1098" w:type="pct"/>
            <w:shd w:val="clear" w:color="auto" w:fill="auto"/>
            <w:vAlign w:val="center"/>
          </w:tcPr>
          <w:p w:rsidR="009514E0" w:rsidRPr="008047D3" w:rsidRDefault="009514E0" w:rsidP="008047D3">
            <w:pPr>
              <w:autoSpaceDE w:val="0"/>
              <w:autoSpaceDN w:val="0"/>
              <w:adjustRightInd w:val="0"/>
              <w:snapToGrid w:val="0"/>
              <w:jc w:val="both"/>
              <w:cnfStyle w:val="000000100000"/>
              <w:rPr>
                <w:rFonts w:ascii="Times New Roman" w:hAnsi="Times New Roman" w:cs="Times New Roman"/>
                <w:color w:val="000000"/>
                <w:sz w:val="20"/>
                <w:szCs w:val="20"/>
              </w:rPr>
            </w:pPr>
            <w:r w:rsidRPr="008047D3">
              <w:rPr>
                <w:rFonts w:ascii="Times New Roman" w:hAnsi="Times New Roman" w:cs="Times New Roman"/>
                <w:color w:val="000000"/>
                <w:sz w:val="20"/>
                <w:szCs w:val="20"/>
              </w:rPr>
              <w:t>13.36±4.71</w:t>
            </w:r>
          </w:p>
        </w:tc>
        <w:tc>
          <w:tcPr>
            <w:tcW w:w="1157" w:type="pct"/>
            <w:shd w:val="clear" w:color="auto" w:fill="auto"/>
            <w:vAlign w:val="center"/>
          </w:tcPr>
          <w:p w:rsidR="009514E0" w:rsidRPr="008047D3" w:rsidRDefault="009514E0" w:rsidP="008047D3">
            <w:pPr>
              <w:autoSpaceDE w:val="0"/>
              <w:autoSpaceDN w:val="0"/>
              <w:adjustRightInd w:val="0"/>
              <w:snapToGrid w:val="0"/>
              <w:jc w:val="both"/>
              <w:cnfStyle w:val="000000100000"/>
              <w:rPr>
                <w:rFonts w:ascii="Times New Roman" w:hAnsi="Times New Roman" w:cs="Times New Roman"/>
                <w:color w:val="000000"/>
                <w:sz w:val="20"/>
                <w:szCs w:val="20"/>
              </w:rPr>
            </w:pPr>
            <w:r w:rsidRPr="008047D3">
              <w:rPr>
                <w:rFonts w:ascii="Times New Roman" w:hAnsi="Times New Roman" w:cs="Times New Roman"/>
                <w:color w:val="000000"/>
                <w:sz w:val="20"/>
                <w:szCs w:val="20"/>
              </w:rPr>
              <w:t>13.18±2.7</w:t>
            </w:r>
          </w:p>
        </w:tc>
        <w:tc>
          <w:tcPr>
            <w:tcW w:w="427" w:type="pct"/>
            <w:shd w:val="clear" w:color="auto" w:fill="auto"/>
            <w:vAlign w:val="center"/>
          </w:tcPr>
          <w:p w:rsidR="009514E0" w:rsidRPr="008047D3" w:rsidRDefault="009514E0" w:rsidP="008047D3">
            <w:pPr>
              <w:autoSpaceDE w:val="0"/>
              <w:autoSpaceDN w:val="0"/>
              <w:adjustRightInd w:val="0"/>
              <w:snapToGrid w:val="0"/>
              <w:jc w:val="both"/>
              <w:cnfStyle w:val="000000100000"/>
              <w:rPr>
                <w:rFonts w:ascii="Times New Roman" w:hAnsi="Times New Roman" w:cs="Times New Roman"/>
                <w:color w:val="000000"/>
                <w:sz w:val="20"/>
                <w:szCs w:val="20"/>
              </w:rPr>
            </w:pPr>
            <w:r w:rsidRPr="008047D3">
              <w:rPr>
                <w:rFonts w:ascii="Times New Roman" w:hAnsi="Times New Roman" w:cs="Times New Roman"/>
                <w:color w:val="000000"/>
                <w:sz w:val="20"/>
                <w:szCs w:val="20"/>
              </w:rPr>
              <w:t>0.234</w:t>
            </w:r>
          </w:p>
        </w:tc>
        <w:tc>
          <w:tcPr>
            <w:tcW w:w="427" w:type="pct"/>
            <w:shd w:val="clear" w:color="auto" w:fill="auto"/>
            <w:vAlign w:val="center"/>
          </w:tcPr>
          <w:p w:rsidR="009514E0" w:rsidRPr="008047D3" w:rsidRDefault="009514E0" w:rsidP="008047D3">
            <w:pPr>
              <w:autoSpaceDE w:val="0"/>
              <w:autoSpaceDN w:val="0"/>
              <w:adjustRightInd w:val="0"/>
              <w:snapToGrid w:val="0"/>
              <w:jc w:val="both"/>
              <w:cnfStyle w:val="000000100000"/>
              <w:rPr>
                <w:rFonts w:ascii="Times New Roman" w:hAnsi="Times New Roman" w:cs="Times New Roman"/>
                <w:color w:val="000000"/>
                <w:sz w:val="20"/>
                <w:szCs w:val="20"/>
              </w:rPr>
            </w:pPr>
            <w:r w:rsidRPr="008047D3">
              <w:rPr>
                <w:rFonts w:ascii="Times New Roman" w:hAnsi="Times New Roman" w:cs="Times New Roman"/>
                <w:color w:val="000000"/>
                <w:sz w:val="20"/>
                <w:szCs w:val="20"/>
              </w:rPr>
              <w:t>0.815</w:t>
            </w:r>
          </w:p>
        </w:tc>
      </w:tr>
      <w:tr w:rsidR="009514E0" w:rsidRPr="008047D3" w:rsidTr="008047D3">
        <w:trPr>
          <w:cnfStyle w:val="000000010000"/>
          <w:jc w:val="center"/>
        </w:trPr>
        <w:tc>
          <w:tcPr>
            <w:cnfStyle w:val="001000000000"/>
            <w:tcW w:w="1891" w:type="pct"/>
            <w:shd w:val="clear" w:color="auto" w:fill="DEEAF6" w:themeFill="accent1" w:themeFillTint="33"/>
            <w:vAlign w:val="center"/>
          </w:tcPr>
          <w:p w:rsidR="009514E0" w:rsidRPr="008047D3" w:rsidRDefault="009514E0" w:rsidP="008047D3">
            <w:pPr>
              <w:autoSpaceDE w:val="0"/>
              <w:autoSpaceDN w:val="0"/>
              <w:adjustRightInd w:val="0"/>
              <w:snapToGrid w:val="0"/>
              <w:jc w:val="both"/>
              <w:rPr>
                <w:rFonts w:ascii="Times New Roman" w:hAnsi="Times New Roman" w:cs="Times New Roman"/>
                <w:b w:val="0"/>
                <w:bCs w:val="0"/>
                <w:color w:val="000000"/>
                <w:sz w:val="20"/>
                <w:szCs w:val="20"/>
              </w:rPr>
            </w:pPr>
            <w:r w:rsidRPr="008047D3">
              <w:rPr>
                <w:rFonts w:ascii="Times New Roman" w:hAnsi="Times New Roman" w:cs="Times New Roman"/>
                <w:color w:val="000000"/>
                <w:sz w:val="20"/>
                <w:szCs w:val="20"/>
              </w:rPr>
              <w:t xml:space="preserve">AST </w:t>
            </w:r>
            <w:r w:rsidRPr="008047D3">
              <w:rPr>
                <w:rFonts w:ascii="Times New Roman" w:hAnsi="Times New Roman" w:cs="Times New Roman"/>
                <w:sz w:val="20"/>
                <w:szCs w:val="20"/>
                <w:lang w:bidi="ar-EG"/>
              </w:rPr>
              <w:t>(</w:t>
            </w:r>
            <w:r w:rsidRPr="008047D3">
              <w:rPr>
                <w:rFonts w:ascii="Times New Roman" w:hAnsi="Times New Roman" w:cs="Times New Roman"/>
                <w:color w:val="000000"/>
                <w:sz w:val="20"/>
                <w:szCs w:val="20"/>
              </w:rPr>
              <w:t>IU/L)</w:t>
            </w:r>
          </w:p>
        </w:tc>
        <w:tc>
          <w:tcPr>
            <w:tcW w:w="1098" w:type="pct"/>
            <w:shd w:val="clear" w:color="auto" w:fill="auto"/>
            <w:vAlign w:val="center"/>
          </w:tcPr>
          <w:p w:rsidR="009514E0" w:rsidRPr="008047D3" w:rsidRDefault="009514E0" w:rsidP="008047D3">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17.36±4.78</w:t>
            </w:r>
          </w:p>
        </w:tc>
        <w:tc>
          <w:tcPr>
            <w:tcW w:w="1157" w:type="pct"/>
            <w:shd w:val="clear" w:color="auto" w:fill="auto"/>
            <w:vAlign w:val="center"/>
          </w:tcPr>
          <w:p w:rsidR="009514E0" w:rsidRPr="008047D3" w:rsidRDefault="009514E0" w:rsidP="008047D3">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17.72±3.25</w:t>
            </w:r>
          </w:p>
        </w:tc>
        <w:tc>
          <w:tcPr>
            <w:tcW w:w="427" w:type="pct"/>
            <w:shd w:val="clear" w:color="auto" w:fill="auto"/>
            <w:vAlign w:val="center"/>
          </w:tcPr>
          <w:p w:rsidR="009514E0" w:rsidRPr="008047D3" w:rsidRDefault="009514E0" w:rsidP="008047D3">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0.358</w:t>
            </w:r>
          </w:p>
        </w:tc>
        <w:tc>
          <w:tcPr>
            <w:tcW w:w="427" w:type="pct"/>
            <w:shd w:val="clear" w:color="auto" w:fill="auto"/>
            <w:vAlign w:val="center"/>
          </w:tcPr>
          <w:p w:rsidR="009514E0" w:rsidRPr="008047D3" w:rsidRDefault="009514E0" w:rsidP="008047D3">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0.227</w:t>
            </w:r>
          </w:p>
        </w:tc>
      </w:tr>
      <w:tr w:rsidR="009514E0" w:rsidRPr="008047D3" w:rsidTr="008047D3">
        <w:trPr>
          <w:cnfStyle w:val="000000100000"/>
          <w:jc w:val="center"/>
        </w:trPr>
        <w:tc>
          <w:tcPr>
            <w:cnfStyle w:val="001000000000"/>
            <w:tcW w:w="1891" w:type="pct"/>
            <w:shd w:val="clear" w:color="auto" w:fill="DEEAF6" w:themeFill="accent1" w:themeFillTint="33"/>
            <w:vAlign w:val="center"/>
          </w:tcPr>
          <w:p w:rsidR="009514E0" w:rsidRPr="008047D3" w:rsidRDefault="009514E0" w:rsidP="008047D3">
            <w:pPr>
              <w:autoSpaceDE w:val="0"/>
              <w:autoSpaceDN w:val="0"/>
              <w:adjustRightInd w:val="0"/>
              <w:snapToGrid w:val="0"/>
              <w:jc w:val="both"/>
              <w:rPr>
                <w:rFonts w:ascii="Times New Roman" w:hAnsi="Times New Roman" w:cs="Times New Roman"/>
                <w:b w:val="0"/>
                <w:bCs w:val="0"/>
                <w:color w:val="000000"/>
                <w:sz w:val="20"/>
                <w:szCs w:val="20"/>
              </w:rPr>
            </w:pPr>
            <w:r w:rsidRPr="008047D3">
              <w:rPr>
                <w:rFonts w:ascii="Times New Roman" w:hAnsi="Times New Roman" w:cs="Times New Roman"/>
                <w:color w:val="000000"/>
                <w:sz w:val="20"/>
                <w:szCs w:val="20"/>
              </w:rPr>
              <w:t>Alkaline Phosphatase (IU/L)</w:t>
            </w:r>
          </w:p>
        </w:tc>
        <w:tc>
          <w:tcPr>
            <w:tcW w:w="1098" w:type="pct"/>
            <w:shd w:val="clear" w:color="auto" w:fill="auto"/>
            <w:vAlign w:val="center"/>
          </w:tcPr>
          <w:p w:rsidR="009514E0" w:rsidRPr="008047D3" w:rsidRDefault="009514E0" w:rsidP="008047D3">
            <w:pPr>
              <w:autoSpaceDE w:val="0"/>
              <w:autoSpaceDN w:val="0"/>
              <w:adjustRightInd w:val="0"/>
              <w:snapToGrid w:val="0"/>
              <w:jc w:val="both"/>
              <w:cnfStyle w:val="000000100000"/>
              <w:rPr>
                <w:rFonts w:ascii="Times New Roman" w:hAnsi="Times New Roman" w:cs="Times New Roman"/>
                <w:color w:val="000000"/>
                <w:sz w:val="20"/>
                <w:szCs w:val="20"/>
              </w:rPr>
            </w:pPr>
            <w:r w:rsidRPr="008047D3">
              <w:rPr>
                <w:rFonts w:ascii="Times New Roman" w:hAnsi="Times New Roman" w:cs="Times New Roman"/>
                <w:color w:val="000000"/>
                <w:sz w:val="20"/>
                <w:szCs w:val="20"/>
              </w:rPr>
              <w:t>71.62±12.72</w:t>
            </w:r>
          </w:p>
        </w:tc>
        <w:tc>
          <w:tcPr>
            <w:tcW w:w="1157" w:type="pct"/>
            <w:shd w:val="clear" w:color="auto" w:fill="auto"/>
            <w:vAlign w:val="center"/>
          </w:tcPr>
          <w:p w:rsidR="009514E0" w:rsidRPr="008047D3" w:rsidRDefault="009514E0" w:rsidP="008047D3">
            <w:pPr>
              <w:autoSpaceDE w:val="0"/>
              <w:autoSpaceDN w:val="0"/>
              <w:adjustRightInd w:val="0"/>
              <w:snapToGrid w:val="0"/>
              <w:jc w:val="both"/>
              <w:cnfStyle w:val="000000100000"/>
              <w:rPr>
                <w:rFonts w:ascii="Times New Roman" w:hAnsi="Times New Roman" w:cs="Times New Roman"/>
                <w:color w:val="000000"/>
                <w:sz w:val="20"/>
                <w:szCs w:val="20"/>
              </w:rPr>
            </w:pPr>
            <w:r w:rsidRPr="008047D3">
              <w:rPr>
                <w:rFonts w:ascii="Times New Roman" w:hAnsi="Times New Roman" w:cs="Times New Roman"/>
                <w:color w:val="000000"/>
                <w:sz w:val="20"/>
                <w:szCs w:val="20"/>
              </w:rPr>
              <w:t>75.76±15.92</w:t>
            </w:r>
          </w:p>
        </w:tc>
        <w:tc>
          <w:tcPr>
            <w:tcW w:w="427" w:type="pct"/>
            <w:shd w:val="clear" w:color="auto" w:fill="auto"/>
            <w:vAlign w:val="center"/>
          </w:tcPr>
          <w:p w:rsidR="009514E0" w:rsidRPr="008047D3" w:rsidRDefault="009514E0" w:rsidP="008047D3">
            <w:pPr>
              <w:autoSpaceDE w:val="0"/>
              <w:autoSpaceDN w:val="0"/>
              <w:adjustRightInd w:val="0"/>
              <w:snapToGrid w:val="0"/>
              <w:jc w:val="both"/>
              <w:cnfStyle w:val="000000100000"/>
              <w:rPr>
                <w:rFonts w:ascii="Times New Roman" w:hAnsi="Times New Roman" w:cs="Times New Roman"/>
                <w:color w:val="000000"/>
                <w:sz w:val="20"/>
                <w:szCs w:val="20"/>
              </w:rPr>
            </w:pPr>
            <w:r w:rsidRPr="008047D3">
              <w:rPr>
                <w:rFonts w:ascii="Times New Roman" w:hAnsi="Times New Roman" w:cs="Times New Roman"/>
                <w:color w:val="000000"/>
                <w:sz w:val="20"/>
                <w:szCs w:val="20"/>
              </w:rPr>
              <w:t>0.247</w:t>
            </w:r>
          </w:p>
        </w:tc>
        <w:tc>
          <w:tcPr>
            <w:tcW w:w="427" w:type="pct"/>
            <w:shd w:val="clear" w:color="auto" w:fill="auto"/>
            <w:vAlign w:val="center"/>
          </w:tcPr>
          <w:p w:rsidR="009514E0" w:rsidRPr="008047D3" w:rsidRDefault="009514E0" w:rsidP="008047D3">
            <w:pPr>
              <w:autoSpaceDE w:val="0"/>
              <w:autoSpaceDN w:val="0"/>
              <w:adjustRightInd w:val="0"/>
              <w:snapToGrid w:val="0"/>
              <w:jc w:val="both"/>
              <w:cnfStyle w:val="000000100000"/>
              <w:rPr>
                <w:rFonts w:ascii="Times New Roman" w:hAnsi="Times New Roman" w:cs="Times New Roman"/>
                <w:color w:val="000000"/>
                <w:sz w:val="20"/>
                <w:szCs w:val="20"/>
              </w:rPr>
            </w:pPr>
            <w:r w:rsidRPr="008047D3">
              <w:rPr>
                <w:rFonts w:ascii="Times New Roman" w:hAnsi="Times New Roman" w:cs="Times New Roman"/>
                <w:color w:val="000000"/>
                <w:sz w:val="20"/>
                <w:szCs w:val="20"/>
              </w:rPr>
              <w:t>0.154</w:t>
            </w:r>
          </w:p>
        </w:tc>
      </w:tr>
      <w:tr w:rsidR="009514E0" w:rsidRPr="008047D3" w:rsidTr="008047D3">
        <w:trPr>
          <w:cnfStyle w:val="000000010000"/>
          <w:jc w:val="center"/>
        </w:trPr>
        <w:tc>
          <w:tcPr>
            <w:cnfStyle w:val="001000000000"/>
            <w:tcW w:w="1891" w:type="pct"/>
            <w:shd w:val="clear" w:color="auto" w:fill="DEEAF6" w:themeFill="accent1" w:themeFillTint="33"/>
            <w:vAlign w:val="center"/>
          </w:tcPr>
          <w:p w:rsidR="009514E0" w:rsidRPr="008047D3" w:rsidRDefault="009514E0" w:rsidP="008047D3">
            <w:pPr>
              <w:autoSpaceDE w:val="0"/>
              <w:autoSpaceDN w:val="0"/>
              <w:adjustRightInd w:val="0"/>
              <w:snapToGrid w:val="0"/>
              <w:jc w:val="both"/>
              <w:rPr>
                <w:rFonts w:ascii="Times New Roman" w:hAnsi="Times New Roman" w:cs="Times New Roman"/>
                <w:b w:val="0"/>
                <w:bCs w:val="0"/>
                <w:color w:val="000000"/>
                <w:sz w:val="20"/>
                <w:szCs w:val="20"/>
              </w:rPr>
            </w:pPr>
            <w:r w:rsidRPr="008047D3">
              <w:rPr>
                <w:rFonts w:ascii="Times New Roman" w:hAnsi="Times New Roman" w:cs="Times New Roman"/>
                <w:color w:val="000000"/>
                <w:sz w:val="20"/>
                <w:szCs w:val="20"/>
              </w:rPr>
              <w:t>Serum albumin (gm/dl)</w:t>
            </w:r>
          </w:p>
        </w:tc>
        <w:tc>
          <w:tcPr>
            <w:tcW w:w="1098" w:type="pct"/>
            <w:shd w:val="clear" w:color="auto" w:fill="auto"/>
            <w:vAlign w:val="center"/>
          </w:tcPr>
          <w:p w:rsidR="009514E0" w:rsidRPr="008047D3" w:rsidRDefault="009514E0" w:rsidP="008047D3">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4.07±0.38</w:t>
            </w:r>
          </w:p>
        </w:tc>
        <w:tc>
          <w:tcPr>
            <w:tcW w:w="1157" w:type="pct"/>
            <w:shd w:val="clear" w:color="auto" w:fill="auto"/>
            <w:vAlign w:val="center"/>
          </w:tcPr>
          <w:p w:rsidR="009514E0" w:rsidRPr="008047D3" w:rsidRDefault="009514E0" w:rsidP="008047D3">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4.01±0.51</w:t>
            </w:r>
          </w:p>
        </w:tc>
        <w:tc>
          <w:tcPr>
            <w:tcW w:w="427" w:type="pct"/>
            <w:shd w:val="clear" w:color="auto" w:fill="auto"/>
            <w:vAlign w:val="center"/>
          </w:tcPr>
          <w:p w:rsidR="009514E0" w:rsidRPr="008047D3" w:rsidRDefault="009514E0" w:rsidP="008047D3">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0.640</w:t>
            </w:r>
          </w:p>
        </w:tc>
        <w:tc>
          <w:tcPr>
            <w:tcW w:w="427" w:type="pct"/>
            <w:shd w:val="clear" w:color="auto" w:fill="auto"/>
            <w:vAlign w:val="center"/>
          </w:tcPr>
          <w:p w:rsidR="009514E0" w:rsidRPr="008047D3" w:rsidRDefault="009514E0" w:rsidP="008047D3">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0.524</w:t>
            </w:r>
          </w:p>
        </w:tc>
      </w:tr>
    </w:tbl>
    <w:p w:rsidR="009514E0" w:rsidRPr="008047D3" w:rsidRDefault="009514E0" w:rsidP="009514E0">
      <w:pPr>
        <w:snapToGrid w:val="0"/>
        <w:spacing w:after="0" w:line="240" w:lineRule="auto"/>
        <w:jc w:val="both"/>
        <w:rPr>
          <w:rFonts w:ascii="Times New Roman" w:eastAsia="Times New Roman" w:hAnsi="Times New Roman" w:cs="Times New Roman"/>
          <w:sz w:val="20"/>
          <w:szCs w:val="20"/>
          <w:lang w:bidi="ar-EG"/>
        </w:rPr>
      </w:pPr>
      <w:r w:rsidRPr="008047D3">
        <w:rPr>
          <w:rFonts w:ascii="Times New Roman" w:eastAsia="Times New Roman" w:hAnsi="Times New Roman" w:cs="Times New Roman"/>
          <w:sz w:val="20"/>
          <w:szCs w:val="20"/>
          <w:lang w:bidi="ar-EG"/>
        </w:rPr>
        <w:t>P =probability value N. =number</w:t>
      </w:r>
      <m:oMath>
        <m:r>
          <m:rPr>
            <m:sty m:val="bi"/>
          </m:rPr>
          <w:rPr>
            <w:rFonts w:ascii="Cambria Math" w:hAnsi="Times New Roman" w:cs="Times New Roman"/>
            <w:sz w:val="20"/>
            <w:szCs w:val="20"/>
            <w:lang w:bidi="ar-EG"/>
          </w:rPr>
          <m:t xml:space="preserve"> </m:t>
        </m:r>
        <m:r>
          <m:rPr>
            <m:sty m:val="bi"/>
          </m:rPr>
          <w:rPr>
            <w:rFonts w:ascii="Cambria Math" w:hAnsi="Cambria Math" w:cs="Times New Roman"/>
            <w:sz w:val="20"/>
            <w:szCs w:val="20"/>
            <w:lang w:bidi="ar-EG"/>
          </w:rPr>
          <m:t>t</m:t>
        </m:r>
        <m:r>
          <w:rPr>
            <w:rFonts w:ascii="Cambria Math" w:eastAsia="Times New Roman" w:hAnsi="Times New Roman" w:cs="Times New Roman"/>
            <w:sz w:val="20"/>
            <w:szCs w:val="20"/>
            <w:lang w:bidi="ar-EG"/>
          </w:rPr>
          <m:t>=</m:t>
        </m:r>
      </m:oMath>
      <w:r w:rsidRPr="008047D3">
        <w:rPr>
          <w:rFonts w:ascii="Times New Roman" w:eastAsia="Times New Roman" w:hAnsi="Times New Roman" w:cs="Times New Roman"/>
          <w:sz w:val="20"/>
          <w:szCs w:val="20"/>
          <w:lang w:bidi="ar-EG"/>
        </w:rPr>
        <w:t>Student's t test Non significant: P &gt; 0.05 * Significant: P &lt; 0.05</w:t>
      </w:r>
    </w:p>
    <w:p w:rsidR="009514E0" w:rsidRPr="008047D3" w:rsidRDefault="009514E0" w:rsidP="00657BEC">
      <w:pPr>
        <w:snapToGrid w:val="0"/>
        <w:spacing w:after="0" w:line="240" w:lineRule="auto"/>
        <w:jc w:val="center"/>
        <w:rPr>
          <w:rFonts w:ascii="Times New Roman" w:eastAsiaTheme="minorEastAsia" w:hAnsi="Times New Roman" w:cs="Times New Roman"/>
          <w:sz w:val="20"/>
          <w:szCs w:val="20"/>
          <w:lang w:eastAsia="zh-CN" w:bidi="ar-EG"/>
        </w:rPr>
      </w:pPr>
    </w:p>
    <w:p w:rsidR="009514E0" w:rsidRPr="008047D3" w:rsidRDefault="009514E0" w:rsidP="00657BEC">
      <w:pPr>
        <w:snapToGrid w:val="0"/>
        <w:spacing w:after="0" w:line="240" w:lineRule="auto"/>
        <w:jc w:val="center"/>
        <w:rPr>
          <w:rFonts w:ascii="Times New Roman" w:eastAsiaTheme="minorEastAsia" w:hAnsi="Times New Roman" w:cs="Times New Roman"/>
          <w:sz w:val="20"/>
          <w:szCs w:val="20"/>
          <w:lang w:eastAsia="zh-CN" w:bidi="ar-EG"/>
        </w:rPr>
        <w:sectPr w:rsidR="009514E0" w:rsidRPr="008047D3" w:rsidSect="005E40AC">
          <w:type w:val="continuous"/>
          <w:pgSz w:w="12240" w:h="15840" w:code="13"/>
          <w:pgMar w:top="1440" w:right="1440" w:bottom="1440" w:left="1440" w:header="720" w:footer="720" w:gutter="0"/>
          <w:cols w:space="720"/>
          <w:docGrid w:linePitch="360"/>
        </w:sectPr>
      </w:pPr>
    </w:p>
    <w:p w:rsidR="00742C0E" w:rsidRPr="008047D3" w:rsidRDefault="00742C0E" w:rsidP="00D62B3D">
      <w:pPr>
        <w:snapToGrid w:val="0"/>
        <w:spacing w:after="0" w:line="240" w:lineRule="auto"/>
        <w:ind w:firstLine="425"/>
        <w:jc w:val="both"/>
        <w:rPr>
          <w:rFonts w:ascii="Times New Roman" w:eastAsia="Times New Roman" w:hAnsi="Times New Roman" w:cs="Times New Roman"/>
          <w:sz w:val="20"/>
          <w:szCs w:val="20"/>
          <w:lang w:bidi="ar-EG"/>
        </w:rPr>
      </w:pPr>
      <w:r w:rsidRPr="008047D3">
        <w:rPr>
          <w:rFonts w:ascii="Times New Roman" w:eastAsia="Times New Roman" w:hAnsi="Times New Roman" w:cs="Times New Roman"/>
          <w:sz w:val="20"/>
          <w:szCs w:val="20"/>
          <w:lang w:bidi="ar-EG"/>
        </w:rPr>
        <w:lastRenderedPageBreak/>
        <w:t>Table (6) demonstrated comparison between the two studied groups regarding liver function tests. There was no statistically significant difference between the two studied groups regarding ALT, AST, Alkaline phosphatase and serum albumin.</w:t>
      </w:r>
    </w:p>
    <w:p w:rsidR="00742C0E" w:rsidRPr="008047D3" w:rsidRDefault="00742C0E" w:rsidP="00D62B3D">
      <w:pPr>
        <w:snapToGrid w:val="0"/>
        <w:spacing w:after="0" w:line="240" w:lineRule="auto"/>
        <w:ind w:firstLine="425"/>
        <w:jc w:val="both"/>
        <w:rPr>
          <w:rFonts w:ascii="Times New Roman" w:eastAsia="Times New Roman" w:hAnsi="Times New Roman" w:cs="Times New Roman"/>
          <w:sz w:val="20"/>
          <w:szCs w:val="20"/>
          <w:lang w:bidi="ar-EG"/>
        </w:rPr>
      </w:pPr>
      <w:r w:rsidRPr="008047D3">
        <w:rPr>
          <w:rFonts w:ascii="Times New Roman" w:eastAsia="Times New Roman" w:hAnsi="Times New Roman" w:cs="Times New Roman"/>
          <w:sz w:val="20"/>
          <w:szCs w:val="20"/>
          <w:lang w:bidi="ar-EG"/>
        </w:rPr>
        <w:lastRenderedPageBreak/>
        <w:t>In group I the mean value of ALT was 13.36±4.71 IU/L and in group II was 13.18±2.7 IU/L (t=0.234, P-value=0.815)</w:t>
      </w:r>
    </w:p>
    <w:p w:rsidR="00742C0E" w:rsidRPr="008047D3" w:rsidRDefault="00742C0E" w:rsidP="00D62B3D">
      <w:pPr>
        <w:snapToGrid w:val="0"/>
        <w:spacing w:after="0" w:line="240" w:lineRule="auto"/>
        <w:ind w:firstLine="425"/>
        <w:jc w:val="both"/>
        <w:rPr>
          <w:rFonts w:ascii="Times New Roman" w:eastAsia="Times New Roman" w:hAnsi="Times New Roman" w:cs="Times New Roman"/>
          <w:sz w:val="20"/>
          <w:szCs w:val="20"/>
          <w:lang w:bidi="ar-EG"/>
        </w:rPr>
      </w:pPr>
      <w:r w:rsidRPr="008047D3">
        <w:rPr>
          <w:rFonts w:ascii="Times New Roman" w:eastAsia="Times New Roman" w:hAnsi="Times New Roman" w:cs="Times New Roman"/>
          <w:sz w:val="20"/>
          <w:szCs w:val="20"/>
          <w:lang w:bidi="ar-EG"/>
        </w:rPr>
        <w:t>In grou</w:t>
      </w:r>
      <w:r w:rsidR="00D62B3D" w:rsidRPr="008047D3">
        <w:rPr>
          <w:rFonts w:ascii="Times New Roman" w:eastAsia="Times New Roman" w:hAnsi="Times New Roman" w:cs="Times New Roman"/>
          <w:sz w:val="20"/>
          <w:szCs w:val="20"/>
          <w:lang w:bidi="ar-EG"/>
        </w:rPr>
        <w:t>p I</w:t>
      </w:r>
      <w:r w:rsidRPr="008047D3">
        <w:rPr>
          <w:rFonts w:ascii="Times New Roman" w:eastAsia="Times New Roman" w:hAnsi="Times New Roman" w:cs="Times New Roman"/>
          <w:sz w:val="20"/>
          <w:szCs w:val="20"/>
          <w:lang w:bidi="ar-EG"/>
        </w:rPr>
        <w:t xml:space="preserve"> the mean value for AST was 17.36±4.78IU/L and in grou</w:t>
      </w:r>
      <w:r w:rsidR="00D62B3D" w:rsidRPr="008047D3">
        <w:rPr>
          <w:rFonts w:ascii="Times New Roman" w:eastAsia="Times New Roman" w:hAnsi="Times New Roman" w:cs="Times New Roman"/>
          <w:sz w:val="20"/>
          <w:szCs w:val="20"/>
          <w:lang w:bidi="ar-EG"/>
        </w:rPr>
        <w:t>p I</w:t>
      </w:r>
      <w:r w:rsidRPr="008047D3">
        <w:rPr>
          <w:rFonts w:ascii="Times New Roman" w:eastAsia="Times New Roman" w:hAnsi="Times New Roman" w:cs="Times New Roman"/>
          <w:sz w:val="20"/>
          <w:szCs w:val="20"/>
          <w:lang w:bidi="ar-EG"/>
        </w:rPr>
        <w:t xml:space="preserve">I </w:t>
      </w:r>
      <w:r w:rsidR="008047D3">
        <w:rPr>
          <w:rFonts w:ascii="Times New Roman" w:eastAsia="Times New Roman" w:hAnsi="Times New Roman" w:cs="Times New Roman"/>
          <w:sz w:val="20"/>
          <w:szCs w:val="20"/>
          <w:lang w:bidi="ar-EG"/>
        </w:rPr>
        <w:t xml:space="preserve">was </w:t>
      </w:r>
      <w:r w:rsidRPr="008047D3">
        <w:rPr>
          <w:rFonts w:ascii="Times New Roman" w:eastAsia="Times New Roman" w:hAnsi="Times New Roman" w:cs="Times New Roman"/>
          <w:sz w:val="20"/>
          <w:szCs w:val="20"/>
          <w:lang w:bidi="ar-EG"/>
        </w:rPr>
        <w:t>17.72±3.25 IU/L (t=0.358, P-value=0.227).</w:t>
      </w:r>
    </w:p>
    <w:p w:rsidR="00742C0E" w:rsidRPr="008047D3" w:rsidRDefault="00742C0E" w:rsidP="00D62B3D">
      <w:pPr>
        <w:snapToGrid w:val="0"/>
        <w:spacing w:after="0" w:line="240" w:lineRule="auto"/>
        <w:ind w:firstLine="425"/>
        <w:jc w:val="both"/>
        <w:rPr>
          <w:rFonts w:ascii="Times New Roman" w:eastAsia="Times New Roman" w:hAnsi="Times New Roman" w:cs="Times New Roman"/>
          <w:sz w:val="20"/>
          <w:szCs w:val="20"/>
          <w:lang w:bidi="ar-EG"/>
        </w:rPr>
      </w:pPr>
      <w:r w:rsidRPr="008047D3">
        <w:rPr>
          <w:rFonts w:ascii="Times New Roman" w:eastAsia="Times New Roman" w:hAnsi="Times New Roman" w:cs="Times New Roman"/>
          <w:sz w:val="20"/>
          <w:szCs w:val="20"/>
          <w:lang w:bidi="ar-EG"/>
        </w:rPr>
        <w:lastRenderedPageBreak/>
        <w:t xml:space="preserve">In group I </w:t>
      </w:r>
      <w:r w:rsidR="008047D3" w:rsidRPr="008047D3">
        <w:rPr>
          <w:rFonts w:ascii="Times New Roman" w:eastAsia="Times New Roman" w:hAnsi="Times New Roman" w:cs="Times New Roman"/>
          <w:sz w:val="20"/>
          <w:szCs w:val="20"/>
          <w:lang w:bidi="ar-EG"/>
        </w:rPr>
        <w:t>the mean</w:t>
      </w:r>
      <w:r w:rsidRPr="008047D3">
        <w:rPr>
          <w:rFonts w:ascii="Times New Roman" w:eastAsia="Times New Roman" w:hAnsi="Times New Roman" w:cs="Times New Roman"/>
          <w:sz w:val="20"/>
          <w:szCs w:val="20"/>
          <w:lang w:bidi="ar-EG"/>
        </w:rPr>
        <w:t xml:space="preserve"> value for alkaline phosphatase </w:t>
      </w:r>
      <w:r w:rsidR="008047D3">
        <w:rPr>
          <w:rFonts w:ascii="Times New Roman" w:eastAsia="Times New Roman" w:hAnsi="Times New Roman" w:cs="Times New Roman"/>
          <w:sz w:val="20"/>
          <w:szCs w:val="20"/>
          <w:lang w:bidi="ar-EG"/>
        </w:rPr>
        <w:t xml:space="preserve">was </w:t>
      </w:r>
      <w:r w:rsidRPr="008047D3">
        <w:rPr>
          <w:rFonts w:ascii="Times New Roman" w:eastAsia="Times New Roman" w:hAnsi="Times New Roman" w:cs="Times New Roman"/>
          <w:sz w:val="20"/>
          <w:szCs w:val="20"/>
          <w:lang w:bidi="ar-EG"/>
        </w:rPr>
        <w:t>71.62±12.72IU/L and in grou</w:t>
      </w:r>
      <w:r w:rsidR="00D62B3D" w:rsidRPr="008047D3">
        <w:rPr>
          <w:rFonts w:ascii="Times New Roman" w:eastAsia="Times New Roman" w:hAnsi="Times New Roman" w:cs="Times New Roman"/>
          <w:sz w:val="20"/>
          <w:szCs w:val="20"/>
          <w:lang w:bidi="ar-EG"/>
        </w:rPr>
        <w:t>p I</w:t>
      </w:r>
      <w:r w:rsidRPr="008047D3">
        <w:rPr>
          <w:rFonts w:ascii="Times New Roman" w:eastAsia="Times New Roman" w:hAnsi="Times New Roman" w:cs="Times New Roman"/>
          <w:sz w:val="20"/>
          <w:szCs w:val="20"/>
          <w:lang w:bidi="ar-EG"/>
        </w:rPr>
        <w:t>I was 75.76±15.92 IU/L (t=0.247, P-value=0.154).</w:t>
      </w:r>
    </w:p>
    <w:p w:rsidR="00742C0E" w:rsidRPr="008047D3" w:rsidRDefault="00742C0E" w:rsidP="00D62B3D">
      <w:pPr>
        <w:snapToGrid w:val="0"/>
        <w:spacing w:after="0" w:line="240" w:lineRule="auto"/>
        <w:ind w:firstLine="425"/>
        <w:jc w:val="both"/>
        <w:rPr>
          <w:rFonts w:ascii="Times New Roman" w:eastAsia="Times New Roman" w:hAnsi="Times New Roman" w:cs="Times New Roman"/>
          <w:sz w:val="20"/>
          <w:szCs w:val="20"/>
          <w:lang w:bidi="ar-EG"/>
        </w:rPr>
      </w:pPr>
      <w:r w:rsidRPr="008047D3">
        <w:rPr>
          <w:rFonts w:ascii="Times New Roman" w:eastAsia="Times New Roman" w:hAnsi="Times New Roman" w:cs="Times New Roman"/>
          <w:sz w:val="20"/>
          <w:szCs w:val="20"/>
          <w:lang w:bidi="ar-EG"/>
        </w:rPr>
        <w:t>In grou</w:t>
      </w:r>
      <w:r w:rsidR="00D62B3D" w:rsidRPr="008047D3">
        <w:rPr>
          <w:rFonts w:ascii="Times New Roman" w:eastAsia="Times New Roman" w:hAnsi="Times New Roman" w:cs="Times New Roman"/>
          <w:sz w:val="20"/>
          <w:szCs w:val="20"/>
          <w:lang w:bidi="ar-EG"/>
        </w:rPr>
        <w:t>p I</w:t>
      </w:r>
      <w:r w:rsidRPr="008047D3">
        <w:rPr>
          <w:rFonts w:ascii="Times New Roman" w:eastAsia="Times New Roman" w:hAnsi="Times New Roman" w:cs="Times New Roman"/>
          <w:sz w:val="20"/>
          <w:szCs w:val="20"/>
          <w:lang w:bidi="ar-EG"/>
        </w:rPr>
        <w:t xml:space="preserve"> the mean value for serum albumin was 4.07±0.38gm/dl and in grou</w:t>
      </w:r>
      <w:r w:rsidR="00D62B3D" w:rsidRPr="008047D3">
        <w:rPr>
          <w:rFonts w:ascii="Times New Roman" w:eastAsia="Times New Roman" w:hAnsi="Times New Roman" w:cs="Times New Roman"/>
          <w:sz w:val="20"/>
          <w:szCs w:val="20"/>
          <w:lang w:bidi="ar-EG"/>
        </w:rPr>
        <w:t>p I</w:t>
      </w:r>
      <w:r w:rsidRPr="008047D3">
        <w:rPr>
          <w:rFonts w:ascii="Times New Roman" w:eastAsia="Times New Roman" w:hAnsi="Times New Roman" w:cs="Times New Roman"/>
          <w:sz w:val="20"/>
          <w:szCs w:val="20"/>
          <w:lang w:bidi="ar-EG"/>
        </w:rPr>
        <w:t>I was 4.01±0.51gm/dl (t=0.640, P-value=0.524).</w:t>
      </w:r>
    </w:p>
    <w:p w:rsidR="00742C0E" w:rsidRPr="008047D3" w:rsidRDefault="00310F47" w:rsidP="00657BEC">
      <w:pPr>
        <w:snapToGrid w:val="0"/>
        <w:spacing w:after="0" w:line="240" w:lineRule="auto"/>
        <w:ind w:firstLine="425"/>
        <w:jc w:val="both"/>
        <w:rPr>
          <w:rFonts w:ascii="Times New Roman" w:eastAsia="Times New Roman" w:hAnsi="Times New Roman" w:cs="Times New Roman"/>
          <w:sz w:val="20"/>
          <w:szCs w:val="20"/>
          <w:lang w:bidi="ar-EG"/>
        </w:rPr>
      </w:pPr>
      <w:r w:rsidRPr="008047D3">
        <w:rPr>
          <w:rFonts w:ascii="Times New Roman" w:eastAsia="Times New Roman" w:hAnsi="Times New Roman" w:cs="Times New Roman"/>
          <w:sz w:val="20"/>
          <w:szCs w:val="20"/>
          <w:lang w:bidi="ar-EG"/>
        </w:rPr>
        <w:t>T</w:t>
      </w:r>
      <w:r w:rsidR="00742C0E" w:rsidRPr="008047D3">
        <w:rPr>
          <w:rFonts w:ascii="Times New Roman" w:eastAsia="Times New Roman" w:hAnsi="Times New Roman" w:cs="Times New Roman"/>
          <w:sz w:val="20"/>
          <w:szCs w:val="20"/>
          <w:lang w:bidi="ar-EG"/>
        </w:rPr>
        <w:t xml:space="preserve">able (7) demonstrated comparison between the two studied groups regarding lipid profile. There was no statistically significant difference between the two </w:t>
      </w:r>
      <w:r w:rsidR="00742C0E" w:rsidRPr="008047D3">
        <w:rPr>
          <w:rFonts w:ascii="Times New Roman" w:eastAsia="Times New Roman" w:hAnsi="Times New Roman" w:cs="Times New Roman"/>
          <w:sz w:val="20"/>
          <w:szCs w:val="20"/>
          <w:lang w:bidi="ar-EG"/>
        </w:rPr>
        <w:lastRenderedPageBreak/>
        <w:t>studied groups regarding serum cholesterol and triglycerides levels.</w:t>
      </w:r>
    </w:p>
    <w:p w:rsidR="00742C0E" w:rsidRPr="008047D3" w:rsidRDefault="00742C0E" w:rsidP="00657BEC">
      <w:pPr>
        <w:snapToGrid w:val="0"/>
        <w:spacing w:after="0" w:line="240" w:lineRule="auto"/>
        <w:ind w:firstLine="425"/>
        <w:jc w:val="both"/>
        <w:rPr>
          <w:rFonts w:ascii="Times New Roman" w:eastAsia="Times New Roman" w:hAnsi="Times New Roman" w:cs="Times New Roman"/>
          <w:sz w:val="20"/>
          <w:szCs w:val="20"/>
          <w:lang w:bidi="ar-EG"/>
        </w:rPr>
      </w:pPr>
      <w:r w:rsidRPr="008047D3">
        <w:rPr>
          <w:rFonts w:ascii="Times New Roman" w:eastAsia="Times New Roman" w:hAnsi="Times New Roman" w:cs="Times New Roman"/>
          <w:sz w:val="20"/>
          <w:szCs w:val="20"/>
          <w:lang w:bidi="ar-EG"/>
        </w:rPr>
        <w:t>In group I the mean value for serum cholesterol was 188.82±20.9 mg/dl and in grou</w:t>
      </w:r>
      <w:r w:rsidR="00D62B3D" w:rsidRPr="008047D3">
        <w:rPr>
          <w:rFonts w:ascii="Times New Roman" w:eastAsia="Times New Roman" w:hAnsi="Times New Roman" w:cs="Times New Roman"/>
          <w:sz w:val="20"/>
          <w:szCs w:val="20"/>
          <w:lang w:bidi="ar-EG"/>
        </w:rPr>
        <w:t>p I</w:t>
      </w:r>
      <w:r w:rsidRPr="008047D3">
        <w:rPr>
          <w:rFonts w:ascii="Times New Roman" w:eastAsia="Times New Roman" w:hAnsi="Times New Roman" w:cs="Times New Roman"/>
          <w:sz w:val="20"/>
          <w:szCs w:val="20"/>
          <w:lang w:bidi="ar-EG"/>
        </w:rPr>
        <w:t xml:space="preserve">I was 189.18±22.8 mg/dl (t=0.082, P-value=0.935). </w:t>
      </w:r>
    </w:p>
    <w:p w:rsidR="00742C0E" w:rsidRPr="008047D3" w:rsidRDefault="00742C0E" w:rsidP="00657BEC">
      <w:pPr>
        <w:snapToGrid w:val="0"/>
        <w:spacing w:after="0" w:line="240" w:lineRule="auto"/>
        <w:ind w:firstLine="425"/>
        <w:jc w:val="both"/>
        <w:rPr>
          <w:rFonts w:ascii="Times New Roman" w:eastAsia="Times New Roman" w:hAnsi="Times New Roman" w:cs="Times New Roman"/>
          <w:sz w:val="20"/>
          <w:szCs w:val="20"/>
          <w:lang w:bidi="ar-EG"/>
        </w:rPr>
      </w:pPr>
      <w:r w:rsidRPr="008047D3">
        <w:rPr>
          <w:rFonts w:ascii="Times New Roman" w:eastAsia="Times New Roman" w:hAnsi="Times New Roman" w:cs="Times New Roman"/>
          <w:sz w:val="20"/>
          <w:szCs w:val="20"/>
          <w:lang w:bidi="ar-EG"/>
        </w:rPr>
        <w:t>In group I the mean value for serum triglycerides was</w:t>
      </w:r>
      <w:r w:rsidR="008047D3">
        <w:rPr>
          <w:rFonts w:ascii="Times New Roman" w:hAnsi="Times New Roman" w:cs="Times New Roman" w:hint="eastAsia"/>
          <w:sz w:val="20"/>
          <w:szCs w:val="20"/>
          <w:lang w:eastAsia="zh-CN" w:bidi="ar-EG"/>
        </w:rPr>
        <w:t xml:space="preserve"> </w:t>
      </w:r>
      <w:r w:rsidRPr="008047D3">
        <w:rPr>
          <w:rFonts w:ascii="Times New Roman" w:eastAsia="Times New Roman" w:hAnsi="Times New Roman" w:cs="Times New Roman"/>
          <w:sz w:val="20"/>
          <w:szCs w:val="20"/>
          <w:lang w:bidi="ar-EG"/>
        </w:rPr>
        <w:t>110.34±30.7 mg/dl and in grou</w:t>
      </w:r>
      <w:r w:rsidR="00D62B3D" w:rsidRPr="008047D3">
        <w:rPr>
          <w:rFonts w:ascii="Times New Roman" w:eastAsia="Times New Roman" w:hAnsi="Times New Roman" w:cs="Times New Roman"/>
          <w:sz w:val="20"/>
          <w:szCs w:val="20"/>
          <w:lang w:bidi="ar-EG"/>
        </w:rPr>
        <w:t>p I</w:t>
      </w:r>
      <w:r w:rsidRPr="008047D3">
        <w:rPr>
          <w:rFonts w:ascii="Times New Roman" w:eastAsia="Times New Roman" w:hAnsi="Times New Roman" w:cs="Times New Roman"/>
          <w:sz w:val="20"/>
          <w:szCs w:val="20"/>
          <w:lang w:bidi="ar-EG"/>
        </w:rPr>
        <w:t>I was</w:t>
      </w:r>
      <w:r w:rsidR="008047D3">
        <w:rPr>
          <w:rFonts w:ascii="Times New Roman" w:hAnsi="Times New Roman" w:cs="Times New Roman" w:hint="eastAsia"/>
          <w:sz w:val="20"/>
          <w:szCs w:val="20"/>
          <w:lang w:eastAsia="zh-CN" w:bidi="ar-EG"/>
        </w:rPr>
        <w:t xml:space="preserve"> </w:t>
      </w:r>
      <w:r w:rsidRPr="008047D3">
        <w:rPr>
          <w:rFonts w:ascii="Times New Roman" w:eastAsia="Times New Roman" w:hAnsi="Times New Roman" w:cs="Times New Roman"/>
          <w:sz w:val="20"/>
          <w:szCs w:val="20"/>
          <w:lang w:bidi="ar-EG"/>
        </w:rPr>
        <w:t>120.5±36.67 mg/dl (t=0.508, P-value=0.135).</w:t>
      </w:r>
    </w:p>
    <w:p w:rsidR="00657BEC" w:rsidRPr="008047D3" w:rsidRDefault="00657BEC" w:rsidP="00657BEC">
      <w:pPr>
        <w:snapToGrid w:val="0"/>
        <w:spacing w:after="0" w:line="240" w:lineRule="auto"/>
        <w:jc w:val="center"/>
        <w:rPr>
          <w:rFonts w:ascii="Times New Roman" w:eastAsia="Times New Roman" w:hAnsi="Times New Roman" w:cs="Times New Roman"/>
          <w:b/>
          <w:bCs/>
          <w:sz w:val="20"/>
          <w:szCs w:val="20"/>
          <w:lang w:bidi="ar-EG"/>
        </w:rPr>
        <w:sectPr w:rsidR="00657BEC" w:rsidRPr="008047D3" w:rsidSect="005E40AC">
          <w:type w:val="continuous"/>
          <w:pgSz w:w="12240" w:h="15840" w:code="13"/>
          <w:pgMar w:top="1440" w:right="1440" w:bottom="1440" w:left="1440" w:header="720" w:footer="720" w:gutter="0"/>
          <w:cols w:num="2" w:space="550"/>
          <w:docGrid w:linePitch="360"/>
        </w:sectPr>
      </w:pPr>
    </w:p>
    <w:p w:rsidR="00613BFC" w:rsidRPr="008047D3" w:rsidRDefault="00613BFC" w:rsidP="00657BEC">
      <w:pPr>
        <w:snapToGrid w:val="0"/>
        <w:spacing w:after="0" w:line="240" w:lineRule="auto"/>
        <w:jc w:val="center"/>
        <w:rPr>
          <w:rFonts w:ascii="Times New Roman" w:eastAsia="Times New Roman" w:hAnsi="Times New Roman" w:cs="Times New Roman"/>
          <w:b/>
          <w:bCs/>
          <w:sz w:val="20"/>
          <w:szCs w:val="20"/>
          <w:lang w:bidi="ar-EG"/>
        </w:rPr>
      </w:pPr>
    </w:p>
    <w:p w:rsidR="00F95C12" w:rsidRPr="008047D3" w:rsidRDefault="00F95C12" w:rsidP="00657BEC">
      <w:pPr>
        <w:snapToGrid w:val="0"/>
        <w:spacing w:after="0" w:line="240" w:lineRule="auto"/>
        <w:jc w:val="center"/>
        <w:rPr>
          <w:rFonts w:ascii="Times New Roman" w:eastAsia="Times New Roman" w:hAnsi="Times New Roman" w:cs="Times New Roman"/>
          <w:b/>
          <w:bCs/>
          <w:sz w:val="20"/>
          <w:szCs w:val="20"/>
          <w:lang w:bidi="ar-EG"/>
        </w:rPr>
      </w:pPr>
      <w:r w:rsidRPr="008047D3">
        <w:rPr>
          <w:rFonts w:ascii="Times New Roman" w:eastAsia="Times New Roman" w:hAnsi="Times New Roman" w:cs="Times New Roman"/>
          <w:b/>
          <w:bCs/>
          <w:sz w:val="20"/>
          <w:szCs w:val="20"/>
          <w:lang w:bidi="ar-EG"/>
        </w:rPr>
        <w:t>Table (7): Lipid profile in the two studied groups</w:t>
      </w:r>
    </w:p>
    <w:tbl>
      <w:tblPr>
        <w:tblStyle w:val="LightGrid-Accent1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556"/>
        <w:gridCol w:w="2090"/>
        <w:gridCol w:w="2202"/>
        <w:gridCol w:w="813"/>
        <w:gridCol w:w="813"/>
      </w:tblGrid>
      <w:tr w:rsidR="00F95C12" w:rsidRPr="008047D3" w:rsidTr="00310F47">
        <w:trPr>
          <w:cnfStyle w:val="000000100000"/>
          <w:jc w:val="center"/>
        </w:trPr>
        <w:tc>
          <w:tcPr>
            <w:cnfStyle w:val="000010000000"/>
            <w:tcW w:w="1877" w:type="pct"/>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p>
        </w:tc>
        <w:tc>
          <w:tcPr>
            <w:tcW w:w="1103" w:type="pct"/>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Group I</w:t>
            </w:r>
            <w:r w:rsidR="00613BFC" w:rsidRPr="008047D3">
              <w:rPr>
                <w:rFonts w:ascii="Times New Roman" w:hAnsi="Times New Roman" w:cs="Times New Roman"/>
                <w:b/>
                <w:bCs/>
                <w:color w:val="000000"/>
                <w:sz w:val="20"/>
                <w:szCs w:val="20"/>
              </w:rPr>
              <w:t xml:space="preserve"> </w:t>
            </w:r>
            <w:r w:rsidRPr="008047D3">
              <w:rPr>
                <w:rFonts w:ascii="Times New Roman" w:hAnsi="Times New Roman" w:cs="Times New Roman"/>
                <w:b/>
                <w:bCs/>
                <w:color w:val="000000"/>
                <w:sz w:val="20"/>
                <w:szCs w:val="20"/>
              </w:rPr>
              <w:t>(N=50)</w:t>
            </w:r>
          </w:p>
        </w:tc>
        <w:tc>
          <w:tcPr>
            <w:cnfStyle w:val="000010000000"/>
            <w:tcW w:w="1162" w:type="pct"/>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Group II</w:t>
            </w:r>
            <w:r w:rsidR="00613BFC" w:rsidRPr="008047D3">
              <w:rPr>
                <w:rFonts w:ascii="Times New Roman" w:hAnsi="Times New Roman" w:cs="Times New Roman"/>
                <w:b/>
                <w:bCs/>
                <w:color w:val="000000"/>
                <w:sz w:val="20"/>
                <w:szCs w:val="20"/>
              </w:rPr>
              <w:t xml:space="preserve"> </w:t>
            </w:r>
            <w:r w:rsidRPr="008047D3">
              <w:rPr>
                <w:rFonts w:ascii="Times New Roman" w:hAnsi="Times New Roman" w:cs="Times New Roman"/>
                <w:b/>
                <w:bCs/>
                <w:color w:val="000000"/>
                <w:sz w:val="20"/>
                <w:szCs w:val="20"/>
              </w:rPr>
              <w:t>(N=50)</w:t>
            </w:r>
          </w:p>
        </w:tc>
        <w:tc>
          <w:tcPr>
            <w:tcW w:w="429" w:type="pct"/>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t</w:t>
            </w:r>
          </w:p>
        </w:tc>
        <w:tc>
          <w:tcPr>
            <w:cnfStyle w:val="000010000000"/>
            <w:tcW w:w="429" w:type="pct"/>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 xml:space="preserve">P </w:t>
            </w:r>
          </w:p>
        </w:tc>
      </w:tr>
      <w:tr w:rsidR="00F95C12" w:rsidRPr="008047D3" w:rsidTr="00310F47">
        <w:trPr>
          <w:cnfStyle w:val="000000010000"/>
          <w:jc w:val="center"/>
        </w:trPr>
        <w:tc>
          <w:tcPr>
            <w:cnfStyle w:val="000010000000"/>
            <w:tcW w:w="1877" w:type="pct"/>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Serum cholesterol (mg/dl)</w:t>
            </w:r>
          </w:p>
        </w:tc>
        <w:tc>
          <w:tcPr>
            <w:tcW w:w="1103" w:type="pct"/>
            <w:tcBorders>
              <w:top w:val="none" w:sz="0" w:space="0" w:color="auto"/>
              <w:left w:val="none" w:sz="0" w:space="0" w:color="auto"/>
              <w:bottom w:val="none" w:sz="0" w:space="0" w:color="auto"/>
              <w:right w:val="none" w:sz="0" w:space="0" w:color="auto"/>
            </w:tcBorders>
            <w:shd w:val="clear" w:color="auto" w:fill="auto"/>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188.82±20.9</w:t>
            </w:r>
          </w:p>
        </w:tc>
        <w:tc>
          <w:tcPr>
            <w:cnfStyle w:val="000010000000"/>
            <w:tcW w:w="1162" w:type="pct"/>
            <w:tcBorders>
              <w:top w:val="none" w:sz="0" w:space="0" w:color="auto"/>
              <w:left w:val="none" w:sz="0" w:space="0" w:color="auto"/>
              <w:bottom w:val="none" w:sz="0" w:space="0" w:color="auto"/>
              <w:right w:val="none" w:sz="0" w:space="0" w:color="auto"/>
            </w:tcBorders>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189.18±22.8</w:t>
            </w:r>
          </w:p>
        </w:tc>
        <w:tc>
          <w:tcPr>
            <w:tcW w:w="429" w:type="pct"/>
            <w:tcBorders>
              <w:top w:val="none" w:sz="0" w:space="0" w:color="auto"/>
              <w:left w:val="none" w:sz="0" w:space="0" w:color="auto"/>
              <w:bottom w:val="none" w:sz="0" w:space="0" w:color="auto"/>
              <w:right w:val="none" w:sz="0" w:space="0" w:color="auto"/>
            </w:tcBorders>
            <w:shd w:val="clear" w:color="auto" w:fill="auto"/>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0.082</w:t>
            </w:r>
          </w:p>
        </w:tc>
        <w:tc>
          <w:tcPr>
            <w:cnfStyle w:val="000010000000"/>
            <w:tcW w:w="429" w:type="pct"/>
            <w:tcBorders>
              <w:top w:val="none" w:sz="0" w:space="0" w:color="auto"/>
              <w:left w:val="none" w:sz="0" w:space="0" w:color="auto"/>
              <w:bottom w:val="none" w:sz="0" w:space="0" w:color="auto"/>
              <w:right w:val="none" w:sz="0" w:space="0" w:color="auto"/>
            </w:tcBorders>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0.935</w:t>
            </w:r>
          </w:p>
        </w:tc>
      </w:tr>
      <w:tr w:rsidR="00F95C12" w:rsidRPr="008047D3" w:rsidTr="00310F47">
        <w:trPr>
          <w:cnfStyle w:val="000000100000"/>
          <w:jc w:val="center"/>
        </w:trPr>
        <w:tc>
          <w:tcPr>
            <w:cnfStyle w:val="000010000000"/>
            <w:tcW w:w="1877" w:type="pct"/>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rsidR="00F95C12" w:rsidRPr="008047D3" w:rsidRDefault="00613BFC"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 xml:space="preserve">Serum triglycerides </w:t>
            </w:r>
            <w:r w:rsidR="00F95C12" w:rsidRPr="008047D3">
              <w:rPr>
                <w:rFonts w:ascii="Times New Roman" w:hAnsi="Times New Roman" w:cs="Times New Roman"/>
                <w:b/>
                <w:bCs/>
                <w:color w:val="000000"/>
                <w:sz w:val="20"/>
                <w:szCs w:val="20"/>
              </w:rPr>
              <w:t>(mg/dl)</w:t>
            </w:r>
          </w:p>
        </w:tc>
        <w:tc>
          <w:tcPr>
            <w:tcW w:w="1103" w:type="pct"/>
            <w:tcBorders>
              <w:top w:val="none" w:sz="0" w:space="0" w:color="auto"/>
              <w:left w:val="none" w:sz="0" w:space="0" w:color="auto"/>
              <w:bottom w:val="none" w:sz="0" w:space="0" w:color="auto"/>
              <w:right w:val="none" w:sz="0" w:space="0" w:color="auto"/>
            </w:tcBorders>
            <w:shd w:val="clear" w:color="auto" w:fill="auto"/>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color w:val="000000"/>
                <w:sz w:val="20"/>
                <w:szCs w:val="20"/>
              </w:rPr>
            </w:pPr>
            <w:r w:rsidRPr="008047D3">
              <w:rPr>
                <w:rFonts w:ascii="Times New Roman" w:hAnsi="Times New Roman" w:cs="Times New Roman"/>
                <w:color w:val="000000"/>
                <w:sz w:val="20"/>
                <w:szCs w:val="20"/>
              </w:rPr>
              <w:t>110.34±30.7</w:t>
            </w:r>
          </w:p>
        </w:tc>
        <w:tc>
          <w:tcPr>
            <w:cnfStyle w:val="000010000000"/>
            <w:tcW w:w="1162" w:type="pct"/>
            <w:tcBorders>
              <w:top w:val="none" w:sz="0" w:space="0" w:color="auto"/>
              <w:left w:val="none" w:sz="0" w:space="0" w:color="auto"/>
              <w:bottom w:val="none" w:sz="0" w:space="0" w:color="auto"/>
              <w:right w:val="none" w:sz="0" w:space="0" w:color="auto"/>
            </w:tcBorders>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120.5±36.67</w:t>
            </w:r>
          </w:p>
        </w:tc>
        <w:tc>
          <w:tcPr>
            <w:tcW w:w="429" w:type="pct"/>
            <w:tcBorders>
              <w:top w:val="none" w:sz="0" w:space="0" w:color="auto"/>
              <w:left w:val="none" w:sz="0" w:space="0" w:color="auto"/>
              <w:bottom w:val="none" w:sz="0" w:space="0" w:color="auto"/>
              <w:right w:val="none" w:sz="0" w:space="0" w:color="auto"/>
            </w:tcBorders>
            <w:shd w:val="clear" w:color="auto" w:fill="auto"/>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color w:val="000000"/>
                <w:sz w:val="20"/>
                <w:szCs w:val="20"/>
              </w:rPr>
            </w:pPr>
            <w:r w:rsidRPr="008047D3">
              <w:rPr>
                <w:rFonts w:ascii="Times New Roman" w:hAnsi="Times New Roman" w:cs="Times New Roman"/>
                <w:color w:val="000000"/>
                <w:sz w:val="20"/>
                <w:szCs w:val="20"/>
              </w:rPr>
              <w:t>0.508</w:t>
            </w:r>
          </w:p>
        </w:tc>
        <w:tc>
          <w:tcPr>
            <w:cnfStyle w:val="000010000000"/>
            <w:tcW w:w="429" w:type="pct"/>
            <w:tcBorders>
              <w:top w:val="none" w:sz="0" w:space="0" w:color="auto"/>
              <w:left w:val="none" w:sz="0" w:space="0" w:color="auto"/>
              <w:bottom w:val="none" w:sz="0" w:space="0" w:color="auto"/>
              <w:right w:val="none" w:sz="0" w:space="0" w:color="auto"/>
            </w:tcBorders>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0.135</w:t>
            </w:r>
          </w:p>
        </w:tc>
      </w:tr>
    </w:tbl>
    <w:p w:rsidR="00310F47" w:rsidRPr="008047D3" w:rsidRDefault="00613BFC" w:rsidP="00D62B3D">
      <w:pPr>
        <w:snapToGrid w:val="0"/>
        <w:spacing w:after="0" w:line="240" w:lineRule="auto"/>
        <w:jc w:val="both"/>
        <w:rPr>
          <w:rFonts w:ascii="Times New Roman" w:eastAsia="Times New Roman" w:hAnsi="Times New Roman" w:cs="Times New Roman"/>
          <w:sz w:val="20"/>
          <w:szCs w:val="20"/>
          <w:lang w:bidi="ar-EG"/>
        </w:rPr>
      </w:pPr>
      <w:r w:rsidRPr="008047D3">
        <w:rPr>
          <w:rFonts w:ascii="Times New Roman" w:eastAsia="Times New Roman" w:hAnsi="Times New Roman" w:cs="Times New Roman"/>
          <w:sz w:val="20"/>
          <w:szCs w:val="20"/>
          <w:lang w:bidi="ar-EG"/>
        </w:rPr>
        <w:t>P =probability value N</w:t>
      </w:r>
      <w:r w:rsidR="00F95C12" w:rsidRPr="008047D3">
        <w:rPr>
          <w:rFonts w:ascii="Times New Roman" w:eastAsia="Times New Roman" w:hAnsi="Times New Roman" w:cs="Times New Roman"/>
          <w:sz w:val="20"/>
          <w:szCs w:val="20"/>
          <w:lang w:bidi="ar-EG"/>
        </w:rPr>
        <w:t>. =number</w:t>
      </w:r>
      <m:oMath>
        <m:r>
          <m:rPr>
            <m:sty m:val="bi"/>
          </m:rPr>
          <w:rPr>
            <w:rFonts w:ascii="Cambria Math" w:hAnsi="Times New Roman" w:cs="Times New Roman"/>
            <w:sz w:val="20"/>
            <w:szCs w:val="20"/>
            <w:lang w:bidi="ar-EG"/>
          </w:rPr>
          <m:t xml:space="preserve"> </m:t>
        </m:r>
        <m:r>
          <m:rPr>
            <m:sty m:val="bi"/>
          </m:rPr>
          <w:rPr>
            <w:rFonts w:ascii="Cambria Math" w:hAnsi="Cambria Math" w:cs="Times New Roman"/>
            <w:sz w:val="20"/>
            <w:szCs w:val="20"/>
            <w:lang w:bidi="ar-EG"/>
          </w:rPr>
          <m:t>t</m:t>
        </m:r>
        <m:r>
          <w:rPr>
            <w:rFonts w:ascii="Cambria Math" w:eastAsia="Times New Roman" w:hAnsi="Times New Roman" w:cs="Times New Roman"/>
            <w:sz w:val="20"/>
            <w:szCs w:val="20"/>
            <w:lang w:bidi="ar-EG"/>
          </w:rPr>
          <m:t>=</m:t>
        </m:r>
      </m:oMath>
      <w:r w:rsidRPr="008047D3">
        <w:rPr>
          <w:rFonts w:ascii="Times New Roman" w:eastAsia="Times New Roman" w:hAnsi="Times New Roman" w:cs="Times New Roman"/>
          <w:sz w:val="20"/>
          <w:szCs w:val="20"/>
          <w:lang w:bidi="ar-EG"/>
        </w:rPr>
        <w:t>Student's t test</w:t>
      </w:r>
      <w:r w:rsidR="00310F47" w:rsidRPr="008047D3">
        <w:rPr>
          <w:rFonts w:ascii="Times New Roman" w:eastAsia="Times New Roman" w:hAnsi="Times New Roman" w:cs="Times New Roman"/>
          <w:sz w:val="20"/>
          <w:szCs w:val="20"/>
          <w:lang w:bidi="ar-EG"/>
        </w:rPr>
        <w:t xml:space="preserve"> </w:t>
      </w:r>
      <w:r w:rsidR="00F95C12" w:rsidRPr="008047D3">
        <w:rPr>
          <w:rFonts w:ascii="Times New Roman" w:eastAsia="Times New Roman" w:hAnsi="Times New Roman" w:cs="Times New Roman"/>
          <w:sz w:val="20"/>
          <w:szCs w:val="20"/>
          <w:lang w:bidi="ar-EG"/>
        </w:rPr>
        <w:t>Non significant: P &gt; 0.05</w:t>
      </w:r>
      <w:r w:rsidRPr="008047D3">
        <w:rPr>
          <w:rFonts w:ascii="Times New Roman" w:eastAsia="Times New Roman" w:hAnsi="Times New Roman" w:cs="Times New Roman"/>
          <w:sz w:val="20"/>
          <w:szCs w:val="20"/>
          <w:lang w:bidi="ar-EG"/>
        </w:rPr>
        <w:t xml:space="preserve"> </w:t>
      </w:r>
      <w:r w:rsidR="00F95C12" w:rsidRPr="008047D3">
        <w:rPr>
          <w:rFonts w:ascii="Times New Roman" w:eastAsia="Times New Roman" w:hAnsi="Times New Roman" w:cs="Times New Roman"/>
          <w:sz w:val="20"/>
          <w:szCs w:val="20"/>
          <w:lang w:bidi="ar-EG"/>
        </w:rPr>
        <w:t>* Significant: P &lt; 0.05</w:t>
      </w:r>
    </w:p>
    <w:p w:rsidR="00310F47" w:rsidRDefault="00310F47" w:rsidP="00B91467">
      <w:pPr>
        <w:snapToGrid w:val="0"/>
        <w:spacing w:after="0" w:line="240" w:lineRule="auto"/>
        <w:rPr>
          <w:rFonts w:ascii="Times New Roman" w:hAnsi="Times New Roman" w:cs="Times New Roman" w:hint="eastAsia"/>
          <w:sz w:val="20"/>
          <w:szCs w:val="20"/>
          <w:lang w:eastAsia="zh-CN" w:bidi="ar-EG"/>
        </w:rPr>
      </w:pPr>
    </w:p>
    <w:p w:rsidR="00B91467" w:rsidRPr="00B91467" w:rsidRDefault="00B91467" w:rsidP="00B91467">
      <w:pPr>
        <w:snapToGrid w:val="0"/>
        <w:spacing w:after="0" w:line="240" w:lineRule="auto"/>
        <w:rPr>
          <w:rFonts w:ascii="Times New Roman" w:hAnsi="Times New Roman" w:cs="Times New Roman" w:hint="eastAsia"/>
          <w:sz w:val="20"/>
          <w:szCs w:val="20"/>
          <w:lang w:eastAsia="zh-CN" w:bidi="ar-EG"/>
        </w:rPr>
      </w:pPr>
    </w:p>
    <w:p w:rsidR="00657BEC" w:rsidRPr="008047D3" w:rsidRDefault="00657BEC" w:rsidP="00657BEC">
      <w:pPr>
        <w:autoSpaceDE w:val="0"/>
        <w:autoSpaceDN w:val="0"/>
        <w:adjustRightInd w:val="0"/>
        <w:snapToGrid w:val="0"/>
        <w:spacing w:after="0" w:line="240" w:lineRule="auto"/>
        <w:jc w:val="center"/>
        <w:rPr>
          <w:rFonts w:ascii="Times New Roman" w:hAnsi="Times New Roman" w:cs="Times New Roman"/>
          <w:sz w:val="20"/>
          <w:szCs w:val="20"/>
        </w:rPr>
        <w:sectPr w:rsidR="00657BEC" w:rsidRPr="008047D3" w:rsidSect="005E40AC">
          <w:type w:val="continuous"/>
          <w:pgSz w:w="12240" w:h="15840" w:code="13"/>
          <w:pgMar w:top="1440" w:right="1440" w:bottom="1440" w:left="1440" w:header="720" w:footer="720" w:gutter="0"/>
          <w:cols w:space="720"/>
          <w:docGrid w:linePitch="360"/>
        </w:sectPr>
      </w:pPr>
    </w:p>
    <w:p w:rsidR="00742C0E" w:rsidRPr="008047D3" w:rsidRDefault="00742C0E" w:rsidP="00D62B3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047D3">
        <w:rPr>
          <w:rFonts w:ascii="Times New Roman" w:hAnsi="Times New Roman" w:cs="Times New Roman"/>
          <w:sz w:val="20"/>
          <w:szCs w:val="20"/>
        </w:rPr>
        <w:lastRenderedPageBreak/>
        <w:t>Table (8) demonstrated comparison between the two studied groups regarding glycemic profile. There were no statistically significant differences between the two studied groups regarding FBS and 2HP.P but there was statistically significant difference between the two studied groups regarding HBA1c.</w:t>
      </w:r>
    </w:p>
    <w:p w:rsidR="00742C0E" w:rsidRPr="008047D3" w:rsidRDefault="00742C0E" w:rsidP="00D62B3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047D3">
        <w:rPr>
          <w:rFonts w:ascii="Times New Roman" w:hAnsi="Times New Roman" w:cs="Times New Roman"/>
          <w:sz w:val="20"/>
          <w:szCs w:val="20"/>
        </w:rPr>
        <w:t>In grou</w:t>
      </w:r>
      <w:r w:rsidR="00D62B3D" w:rsidRPr="008047D3">
        <w:rPr>
          <w:rFonts w:ascii="Times New Roman" w:hAnsi="Times New Roman" w:cs="Times New Roman"/>
          <w:sz w:val="20"/>
          <w:szCs w:val="20"/>
        </w:rPr>
        <w:t>p I</w:t>
      </w:r>
      <w:r w:rsidRPr="008047D3">
        <w:rPr>
          <w:rFonts w:ascii="Times New Roman" w:hAnsi="Times New Roman" w:cs="Times New Roman"/>
          <w:sz w:val="20"/>
          <w:szCs w:val="20"/>
        </w:rPr>
        <w:t xml:space="preserve"> the mean value for FBS was</w:t>
      </w:r>
      <w:r w:rsidR="008047D3">
        <w:rPr>
          <w:rFonts w:ascii="Times New Roman" w:hAnsi="Times New Roman" w:cs="Times New Roman" w:hint="eastAsia"/>
          <w:sz w:val="20"/>
          <w:szCs w:val="20"/>
          <w:lang w:eastAsia="zh-CN"/>
        </w:rPr>
        <w:t xml:space="preserve"> </w:t>
      </w:r>
      <w:r w:rsidRPr="008047D3">
        <w:rPr>
          <w:rFonts w:ascii="Times New Roman" w:hAnsi="Times New Roman" w:cs="Times New Roman"/>
          <w:sz w:val="20"/>
          <w:szCs w:val="20"/>
        </w:rPr>
        <w:t>128.7±16.7 mg/dl and in grou</w:t>
      </w:r>
      <w:r w:rsidR="00D62B3D" w:rsidRPr="008047D3">
        <w:rPr>
          <w:rFonts w:ascii="Times New Roman" w:hAnsi="Times New Roman" w:cs="Times New Roman"/>
          <w:sz w:val="20"/>
          <w:szCs w:val="20"/>
        </w:rPr>
        <w:t>p I</w:t>
      </w:r>
      <w:r w:rsidRPr="008047D3">
        <w:rPr>
          <w:rFonts w:ascii="Times New Roman" w:hAnsi="Times New Roman" w:cs="Times New Roman"/>
          <w:sz w:val="20"/>
          <w:szCs w:val="20"/>
        </w:rPr>
        <w:t>I was 131.8±25.86 mg/dl (t=0.483, P-value=0.382).</w:t>
      </w:r>
    </w:p>
    <w:p w:rsidR="00742C0E" w:rsidRPr="008047D3" w:rsidRDefault="00742C0E" w:rsidP="00657BE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047D3">
        <w:rPr>
          <w:rFonts w:ascii="Times New Roman" w:hAnsi="Times New Roman" w:cs="Times New Roman"/>
          <w:sz w:val="20"/>
          <w:szCs w:val="20"/>
        </w:rPr>
        <w:lastRenderedPageBreak/>
        <w:t>In grou</w:t>
      </w:r>
      <w:r w:rsidR="00D62B3D" w:rsidRPr="008047D3">
        <w:rPr>
          <w:rFonts w:ascii="Times New Roman" w:hAnsi="Times New Roman" w:cs="Times New Roman"/>
          <w:sz w:val="20"/>
          <w:szCs w:val="20"/>
        </w:rPr>
        <w:t>p I</w:t>
      </w:r>
      <w:r w:rsidRPr="008047D3">
        <w:rPr>
          <w:rFonts w:ascii="Times New Roman" w:hAnsi="Times New Roman" w:cs="Times New Roman"/>
          <w:sz w:val="20"/>
          <w:szCs w:val="20"/>
        </w:rPr>
        <w:t xml:space="preserve"> the mean value for 2H P.P was</w:t>
      </w:r>
      <w:r w:rsidR="008047D3">
        <w:rPr>
          <w:rFonts w:ascii="Times New Roman" w:hAnsi="Times New Roman" w:cs="Times New Roman" w:hint="eastAsia"/>
          <w:sz w:val="20"/>
          <w:szCs w:val="20"/>
          <w:lang w:eastAsia="zh-CN"/>
        </w:rPr>
        <w:t xml:space="preserve"> </w:t>
      </w:r>
      <w:r w:rsidRPr="008047D3">
        <w:rPr>
          <w:rFonts w:ascii="Times New Roman" w:hAnsi="Times New Roman" w:cs="Times New Roman"/>
          <w:sz w:val="20"/>
          <w:szCs w:val="20"/>
        </w:rPr>
        <w:t>208.44±25.09 mg/dl and in grou</w:t>
      </w:r>
      <w:r w:rsidR="00D62B3D" w:rsidRPr="008047D3">
        <w:rPr>
          <w:rFonts w:ascii="Times New Roman" w:hAnsi="Times New Roman" w:cs="Times New Roman"/>
          <w:sz w:val="20"/>
          <w:szCs w:val="20"/>
        </w:rPr>
        <w:t>p I</w:t>
      </w:r>
      <w:r w:rsidRPr="008047D3">
        <w:rPr>
          <w:rFonts w:ascii="Times New Roman" w:hAnsi="Times New Roman" w:cs="Times New Roman"/>
          <w:sz w:val="20"/>
          <w:szCs w:val="20"/>
        </w:rPr>
        <w:t>I was</w:t>
      </w:r>
      <w:r w:rsidR="008047D3">
        <w:rPr>
          <w:rFonts w:ascii="Times New Roman" w:hAnsi="Times New Roman" w:cs="Times New Roman" w:hint="eastAsia"/>
          <w:sz w:val="20"/>
          <w:szCs w:val="20"/>
          <w:lang w:eastAsia="zh-CN"/>
        </w:rPr>
        <w:t xml:space="preserve"> </w:t>
      </w:r>
      <w:r w:rsidRPr="008047D3">
        <w:rPr>
          <w:rFonts w:ascii="Times New Roman" w:hAnsi="Times New Roman" w:cs="Times New Roman"/>
          <w:sz w:val="20"/>
          <w:szCs w:val="20"/>
        </w:rPr>
        <w:t>211.4±29.09mg/dl (t=0.548, P-value=0.585).</w:t>
      </w:r>
    </w:p>
    <w:p w:rsidR="00742C0E" w:rsidRPr="008047D3" w:rsidRDefault="00742C0E" w:rsidP="00D62B3D">
      <w:pPr>
        <w:autoSpaceDE w:val="0"/>
        <w:autoSpaceDN w:val="0"/>
        <w:adjustRightInd w:val="0"/>
        <w:snapToGrid w:val="0"/>
        <w:spacing w:after="0" w:line="240" w:lineRule="auto"/>
        <w:ind w:firstLine="425"/>
        <w:jc w:val="both"/>
        <w:rPr>
          <w:rFonts w:ascii="Times New Roman" w:eastAsia="Times New Roman" w:hAnsi="Times New Roman" w:cs="Times New Roman"/>
          <w:b/>
          <w:bCs/>
          <w:sz w:val="20"/>
          <w:szCs w:val="20"/>
          <w:lang w:bidi="ar-EG"/>
        </w:rPr>
      </w:pPr>
      <w:r w:rsidRPr="008047D3">
        <w:rPr>
          <w:rFonts w:ascii="Times New Roman" w:hAnsi="Times New Roman" w:cs="Times New Roman"/>
          <w:sz w:val="20"/>
          <w:szCs w:val="20"/>
        </w:rPr>
        <w:t>In grou</w:t>
      </w:r>
      <w:r w:rsidR="00D62B3D" w:rsidRPr="008047D3">
        <w:rPr>
          <w:rFonts w:ascii="Times New Roman" w:hAnsi="Times New Roman" w:cs="Times New Roman"/>
          <w:sz w:val="20"/>
          <w:szCs w:val="20"/>
        </w:rPr>
        <w:t>p I</w:t>
      </w:r>
      <w:r w:rsidRPr="008047D3">
        <w:rPr>
          <w:rFonts w:ascii="Times New Roman" w:hAnsi="Times New Roman" w:cs="Times New Roman"/>
          <w:sz w:val="20"/>
          <w:szCs w:val="20"/>
        </w:rPr>
        <w:t xml:space="preserve"> the mean value for HBA1c was 6.29±0.63%</w:t>
      </w:r>
      <w:r w:rsidR="008047D3">
        <w:rPr>
          <w:rFonts w:ascii="Times New Roman" w:hAnsi="Times New Roman" w:cs="Times New Roman" w:hint="eastAsia"/>
          <w:sz w:val="20"/>
          <w:szCs w:val="20"/>
          <w:lang w:eastAsia="zh-CN"/>
        </w:rPr>
        <w:t xml:space="preserve"> </w:t>
      </w:r>
      <w:r w:rsidRPr="008047D3">
        <w:rPr>
          <w:rFonts w:ascii="Times New Roman" w:hAnsi="Times New Roman" w:cs="Times New Roman"/>
          <w:sz w:val="20"/>
          <w:szCs w:val="20"/>
        </w:rPr>
        <w:t>and in grou</w:t>
      </w:r>
      <w:r w:rsidR="00D62B3D" w:rsidRPr="008047D3">
        <w:rPr>
          <w:rFonts w:ascii="Times New Roman" w:hAnsi="Times New Roman" w:cs="Times New Roman"/>
          <w:sz w:val="20"/>
          <w:szCs w:val="20"/>
        </w:rPr>
        <w:t>p I</w:t>
      </w:r>
      <w:r w:rsidRPr="008047D3">
        <w:rPr>
          <w:rFonts w:ascii="Times New Roman" w:hAnsi="Times New Roman" w:cs="Times New Roman"/>
          <w:sz w:val="20"/>
          <w:szCs w:val="20"/>
        </w:rPr>
        <w:t xml:space="preserve">I </w:t>
      </w:r>
      <w:r w:rsidR="008047D3">
        <w:rPr>
          <w:rFonts w:ascii="Times New Roman" w:hAnsi="Times New Roman" w:cs="Times New Roman"/>
          <w:sz w:val="20"/>
          <w:szCs w:val="20"/>
        </w:rPr>
        <w:t xml:space="preserve">was </w:t>
      </w:r>
      <w:r w:rsidRPr="008047D3">
        <w:rPr>
          <w:rFonts w:ascii="Times New Roman" w:hAnsi="Times New Roman" w:cs="Times New Roman"/>
          <w:sz w:val="20"/>
          <w:szCs w:val="20"/>
        </w:rPr>
        <w:t>7.65±0.64% (t=1.060, P-value=0.032).</w:t>
      </w:r>
    </w:p>
    <w:p w:rsidR="00657BEC" w:rsidRPr="008047D3" w:rsidRDefault="00657BEC" w:rsidP="00657BEC">
      <w:pPr>
        <w:snapToGrid w:val="0"/>
        <w:spacing w:after="0" w:line="240" w:lineRule="auto"/>
        <w:jc w:val="center"/>
        <w:rPr>
          <w:rFonts w:ascii="Times New Roman" w:eastAsia="Times New Roman" w:hAnsi="Times New Roman" w:cs="Times New Roman"/>
          <w:b/>
          <w:bCs/>
          <w:sz w:val="20"/>
          <w:szCs w:val="20"/>
          <w:lang w:bidi="ar-EG"/>
        </w:rPr>
        <w:sectPr w:rsidR="00657BEC" w:rsidRPr="008047D3" w:rsidSect="005E40AC">
          <w:type w:val="continuous"/>
          <w:pgSz w:w="12240" w:h="15840" w:code="13"/>
          <w:pgMar w:top="1440" w:right="1440" w:bottom="1440" w:left="1440" w:header="720" w:footer="720" w:gutter="0"/>
          <w:cols w:num="2" w:space="550"/>
          <w:docGrid w:linePitch="360"/>
        </w:sectPr>
      </w:pPr>
    </w:p>
    <w:p w:rsidR="00613BFC" w:rsidRPr="008047D3" w:rsidRDefault="00613BFC" w:rsidP="00657BEC">
      <w:pPr>
        <w:snapToGrid w:val="0"/>
        <w:spacing w:after="0" w:line="240" w:lineRule="auto"/>
        <w:jc w:val="center"/>
        <w:rPr>
          <w:rFonts w:ascii="Times New Roman" w:eastAsia="Times New Roman" w:hAnsi="Times New Roman" w:cs="Times New Roman"/>
          <w:b/>
          <w:bCs/>
          <w:sz w:val="20"/>
          <w:szCs w:val="20"/>
          <w:lang w:bidi="ar-EG"/>
        </w:rPr>
      </w:pPr>
    </w:p>
    <w:p w:rsidR="00F95C12" w:rsidRPr="008047D3" w:rsidRDefault="00F95C12" w:rsidP="00657BEC">
      <w:pPr>
        <w:snapToGrid w:val="0"/>
        <w:spacing w:after="0" w:line="240" w:lineRule="auto"/>
        <w:jc w:val="center"/>
        <w:rPr>
          <w:rFonts w:ascii="Times New Roman" w:eastAsia="Times New Roman" w:hAnsi="Times New Roman" w:cs="Times New Roman"/>
          <w:b/>
          <w:bCs/>
          <w:sz w:val="20"/>
          <w:szCs w:val="20"/>
          <w:lang w:bidi="ar-EG"/>
        </w:rPr>
      </w:pPr>
      <w:r w:rsidRPr="008047D3">
        <w:rPr>
          <w:rFonts w:ascii="Times New Roman" w:eastAsia="Times New Roman" w:hAnsi="Times New Roman" w:cs="Times New Roman"/>
          <w:b/>
          <w:bCs/>
          <w:sz w:val="20"/>
          <w:szCs w:val="20"/>
          <w:lang w:bidi="ar-EG"/>
        </w:rPr>
        <w:t>Table (8): Glycemic profile in the two studied groups</w:t>
      </w:r>
    </w:p>
    <w:tbl>
      <w:tblPr>
        <w:tblStyle w:val="LightGrid-Accent1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4176"/>
        <w:gridCol w:w="1630"/>
        <w:gridCol w:w="2035"/>
        <w:gridCol w:w="750"/>
        <w:gridCol w:w="883"/>
      </w:tblGrid>
      <w:tr w:rsidR="00310F47" w:rsidRPr="008047D3" w:rsidTr="00310F47">
        <w:trPr>
          <w:cnfStyle w:val="000000100000"/>
          <w:jc w:val="center"/>
        </w:trPr>
        <w:tc>
          <w:tcPr>
            <w:cnfStyle w:val="000010000000"/>
            <w:tcW w:w="2204" w:type="pc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p>
        </w:tc>
        <w:tc>
          <w:tcPr>
            <w:tcW w:w="860" w:type="pct"/>
            <w:shd w:val="clear" w:color="auto" w:fill="DEEAF6" w:themeFill="accent1" w:themeFillTint="33"/>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Group I</w:t>
            </w:r>
          </w:p>
          <w:p w:rsidR="00F95C12" w:rsidRPr="008047D3" w:rsidRDefault="00F95C12" w:rsidP="00657BEC">
            <w:pPr>
              <w:autoSpaceDE w:val="0"/>
              <w:autoSpaceDN w:val="0"/>
              <w:adjustRightInd w:val="0"/>
              <w:snapToGrid w:val="0"/>
              <w:jc w:val="both"/>
              <w:cnfStyle w:val="000000100000"/>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(N=50)</w:t>
            </w:r>
          </w:p>
        </w:tc>
        <w:tc>
          <w:tcPr>
            <w:cnfStyle w:val="000010000000"/>
            <w:tcW w:w="1074" w:type="pc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Group II</w:t>
            </w:r>
            <w:r w:rsidR="009B2D32" w:rsidRPr="008047D3">
              <w:rPr>
                <w:rFonts w:ascii="Times New Roman" w:hAnsi="Times New Roman" w:cs="Times New Roman"/>
                <w:b/>
                <w:bCs/>
                <w:color w:val="000000"/>
                <w:sz w:val="20"/>
                <w:szCs w:val="20"/>
              </w:rPr>
              <w:t xml:space="preserve"> </w:t>
            </w:r>
            <w:r w:rsidRPr="008047D3">
              <w:rPr>
                <w:rFonts w:ascii="Times New Roman" w:hAnsi="Times New Roman" w:cs="Times New Roman"/>
                <w:b/>
                <w:bCs/>
                <w:color w:val="000000"/>
                <w:sz w:val="20"/>
                <w:szCs w:val="20"/>
              </w:rPr>
              <w:t>(N=50)</w:t>
            </w:r>
          </w:p>
        </w:tc>
        <w:tc>
          <w:tcPr>
            <w:tcW w:w="396" w:type="pct"/>
            <w:shd w:val="clear" w:color="auto" w:fill="DEEAF6" w:themeFill="accent1" w:themeFillTint="33"/>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t</w:t>
            </w:r>
          </w:p>
        </w:tc>
        <w:tc>
          <w:tcPr>
            <w:cnfStyle w:val="000010000000"/>
            <w:tcW w:w="466" w:type="pc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 xml:space="preserve">P </w:t>
            </w:r>
          </w:p>
        </w:tc>
      </w:tr>
      <w:tr w:rsidR="00F95C12" w:rsidRPr="008047D3" w:rsidTr="00310F47">
        <w:trPr>
          <w:cnfStyle w:val="000000010000"/>
          <w:jc w:val="center"/>
        </w:trPr>
        <w:tc>
          <w:tcPr>
            <w:cnfStyle w:val="000010000000"/>
            <w:tcW w:w="2204" w:type="pc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Fasting blood suga</w:t>
            </w:r>
            <w:r w:rsidR="00310F47" w:rsidRPr="008047D3">
              <w:rPr>
                <w:rFonts w:ascii="Times New Roman" w:hAnsi="Times New Roman" w:cs="Times New Roman"/>
                <w:b/>
                <w:bCs/>
                <w:color w:val="000000"/>
                <w:sz w:val="20"/>
                <w:szCs w:val="20"/>
              </w:rPr>
              <w:t>r (</w:t>
            </w:r>
            <w:r w:rsidRPr="008047D3">
              <w:rPr>
                <w:rFonts w:ascii="Times New Roman" w:hAnsi="Times New Roman" w:cs="Times New Roman"/>
                <w:b/>
                <w:bCs/>
                <w:color w:val="000000"/>
                <w:sz w:val="20"/>
                <w:szCs w:val="20"/>
              </w:rPr>
              <w:t>mg/dl)</w:t>
            </w:r>
          </w:p>
        </w:tc>
        <w:tc>
          <w:tcPr>
            <w:tcW w:w="860" w:type="pct"/>
            <w:shd w:val="clear" w:color="auto" w:fill="auto"/>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128.7±16.7</w:t>
            </w:r>
          </w:p>
        </w:tc>
        <w:tc>
          <w:tcPr>
            <w:cnfStyle w:val="000010000000"/>
            <w:tcW w:w="1074"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131.8±25.86</w:t>
            </w:r>
          </w:p>
        </w:tc>
        <w:tc>
          <w:tcPr>
            <w:tcW w:w="396" w:type="pct"/>
            <w:shd w:val="clear" w:color="auto" w:fill="auto"/>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0.483</w:t>
            </w:r>
          </w:p>
        </w:tc>
        <w:tc>
          <w:tcPr>
            <w:cnfStyle w:val="000010000000"/>
            <w:tcW w:w="466"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0.382</w:t>
            </w:r>
          </w:p>
        </w:tc>
      </w:tr>
      <w:tr w:rsidR="00F95C12" w:rsidRPr="008047D3" w:rsidTr="00310F47">
        <w:trPr>
          <w:cnfStyle w:val="000000100000"/>
          <w:jc w:val="center"/>
        </w:trPr>
        <w:tc>
          <w:tcPr>
            <w:cnfStyle w:val="000010000000"/>
            <w:tcW w:w="2204" w:type="pc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Post prandial blood glucose (mg/dl)</w:t>
            </w:r>
          </w:p>
        </w:tc>
        <w:tc>
          <w:tcPr>
            <w:tcW w:w="860" w:type="pct"/>
            <w:shd w:val="clear" w:color="auto" w:fill="auto"/>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color w:val="000000"/>
                <w:sz w:val="20"/>
                <w:szCs w:val="20"/>
              </w:rPr>
            </w:pPr>
            <w:r w:rsidRPr="008047D3">
              <w:rPr>
                <w:rFonts w:ascii="Times New Roman" w:hAnsi="Times New Roman" w:cs="Times New Roman"/>
                <w:color w:val="000000"/>
                <w:sz w:val="20"/>
                <w:szCs w:val="20"/>
              </w:rPr>
              <w:t>208.44±25.09</w:t>
            </w:r>
          </w:p>
        </w:tc>
        <w:tc>
          <w:tcPr>
            <w:cnfStyle w:val="000010000000"/>
            <w:tcW w:w="1074"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211.4±29.09</w:t>
            </w:r>
          </w:p>
        </w:tc>
        <w:tc>
          <w:tcPr>
            <w:tcW w:w="396" w:type="pct"/>
            <w:shd w:val="clear" w:color="auto" w:fill="auto"/>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color w:val="000000"/>
                <w:sz w:val="20"/>
                <w:szCs w:val="20"/>
              </w:rPr>
            </w:pPr>
            <w:r w:rsidRPr="008047D3">
              <w:rPr>
                <w:rFonts w:ascii="Times New Roman" w:hAnsi="Times New Roman" w:cs="Times New Roman"/>
                <w:color w:val="000000"/>
                <w:sz w:val="20"/>
                <w:szCs w:val="20"/>
              </w:rPr>
              <w:t>0.548</w:t>
            </w:r>
          </w:p>
        </w:tc>
        <w:tc>
          <w:tcPr>
            <w:cnfStyle w:val="000010000000"/>
            <w:tcW w:w="466"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0.585</w:t>
            </w:r>
          </w:p>
        </w:tc>
      </w:tr>
      <w:tr w:rsidR="00F95C12" w:rsidRPr="008047D3" w:rsidTr="00310F47">
        <w:trPr>
          <w:cnfStyle w:val="000000010000"/>
          <w:jc w:val="center"/>
        </w:trPr>
        <w:tc>
          <w:tcPr>
            <w:cnfStyle w:val="000010000000"/>
            <w:tcW w:w="2204" w:type="pc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HBA1c (%)</w:t>
            </w:r>
          </w:p>
        </w:tc>
        <w:tc>
          <w:tcPr>
            <w:tcW w:w="860" w:type="pct"/>
            <w:shd w:val="clear" w:color="auto" w:fill="auto"/>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6.29±0.63</w:t>
            </w:r>
          </w:p>
        </w:tc>
        <w:tc>
          <w:tcPr>
            <w:cnfStyle w:val="000010000000"/>
            <w:tcW w:w="1074"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7.65±0.64</w:t>
            </w:r>
          </w:p>
        </w:tc>
        <w:tc>
          <w:tcPr>
            <w:tcW w:w="396" w:type="pct"/>
            <w:shd w:val="clear" w:color="auto" w:fill="auto"/>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1.060</w:t>
            </w:r>
          </w:p>
        </w:tc>
        <w:tc>
          <w:tcPr>
            <w:cnfStyle w:val="000010000000"/>
            <w:tcW w:w="466"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0.032*</w:t>
            </w:r>
          </w:p>
        </w:tc>
      </w:tr>
    </w:tbl>
    <w:p w:rsidR="00310F47" w:rsidRPr="008047D3" w:rsidRDefault="009B2D32" w:rsidP="00D62B3D">
      <w:pPr>
        <w:snapToGrid w:val="0"/>
        <w:spacing w:after="0" w:line="240" w:lineRule="auto"/>
        <w:jc w:val="both"/>
        <w:rPr>
          <w:rFonts w:ascii="Times New Roman" w:eastAsia="Times New Roman" w:hAnsi="Times New Roman" w:cs="Times New Roman"/>
          <w:sz w:val="20"/>
          <w:szCs w:val="20"/>
          <w:lang w:bidi="ar-EG"/>
        </w:rPr>
      </w:pPr>
      <w:r w:rsidRPr="008047D3">
        <w:rPr>
          <w:rFonts w:ascii="Times New Roman" w:eastAsia="Times New Roman" w:hAnsi="Times New Roman" w:cs="Times New Roman"/>
          <w:sz w:val="20"/>
          <w:szCs w:val="20"/>
          <w:lang w:bidi="ar-EG"/>
        </w:rPr>
        <w:t>P =probability value</w:t>
      </w:r>
      <w:r w:rsidR="00310F47" w:rsidRPr="008047D3">
        <w:rPr>
          <w:rFonts w:ascii="Times New Roman" w:eastAsia="Times New Roman" w:hAnsi="Times New Roman" w:cs="Times New Roman"/>
          <w:sz w:val="20"/>
          <w:szCs w:val="20"/>
          <w:lang w:bidi="ar-EG"/>
        </w:rPr>
        <w:t xml:space="preserve"> </w:t>
      </w:r>
      <w:r w:rsidR="00F95C12" w:rsidRPr="008047D3">
        <w:rPr>
          <w:rFonts w:ascii="Times New Roman" w:eastAsia="Times New Roman" w:hAnsi="Times New Roman" w:cs="Times New Roman"/>
          <w:sz w:val="20"/>
          <w:szCs w:val="20"/>
          <w:lang w:bidi="ar-EG"/>
        </w:rPr>
        <w:t>N. =number</w:t>
      </w:r>
      <m:oMath>
        <m:r>
          <m:rPr>
            <m:sty m:val="bi"/>
          </m:rPr>
          <w:rPr>
            <w:rFonts w:ascii="Cambria Math" w:hAnsi="Times New Roman" w:cs="Times New Roman"/>
            <w:sz w:val="20"/>
            <w:szCs w:val="20"/>
            <w:lang w:bidi="ar-EG"/>
          </w:rPr>
          <m:t xml:space="preserve"> </m:t>
        </m:r>
        <m:r>
          <m:rPr>
            <m:sty m:val="bi"/>
          </m:rPr>
          <w:rPr>
            <w:rFonts w:ascii="Cambria Math" w:hAnsi="Cambria Math" w:cs="Times New Roman"/>
            <w:sz w:val="20"/>
            <w:szCs w:val="20"/>
            <w:lang w:bidi="ar-EG"/>
          </w:rPr>
          <m:t>t</m:t>
        </m:r>
        <m:r>
          <w:rPr>
            <w:rFonts w:ascii="Cambria Math" w:eastAsia="Times New Roman" w:hAnsi="Times New Roman" w:cs="Times New Roman"/>
            <w:sz w:val="20"/>
            <w:szCs w:val="20"/>
            <w:lang w:bidi="ar-EG"/>
          </w:rPr>
          <m:t>=</m:t>
        </m:r>
      </m:oMath>
      <w:r w:rsidRPr="008047D3">
        <w:rPr>
          <w:rFonts w:ascii="Times New Roman" w:eastAsia="Times New Roman" w:hAnsi="Times New Roman" w:cs="Times New Roman"/>
          <w:sz w:val="20"/>
          <w:szCs w:val="20"/>
          <w:lang w:bidi="ar-EG"/>
        </w:rPr>
        <w:t>Student's t test</w:t>
      </w:r>
      <w:r w:rsidR="00310F47" w:rsidRPr="008047D3">
        <w:rPr>
          <w:rFonts w:ascii="Times New Roman" w:eastAsia="Times New Roman" w:hAnsi="Times New Roman" w:cs="Times New Roman"/>
          <w:sz w:val="20"/>
          <w:szCs w:val="20"/>
          <w:lang w:bidi="ar-EG"/>
        </w:rPr>
        <w:t xml:space="preserve"> </w:t>
      </w:r>
      <w:r w:rsidR="00F95C12" w:rsidRPr="008047D3">
        <w:rPr>
          <w:rFonts w:ascii="Times New Roman" w:eastAsia="Times New Roman" w:hAnsi="Times New Roman" w:cs="Times New Roman"/>
          <w:sz w:val="20"/>
          <w:szCs w:val="20"/>
          <w:lang w:bidi="ar-EG"/>
        </w:rPr>
        <w:t>Non significant: P &gt; 0.05</w:t>
      </w:r>
      <w:r w:rsidRPr="008047D3">
        <w:rPr>
          <w:rFonts w:ascii="Times New Roman" w:eastAsia="Times New Roman" w:hAnsi="Times New Roman" w:cs="Times New Roman"/>
          <w:sz w:val="20"/>
          <w:szCs w:val="20"/>
          <w:lang w:bidi="ar-EG"/>
        </w:rPr>
        <w:t xml:space="preserve"> </w:t>
      </w:r>
      <w:r w:rsidR="00F95C12" w:rsidRPr="008047D3">
        <w:rPr>
          <w:rFonts w:ascii="Times New Roman" w:eastAsia="Times New Roman" w:hAnsi="Times New Roman" w:cs="Times New Roman"/>
          <w:sz w:val="20"/>
          <w:szCs w:val="20"/>
          <w:lang w:bidi="ar-EG"/>
        </w:rPr>
        <w:t>* Significant: P &lt; 0.05</w:t>
      </w:r>
    </w:p>
    <w:p w:rsidR="00F95C12" w:rsidRDefault="00F95C12" w:rsidP="00657BEC">
      <w:pPr>
        <w:snapToGrid w:val="0"/>
        <w:spacing w:after="0" w:line="240" w:lineRule="auto"/>
        <w:ind w:firstLine="425"/>
        <w:jc w:val="both"/>
        <w:rPr>
          <w:rFonts w:ascii="Times New Roman" w:hAnsi="Times New Roman" w:cs="Times New Roman" w:hint="eastAsia"/>
          <w:sz w:val="20"/>
          <w:szCs w:val="20"/>
          <w:lang w:eastAsia="zh-CN" w:bidi="ar-EG"/>
        </w:rPr>
      </w:pPr>
    </w:p>
    <w:p w:rsidR="00B91467" w:rsidRPr="00B91467" w:rsidRDefault="00B91467" w:rsidP="00657BEC">
      <w:pPr>
        <w:snapToGrid w:val="0"/>
        <w:spacing w:after="0" w:line="240" w:lineRule="auto"/>
        <w:ind w:firstLine="425"/>
        <w:jc w:val="both"/>
        <w:rPr>
          <w:rFonts w:ascii="Times New Roman" w:hAnsi="Times New Roman" w:cs="Times New Roman" w:hint="eastAsia"/>
          <w:sz w:val="20"/>
          <w:szCs w:val="20"/>
          <w:lang w:eastAsia="zh-CN" w:bidi="ar-EG"/>
        </w:rPr>
      </w:pPr>
    </w:p>
    <w:p w:rsidR="00657BEC" w:rsidRPr="008047D3" w:rsidRDefault="00657BEC" w:rsidP="00657BEC">
      <w:pPr>
        <w:snapToGrid w:val="0"/>
        <w:spacing w:after="0" w:line="240" w:lineRule="auto"/>
        <w:ind w:firstLine="425"/>
        <w:jc w:val="both"/>
        <w:rPr>
          <w:rFonts w:ascii="Times New Roman" w:hAnsi="Times New Roman" w:cs="Times New Roman"/>
          <w:sz w:val="20"/>
          <w:szCs w:val="20"/>
        </w:rPr>
        <w:sectPr w:rsidR="00657BEC" w:rsidRPr="008047D3" w:rsidSect="005E40AC">
          <w:type w:val="continuous"/>
          <w:pgSz w:w="12240" w:h="15840" w:code="13"/>
          <w:pgMar w:top="1440" w:right="1440" w:bottom="1440" w:left="1440" w:header="720" w:footer="720" w:gutter="0"/>
          <w:cols w:space="720"/>
          <w:docGrid w:linePitch="360"/>
        </w:sectPr>
      </w:pPr>
    </w:p>
    <w:p w:rsidR="00742C0E" w:rsidRPr="008047D3" w:rsidRDefault="00742C0E" w:rsidP="00657BEC">
      <w:pPr>
        <w:snapToGrid w:val="0"/>
        <w:spacing w:after="0" w:line="240" w:lineRule="auto"/>
        <w:ind w:firstLine="425"/>
        <w:jc w:val="both"/>
        <w:rPr>
          <w:rFonts w:ascii="Times New Roman" w:hAnsi="Times New Roman" w:cs="Times New Roman"/>
          <w:sz w:val="20"/>
          <w:szCs w:val="20"/>
        </w:rPr>
      </w:pPr>
      <w:r w:rsidRPr="008047D3">
        <w:rPr>
          <w:rFonts w:ascii="Times New Roman" w:hAnsi="Times New Roman" w:cs="Times New Roman"/>
          <w:sz w:val="20"/>
          <w:szCs w:val="20"/>
        </w:rPr>
        <w:lastRenderedPageBreak/>
        <w:t>Table (9) demonstrated comparison between the two studied groups regarding kidney functions tests. There were statistically significant differences between the two studied groups regarding serum creatinine, BUN, ACR and uric acid.</w:t>
      </w:r>
    </w:p>
    <w:p w:rsidR="00742C0E" w:rsidRPr="008047D3" w:rsidRDefault="00742C0E" w:rsidP="00657BEC">
      <w:pPr>
        <w:snapToGrid w:val="0"/>
        <w:spacing w:after="0" w:line="240" w:lineRule="auto"/>
        <w:ind w:firstLine="425"/>
        <w:jc w:val="both"/>
        <w:rPr>
          <w:rFonts w:ascii="Times New Roman" w:hAnsi="Times New Roman" w:cs="Times New Roman"/>
          <w:sz w:val="20"/>
          <w:szCs w:val="20"/>
        </w:rPr>
      </w:pPr>
      <w:r w:rsidRPr="008047D3">
        <w:rPr>
          <w:rFonts w:ascii="Times New Roman" w:hAnsi="Times New Roman" w:cs="Times New Roman"/>
          <w:sz w:val="20"/>
          <w:szCs w:val="20"/>
        </w:rPr>
        <w:t>In grou</w:t>
      </w:r>
      <w:r w:rsidR="00D62B3D" w:rsidRPr="008047D3">
        <w:rPr>
          <w:rFonts w:ascii="Times New Roman" w:hAnsi="Times New Roman" w:cs="Times New Roman"/>
          <w:sz w:val="20"/>
          <w:szCs w:val="20"/>
        </w:rPr>
        <w:t>p I</w:t>
      </w:r>
      <w:r w:rsidRPr="008047D3">
        <w:rPr>
          <w:rFonts w:ascii="Times New Roman" w:hAnsi="Times New Roman" w:cs="Times New Roman"/>
          <w:sz w:val="20"/>
          <w:szCs w:val="20"/>
        </w:rPr>
        <w:t xml:space="preserve"> the mean value for serum creatinine was 0.95±0.24mg/dl and in grou</w:t>
      </w:r>
      <w:r w:rsidR="00D62B3D" w:rsidRPr="008047D3">
        <w:rPr>
          <w:rFonts w:ascii="Times New Roman" w:hAnsi="Times New Roman" w:cs="Times New Roman"/>
          <w:sz w:val="20"/>
          <w:szCs w:val="20"/>
        </w:rPr>
        <w:t>p I</w:t>
      </w:r>
      <w:r w:rsidRPr="008047D3">
        <w:rPr>
          <w:rFonts w:ascii="Times New Roman" w:hAnsi="Times New Roman" w:cs="Times New Roman"/>
          <w:sz w:val="20"/>
          <w:szCs w:val="20"/>
        </w:rPr>
        <w:t>I was 1.35±0.3 mg/dl (t=7.151, P-value=0.00).</w:t>
      </w:r>
    </w:p>
    <w:p w:rsidR="00742C0E" w:rsidRPr="008047D3" w:rsidRDefault="00742C0E" w:rsidP="00657BEC">
      <w:pPr>
        <w:snapToGrid w:val="0"/>
        <w:spacing w:after="0" w:line="240" w:lineRule="auto"/>
        <w:ind w:firstLine="425"/>
        <w:jc w:val="both"/>
        <w:rPr>
          <w:rFonts w:ascii="Times New Roman" w:hAnsi="Times New Roman" w:cs="Times New Roman"/>
          <w:sz w:val="20"/>
          <w:szCs w:val="20"/>
        </w:rPr>
      </w:pPr>
      <w:r w:rsidRPr="008047D3">
        <w:rPr>
          <w:rFonts w:ascii="Times New Roman" w:hAnsi="Times New Roman" w:cs="Times New Roman"/>
          <w:sz w:val="20"/>
          <w:szCs w:val="20"/>
        </w:rPr>
        <w:lastRenderedPageBreak/>
        <w:t>In grou</w:t>
      </w:r>
      <w:r w:rsidR="00D62B3D" w:rsidRPr="008047D3">
        <w:rPr>
          <w:rFonts w:ascii="Times New Roman" w:hAnsi="Times New Roman" w:cs="Times New Roman"/>
          <w:sz w:val="20"/>
          <w:szCs w:val="20"/>
        </w:rPr>
        <w:t>p I</w:t>
      </w:r>
      <w:r w:rsidRPr="008047D3">
        <w:rPr>
          <w:rFonts w:ascii="Times New Roman" w:hAnsi="Times New Roman" w:cs="Times New Roman"/>
          <w:sz w:val="20"/>
          <w:szCs w:val="20"/>
        </w:rPr>
        <w:t xml:space="preserve"> the mean value for BUN was</w:t>
      </w:r>
      <w:r w:rsidR="008047D3">
        <w:rPr>
          <w:rFonts w:ascii="Times New Roman" w:hAnsi="Times New Roman" w:cs="Times New Roman" w:hint="eastAsia"/>
          <w:sz w:val="20"/>
          <w:szCs w:val="20"/>
          <w:lang w:eastAsia="zh-CN"/>
        </w:rPr>
        <w:t xml:space="preserve"> </w:t>
      </w:r>
      <w:r w:rsidRPr="008047D3">
        <w:rPr>
          <w:rFonts w:ascii="Times New Roman" w:hAnsi="Times New Roman" w:cs="Times New Roman"/>
          <w:sz w:val="20"/>
          <w:szCs w:val="20"/>
        </w:rPr>
        <w:t>11.6±3.02 mg/dl and in grou</w:t>
      </w:r>
      <w:r w:rsidR="00D62B3D" w:rsidRPr="008047D3">
        <w:rPr>
          <w:rFonts w:ascii="Times New Roman" w:hAnsi="Times New Roman" w:cs="Times New Roman"/>
          <w:sz w:val="20"/>
          <w:szCs w:val="20"/>
        </w:rPr>
        <w:t>p I</w:t>
      </w:r>
      <w:r w:rsidRPr="008047D3">
        <w:rPr>
          <w:rFonts w:ascii="Times New Roman" w:hAnsi="Times New Roman" w:cs="Times New Roman"/>
          <w:sz w:val="20"/>
          <w:szCs w:val="20"/>
        </w:rPr>
        <w:t xml:space="preserve">I </w:t>
      </w:r>
      <w:r w:rsidR="008047D3">
        <w:rPr>
          <w:rFonts w:ascii="Times New Roman" w:hAnsi="Times New Roman" w:cs="Times New Roman"/>
          <w:sz w:val="20"/>
          <w:szCs w:val="20"/>
        </w:rPr>
        <w:t xml:space="preserve">was </w:t>
      </w:r>
      <w:r w:rsidRPr="008047D3">
        <w:rPr>
          <w:rFonts w:ascii="Times New Roman" w:hAnsi="Times New Roman" w:cs="Times New Roman"/>
          <w:sz w:val="20"/>
          <w:szCs w:val="20"/>
        </w:rPr>
        <w:t>13.2±3.0 mg/dl (t=2.652, P-value=0.009).</w:t>
      </w:r>
    </w:p>
    <w:p w:rsidR="00742C0E" w:rsidRPr="008047D3" w:rsidRDefault="00742C0E" w:rsidP="00657BEC">
      <w:pPr>
        <w:snapToGrid w:val="0"/>
        <w:spacing w:after="0" w:line="240" w:lineRule="auto"/>
        <w:ind w:firstLine="425"/>
        <w:jc w:val="both"/>
        <w:rPr>
          <w:rFonts w:ascii="Times New Roman" w:hAnsi="Times New Roman" w:cs="Times New Roman"/>
          <w:sz w:val="20"/>
          <w:szCs w:val="20"/>
        </w:rPr>
      </w:pPr>
      <w:r w:rsidRPr="008047D3">
        <w:rPr>
          <w:rFonts w:ascii="Times New Roman" w:hAnsi="Times New Roman" w:cs="Times New Roman"/>
          <w:sz w:val="20"/>
          <w:szCs w:val="20"/>
        </w:rPr>
        <w:t>In grou</w:t>
      </w:r>
      <w:r w:rsidR="00D62B3D" w:rsidRPr="008047D3">
        <w:rPr>
          <w:rFonts w:ascii="Times New Roman" w:hAnsi="Times New Roman" w:cs="Times New Roman"/>
          <w:sz w:val="20"/>
          <w:szCs w:val="20"/>
        </w:rPr>
        <w:t>p I</w:t>
      </w:r>
      <w:r w:rsidRPr="008047D3">
        <w:rPr>
          <w:rFonts w:ascii="Times New Roman" w:hAnsi="Times New Roman" w:cs="Times New Roman"/>
          <w:sz w:val="20"/>
          <w:szCs w:val="20"/>
        </w:rPr>
        <w:t xml:space="preserve"> the mean value for ACR was 25.48±2.62 mg/g and in group II </w:t>
      </w:r>
      <w:r w:rsidR="008047D3">
        <w:rPr>
          <w:rFonts w:ascii="Times New Roman" w:hAnsi="Times New Roman" w:cs="Times New Roman"/>
          <w:sz w:val="20"/>
          <w:szCs w:val="20"/>
        </w:rPr>
        <w:t xml:space="preserve">was </w:t>
      </w:r>
      <w:r w:rsidRPr="008047D3">
        <w:rPr>
          <w:rFonts w:ascii="Times New Roman" w:hAnsi="Times New Roman" w:cs="Times New Roman"/>
          <w:sz w:val="20"/>
          <w:szCs w:val="20"/>
        </w:rPr>
        <w:t>467.69±294.82 mg/g (t=7.9, P-value=0.00).</w:t>
      </w:r>
    </w:p>
    <w:p w:rsidR="00F95C12" w:rsidRPr="008047D3" w:rsidRDefault="00742C0E" w:rsidP="00657BEC">
      <w:pPr>
        <w:snapToGrid w:val="0"/>
        <w:spacing w:after="0" w:line="240" w:lineRule="auto"/>
        <w:ind w:firstLine="425"/>
        <w:jc w:val="both"/>
        <w:rPr>
          <w:rFonts w:ascii="Times New Roman" w:eastAsia="Times New Roman" w:hAnsi="Times New Roman" w:cs="Times New Roman"/>
          <w:sz w:val="20"/>
          <w:szCs w:val="20"/>
          <w:lang w:bidi="ar-EG"/>
        </w:rPr>
      </w:pPr>
      <w:r w:rsidRPr="008047D3">
        <w:rPr>
          <w:rFonts w:ascii="Times New Roman" w:hAnsi="Times New Roman" w:cs="Times New Roman"/>
          <w:sz w:val="20"/>
          <w:szCs w:val="20"/>
        </w:rPr>
        <w:t>In grou</w:t>
      </w:r>
      <w:r w:rsidR="00D62B3D" w:rsidRPr="008047D3">
        <w:rPr>
          <w:rFonts w:ascii="Times New Roman" w:hAnsi="Times New Roman" w:cs="Times New Roman"/>
          <w:sz w:val="20"/>
          <w:szCs w:val="20"/>
        </w:rPr>
        <w:t>p I</w:t>
      </w:r>
      <w:r w:rsidRPr="008047D3">
        <w:rPr>
          <w:rFonts w:ascii="Times New Roman" w:hAnsi="Times New Roman" w:cs="Times New Roman"/>
          <w:sz w:val="20"/>
          <w:szCs w:val="20"/>
        </w:rPr>
        <w:t xml:space="preserve"> the mean value for serum uric acid was 4.39±0.61mg/dl and in grou</w:t>
      </w:r>
      <w:r w:rsidR="00D62B3D" w:rsidRPr="008047D3">
        <w:rPr>
          <w:rFonts w:ascii="Times New Roman" w:hAnsi="Times New Roman" w:cs="Times New Roman"/>
          <w:sz w:val="20"/>
          <w:szCs w:val="20"/>
        </w:rPr>
        <w:t>p I</w:t>
      </w:r>
      <w:r w:rsidRPr="008047D3">
        <w:rPr>
          <w:rFonts w:ascii="Times New Roman" w:hAnsi="Times New Roman" w:cs="Times New Roman"/>
          <w:sz w:val="20"/>
          <w:szCs w:val="20"/>
        </w:rPr>
        <w:t>I was 6.25±0.57 mg/dl (t=1.672, P-value=0.004).</w:t>
      </w:r>
    </w:p>
    <w:p w:rsidR="00657BEC" w:rsidRPr="008047D3" w:rsidRDefault="00657BEC" w:rsidP="00657BEC">
      <w:pPr>
        <w:snapToGrid w:val="0"/>
        <w:spacing w:after="0" w:line="240" w:lineRule="auto"/>
        <w:jc w:val="both"/>
        <w:rPr>
          <w:rFonts w:ascii="Times New Roman" w:eastAsia="Times New Roman" w:hAnsi="Times New Roman" w:cs="Times New Roman"/>
          <w:b/>
          <w:bCs/>
          <w:sz w:val="20"/>
          <w:szCs w:val="20"/>
          <w:lang w:bidi="ar-EG"/>
        </w:rPr>
        <w:sectPr w:rsidR="00657BEC" w:rsidRPr="008047D3" w:rsidSect="005E40AC">
          <w:type w:val="continuous"/>
          <w:pgSz w:w="12240" w:h="15840" w:code="13"/>
          <w:pgMar w:top="1440" w:right="1440" w:bottom="1440" w:left="1440" w:header="720" w:footer="720" w:gutter="0"/>
          <w:cols w:num="2" w:space="550"/>
          <w:docGrid w:linePitch="360"/>
        </w:sectPr>
      </w:pPr>
    </w:p>
    <w:p w:rsidR="009B2D32" w:rsidRPr="008047D3" w:rsidRDefault="009B2D32" w:rsidP="00657BEC">
      <w:pPr>
        <w:snapToGrid w:val="0"/>
        <w:spacing w:after="0" w:line="240" w:lineRule="auto"/>
        <w:jc w:val="both"/>
        <w:rPr>
          <w:rFonts w:ascii="Times New Roman" w:eastAsia="Times New Roman" w:hAnsi="Times New Roman" w:cs="Times New Roman"/>
          <w:b/>
          <w:bCs/>
          <w:sz w:val="20"/>
          <w:szCs w:val="20"/>
          <w:lang w:bidi="ar-EG"/>
        </w:rPr>
      </w:pPr>
    </w:p>
    <w:p w:rsidR="00F95C12" w:rsidRPr="008047D3" w:rsidRDefault="00F95C12" w:rsidP="00D62B3D">
      <w:pPr>
        <w:snapToGrid w:val="0"/>
        <w:spacing w:after="0" w:line="240" w:lineRule="auto"/>
        <w:jc w:val="center"/>
        <w:rPr>
          <w:rFonts w:ascii="Times New Roman" w:eastAsia="Times New Roman" w:hAnsi="Times New Roman" w:cs="Times New Roman"/>
          <w:b/>
          <w:bCs/>
          <w:sz w:val="20"/>
          <w:szCs w:val="20"/>
          <w:lang w:bidi="ar-EG"/>
        </w:rPr>
      </w:pPr>
      <w:r w:rsidRPr="008047D3">
        <w:rPr>
          <w:rFonts w:ascii="Times New Roman" w:eastAsia="Times New Roman" w:hAnsi="Times New Roman" w:cs="Times New Roman"/>
          <w:b/>
          <w:bCs/>
          <w:sz w:val="20"/>
          <w:szCs w:val="20"/>
          <w:lang w:bidi="ar-EG"/>
        </w:rPr>
        <w:t>Table (9): Kidney function tests in the two studied groups</w:t>
      </w:r>
    </w:p>
    <w:tbl>
      <w:tblPr>
        <w:tblStyle w:val="LightGrid-Accent1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050"/>
        <w:gridCol w:w="1840"/>
        <w:gridCol w:w="2378"/>
        <w:gridCol w:w="1014"/>
        <w:gridCol w:w="1192"/>
      </w:tblGrid>
      <w:tr w:rsidR="00310F47" w:rsidRPr="008047D3" w:rsidTr="00310F47">
        <w:trPr>
          <w:cnfStyle w:val="000000100000"/>
          <w:jc w:val="center"/>
        </w:trPr>
        <w:tc>
          <w:tcPr>
            <w:cnfStyle w:val="000010000000"/>
            <w:tcW w:w="1610" w:type="pc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p>
        </w:tc>
        <w:tc>
          <w:tcPr>
            <w:tcW w:w="971" w:type="pct"/>
            <w:shd w:val="clear" w:color="auto" w:fill="DEEAF6" w:themeFill="accent1" w:themeFillTint="33"/>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Group I</w:t>
            </w:r>
          </w:p>
          <w:p w:rsidR="00F95C12" w:rsidRPr="008047D3" w:rsidRDefault="00F95C12" w:rsidP="00657BEC">
            <w:pPr>
              <w:autoSpaceDE w:val="0"/>
              <w:autoSpaceDN w:val="0"/>
              <w:adjustRightInd w:val="0"/>
              <w:snapToGrid w:val="0"/>
              <w:jc w:val="both"/>
              <w:cnfStyle w:val="000000100000"/>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(N=50)</w:t>
            </w:r>
          </w:p>
        </w:tc>
        <w:tc>
          <w:tcPr>
            <w:cnfStyle w:val="000010000000"/>
            <w:tcW w:w="1255" w:type="pc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Group II</w:t>
            </w:r>
          </w:p>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(N=50)</w:t>
            </w:r>
          </w:p>
        </w:tc>
        <w:tc>
          <w:tcPr>
            <w:tcW w:w="535" w:type="pct"/>
            <w:shd w:val="clear" w:color="auto" w:fill="DEEAF6" w:themeFill="accent1" w:themeFillTint="33"/>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t</w:t>
            </w:r>
          </w:p>
        </w:tc>
        <w:tc>
          <w:tcPr>
            <w:cnfStyle w:val="000010000000"/>
            <w:tcW w:w="630" w:type="pc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P</w:t>
            </w:r>
          </w:p>
        </w:tc>
      </w:tr>
      <w:tr w:rsidR="00F95C12" w:rsidRPr="008047D3" w:rsidTr="00310F47">
        <w:trPr>
          <w:cnfStyle w:val="000000010000"/>
          <w:jc w:val="center"/>
        </w:trPr>
        <w:tc>
          <w:tcPr>
            <w:cnfStyle w:val="000010000000"/>
            <w:tcW w:w="1610" w:type="pc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Creatinine (mg/dl)</w:t>
            </w:r>
          </w:p>
        </w:tc>
        <w:tc>
          <w:tcPr>
            <w:tcW w:w="971" w:type="pct"/>
            <w:shd w:val="clear" w:color="auto" w:fill="auto"/>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0.95±0.24</w:t>
            </w:r>
          </w:p>
        </w:tc>
        <w:tc>
          <w:tcPr>
            <w:cnfStyle w:val="000010000000"/>
            <w:tcW w:w="1255"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1.35±0.3</w:t>
            </w:r>
          </w:p>
        </w:tc>
        <w:tc>
          <w:tcPr>
            <w:tcW w:w="535" w:type="pct"/>
            <w:shd w:val="clear" w:color="auto" w:fill="auto"/>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7.151</w:t>
            </w:r>
          </w:p>
        </w:tc>
        <w:tc>
          <w:tcPr>
            <w:cnfStyle w:val="000010000000"/>
            <w:tcW w:w="630"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0.00**</w:t>
            </w:r>
          </w:p>
        </w:tc>
      </w:tr>
      <w:tr w:rsidR="00F95C12" w:rsidRPr="008047D3" w:rsidTr="00310F47">
        <w:trPr>
          <w:cnfStyle w:val="000000100000"/>
          <w:jc w:val="center"/>
        </w:trPr>
        <w:tc>
          <w:tcPr>
            <w:cnfStyle w:val="000010000000"/>
            <w:tcW w:w="1610" w:type="pc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BUN (mg/dl)</w:t>
            </w:r>
          </w:p>
        </w:tc>
        <w:tc>
          <w:tcPr>
            <w:tcW w:w="971" w:type="pct"/>
            <w:shd w:val="clear" w:color="auto" w:fill="auto"/>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color w:val="000000"/>
                <w:sz w:val="20"/>
                <w:szCs w:val="20"/>
              </w:rPr>
            </w:pPr>
            <w:r w:rsidRPr="008047D3">
              <w:rPr>
                <w:rFonts w:ascii="Times New Roman" w:hAnsi="Times New Roman" w:cs="Times New Roman"/>
                <w:color w:val="000000"/>
                <w:sz w:val="20"/>
                <w:szCs w:val="20"/>
              </w:rPr>
              <w:t>11.6±3.02</w:t>
            </w:r>
          </w:p>
        </w:tc>
        <w:tc>
          <w:tcPr>
            <w:cnfStyle w:val="000010000000"/>
            <w:tcW w:w="1255"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13.2±3.0</w:t>
            </w:r>
          </w:p>
        </w:tc>
        <w:tc>
          <w:tcPr>
            <w:tcW w:w="535" w:type="pct"/>
            <w:shd w:val="clear" w:color="auto" w:fill="auto"/>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color w:val="000000"/>
                <w:sz w:val="20"/>
                <w:szCs w:val="20"/>
              </w:rPr>
            </w:pPr>
            <w:r w:rsidRPr="008047D3">
              <w:rPr>
                <w:rFonts w:ascii="Times New Roman" w:hAnsi="Times New Roman" w:cs="Times New Roman"/>
                <w:color w:val="000000"/>
                <w:sz w:val="20"/>
                <w:szCs w:val="20"/>
              </w:rPr>
              <w:t>2.652</w:t>
            </w:r>
          </w:p>
        </w:tc>
        <w:tc>
          <w:tcPr>
            <w:cnfStyle w:val="000010000000"/>
            <w:tcW w:w="630"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0.009*</w:t>
            </w:r>
          </w:p>
        </w:tc>
      </w:tr>
      <w:tr w:rsidR="00F95C12" w:rsidRPr="008047D3" w:rsidTr="00310F47">
        <w:trPr>
          <w:cnfStyle w:val="000000010000"/>
          <w:jc w:val="center"/>
        </w:trPr>
        <w:tc>
          <w:tcPr>
            <w:cnfStyle w:val="000010000000"/>
            <w:tcW w:w="1610" w:type="pc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AC</w:t>
            </w:r>
            <w:r w:rsidR="00310F47" w:rsidRPr="008047D3">
              <w:rPr>
                <w:rFonts w:ascii="Times New Roman" w:hAnsi="Times New Roman" w:cs="Times New Roman"/>
                <w:b/>
                <w:bCs/>
                <w:color w:val="000000"/>
                <w:sz w:val="20"/>
                <w:szCs w:val="20"/>
              </w:rPr>
              <w:t>R (</w:t>
            </w:r>
            <w:r w:rsidRPr="008047D3">
              <w:rPr>
                <w:rFonts w:ascii="Times New Roman" w:hAnsi="Times New Roman" w:cs="Times New Roman"/>
                <w:b/>
                <w:bCs/>
                <w:color w:val="000000"/>
                <w:sz w:val="20"/>
                <w:szCs w:val="20"/>
              </w:rPr>
              <w:t>mg/g)</w:t>
            </w:r>
          </w:p>
        </w:tc>
        <w:tc>
          <w:tcPr>
            <w:tcW w:w="971" w:type="pct"/>
            <w:shd w:val="clear" w:color="auto" w:fill="auto"/>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25.48±2.62</w:t>
            </w:r>
          </w:p>
        </w:tc>
        <w:tc>
          <w:tcPr>
            <w:cnfStyle w:val="000010000000"/>
            <w:tcW w:w="1255"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467.69±294.82</w:t>
            </w:r>
          </w:p>
        </w:tc>
        <w:tc>
          <w:tcPr>
            <w:tcW w:w="535" w:type="pct"/>
            <w:shd w:val="clear" w:color="auto" w:fill="auto"/>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7.9</w:t>
            </w:r>
          </w:p>
        </w:tc>
        <w:tc>
          <w:tcPr>
            <w:cnfStyle w:val="000010000000"/>
            <w:tcW w:w="630"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0.00**</w:t>
            </w:r>
          </w:p>
        </w:tc>
      </w:tr>
      <w:tr w:rsidR="00F95C12" w:rsidRPr="008047D3" w:rsidTr="00310F47">
        <w:trPr>
          <w:cnfStyle w:val="000000100000"/>
          <w:jc w:val="center"/>
        </w:trPr>
        <w:tc>
          <w:tcPr>
            <w:cnfStyle w:val="000010000000"/>
            <w:tcW w:w="1610" w:type="pc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Uric acid (mg/dl)</w:t>
            </w:r>
          </w:p>
        </w:tc>
        <w:tc>
          <w:tcPr>
            <w:tcW w:w="971" w:type="pct"/>
            <w:shd w:val="clear" w:color="auto" w:fill="auto"/>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color w:val="000000"/>
                <w:sz w:val="20"/>
                <w:szCs w:val="20"/>
              </w:rPr>
            </w:pPr>
            <w:r w:rsidRPr="008047D3">
              <w:rPr>
                <w:rFonts w:ascii="Times New Roman" w:hAnsi="Times New Roman" w:cs="Times New Roman"/>
                <w:color w:val="000000"/>
                <w:sz w:val="20"/>
                <w:szCs w:val="20"/>
              </w:rPr>
              <w:t>4.39±0.61</w:t>
            </w:r>
          </w:p>
        </w:tc>
        <w:tc>
          <w:tcPr>
            <w:cnfStyle w:val="000010000000"/>
            <w:tcW w:w="1255"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6.25±0.57</w:t>
            </w:r>
          </w:p>
        </w:tc>
        <w:tc>
          <w:tcPr>
            <w:tcW w:w="535" w:type="pct"/>
            <w:shd w:val="clear" w:color="auto" w:fill="auto"/>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color w:val="000000"/>
                <w:sz w:val="20"/>
                <w:szCs w:val="20"/>
              </w:rPr>
            </w:pPr>
            <w:r w:rsidRPr="008047D3">
              <w:rPr>
                <w:rFonts w:ascii="Times New Roman" w:hAnsi="Times New Roman" w:cs="Times New Roman"/>
                <w:color w:val="000000"/>
                <w:sz w:val="20"/>
                <w:szCs w:val="20"/>
              </w:rPr>
              <w:t>1.672</w:t>
            </w:r>
          </w:p>
        </w:tc>
        <w:tc>
          <w:tcPr>
            <w:cnfStyle w:val="000010000000"/>
            <w:tcW w:w="630"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0.004*</w:t>
            </w:r>
          </w:p>
        </w:tc>
      </w:tr>
    </w:tbl>
    <w:p w:rsidR="00310F47" w:rsidRPr="008047D3" w:rsidRDefault="009B2D32" w:rsidP="00D62B3D">
      <w:pPr>
        <w:snapToGrid w:val="0"/>
        <w:spacing w:after="0" w:line="240" w:lineRule="auto"/>
        <w:jc w:val="both"/>
        <w:rPr>
          <w:rFonts w:ascii="Times New Roman" w:eastAsia="Times New Roman" w:hAnsi="Times New Roman" w:cs="Times New Roman"/>
          <w:sz w:val="20"/>
          <w:szCs w:val="20"/>
          <w:lang w:bidi="ar-EG"/>
        </w:rPr>
      </w:pPr>
      <w:r w:rsidRPr="008047D3">
        <w:rPr>
          <w:rFonts w:ascii="Times New Roman" w:eastAsia="Times New Roman" w:hAnsi="Times New Roman" w:cs="Times New Roman"/>
          <w:sz w:val="20"/>
          <w:szCs w:val="20"/>
          <w:lang w:bidi="ar-EG"/>
        </w:rPr>
        <w:t xml:space="preserve">P =probability value </w:t>
      </w:r>
      <w:r w:rsidR="00F95C12" w:rsidRPr="008047D3">
        <w:rPr>
          <w:rFonts w:ascii="Times New Roman" w:eastAsia="Times New Roman" w:hAnsi="Times New Roman" w:cs="Times New Roman"/>
          <w:sz w:val="20"/>
          <w:szCs w:val="20"/>
          <w:lang w:bidi="ar-EG"/>
        </w:rPr>
        <w:t>N. =number</w:t>
      </w:r>
      <m:oMath>
        <m:r>
          <m:rPr>
            <m:sty m:val="bi"/>
          </m:rPr>
          <w:rPr>
            <w:rFonts w:ascii="Cambria Math" w:hAnsi="Times New Roman" w:cs="Times New Roman"/>
            <w:sz w:val="20"/>
            <w:szCs w:val="20"/>
            <w:lang w:bidi="ar-EG"/>
          </w:rPr>
          <m:t xml:space="preserve"> </m:t>
        </m:r>
        <m:r>
          <m:rPr>
            <m:sty m:val="bi"/>
          </m:rPr>
          <w:rPr>
            <w:rFonts w:ascii="Cambria Math" w:hAnsi="Cambria Math" w:cs="Times New Roman"/>
            <w:sz w:val="20"/>
            <w:szCs w:val="20"/>
            <w:lang w:bidi="ar-EG"/>
          </w:rPr>
          <m:t>t</m:t>
        </m:r>
        <m:r>
          <w:rPr>
            <w:rFonts w:ascii="Cambria Math" w:eastAsia="Times New Roman" w:hAnsi="Times New Roman" w:cs="Times New Roman"/>
            <w:sz w:val="20"/>
            <w:szCs w:val="20"/>
            <w:lang w:bidi="ar-EG"/>
          </w:rPr>
          <m:t>=</m:t>
        </m:r>
      </m:oMath>
      <w:r w:rsidRPr="008047D3">
        <w:rPr>
          <w:rFonts w:ascii="Times New Roman" w:eastAsia="Times New Roman" w:hAnsi="Times New Roman" w:cs="Times New Roman"/>
          <w:sz w:val="20"/>
          <w:szCs w:val="20"/>
          <w:lang w:bidi="ar-EG"/>
        </w:rPr>
        <w:t>Student's t test</w:t>
      </w:r>
      <w:r w:rsidR="00310F47" w:rsidRPr="008047D3">
        <w:rPr>
          <w:rFonts w:ascii="Times New Roman" w:eastAsia="Times New Roman" w:hAnsi="Times New Roman" w:cs="Times New Roman"/>
          <w:sz w:val="20"/>
          <w:szCs w:val="20"/>
          <w:lang w:bidi="ar-EG"/>
        </w:rPr>
        <w:t xml:space="preserve"> </w:t>
      </w:r>
      <w:r w:rsidRPr="008047D3">
        <w:rPr>
          <w:rFonts w:ascii="Times New Roman" w:eastAsia="Times New Roman" w:hAnsi="Times New Roman" w:cs="Times New Roman"/>
          <w:sz w:val="20"/>
          <w:szCs w:val="20"/>
          <w:lang w:bidi="ar-EG"/>
        </w:rPr>
        <w:t>Non significant: P &gt; 0.05</w:t>
      </w:r>
      <w:r w:rsidR="00310F47" w:rsidRPr="008047D3">
        <w:rPr>
          <w:rFonts w:ascii="Times New Roman" w:eastAsia="Times New Roman" w:hAnsi="Times New Roman" w:cs="Times New Roman"/>
          <w:sz w:val="20"/>
          <w:szCs w:val="20"/>
          <w:lang w:bidi="ar-EG"/>
        </w:rPr>
        <w:t xml:space="preserve"> </w:t>
      </w:r>
      <w:r w:rsidR="00F95C12" w:rsidRPr="008047D3">
        <w:rPr>
          <w:rFonts w:ascii="Times New Roman" w:eastAsia="Times New Roman" w:hAnsi="Times New Roman" w:cs="Times New Roman"/>
          <w:sz w:val="20"/>
          <w:szCs w:val="20"/>
          <w:lang w:bidi="ar-EG"/>
        </w:rPr>
        <w:t xml:space="preserve">* Significant: P &lt; 0.05 </w:t>
      </w:r>
    </w:p>
    <w:p w:rsidR="00B91467" w:rsidRPr="00B91467" w:rsidRDefault="00B91467" w:rsidP="00657BEC">
      <w:pPr>
        <w:snapToGrid w:val="0"/>
        <w:spacing w:after="0" w:line="240" w:lineRule="auto"/>
        <w:ind w:firstLine="425"/>
        <w:jc w:val="both"/>
        <w:rPr>
          <w:rFonts w:ascii="Times New Roman" w:hAnsi="Times New Roman" w:cs="Times New Roman" w:hint="eastAsia"/>
          <w:sz w:val="20"/>
          <w:szCs w:val="20"/>
          <w:lang w:eastAsia="zh-CN" w:bidi="ar-EG"/>
        </w:rPr>
      </w:pPr>
    </w:p>
    <w:p w:rsidR="00657BEC" w:rsidRPr="008047D3" w:rsidRDefault="00657BEC" w:rsidP="00657BEC">
      <w:pPr>
        <w:snapToGrid w:val="0"/>
        <w:spacing w:after="0" w:line="240" w:lineRule="auto"/>
        <w:ind w:firstLine="425"/>
        <w:jc w:val="both"/>
        <w:rPr>
          <w:rFonts w:ascii="Times New Roman" w:hAnsi="Times New Roman" w:cs="Times New Roman"/>
          <w:sz w:val="20"/>
          <w:szCs w:val="20"/>
        </w:rPr>
        <w:sectPr w:rsidR="00657BEC" w:rsidRPr="008047D3" w:rsidSect="005E40AC">
          <w:type w:val="continuous"/>
          <w:pgSz w:w="12240" w:h="15840" w:code="13"/>
          <w:pgMar w:top="1440" w:right="1440" w:bottom="1440" w:left="1440" w:header="720" w:footer="720" w:gutter="0"/>
          <w:cols w:space="720"/>
          <w:docGrid w:linePitch="360"/>
        </w:sectPr>
      </w:pPr>
    </w:p>
    <w:p w:rsidR="00742C0E" w:rsidRPr="008047D3" w:rsidRDefault="00742C0E" w:rsidP="00657BEC">
      <w:pPr>
        <w:snapToGrid w:val="0"/>
        <w:spacing w:after="0" w:line="240" w:lineRule="auto"/>
        <w:ind w:firstLine="425"/>
        <w:jc w:val="both"/>
        <w:rPr>
          <w:rFonts w:ascii="Times New Roman" w:hAnsi="Times New Roman" w:cs="Times New Roman"/>
          <w:sz w:val="20"/>
          <w:szCs w:val="20"/>
        </w:rPr>
      </w:pPr>
      <w:r w:rsidRPr="008047D3">
        <w:rPr>
          <w:rFonts w:ascii="Times New Roman" w:hAnsi="Times New Roman" w:cs="Times New Roman"/>
          <w:sz w:val="20"/>
          <w:szCs w:val="20"/>
        </w:rPr>
        <w:lastRenderedPageBreak/>
        <w:t>Table (10) demonstrated comparison between the two groups regarding serum Nesfatin-1 levels. There was a statistically significant difference between the two studied groups regarding serum Nesfatin-1 level.</w:t>
      </w:r>
    </w:p>
    <w:p w:rsidR="00742C0E" w:rsidRPr="008047D3" w:rsidRDefault="00742C0E" w:rsidP="00657BEC">
      <w:pPr>
        <w:snapToGrid w:val="0"/>
        <w:spacing w:after="0" w:line="240" w:lineRule="auto"/>
        <w:ind w:firstLine="425"/>
        <w:jc w:val="both"/>
        <w:rPr>
          <w:rFonts w:ascii="Times New Roman" w:hAnsi="Times New Roman" w:cs="Times New Roman"/>
          <w:sz w:val="20"/>
          <w:szCs w:val="20"/>
        </w:rPr>
      </w:pPr>
      <w:r w:rsidRPr="008047D3">
        <w:rPr>
          <w:rFonts w:ascii="Times New Roman" w:hAnsi="Times New Roman" w:cs="Times New Roman"/>
          <w:sz w:val="20"/>
          <w:szCs w:val="20"/>
        </w:rPr>
        <w:lastRenderedPageBreak/>
        <w:t>In group I the mean value for serum Nesfatin-1 was 10.57±3.4mmol/L and in group II was 16.65±5.5mmol/L (t=6.595, P-value=0.00).</w:t>
      </w:r>
    </w:p>
    <w:p w:rsidR="00657BEC" w:rsidRPr="008047D3" w:rsidRDefault="00657BEC" w:rsidP="00657BEC">
      <w:pPr>
        <w:snapToGrid w:val="0"/>
        <w:spacing w:after="0" w:line="240" w:lineRule="auto"/>
        <w:ind w:firstLine="425"/>
        <w:jc w:val="both"/>
        <w:rPr>
          <w:rFonts w:ascii="Times New Roman" w:hAnsi="Times New Roman" w:cs="Times New Roman"/>
          <w:sz w:val="20"/>
          <w:szCs w:val="20"/>
        </w:rPr>
        <w:sectPr w:rsidR="00657BEC" w:rsidRPr="008047D3" w:rsidSect="005E40AC">
          <w:type w:val="continuous"/>
          <w:pgSz w:w="12240" w:h="15840" w:code="13"/>
          <w:pgMar w:top="1440" w:right="1440" w:bottom="1440" w:left="1440" w:header="720" w:footer="720" w:gutter="0"/>
          <w:cols w:num="2" w:space="550"/>
          <w:docGrid w:linePitch="360"/>
        </w:sectPr>
      </w:pPr>
    </w:p>
    <w:p w:rsidR="00F95C12" w:rsidRPr="008047D3" w:rsidRDefault="00F95C12" w:rsidP="00657BEC">
      <w:pPr>
        <w:snapToGrid w:val="0"/>
        <w:spacing w:after="0" w:line="240" w:lineRule="auto"/>
        <w:ind w:firstLine="425"/>
        <w:jc w:val="both"/>
        <w:rPr>
          <w:rFonts w:ascii="Times New Roman" w:hAnsi="Times New Roman" w:cs="Times New Roman"/>
          <w:sz w:val="20"/>
          <w:szCs w:val="20"/>
        </w:rPr>
      </w:pPr>
    </w:p>
    <w:p w:rsidR="00F95C12" w:rsidRPr="008047D3" w:rsidRDefault="00F95C12" w:rsidP="00D62B3D">
      <w:pPr>
        <w:snapToGrid w:val="0"/>
        <w:spacing w:after="0" w:line="240" w:lineRule="auto"/>
        <w:jc w:val="center"/>
        <w:rPr>
          <w:rFonts w:ascii="Times New Roman" w:hAnsi="Times New Roman" w:cs="Times New Roman"/>
          <w:sz w:val="20"/>
          <w:szCs w:val="20"/>
        </w:rPr>
      </w:pPr>
      <w:r w:rsidRPr="008047D3">
        <w:rPr>
          <w:rFonts w:ascii="Times New Roman" w:hAnsi="Times New Roman" w:cs="Times New Roman"/>
          <w:b/>
          <w:bCs/>
          <w:sz w:val="20"/>
          <w:szCs w:val="20"/>
        </w:rPr>
        <w:t>Table (10): S</w:t>
      </w:r>
      <w:r w:rsidR="00D62B3D" w:rsidRPr="008047D3">
        <w:rPr>
          <w:rFonts w:ascii="Times New Roman" w:hAnsi="Times New Roman" w:cs="Times New Roman"/>
          <w:b/>
          <w:bCs/>
          <w:sz w:val="20"/>
          <w:szCs w:val="20"/>
        </w:rPr>
        <w:t>. N</w:t>
      </w:r>
      <w:r w:rsidRPr="008047D3">
        <w:rPr>
          <w:rFonts w:ascii="Times New Roman" w:hAnsi="Times New Roman" w:cs="Times New Roman"/>
          <w:b/>
          <w:bCs/>
          <w:sz w:val="20"/>
          <w:szCs w:val="20"/>
        </w:rPr>
        <w:t>esfatin-1 level distribution between the two studied groups</w:t>
      </w:r>
    </w:p>
    <w:tbl>
      <w:tblPr>
        <w:tblStyle w:val="LightGrid-Accent16"/>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563"/>
        <w:gridCol w:w="1775"/>
        <w:gridCol w:w="1775"/>
        <w:gridCol w:w="1084"/>
        <w:gridCol w:w="1277"/>
      </w:tblGrid>
      <w:tr w:rsidR="00F95C12" w:rsidRPr="008047D3" w:rsidTr="00310F47">
        <w:trPr>
          <w:cnfStyle w:val="000000100000"/>
          <w:jc w:val="center"/>
        </w:trPr>
        <w:tc>
          <w:tcPr>
            <w:cnfStyle w:val="000010000000"/>
            <w:tcW w:w="1880" w:type="pct"/>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p>
        </w:tc>
        <w:tc>
          <w:tcPr>
            <w:tcW w:w="937" w:type="pct"/>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Group I</w:t>
            </w:r>
          </w:p>
          <w:p w:rsidR="00F95C12" w:rsidRPr="008047D3" w:rsidRDefault="00F95C12" w:rsidP="00657BEC">
            <w:pPr>
              <w:autoSpaceDE w:val="0"/>
              <w:autoSpaceDN w:val="0"/>
              <w:adjustRightInd w:val="0"/>
              <w:snapToGrid w:val="0"/>
              <w:jc w:val="both"/>
              <w:cnfStyle w:val="000000100000"/>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(N=50)</w:t>
            </w:r>
          </w:p>
        </w:tc>
        <w:tc>
          <w:tcPr>
            <w:cnfStyle w:val="000010000000"/>
            <w:tcW w:w="937" w:type="pct"/>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Group II</w:t>
            </w:r>
          </w:p>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(N=50)</w:t>
            </w:r>
          </w:p>
        </w:tc>
        <w:tc>
          <w:tcPr>
            <w:tcW w:w="572" w:type="pct"/>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t</w:t>
            </w:r>
          </w:p>
        </w:tc>
        <w:tc>
          <w:tcPr>
            <w:cnfStyle w:val="000010000000"/>
            <w:tcW w:w="674" w:type="pct"/>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P</w:t>
            </w:r>
          </w:p>
        </w:tc>
      </w:tr>
      <w:tr w:rsidR="00F95C12" w:rsidRPr="008047D3" w:rsidTr="00310F47">
        <w:trPr>
          <w:cnfStyle w:val="000000010000"/>
          <w:jc w:val="center"/>
        </w:trPr>
        <w:tc>
          <w:tcPr>
            <w:cnfStyle w:val="000010000000"/>
            <w:tcW w:w="1880" w:type="pct"/>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shd w:val="clear" w:color="auto" w:fill="DEEAF6" w:themeFill="accent1" w:themeFillTint="33"/>
              </w:rPr>
              <w:t>Nesfatin-1 (mmol/L</w:t>
            </w:r>
            <w:r w:rsidRPr="008047D3">
              <w:rPr>
                <w:rFonts w:ascii="Times New Roman" w:hAnsi="Times New Roman" w:cs="Times New Roman"/>
                <w:b/>
                <w:bCs/>
                <w:color w:val="000000"/>
                <w:sz w:val="20"/>
                <w:szCs w:val="20"/>
              </w:rPr>
              <w:t>)</w:t>
            </w:r>
          </w:p>
        </w:tc>
        <w:tc>
          <w:tcPr>
            <w:tcW w:w="937" w:type="pct"/>
            <w:tcBorders>
              <w:top w:val="none" w:sz="0" w:space="0" w:color="auto"/>
              <w:left w:val="none" w:sz="0" w:space="0" w:color="auto"/>
              <w:bottom w:val="none" w:sz="0" w:space="0" w:color="auto"/>
              <w:right w:val="none" w:sz="0" w:space="0" w:color="auto"/>
            </w:tcBorders>
            <w:shd w:val="clear" w:color="auto" w:fill="auto"/>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10.57±3.4</w:t>
            </w:r>
          </w:p>
        </w:tc>
        <w:tc>
          <w:tcPr>
            <w:cnfStyle w:val="000010000000"/>
            <w:tcW w:w="937" w:type="pct"/>
            <w:tcBorders>
              <w:top w:val="none" w:sz="0" w:space="0" w:color="auto"/>
              <w:left w:val="none" w:sz="0" w:space="0" w:color="auto"/>
              <w:bottom w:val="none" w:sz="0" w:space="0" w:color="auto"/>
              <w:right w:val="none" w:sz="0" w:space="0" w:color="auto"/>
            </w:tcBorders>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16.65±5.5</w:t>
            </w:r>
          </w:p>
        </w:tc>
        <w:tc>
          <w:tcPr>
            <w:tcW w:w="572" w:type="pct"/>
            <w:tcBorders>
              <w:top w:val="none" w:sz="0" w:space="0" w:color="auto"/>
              <w:left w:val="none" w:sz="0" w:space="0" w:color="auto"/>
              <w:bottom w:val="none" w:sz="0" w:space="0" w:color="auto"/>
              <w:right w:val="none" w:sz="0" w:space="0" w:color="auto"/>
            </w:tcBorders>
            <w:shd w:val="clear" w:color="auto" w:fill="auto"/>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6.595</w:t>
            </w:r>
          </w:p>
        </w:tc>
        <w:tc>
          <w:tcPr>
            <w:cnfStyle w:val="000010000000"/>
            <w:tcW w:w="674" w:type="pct"/>
            <w:tcBorders>
              <w:top w:val="none" w:sz="0" w:space="0" w:color="auto"/>
              <w:left w:val="none" w:sz="0" w:space="0" w:color="auto"/>
              <w:bottom w:val="none" w:sz="0" w:space="0" w:color="auto"/>
              <w:right w:val="none" w:sz="0" w:space="0" w:color="auto"/>
            </w:tcBorders>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0.00**</w:t>
            </w:r>
          </w:p>
        </w:tc>
      </w:tr>
    </w:tbl>
    <w:p w:rsidR="00310F47" w:rsidRPr="008047D3" w:rsidRDefault="009B2D32" w:rsidP="00D62B3D">
      <w:pPr>
        <w:snapToGrid w:val="0"/>
        <w:spacing w:after="0" w:line="240" w:lineRule="auto"/>
        <w:jc w:val="both"/>
        <w:rPr>
          <w:rFonts w:ascii="Times New Roman" w:eastAsia="Times New Roman" w:hAnsi="Times New Roman" w:cs="Times New Roman"/>
          <w:sz w:val="20"/>
          <w:szCs w:val="20"/>
          <w:lang w:bidi="ar-EG"/>
        </w:rPr>
      </w:pPr>
      <w:r w:rsidRPr="008047D3">
        <w:rPr>
          <w:rFonts w:ascii="Times New Roman" w:eastAsia="Times New Roman" w:hAnsi="Times New Roman" w:cs="Times New Roman"/>
          <w:sz w:val="20"/>
          <w:szCs w:val="20"/>
          <w:lang w:bidi="ar-EG"/>
        </w:rPr>
        <w:t>P =probability value</w:t>
      </w:r>
      <w:r w:rsidR="00310F47" w:rsidRPr="008047D3">
        <w:rPr>
          <w:rFonts w:ascii="Times New Roman" w:eastAsia="Times New Roman" w:hAnsi="Times New Roman" w:cs="Times New Roman"/>
          <w:sz w:val="20"/>
          <w:szCs w:val="20"/>
          <w:lang w:bidi="ar-EG"/>
        </w:rPr>
        <w:t xml:space="preserve"> </w:t>
      </w:r>
      <w:r w:rsidR="00F95C12" w:rsidRPr="008047D3">
        <w:rPr>
          <w:rFonts w:ascii="Times New Roman" w:eastAsia="Times New Roman" w:hAnsi="Times New Roman" w:cs="Times New Roman"/>
          <w:sz w:val="20"/>
          <w:szCs w:val="20"/>
          <w:lang w:bidi="ar-EG"/>
        </w:rPr>
        <w:t>N. =number</w:t>
      </w:r>
      <m:oMath>
        <m:r>
          <m:rPr>
            <m:sty m:val="bi"/>
          </m:rPr>
          <w:rPr>
            <w:rFonts w:ascii="Cambria Math" w:hAnsi="Times New Roman" w:cs="Times New Roman"/>
            <w:sz w:val="20"/>
            <w:szCs w:val="20"/>
            <w:lang w:bidi="ar-EG"/>
          </w:rPr>
          <m:t xml:space="preserve"> </m:t>
        </m:r>
        <m:r>
          <m:rPr>
            <m:sty m:val="bi"/>
          </m:rPr>
          <w:rPr>
            <w:rFonts w:ascii="Cambria Math" w:hAnsi="Cambria Math" w:cs="Times New Roman"/>
            <w:sz w:val="20"/>
            <w:szCs w:val="20"/>
            <w:lang w:bidi="ar-EG"/>
          </w:rPr>
          <m:t>t</m:t>
        </m:r>
        <m:r>
          <w:rPr>
            <w:rFonts w:ascii="Cambria Math" w:eastAsia="Times New Roman" w:hAnsi="Times New Roman" w:cs="Times New Roman"/>
            <w:sz w:val="20"/>
            <w:szCs w:val="20"/>
            <w:lang w:bidi="ar-EG"/>
          </w:rPr>
          <m:t>=</m:t>
        </m:r>
      </m:oMath>
      <w:r w:rsidRPr="008047D3">
        <w:rPr>
          <w:rFonts w:ascii="Times New Roman" w:eastAsia="Times New Roman" w:hAnsi="Times New Roman" w:cs="Times New Roman"/>
          <w:sz w:val="20"/>
          <w:szCs w:val="20"/>
          <w:lang w:bidi="ar-EG"/>
        </w:rPr>
        <w:t>Student's t test</w:t>
      </w:r>
      <w:r w:rsidR="00310F47" w:rsidRPr="008047D3">
        <w:rPr>
          <w:rFonts w:ascii="Times New Roman" w:eastAsia="Times New Roman" w:hAnsi="Times New Roman" w:cs="Times New Roman"/>
          <w:sz w:val="20"/>
          <w:szCs w:val="20"/>
          <w:lang w:bidi="ar-EG"/>
        </w:rPr>
        <w:t xml:space="preserve"> </w:t>
      </w:r>
      <w:r w:rsidRPr="008047D3">
        <w:rPr>
          <w:rFonts w:ascii="Times New Roman" w:eastAsia="Times New Roman" w:hAnsi="Times New Roman" w:cs="Times New Roman"/>
          <w:sz w:val="20"/>
          <w:szCs w:val="20"/>
          <w:lang w:bidi="ar-EG"/>
        </w:rPr>
        <w:t xml:space="preserve">Non significant: P &gt; 0.05 </w:t>
      </w:r>
      <w:r w:rsidR="00F95C12" w:rsidRPr="008047D3">
        <w:rPr>
          <w:rFonts w:ascii="Times New Roman" w:eastAsia="Times New Roman" w:hAnsi="Times New Roman" w:cs="Times New Roman"/>
          <w:sz w:val="20"/>
          <w:szCs w:val="20"/>
          <w:lang w:bidi="ar-EG"/>
        </w:rPr>
        <w:t xml:space="preserve">* Significant: P &lt; 0.05 </w:t>
      </w:r>
    </w:p>
    <w:p w:rsidR="00310F47" w:rsidRDefault="00310F47" w:rsidP="00657BEC">
      <w:pPr>
        <w:snapToGrid w:val="0"/>
        <w:spacing w:after="0" w:line="240" w:lineRule="auto"/>
        <w:ind w:firstLine="425"/>
        <w:jc w:val="both"/>
        <w:rPr>
          <w:rFonts w:ascii="Times New Roman" w:hAnsi="Times New Roman" w:cs="Times New Roman" w:hint="eastAsia"/>
          <w:sz w:val="20"/>
          <w:szCs w:val="20"/>
          <w:lang w:eastAsia="zh-CN" w:bidi="ar-EG"/>
        </w:rPr>
      </w:pPr>
    </w:p>
    <w:p w:rsidR="00B91467" w:rsidRPr="00B91467" w:rsidRDefault="00B91467" w:rsidP="00657BEC">
      <w:pPr>
        <w:snapToGrid w:val="0"/>
        <w:spacing w:after="0" w:line="240" w:lineRule="auto"/>
        <w:ind w:firstLine="425"/>
        <w:jc w:val="both"/>
        <w:rPr>
          <w:rFonts w:ascii="Times New Roman" w:hAnsi="Times New Roman" w:cs="Times New Roman" w:hint="eastAsia"/>
          <w:sz w:val="20"/>
          <w:szCs w:val="20"/>
          <w:lang w:eastAsia="zh-CN" w:bidi="ar-EG"/>
        </w:rPr>
      </w:pPr>
    </w:p>
    <w:p w:rsidR="00657BEC" w:rsidRPr="008047D3" w:rsidRDefault="00657BEC" w:rsidP="00657BEC">
      <w:pPr>
        <w:pStyle w:val="ListParagraph"/>
        <w:numPr>
          <w:ilvl w:val="0"/>
          <w:numId w:val="11"/>
        </w:numPr>
        <w:snapToGrid w:val="0"/>
        <w:spacing w:after="0" w:line="240" w:lineRule="auto"/>
        <w:ind w:left="0" w:firstLine="0"/>
        <w:jc w:val="both"/>
        <w:rPr>
          <w:rFonts w:ascii="Times New Roman" w:hAnsi="Times New Roman" w:cs="Times New Roman"/>
          <w:b/>
          <w:bCs/>
          <w:color w:val="000000"/>
          <w:sz w:val="20"/>
          <w:szCs w:val="20"/>
        </w:rPr>
        <w:sectPr w:rsidR="00657BEC" w:rsidRPr="008047D3" w:rsidSect="005E40AC">
          <w:type w:val="continuous"/>
          <w:pgSz w:w="12240" w:h="15840" w:code="13"/>
          <w:pgMar w:top="1440" w:right="1440" w:bottom="1440" w:left="1440" w:header="720" w:footer="720" w:gutter="0"/>
          <w:cols w:space="720"/>
          <w:docGrid w:linePitch="360"/>
        </w:sectPr>
      </w:pPr>
    </w:p>
    <w:p w:rsidR="00F95C12" w:rsidRPr="008047D3" w:rsidRDefault="00F95C12" w:rsidP="00657BEC">
      <w:pPr>
        <w:pStyle w:val="ListParagraph"/>
        <w:numPr>
          <w:ilvl w:val="0"/>
          <w:numId w:val="11"/>
        </w:numPr>
        <w:snapToGrid w:val="0"/>
        <w:spacing w:after="0" w:line="240" w:lineRule="auto"/>
        <w:ind w:left="0" w:firstLine="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lastRenderedPageBreak/>
        <w:t>Correlation between serum Nesfatin-1 level and the study parameters:</w:t>
      </w:r>
    </w:p>
    <w:p w:rsidR="00742C0E" w:rsidRPr="008047D3" w:rsidRDefault="00742C0E" w:rsidP="00657BEC">
      <w:pPr>
        <w:snapToGrid w:val="0"/>
        <w:spacing w:after="0" w:line="240" w:lineRule="auto"/>
        <w:ind w:firstLine="425"/>
        <w:jc w:val="both"/>
        <w:rPr>
          <w:rFonts w:ascii="Times New Roman" w:eastAsia="Times New Roman" w:hAnsi="Times New Roman" w:cs="Times New Roman"/>
          <w:sz w:val="20"/>
          <w:szCs w:val="20"/>
          <w:lang w:bidi="ar-EG"/>
        </w:rPr>
      </w:pPr>
      <w:r w:rsidRPr="008047D3">
        <w:rPr>
          <w:rFonts w:ascii="Times New Roman" w:eastAsia="Times New Roman" w:hAnsi="Times New Roman" w:cs="Times New Roman"/>
          <w:sz w:val="20"/>
          <w:szCs w:val="20"/>
          <w:lang w:bidi="ar-EG"/>
        </w:rPr>
        <w:t>Table (11) demonstrated correlations between serum Nesfatin-1 level and study parameters in the two studied groups.</w:t>
      </w:r>
    </w:p>
    <w:p w:rsidR="00742C0E" w:rsidRPr="008047D3" w:rsidRDefault="00742C0E" w:rsidP="00657BEC">
      <w:pPr>
        <w:snapToGrid w:val="0"/>
        <w:spacing w:after="0" w:line="240" w:lineRule="auto"/>
        <w:ind w:firstLine="425"/>
        <w:jc w:val="both"/>
        <w:rPr>
          <w:rFonts w:ascii="Times New Roman" w:eastAsia="Times New Roman" w:hAnsi="Times New Roman" w:cs="Times New Roman"/>
          <w:sz w:val="20"/>
          <w:szCs w:val="20"/>
          <w:lang w:bidi="ar-EG"/>
        </w:rPr>
      </w:pPr>
      <w:r w:rsidRPr="008047D3">
        <w:rPr>
          <w:rFonts w:ascii="Times New Roman" w:eastAsia="Times New Roman" w:hAnsi="Times New Roman" w:cs="Times New Roman"/>
          <w:sz w:val="20"/>
          <w:szCs w:val="20"/>
          <w:lang w:bidi="ar-EG"/>
        </w:rPr>
        <w:t xml:space="preserve">There were statistically significant positive correlations between </w:t>
      </w:r>
      <w:r w:rsidRPr="008047D3">
        <w:rPr>
          <w:rFonts w:ascii="Times New Roman" w:eastAsia="Times New Roman" w:hAnsi="Times New Roman" w:cs="Times New Roman"/>
          <w:b/>
          <w:bCs/>
          <w:sz w:val="20"/>
          <w:szCs w:val="20"/>
          <w:lang w:bidi="ar-EG"/>
        </w:rPr>
        <w:t xml:space="preserve">serum Nesfatin-1 </w:t>
      </w:r>
      <w:r w:rsidRPr="008047D3">
        <w:rPr>
          <w:rFonts w:ascii="Times New Roman" w:eastAsia="Times New Roman" w:hAnsi="Times New Roman" w:cs="Times New Roman"/>
          <w:sz w:val="20"/>
          <w:szCs w:val="20"/>
          <w:lang w:bidi="ar-EG"/>
        </w:rPr>
        <w:t xml:space="preserve">and </w:t>
      </w:r>
      <w:r w:rsidRPr="008047D3">
        <w:rPr>
          <w:rFonts w:ascii="Times New Roman" w:eastAsia="Times New Roman" w:hAnsi="Times New Roman" w:cs="Times New Roman"/>
          <w:b/>
          <w:bCs/>
          <w:sz w:val="20"/>
          <w:szCs w:val="20"/>
          <w:lang w:bidi="ar-EG"/>
        </w:rPr>
        <w:t>DM duration</w:t>
      </w:r>
      <w:r w:rsidRPr="008047D3">
        <w:rPr>
          <w:rFonts w:ascii="Times New Roman" w:eastAsia="Times New Roman" w:hAnsi="Times New Roman" w:cs="Times New Roman"/>
          <w:sz w:val="20"/>
          <w:szCs w:val="20"/>
          <w:lang w:bidi="ar-EG"/>
        </w:rPr>
        <w:t xml:space="preserve"> (r=0.648, P-value=0.00), </w:t>
      </w:r>
      <w:r w:rsidRPr="008047D3">
        <w:rPr>
          <w:rFonts w:ascii="Times New Roman" w:eastAsia="Times New Roman" w:hAnsi="Times New Roman" w:cs="Times New Roman"/>
          <w:b/>
          <w:bCs/>
          <w:sz w:val="20"/>
          <w:szCs w:val="20"/>
          <w:lang w:bidi="ar-EG"/>
        </w:rPr>
        <w:t>serum triglycerides</w:t>
      </w:r>
      <w:r w:rsidRPr="008047D3">
        <w:rPr>
          <w:rFonts w:ascii="Times New Roman" w:eastAsia="Times New Roman" w:hAnsi="Times New Roman" w:cs="Times New Roman"/>
          <w:sz w:val="20"/>
          <w:szCs w:val="20"/>
          <w:lang w:bidi="ar-EG"/>
        </w:rPr>
        <w:t xml:space="preserve"> (r=0.563, P-value 0.005), </w:t>
      </w:r>
      <w:r w:rsidRPr="008047D3">
        <w:rPr>
          <w:rFonts w:ascii="Times New Roman" w:eastAsia="Times New Roman" w:hAnsi="Times New Roman" w:cs="Times New Roman"/>
          <w:b/>
          <w:bCs/>
          <w:sz w:val="20"/>
          <w:szCs w:val="20"/>
          <w:lang w:bidi="ar-EG"/>
        </w:rPr>
        <w:t>HBA1c</w:t>
      </w:r>
      <w:r w:rsidRPr="008047D3">
        <w:rPr>
          <w:rFonts w:ascii="Times New Roman" w:eastAsia="Times New Roman" w:hAnsi="Times New Roman" w:cs="Times New Roman"/>
          <w:sz w:val="20"/>
          <w:szCs w:val="20"/>
          <w:lang w:bidi="ar-EG"/>
        </w:rPr>
        <w:t xml:space="preserve"> (r=0.525, P-value=0.004), </w:t>
      </w:r>
      <w:r w:rsidRPr="008047D3">
        <w:rPr>
          <w:rFonts w:ascii="Times New Roman" w:eastAsia="Times New Roman" w:hAnsi="Times New Roman" w:cs="Times New Roman"/>
          <w:b/>
          <w:bCs/>
          <w:sz w:val="20"/>
          <w:szCs w:val="20"/>
          <w:lang w:bidi="ar-EG"/>
        </w:rPr>
        <w:t>serum uric acid</w:t>
      </w:r>
      <w:r w:rsidRPr="008047D3">
        <w:rPr>
          <w:rFonts w:ascii="Times New Roman" w:eastAsia="Times New Roman" w:hAnsi="Times New Roman" w:cs="Times New Roman"/>
          <w:sz w:val="20"/>
          <w:szCs w:val="20"/>
          <w:lang w:bidi="ar-EG"/>
        </w:rPr>
        <w:t xml:space="preserve"> (r=0.521, P-value 0.002), </w:t>
      </w:r>
      <w:r w:rsidRPr="008047D3">
        <w:rPr>
          <w:rFonts w:ascii="Times New Roman" w:eastAsia="Times New Roman" w:hAnsi="Times New Roman" w:cs="Times New Roman"/>
          <w:b/>
          <w:bCs/>
          <w:sz w:val="20"/>
          <w:szCs w:val="20"/>
          <w:lang w:bidi="ar-EG"/>
        </w:rPr>
        <w:t>serum creatinine</w:t>
      </w:r>
      <w:r w:rsidRPr="008047D3">
        <w:rPr>
          <w:rFonts w:ascii="Times New Roman" w:eastAsia="Times New Roman" w:hAnsi="Times New Roman" w:cs="Times New Roman"/>
          <w:sz w:val="20"/>
          <w:szCs w:val="20"/>
          <w:lang w:bidi="ar-EG"/>
        </w:rPr>
        <w:t xml:space="preserve"> (r=0.787, P-value= </w:t>
      </w:r>
      <w:r w:rsidRPr="008047D3">
        <w:rPr>
          <w:rFonts w:ascii="Times New Roman" w:eastAsia="Times New Roman" w:hAnsi="Times New Roman" w:cs="Times New Roman"/>
          <w:sz w:val="20"/>
          <w:szCs w:val="20"/>
          <w:lang w:bidi="ar-EG"/>
        </w:rPr>
        <w:lastRenderedPageBreak/>
        <w:t xml:space="preserve">0.00), </w:t>
      </w:r>
      <w:r w:rsidRPr="008047D3">
        <w:rPr>
          <w:rFonts w:ascii="Times New Roman" w:eastAsia="Times New Roman" w:hAnsi="Times New Roman" w:cs="Times New Roman"/>
          <w:b/>
          <w:bCs/>
          <w:sz w:val="20"/>
          <w:szCs w:val="20"/>
          <w:lang w:bidi="ar-EG"/>
        </w:rPr>
        <w:t>BUN</w:t>
      </w:r>
      <w:r w:rsidRPr="008047D3">
        <w:rPr>
          <w:rFonts w:ascii="Times New Roman" w:eastAsia="Times New Roman" w:hAnsi="Times New Roman" w:cs="Times New Roman"/>
          <w:sz w:val="20"/>
          <w:szCs w:val="20"/>
          <w:lang w:bidi="ar-EG"/>
        </w:rPr>
        <w:t xml:space="preserve"> (r=0.856, P- value=0.00) and </w:t>
      </w:r>
      <w:r w:rsidRPr="008047D3">
        <w:rPr>
          <w:rFonts w:ascii="Times New Roman" w:eastAsia="Times New Roman" w:hAnsi="Times New Roman" w:cs="Times New Roman"/>
          <w:b/>
          <w:bCs/>
          <w:sz w:val="20"/>
          <w:szCs w:val="20"/>
          <w:lang w:bidi="ar-EG"/>
        </w:rPr>
        <w:t>ACR</w:t>
      </w:r>
      <w:r w:rsidRPr="008047D3">
        <w:rPr>
          <w:rFonts w:ascii="Times New Roman" w:eastAsia="Times New Roman" w:hAnsi="Times New Roman" w:cs="Times New Roman"/>
          <w:sz w:val="20"/>
          <w:szCs w:val="20"/>
          <w:lang w:bidi="ar-EG"/>
        </w:rPr>
        <w:t xml:space="preserve"> (r=0.625, P-value=0.003) in the studied groups. </w:t>
      </w:r>
    </w:p>
    <w:p w:rsidR="00742C0E" w:rsidRPr="008047D3" w:rsidRDefault="00742C0E" w:rsidP="00657BEC">
      <w:pPr>
        <w:snapToGrid w:val="0"/>
        <w:spacing w:after="0" w:line="240" w:lineRule="auto"/>
        <w:ind w:firstLine="425"/>
        <w:jc w:val="both"/>
        <w:rPr>
          <w:rFonts w:ascii="Times New Roman" w:eastAsia="Times New Roman" w:hAnsi="Times New Roman" w:cs="Times New Roman"/>
          <w:sz w:val="20"/>
          <w:szCs w:val="20"/>
          <w:lang w:bidi="ar-EG"/>
        </w:rPr>
      </w:pPr>
      <w:r w:rsidRPr="008047D3">
        <w:rPr>
          <w:rFonts w:ascii="Times New Roman" w:eastAsia="Times New Roman" w:hAnsi="Times New Roman" w:cs="Times New Roman"/>
          <w:sz w:val="20"/>
          <w:szCs w:val="20"/>
          <w:lang w:bidi="ar-EG"/>
        </w:rPr>
        <w:t xml:space="preserve">But there was no statistically significant correlation between </w:t>
      </w:r>
      <w:r w:rsidRPr="008047D3">
        <w:rPr>
          <w:rFonts w:ascii="Times New Roman" w:eastAsia="Times New Roman" w:hAnsi="Times New Roman" w:cs="Times New Roman"/>
          <w:b/>
          <w:bCs/>
          <w:sz w:val="20"/>
          <w:szCs w:val="20"/>
          <w:lang w:bidi="ar-EG"/>
        </w:rPr>
        <w:t xml:space="preserve">serum Nesfatin-1 </w:t>
      </w:r>
      <w:r w:rsidRPr="008047D3">
        <w:rPr>
          <w:rFonts w:ascii="Times New Roman" w:eastAsia="Times New Roman" w:hAnsi="Times New Roman" w:cs="Times New Roman"/>
          <w:sz w:val="20"/>
          <w:szCs w:val="20"/>
          <w:lang w:bidi="ar-EG"/>
        </w:rPr>
        <w:t xml:space="preserve">and </w:t>
      </w:r>
      <w:r w:rsidRPr="008047D3">
        <w:rPr>
          <w:rFonts w:ascii="Times New Roman" w:eastAsia="Times New Roman" w:hAnsi="Times New Roman" w:cs="Times New Roman"/>
          <w:b/>
          <w:bCs/>
          <w:sz w:val="20"/>
          <w:szCs w:val="20"/>
          <w:lang w:bidi="ar-EG"/>
        </w:rPr>
        <w:t>age</w:t>
      </w:r>
      <w:r w:rsidRPr="008047D3">
        <w:rPr>
          <w:rFonts w:ascii="Times New Roman" w:eastAsia="Times New Roman" w:hAnsi="Times New Roman" w:cs="Times New Roman"/>
          <w:sz w:val="20"/>
          <w:szCs w:val="20"/>
          <w:lang w:bidi="ar-EG"/>
        </w:rPr>
        <w:t xml:space="preserve"> (r=0.217, P-value=0.528), </w:t>
      </w:r>
      <w:r w:rsidRPr="008047D3">
        <w:rPr>
          <w:rFonts w:ascii="Times New Roman" w:eastAsia="Times New Roman" w:hAnsi="Times New Roman" w:cs="Times New Roman"/>
          <w:b/>
          <w:bCs/>
          <w:sz w:val="20"/>
          <w:szCs w:val="20"/>
          <w:lang w:bidi="ar-EG"/>
        </w:rPr>
        <w:t>SBP</w:t>
      </w:r>
      <w:r w:rsidRPr="008047D3">
        <w:rPr>
          <w:rFonts w:ascii="Times New Roman" w:eastAsia="Times New Roman" w:hAnsi="Times New Roman" w:cs="Times New Roman"/>
          <w:sz w:val="20"/>
          <w:szCs w:val="20"/>
          <w:lang w:bidi="ar-EG"/>
        </w:rPr>
        <w:t xml:space="preserve"> (r=0.379, P-value=0.070), </w:t>
      </w:r>
      <w:r w:rsidRPr="008047D3">
        <w:rPr>
          <w:rFonts w:ascii="Times New Roman" w:eastAsia="Times New Roman" w:hAnsi="Times New Roman" w:cs="Times New Roman"/>
          <w:b/>
          <w:bCs/>
          <w:sz w:val="20"/>
          <w:szCs w:val="20"/>
          <w:lang w:bidi="ar-EG"/>
        </w:rPr>
        <w:t>DBP</w:t>
      </w:r>
      <w:r w:rsidRPr="008047D3">
        <w:rPr>
          <w:rFonts w:ascii="Times New Roman" w:eastAsia="Times New Roman" w:hAnsi="Times New Roman" w:cs="Times New Roman"/>
          <w:sz w:val="20"/>
          <w:szCs w:val="20"/>
          <w:lang w:bidi="ar-EG"/>
        </w:rPr>
        <w:t xml:space="preserve"> (r=0.163, P-value=0.141), </w:t>
      </w:r>
      <w:r w:rsidRPr="008047D3">
        <w:rPr>
          <w:rFonts w:ascii="Times New Roman" w:eastAsia="Times New Roman" w:hAnsi="Times New Roman" w:cs="Times New Roman"/>
          <w:b/>
          <w:bCs/>
          <w:sz w:val="20"/>
          <w:szCs w:val="20"/>
          <w:lang w:bidi="ar-EG"/>
        </w:rPr>
        <w:t>BMI</w:t>
      </w:r>
      <w:r w:rsidRPr="008047D3">
        <w:rPr>
          <w:rFonts w:ascii="Times New Roman" w:eastAsia="Times New Roman" w:hAnsi="Times New Roman" w:cs="Times New Roman"/>
          <w:sz w:val="20"/>
          <w:szCs w:val="20"/>
          <w:lang w:bidi="ar-EG"/>
        </w:rPr>
        <w:t xml:space="preserve"> (r=0.257, P-value=0.481), </w:t>
      </w:r>
      <w:r w:rsidRPr="008047D3">
        <w:rPr>
          <w:rFonts w:ascii="Times New Roman" w:eastAsia="Times New Roman" w:hAnsi="Times New Roman" w:cs="Times New Roman"/>
          <w:b/>
          <w:bCs/>
          <w:sz w:val="20"/>
          <w:szCs w:val="20"/>
          <w:lang w:bidi="ar-EG"/>
        </w:rPr>
        <w:t>ALT</w:t>
      </w:r>
      <w:r w:rsidRPr="008047D3">
        <w:rPr>
          <w:rFonts w:ascii="Times New Roman" w:eastAsia="Times New Roman" w:hAnsi="Times New Roman" w:cs="Times New Roman"/>
          <w:sz w:val="20"/>
          <w:szCs w:val="20"/>
          <w:lang w:bidi="ar-EG"/>
        </w:rPr>
        <w:t xml:space="preserve"> (r=0.361, P-value=0.354), </w:t>
      </w:r>
      <w:r w:rsidRPr="008047D3">
        <w:rPr>
          <w:rFonts w:ascii="Times New Roman" w:eastAsia="Times New Roman" w:hAnsi="Times New Roman" w:cs="Times New Roman"/>
          <w:b/>
          <w:bCs/>
          <w:sz w:val="20"/>
          <w:szCs w:val="20"/>
          <w:lang w:bidi="ar-EG"/>
        </w:rPr>
        <w:t>AST</w:t>
      </w:r>
      <w:r w:rsidRPr="008047D3">
        <w:rPr>
          <w:rFonts w:ascii="Times New Roman" w:eastAsia="Times New Roman" w:hAnsi="Times New Roman" w:cs="Times New Roman"/>
          <w:sz w:val="20"/>
          <w:szCs w:val="20"/>
          <w:lang w:bidi="ar-EG"/>
        </w:rPr>
        <w:t xml:space="preserve"> (r=0.322, P-value=0.457), </w:t>
      </w:r>
      <w:r w:rsidR="008047D3" w:rsidRPr="008047D3">
        <w:rPr>
          <w:rFonts w:ascii="Times New Roman" w:eastAsia="Times New Roman" w:hAnsi="Times New Roman" w:cs="Times New Roman"/>
          <w:b/>
          <w:bCs/>
          <w:sz w:val="20"/>
          <w:szCs w:val="20"/>
          <w:lang w:bidi="ar-EG"/>
        </w:rPr>
        <w:t>serum cholesterol</w:t>
      </w:r>
      <w:r w:rsidRPr="008047D3">
        <w:rPr>
          <w:rFonts w:ascii="Times New Roman" w:eastAsia="Times New Roman" w:hAnsi="Times New Roman" w:cs="Times New Roman"/>
          <w:sz w:val="20"/>
          <w:szCs w:val="20"/>
          <w:lang w:bidi="ar-EG"/>
        </w:rPr>
        <w:t xml:space="preserve"> (r=0.297</w:t>
      </w:r>
      <w:r w:rsidR="00D62B3D" w:rsidRPr="008047D3">
        <w:rPr>
          <w:rFonts w:ascii="Times New Roman" w:eastAsia="Times New Roman" w:hAnsi="Times New Roman" w:cs="Times New Roman"/>
          <w:sz w:val="20"/>
          <w:szCs w:val="20"/>
          <w:lang w:bidi="ar-EG"/>
        </w:rPr>
        <w:t>, P</w:t>
      </w:r>
      <w:r w:rsidRPr="008047D3">
        <w:rPr>
          <w:rFonts w:ascii="Times New Roman" w:eastAsia="Times New Roman" w:hAnsi="Times New Roman" w:cs="Times New Roman"/>
          <w:sz w:val="20"/>
          <w:szCs w:val="20"/>
          <w:lang w:bidi="ar-EG"/>
        </w:rPr>
        <w:t xml:space="preserve">-value=0.105), </w:t>
      </w:r>
      <w:r w:rsidRPr="008047D3">
        <w:rPr>
          <w:rFonts w:ascii="Times New Roman" w:eastAsia="Times New Roman" w:hAnsi="Times New Roman" w:cs="Times New Roman"/>
          <w:b/>
          <w:bCs/>
          <w:sz w:val="20"/>
          <w:szCs w:val="20"/>
          <w:lang w:bidi="ar-EG"/>
        </w:rPr>
        <w:t>FBS</w:t>
      </w:r>
      <w:r w:rsidRPr="008047D3">
        <w:rPr>
          <w:rFonts w:ascii="Times New Roman" w:eastAsia="Times New Roman" w:hAnsi="Times New Roman" w:cs="Times New Roman"/>
          <w:sz w:val="20"/>
          <w:szCs w:val="20"/>
          <w:lang w:bidi="ar-EG"/>
        </w:rPr>
        <w:t xml:space="preserve"> (R=0.199, P-value=0.130) and </w:t>
      </w:r>
      <w:r w:rsidRPr="008047D3">
        <w:rPr>
          <w:rFonts w:ascii="Times New Roman" w:eastAsia="Times New Roman" w:hAnsi="Times New Roman" w:cs="Times New Roman"/>
          <w:b/>
          <w:bCs/>
          <w:sz w:val="20"/>
          <w:szCs w:val="20"/>
          <w:lang w:bidi="ar-EG"/>
        </w:rPr>
        <w:t>2HP.P</w:t>
      </w:r>
      <w:r w:rsidRPr="008047D3">
        <w:rPr>
          <w:rFonts w:ascii="Times New Roman" w:eastAsia="Times New Roman" w:hAnsi="Times New Roman" w:cs="Times New Roman"/>
          <w:sz w:val="20"/>
          <w:szCs w:val="20"/>
          <w:lang w:bidi="ar-EG"/>
        </w:rPr>
        <w:t xml:space="preserve"> (r=0.149</w:t>
      </w:r>
      <w:r w:rsidR="00D62B3D" w:rsidRPr="008047D3">
        <w:rPr>
          <w:rFonts w:ascii="Times New Roman" w:eastAsia="Times New Roman" w:hAnsi="Times New Roman" w:cs="Times New Roman"/>
          <w:sz w:val="20"/>
          <w:szCs w:val="20"/>
          <w:lang w:bidi="ar-EG"/>
        </w:rPr>
        <w:t>, P</w:t>
      </w:r>
      <w:r w:rsidRPr="008047D3">
        <w:rPr>
          <w:rFonts w:ascii="Times New Roman" w:eastAsia="Times New Roman" w:hAnsi="Times New Roman" w:cs="Times New Roman"/>
          <w:sz w:val="20"/>
          <w:szCs w:val="20"/>
          <w:lang w:bidi="ar-EG"/>
        </w:rPr>
        <w:t>-value=0.145) in the studied groups.</w:t>
      </w:r>
    </w:p>
    <w:p w:rsidR="00657BEC" w:rsidRPr="008047D3" w:rsidRDefault="00657BEC" w:rsidP="00657BEC">
      <w:pPr>
        <w:snapToGrid w:val="0"/>
        <w:spacing w:after="0" w:line="240" w:lineRule="auto"/>
        <w:jc w:val="both"/>
        <w:rPr>
          <w:rFonts w:ascii="Times New Roman" w:hAnsi="Times New Roman" w:cs="Times New Roman"/>
          <w:b/>
          <w:bCs/>
          <w:color w:val="000000"/>
          <w:sz w:val="20"/>
          <w:szCs w:val="20"/>
        </w:rPr>
        <w:sectPr w:rsidR="00657BEC" w:rsidRPr="008047D3" w:rsidSect="005E40AC">
          <w:type w:val="continuous"/>
          <w:pgSz w:w="12240" w:h="15840" w:code="13"/>
          <w:pgMar w:top="1440" w:right="1440" w:bottom="1440" w:left="1440" w:header="720" w:footer="720" w:gutter="0"/>
          <w:cols w:num="2" w:space="550"/>
          <w:docGrid w:linePitch="360"/>
        </w:sectPr>
      </w:pPr>
    </w:p>
    <w:p w:rsidR="00742C0E" w:rsidRPr="008047D3" w:rsidRDefault="00742C0E" w:rsidP="00657BEC">
      <w:pPr>
        <w:snapToGrid w:val="0"/>
        <w:spacing w:after="0" w:line="240" w:lineRule="auto"/>
        <w:jc w:val="both"/>
        <w:rPr>
          <w:rFonts w:ascii="Times New Roman" w:hAnsi="Times New Roman" w:cs="Times New Roman"/>
          <w:b/>
          <w:bCs/>
          <w:color w:val="000000"/>
          <w:sz w:val="20"/>
          <w:szCs w:val="20"/>
        </w:rPr>
      </w:pPr>
    </w:p>
    <w:p w:rsidR="00F95C12" w:rsidRPr="008047D3" w:rsidRDefault="00F95C12" w:rsidP="00D62B3D">
      <w:pPr>
        <w:snapToGrid w:val="0"/>
        <w:spacing w:after="0" w:line="240" w:lineRule="auto"/>
        <w:jc w:val="center"/>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Table (11): Correlations between serum Nesfatin-1 level and the study parameters:</w:t>
      </w:r>
    </w:p>
    <w:tbl>
      <w:tblPr>
        <w:tblStyle w:val="TableGrid"/>
        <w:tblW w:w="5000" w:type="pct"/>
        <w:jc w:val="center"/>
        <w:tblCellMar>
          <w:left w:w="57" w:type="dxa"/>
          <w:right w:w="57" w:type="dxa"/>
        </w:tblCellMar>
        <w:tblLook w:val="0000"/>
      </w:tblPr>
      <w:tblGrid>
        <w:gridCol w:w="4775"/>
        <w:gridCol w:w="2158"/>
        <w:gridCol w:w="2541"/>
      </w:tblGrid>
      <w:tr w:rsidR="00F95C12" w:rsidRPr="008047D3" w:rsidTr="00310F47">
        <w:trPr>
          <w:jc w:val="center"/>
        </w:trPr>
        <w:tc>
          <w:tcPr>
            <w:tcW w:w="2520" w:type="pct"/>
            <w:shd w:val="clear" w:color="auto" w:fill="DEEAF6" w:themeFill="accent1" w:themeFillTint="33"/>
            <w:vAlign w:val="center"/>
          </w:tcPr>
          <w:p w:rsidR="00F95C12" w:rsidRPr="008047D3" w:rsidRDefault="00F95C12" w:rsidP="00657BEC">
            <w:pPr>
              <w:autoSpaceDE w:val="0"/>
              <w:autoSpaceDN w:val="0"/>
              <w:bidi w:val="0"/>
              <w:adjustRightInd w:val="0"/>
              <w:snapToGrid w:val="0"/>
              <w:jc w:val="both"/>
              <w:rPr>
                <w:color w:val="000000"/>
              </w:rPr>
            </w:pPr>
          </w:p>
        </w:tc>
        <w:tc>
          <w:tcPr>
            <w:tcW w:w="2480" w:type="pct"/>
            <w:gridSpan w:val="2"/>
            <w:shd w:val="clear" w:color="auto" w:fill="DEEAF6" w:themeFill="accent1" w:themeFillTint="33"/>
            <w:vAlign w:val="center"/>
          </w:tcPr>
          <w:p w:rsidR="00F95C12" w:rsidRPr="008047D3" w:rsidRDefault="00310F47" w:rsidP="00657BEC">
            <w:pPr>
              <w:autoSpaceDE w:val="0"/>
              <w:autoSpaceDN w:val="0"/>
              <w:bidi w:val="0"/>
              <w:adjustRightInd w:val="0"/>
              <w:snapToGrid w:val="0"/>
              <w:jc w:val="both"/>
              <w:rPr>
                <w:b/>
                <w:bCs/>
                <w:color w:val="000000"/>
              </w:rPr>
            </w:pPr>
            <w:r w:rsidRPr="008047D3">
              <w:rPr>
                <w:b/>
                <w:bCs/>
                <w:color w:val="000000"/>
              </w:rPr>
              <w:t xml:space="preserve"> </w:t>
            </w:r>
            <w:r w:rsidR="00F95C12" w:rsidRPr="008047D3">
              <w:rPr>
                <w:b/>
                <w:bCs/>
                <w:color w:val="000000"/>
              </w:rPr>
              <w:t>S.Nesfatin-1</w:t>
            </w:r>
          </w:p>
        </w:tc>
      </w:tr>
      <w:tr w:rsidR="00F95C12" w:rsidRPr="008047D3" w:rsidTr="00310F47">
        <w:trPr>
          <w:jc w:val="center"/>
        </w:trPr>
        <w:tc>
          <w:tcPr>
            <w:tcW w:w="2520" w:type="pct"/>
            <w:shd w:val="clear" w:color="auto" w:fill="DEEAF6" w:themeFill="accent1" w:themeFillTint="33"/>
            <w:vAlign w:val="center"/>
          </w:tcPr>
          <w:p w:rsidR="00F95C12" w:rsidRPr="008047D3" w:rsidRDefault="00F95C12" w:rsidP="00657BEC">
            <w:pPr>
              <w:autoSpaceDE w:val="0"/>
              <w:autoSpaceDN w:val="0"/>
              <w:bidi w:val="0"/>
              <w:adjustRightInd w:val="0"/>
              <w:snapToGrid w:val="0"/>
              <w:jc w:val="both"/>
              <w:rPr>
                <w:color w:val="000000"/>
              </w:rPr>
            </w:pPr>
          </w:p>
        </w:tc>
        <w:tc>
          <w:tcPr>
            <w:tcW w:w="1139" w:type="pct"/>
            <w:shd w:val="clear" w:color="auto" w:fill="DEEAF6" w:themeFill="accent1" w:themeFillTint="33"/>
            <w:vAlign w:val="center"/>
          </w:tcPr>
          <w:p w:rsidR="00F95C12" w:rsidRPr="008047D3" w:rsidRDefault="00F95C12" w:rsidP="00657BEC">
            <w:pPr>
              <w:autoSpaceDE w:val="0"/>
              <w:autoSpaceDN w:val="0"/>
              <w:bidi w:val="0"/>
              <w:adjustRightInd w:val="0"/>
              <w:snapToGrid w:val="0"/>
              <w:jc w:val="both"/>
              <w:rPr>
                <w:b/>
                <w:bCs/>
                <w:color w:val="000000"/>
              </w:rPr>
            </w:pPr>
            <w:r w:rsidRPr="008047D3">
              <w:rPr>
                <w:b/>
                <w:bCs/>
                <w:color w:val="000000"/>
              </w:rPr>
              <w:t>r</w:t>
            </w:r>
          </w:p>
        </w:tc>
        <w:tc>
          <w:tcPr>
            <w:tcW w:w="1341" w:type="pct"/>
            <w:shd w:val="clear" w:color="auto" w:fill="DEEAF6" w:themeFill="accent1" w:themeFillTint="33"/>
            <w:vAlign w:val="center"/>
          </w:tcPr>
          <w:p w:rsidR="00F95C12" w:rsidRPr="008047D3" w:rsidRDefault="00F95C12" w:rsidP="00657BEC">
            <w:pPr>
              <w:autoSpaceDE w:val="0"/>
              <w:autoSpaceDN w:val="0"/>
              <w:bidi w:val="0"/>
              <w:adjustRightInd w:val="0"/>
              <w:snapToGrid w:val="0"/>
              <w:jc w:val="both"/>
              <w:rPr>
                <w:b/>
                <w:bCs/>
                <w:color w:val="000000"/>
              </w:rPr>
            </w:pPr>
            <w:r w:rsidRPr="008047D3">
              <w:rPr>
                <w:b/>
                <w:bCs/>
                <w:color w:val="000000"/>
              </w:rPr>
              <w:t>P</w:t>
            </w:r>
          </w:p>
        </w:tc>
      </w:tr>
      <w:tr w:rsidR="00F95C12" w:rsidRPr="008047D3" w:rsidTr="00310F47">
        <w:trPr>
          <w:jc w:val="center"/>
        </w:trPr>
        <w:tc>
          <w:tcPr>
            <w:tcW w:w="2520" w:type="pct"/>
            <w:shd w:val="clear" w:color="auto" w:fill="DEEAF6" w:themeFill="accent1" w:themeFillTint="33"/>
            <w:vAlign w:val="center"/>
          </w:tcPr>
          <w:p w:rsidR="00F95C12" w:rsidRPr="008047D3" w:rsidRDefault="00F95C12" w:rsidP="00657BEC">
            <w:pPr>
              <w:bidi w:val="0"/>
              <w:snapToGrid w:val="0"/>
              <w:jc w:val="both"/>
              <w:rPr>
                <w:b/>
                <w:bCs/>
                <w:lang w:bidi="ar-EG"/>
              </w:rPr>
            </w:pPr>
            <w:r w:rsidRPr="008047D3">
              <w:rPr>
                <w:b/>
                <w:bCs/>
                <w:lang w:bidi="ar-EG"/>
              </w:rPr>
              <w:t>Age</w:t>
            </w:r>
          </w:p>
        </w:tc>
        <w:tc>
          <w:tcPr>
            <w:tcW w:w="1139"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0.217</w:t>
            </w:r>
          </w:p>
        </w:tc>
        <w:tc>
          <w:tcPr>
            <w:tcW w:w="1341"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0.528</w:t>
            </w:r>
          </w:p>
        </w:tc>
      </w:tr>
      <w:tr w:rsidR="00F95C12" w:rsidRPr="008047D3" w:rsidTr="00310F47">
        <w:trPr>
          <w:jc w:val="center"/>
        </w:trPr>
        <w:tc>
          <w:tcPr>
            <w:tcW w:w="2520" w:type="pct"/>
            <w:shd w:val="clear" w:color="auto" w:fill="DEEAF6" w:themeFill="accent1" w:themeFillTint="33"/>
            <w:vAlign w:val="center"/>
          </w:tcPr>
          <w:p w:rsidR="00F95C12" w:rsidRPr="008047D3" w:rsidRDefault="00F95C12" w:rsidP="00657BEC">
            <w:pPr>
              <w:bidi w:val="0"/>
              <w:snapToGrid w:val="0"/>
              <w:jc w:val="both"/>
              <w:rPr>
                <w:b/>
                <w:bCs/>
                <w:lang w:bidi="ar-EG"/>
              </w:rPr>
            </w:pPr>
            <w:r w:rsidRPr="008047D3">
              <w:rPr>
                <w:b/>
                <w:bCs/>
                <w:lang w:bidi="ar-EG"/>
              </w:rPr>
              <w:t>SBP</w:t>
            </w:r>
          </w:p>
        </w:tc>
        <w:tc>
          <w:tcPr>
            <w:tcW w:w="1139"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0.379</w:t>
            </w:r>
          </w:p>
        </w:tc>
        <w:tc>
          <w:tcPr>
            <w:tcW w:w="1341"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0.070</w:t>
            </w:r>
          </w:p>
        </w:tc>
      </w:tr>
      <w:tr w:rsidR="00F95C12" w:rsidRPr="008047D3" w:rsidTr="00310F47">
        <w:trPr>
          <w:jc w:val="center"/>
        </w:trPr>
        <w:tc>
          <w:tcPr>
            <w:tcW w:w="2520" w:type="pct"/>
            <w:shd w:val="clear" w:color="auto" w:fill="DEEAF6" w:themeFill="accent1" w:themeFillTint="33"/>
            <w:vAlign w:val="center"/>
          </w:tcPr>
          <w:p w:rsidR="00F95C12" w:rsidRPr="008047D3" w:rsidRDefault="00F95C12" w:rsidP="00657BEC">
            <w:pPr>
              <w:bidi w:val="0"/>
              <w:snapToGrid w:val="0"/>
              <w:jc w:val="both"/>
              <w:rPr>
                <w:b/>
                <w:bCs/>
                <w:lang w:bidi="ar-EG"/>
              </w:rPr>
            </w:pPr>
            <w:r w:rsidRPr="008047D3">
              <w:rPr>
                <w:b/>
                <w:bCs/>
                <w:lang w:bidi="ar-EG"/>
              </w:rPr>
              <w:t>DBP</w:t>
            </w:r>
          </w:p>
        </w:tc>
        <w:tc>
          <w:tcPr>
            <w:tcW w:w="1139"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0.163</w:t>
            </w:r>
          </w:p>
        </w:tc>
        <w:tc>
          <w:tcPr>
            <w:tcW w:w="1341"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0.141</w:t>
            </w:r>
          </w:p>
        </w:tc>
      </w:tr>
      <w:tr w:rsidR="00F95C12" w:rsidRPr="008047D3" w:rsidTr="00310F47">
        <w:trPr>
          <w:jc w:val="center"/>
        </w:trPr>
        <w:tc>
          <w:tcPr>
            <w:tcW w:w="2520" w:type="pct"/>
            <w:shd w:val="clear" w:color="auto" w:fill="DEEAF6" w:themeFill="accent1" w:themeFillTint="33"/>
            <w:vAlign w:val="center"/>
          </w:tcPr>
          <w:p w:rsidR="00F95C12" w:rsidRPr="008047D3" w:rsidRDefault="00F95C12" w:rsidP="00657BEC">
            <w:pPr>
              <w:bidi w:val="0"/>
              <w:snapToGrid w:val="0"/>
              <w:jc w:val="both"/>
              <w:rPr>
                <w:b/>
                <w:bCs/>
                <w:lang w:bidi="ar-EG"/>
              </w:rPr>
            </w:pPr>
            <w:r w:rsidRPr="008047D3">
              <w:rPr>
                <w:b/>
                <w:bCs/>
                <w:lang w:bidi="ar-EG"/>
              </w:rPr>
              <w:t>BMI</w:t>
            </w:r>
          </w:p>
        </w:tc>
        <w:tc>
          <w:tcPr>
            <w:tcW w:w="1139"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0.257</w:t>
            </w:r>
          </w:p>
        </w:tc>
        <w:tc>
          <w:tcPr>
            <w:tcW w:w="1341"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0.481</w:t>
            </w:r>
          </w:p>
        </w:tc>
      </w:tr>
      <w:tr w:rsidR="00F95C12" w:rsidRPr="008047D3" w:rsidTr="00310F47">
        <w:trPr>
          <w:jc w:val="center"/>
        </w:trPr>
        <w:tc>
          <w:tcPr>
            <w:tcW w:w="2520" w:type="pct"/>
            <w:shd w:val="clear" w:color="auto" w:fill="DEEAF6" w:themeFill="accent1" w:themeFillTint="33"/>
            <w:vAlign w:val="center"/>
          </w:tcPr>
          <w:p w:rsidR="00F95C12" w:rsidRPr="008047D3" w:rsidRDefault="00F95C12" w:rsidP="00657BEC">
            <w:pPr>
              <w:bidi w:val="0"/>
              <w:snapToGrid w:val="0"/>
              <w:jc w:val="both"/>
              <w:rPr>
                <w:b/>
                <w:bCs/>
                <w:lang w:bidi="ar-EG"/>
              </w:rPr>
            </w:pPr>
            <w:r w:rsidRPr="008047D3">
              <w:rPr>
                <w:b/>
                <w:bCs/>
                <w:lang w:bidi="ar-EG"/>
              </w:rPr>
              <w:t>DM duration</w:t>
            </w:r>
          </w:p>
        </w:tc>
        <w:tc>
          <w:tcPr>
            <w:tcW w:w="1139"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0.648</w:t>
            </w:r>
          </w:p>
        </w:tc>
        <w:tc>
          <w:tcPr>
            <w:tcW w:w="1341" w:type="pct"/>
            <w:vAlign w:val="center"/>
          </w:tcPr>
          <w:p w:rsidR="00F95C12" w:rsidRPr="008047D3" w:rsidRDefault="00F95C12" w:rsidP="00657BEC">
            <w:pPr>
              <w:autoSpaceDE w:val="0"/>
              <w:autoSpaceDN w:val="0"/>
              <w:bidi w:val="0"/>
              <w:adjustRightInd w:val="0"/>
              <w:snapToGrid w:val="0"/>
              <w:jc w:val="both"/>
              <w:rPr>
                <w:b/>
                <w:bCs/>
                <w:color w:val="000000"/>
              </w:rPr>
            </w:pPr>
            <w:r w:rsidRPr="008047D3">
              <w:rPr>
                <w:b/>
                <w:bCs/>
                <w:color w:val="000000"/>
              </w:rPr>
              <w:t>0.00**</w:t>
            </w:r>
          </w:p>
        </w:tc>
      </w:tr>
      <w:tr w:rsidR="00F95C12" w:rsidRPr="008047D3" w:rsidTr="00310F47">
        <w:trPr>
          <w:jc w:val="center"/>
        </w:trPr>
        <w:tc>
          <w:tcPr>
            <w:tcW w:w="2520" w:type="pct"/>
            <w:shd w:val="clear" w:color="auto" w:fill="DEEAF6" w:themeFill="accent1" w:themeFillTint="33"/>
            <w:vAlign w:val="center"/>
          </w:tcPr>
          <w:p w:rsidR="00F95C12" w:rsidRPr="008047D3" w:rsidRDefault="00F95C12" w:rsidP="00657BEC">
            <w:pPr>
              <w:bidi w:val="0"/>
              <w:snapToGrid w:val="0"/>
              <w:jc w:val="both"/>
              <w:rPr>
                <w:b/>
                <w:bCs/>
                <w:lang w:bidi="ar-EG"/>
              </w:rPr>
            </w:pPr>
            <w:r w:rsidRPr="008047D3">
              <w:rPr>
                <w:b/>
                <w:bCs/>
                <w:lang w:bidi="ar-EG"/>
              </w:rPr>
              <w:t>ALT</w:t>
            </w:r>
          </w:p>
        </w:tc>
        <w:tc>
          <w:tcPr>
            <w:tcW w:w="1139"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0.361</w:t>
            </w:r>
          </w:p>
        </w:tc>
        <w:tc>
          <w:tcPr>
            <w:tcW w:w="1341"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0.354</w:t>
            </w:r>
          </w:p>
        </w:tc>
      </w:tr>
      <w:tr w:rsidR="00F95C12" w:rsidRPr="008047D3" w:rsidTr="00310F47">
        <w:trPr>
          <w:jc w:val="center"/>
        </w:trPr>
        <w:tc>
          <w:tcPr>
            <w:tcW w:w="2520" w:type="pct"/>
            <w:shd w:val="clear" w:color="auto" w:fill="DEEAF6" w:themeFill="accent1" w:themeFillTint="33"/>
            <w:vAlign w:val="center"/>
          </w:tcPr>
          <w:p w:rsidR="00F95C12" w:rsidRPr="008047D3" w:rsidRDefault="00F95C12" w:rsidP="00657BEC">
            <w:pPr>
              <w:bidi w:val="0"/>
              <w:snapToGrid w:val="0"/>
              <w:jc w:val="both"/>
              <w:rPr>
                <w:b/>
                <w:bCs/>
                <w:lang w:bidi="ar-EG"/>
              </w:rPr>
            </w:pPr>
            <w:r w:rsidRPr="008047D3">
              <w:rPr>
                <w:b/>
                <w:bCs/>
                <w:lang w:bidi="ar-EG"/>
              </w:rPr>
              <w:t>AST</w:t>
            </w:r>
          </w:p>
        </w:tc>
        <w:tc>
          <w:tcPr>
            <w:tcW w:w="1139"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0.322</w:t>
            </w:r>
          </w:p>
        </w:tc>
        <w:tc>
          <w:tcPr>
            <w:tcW w:w="1341"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0.457</w:t>
            </w:r>
          </w:p>
        </w:tc>
      </w:tr>
      <w:tr w:rsidR="00F95C12" w:rsidRPr="008047D3" w:rsidTr="00310F47">
        <w:trPr>
          <w:jc w:val="center"/>
        </w:trPr>
        <w:tc>
          <w:tcPr>
            <w:tcW w:w="2520" w:type="pct"/>
            <w:shd w:val="clear" w:color="auto" w:fill="DEEAF6" w:themeFill="accent1" w:themeFillTint="33"/>
            <w:vAlign w:val="center"/>
          </w:tcPr>
          <w:p w:rsidR="00F95C12" w:rsidRPr="008047D3" w:rsidRDefault="00F95C12" w:rsidP="00657BEC">
            <w:pPr>
              <w:bidi w:val="0"/>
              <w:snapToGrid w:val="0"/>
              <w:jc w:val="both"/>
              <w:rPr>
                <w:b/>
                <w:bCs/>
                <w:lang w:bidi="ar-EG"/>
              </w:rPr>
            </w:pPr>
            <w:r w:rsidRPr="008047D3">
              <w:rPr>
                <w:b/>
                <w:bCs/>
                <w:lang w:bidi="ar-EG"/>
              </w:rPr>
              <w:t>Cholesterol</w:t>
            </w:r>
          </w:p>
        </w:tc>
        <w:tc>
          <w:tcPr>
            <w:tcW w:w="1139"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0.297</w:t>
            </w:r>
          </w:p>
        </w:tc>
        <w:tc>
          <w:tcPr>
            <w:tcW w:w="1341"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0.105</w:t>
            </w:r>
          </w:p>
        </w:tc>
      </w:tr>
      <w:tr w:rsidR="00F95C12" w:rsidRPr="008047D3" w:rsidTr="00310F47">
        <w:trPr>
          <w:jc w:val="center"/>
        </w:trPr>
        <w:tc>
          <w:tcPr>
            <w:tcW w:w="2520" w:type="pct"/>
            <w:shd w:val="clear" w:color="auto" w:fill="DEEAF6" w:themeFill="accent1" w:themeFillTint="33"/>
            <w:vAlign w:val="center"/>
          </w:tcPr>
          <w:p w:rsidR="00F95C12" w:rsidRPr="008047D3" w:rsidRDefault="00F95C12" w:rsidP="00657BEC">
            <w:pPr>
              <w:bidi w:val="0"/>
              <w:snapToGrid w:val="0"/>
              <w:jc w:val="both"/>
              <w:rPr>
                <w:b/>
                <w:bCs/>
                <w:lang w:bidi="ar-EG"/>
              </w:rPr>
            </w:pPr>
            <w:r w:rsidRPr="008047D3">
              <w:rPr>
                <w:b/>
                <w:bCs/>
                <w:lang w:bidi="ar-EG"/>
              </w:rPr>
              <w:t>Triglycerides</w:t>
            </w:r>
          </w:p>
        </w:tc>
        <w:tc>
          <w:tcPr>
            <w:tcW w:w="1139"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0.563</w:t>
            </w:r>
          </w:p>
        </w:tc>
        <w:tc>
          <w:tcPr>
            <w:tcW w:w="1341" w:type="pct"/>
            <w:vAlign w:val="center"/>
          </w:tcPr>
          <w:p w:rsidR="00F95C12" w:rsidRPr="008047D3" w:rsidRDefault="00F95C12" w:rsidP="00657BEC">
            <w:pPr>
              <w:autoSpaceDE w:val="0"/>
              <w:autoSpaceDN w:val="0"/>
              <w:bidi w:val="0"/>
              <w:adjustRightInd w:val="0"/>
              <w:snapToGrid w:val="0"/>
              <w:jc w:val="both"/>
              <w:rPr>
                <w:b/>
                <w:bCs/>
                <w:color w:val="000000"/>
              </w:rPr>
            </w:pPr>
            <w:r w:rsidRPr="008047D3">
              <w:rPr>
                <w:b/>
                <w:bCs/>
                <w:color w:val="000000"/>
              </w:rPr>
              <w:t>0.005*</w:t>
            </w:r>
          </w:p>
        </w:tc>
      </w:tr>
      <w:tr w:rsidR="00F95C12" w:rsidRPr="008047D3" w:rsidTr="00310F47">
        <w:trPr>
          <w:jc w:val="center"/>
        </w:trPr>
        <w:tc>
          <w:tcPr>
            <w:tcW w:w="2520" w:type="pct"/>
            <w:shd w:val="clear" w:color="auto" w:fill="DEEAF6" w:themeFill="accent1" w:themeFillTint="33"/>
            <w:vAlign w:val="center"/>
          </w:tcPr>
          <w:p w:rsidR="00F95C12" w:rsidRPr="008047D3" w:rsidRDefault="00F95C12" w:rsidP="00657BEC">
            <w:pPr>
              <w:bidi w:val="0"/>
              <w:snapToGrid w:val="0"/>
              <w:jc w:val="both"/>
              <w:rPr>
                <w:b/>
                <w:bCs/>
                <w:lang w:bidi="ar-EG"/>
              </w:rPr>
            </w:pPr>
            <w:r w:rsidRPr="008047D3">
              <w:rPr>
                <w:b/>
                <w:bCs/>
                <w:lang w:bidi="ar-EG"/>
              </w:rPr>
              <w:t>FBS</w:t>
            </w:r>
          </w:p>
        </w:tc>
        <w:tc>
          <w:tcPr>
            <w:tcW w:w="1139"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0.199</w:t>
            </w:r>
          </w:p>
        </w:tc>
        <w:tc>
          <w:tcPr>
            <w:tcW w:w="1341"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0.130</w:t>
            </w:r>
          </w:p>
        </w:tc>
      </w:tr>
      <w:tr w:rsidR="00F95C12" w:rsidRPr="008047D3" w:rsidTr="00310F47">
        <w:trPr>
          <w:jc w:val="center"/>
        </w:trPr>
        <w:tc>
          <w:tcPr>
            <w:tcW w:w="2520" w:type="pct"/>
            <w:shd w:val="clear" w:color="auto" w:fill="DEEAF6" w:themeFill="accent1" w:themeFillTint="33"/>
            <w:vAlign w:val="center"/>
          </w:tcPr>
          <w:p w:rsidR="00F95C12" w:rsidRPr="008047D3" w:rsidRDefault="00F95C12" w:rsidP="00657BEC">
            <w:pPr>
              <w:bidi w:val="0"/>
              <w:snapToGrid w:val="0"/>
              <w:jc w:val="both"/>
              <w:rPr>
                <w:b/>
                <w:bCs/>
                <w:lang w:bidi="ar-EG"/>
              </w:rPr>
            </w:pPr>
            <w:r w:rsidRPr="008047D3">
              <w:rPr>
                <w:b/>
                <w:bCs/>
                <w:lang w:bidi="ar-EG"/>
              </w:rPr>
              <w:t>2HP.P BG</w:t>
            </w:r>
          </w:p>
        </w:tc>
        <w:tc>
          <w:tcPr>
            <w:tcW w:w="1139"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0.149</w:t>
            </w:r>
          </w:p>
        </w:tc>
        <w:tc>
          <w:tcPr>
            <w:tcW w:w="1341"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0.145</w:t>
            </w:r>
          </w:p>
        </w:tc>
      </w:tr>
      <w:tr w:rsidR="00F95C12" w:rsidRPr="008047D3" w:rsidTr="00310F47">
        <w:trPr>
          <w:jc w:val="center"/>
        </w:trPr>
        <w:tc>
          <w:tcPr>
            <w:tcW w:w="2520" w:type="pct"/>
            <w:shd w:val="clear" w:color="auto" w:fill="DEEAF6" w:themeFill="accent1" w:themeFillTint="33"/>
            <w:vAlign w:val="center"/>
          </w:tcPr>
          <w:p w:rsidR="00F95C12" w:rsidRPr="008047D3" w:rsidRDefault="00F95C12" w:rsidP="009514E0">
            <w:pPr>
              <w:bidi w:val="0"/>
              <w:snapToGrid w:val="0"/>
              <w:jc w:val="both"/>
              <w:rPr>
                <w:b/>
                <w:bCs/>
                <w:lang w:bidi="ar-EG"/>
              </w:rPr>
            </w:pPr>
            <w:r w:rsidRPr="008047D3">
              <w:rPr>
                <w:b/>
                <w:bCs/>
                <w:lang w:bidi="ar-EG"/>
              </w:rPr>
              <w:t>HBA1c</w:t>
            </w:r>
          </w:p>
        </w:tc>
        <w:tc>
          <w:tcPr>
            <w:tcW w:w="1139"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0.525</w:t>
            </w:r>
          </w:p>
        </w:tc>
        <w:tc>
          <w:tcPr>
            <w:tcW w:w="1341" w:type="pct"/>
            <w:vAlign w:val="center"/>
          </w:tcPr>
          <w:p w:rsidR="00F95C12" w:rsidRPr="008047D3" w:rsidRDefault="00F95C12" w:rsidP="00657BEC">
            <w:pPr>
              <w:autoSpaceDE w:val="0"/>
              <w:autoSpaceDN w:val="0"/>
              <w:bidi w:val="0"/>
              <w:adjustRightInd w:val="0"/>
              <w:snapToGrid w:val="0"/>
              <w:jc w:val="both"/>
              <w:rPr>
                <w:b/>
                <w:bCs/>
                <w:color w:val="000000"/>
              </w:rPr>
            </w:pPr>
            <w:r w:rsidRPr="008047D3">
              <w:rPr>
                <w:b/>
                <w:bCs/>
                <w:color w:val="000000"/>
              </w:rPr>
              <w:t>0.004*</w:t>
            </w:r>
          </w:p>
        </w:tc>
      </w:tr>
      <w:tr w:rsidR="00F95C12" w:rsidRPr="008047D3" w:rsidTr="00310F47">
        <w:trPr>
          <w:jc w:val="center"/>
        </w:trPr>
        <w:tc>
          <w:tcPr>
            <w:tcW w:w="2520" w:type="pct"/>
            <w:shd w:val="clear" w:color="auto" w:fill="DEEAF6" w:themeFill="accent1" w:themeFillTint="33"/>
            <w:vAlign w:val="center"/>
          </w:tcPr>
          <w:p w:rsidR="00F95C12" w:rsidRPr="008047D3" w:rsidRDefault="00F95C12" w:rsidP="00657BEC">
            <w:pPr>
              <w:bidi w:val="0"/>
              <w:snapToGrid w:val="0"/>
              <w:jc w:val="both"/>
              <w:rPr>
                <w:b/>
                <w:bCs/>
                <w:lang w:bidi="ar-EG"/>
              </w:rPr>
            </w:pPr>
            <w:r w:rsidRPr="008047D3">
              <w:rPr>
                <w:b/>
                <w:bCs/>
                <w:lang w:bidi="ar-EG"/>
              </w:rPr>
              <w:t>Uric acid</w:t>
            </w:r>
          </w:p>
        </w:tc>
        <w:tc>
          <w:tcPr>
            <w:tcW w:w="1139"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0.521</w:t>
            </w:r>
          </w:p>
        </w:tc>
        <w:tc>
          <w:tcPr>
            <w:tcW w:w="1341" w:type="pct"/>
            <w:vAlign w:val="center"/>
          </w:tcPr>
          <w:p w:rsidR="00F95C12" w:rsidRPr="008047D3" w:rsidRDefault="00F95C12" w:rsidP="00657BEC">
            <w:pPr>
              <w:autoSpaceDE w:val="0"/>
              <w:autoSpaceDN w:val="0"/>
              <w:bidi w:val="0"/>
              <w:adjustRightInd w:val="0"/>
              <w:snapToGrid w:val="0"/>
              <w:jc w:val="both"/>
              <w:rPr>
                <w:b/>
                <w:bCs/>
                <w:color w:val="000000"/>
              </w:rPr>
            </w:pPr>
            <w:r w:rsidRPr="008047D3">
              <w:rPr>
                <w:b/>
                <w:bCs/>
                <w:color w:val="000000"/>
              </w:rPr>
              <w:t>0.002*</w:t>
            </w:r>
          </w:p>
        </w:tc>
      </w:tr>
      <w:tr w:rsidR="00F95C12" w:rsidRPr="008047D3" w:rsidTr="00310F47">
        <w:trPr>
          <w:jc w:val="center"/>
        </w:trPr>
        <w:tc>
          <w:tcPr>
            <w:tcW w:w="2520" w:type="pct"/>
            <w:shd w:val="clear" w:color="auto" w:fill="DEEAF6" w:themeFill="accent1" w:themeFillTint="33"/>
            <w:vAlign w:val="center"/>
          </w:tcPr>
          <w:p w:rsidR="00F95C12" w:rsidRPr="008047D3" w:rsidRDefault="00F95C12" w:rsidP="00657BEC">
            <w:pPr>
              <w:bidi w:val="0"/>
              <w:snapToGrid w:val="0"/>
              <w:jc w:val="both"/>
              <w:rPr>
                <w:b/>
                <w:bCs/>
                <w:lang w:bidi="ar-EG"/>
              </w:rPr>
            </w:pPr>
            <w:r w:rsidRPr="008047D3">
              <w:rPr>
                <w:b/>
                <w:bCs/>
                <w:lang w:bidi="ar-EG"/>
              </w:rPr>
              <w:t>Creatinine</w:t>
            </w:r>
          </w:p>
        </w:tc>
        <w:tc>
          <w:tcPr>
            <w:tcW w:w="1139"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0.787</w:t>
            </w:r>
          </w:p>
        </w:tc>
        <w:tc>
          <w:tcPr>
            <w:tcW w:w="1341" w:type="pct"/>
            <w:vAlign w:val="center"/>
          </w:tcPr>
          <w:p w:rsidR="00F95C12" w:rsidRPr="008047D3" w:rsidRDefault="00F95C12" w:rsidP="00657BEC">
            <w:pPr>
              <w:autoSpaceDE w:val="0"/>
              <w:autoSpaceDN w:val="0"/>
              <w:bidi w:val="0"/>
              <w:adjustRightInd w:val="0"/>
              <w:snapToGrid w:val="0"/>
              <w:jc w:val="both"/>
              <w:rPr>
                <w:b/>
                <w:bCs/>
                <w:color w:val="000000"/>
              </w:rPr>
            </w:pPr>
            <w:r w:rsidRPr="008047D3">
              <w:rPr>
                <w:b/>
                <w:bCs/>
                <w:color w:val="000000"/>
              </w:rPr>
              <w:t>0.00</w:t>
            </w:r>
            <w:r w:rsidRPr="008047D3">
              <w:rPr>
                <w:b/>
                <w:bCs/>
                <w:color w:val="000000"/>
                <w:vertAlign w:val="superscript"/>
              </w:rPr>
              <w:t>**</w:t>
            </w:r>
          </w:p>
        </w:tc>
      </w:tr>
      <w:tr w:rsidR="00F95C12" w:rsidRPr="008047D3" w:rsidTr="00310F47">
        <w:trPr>
          <w:jc w:val="center"/>
        </w:trPr>
        <w:tc>
          <w:tcPr>
            <w:tcW w:w="2520" w:type="pct"/>
            <w:shd w:val="clear" w:color="auto" w:fill="DEEAF6" w:themeFill="accent1" w:themeFillTint="33"/>
            <w:vAlign w:val="center"/>
          </w:tcPr>
          <w:p w:rsidR="00F95C12" w:rsidRPr="008047D3" w:rsidRDefault="00F95C12" w:rsidP="00657BEC">
            <w:pPr>
              <w:bidi w:val="0"/>
              <w:snapToGrid w:val="0"/>
              <w:jc w:val="both"/>
              <w:rPr>
                <w:b/>
                <w:bCs/>
                <w:lang w:bidi="ar-EG"/>
              </w:rPr>
            </w:pPr>
            <w:r w:rsidRPr="008047D3">
              <w:rPr>
                <w:b/>
                <w:bCs/>
                <w:lang w:bidi="ar-EG"/>
              </w:rPr>
              <w:t>BUN</w:t>
            </w:r>
          </w:p>
        </w:tc>
        <w:tc>
          <w:tcPr>
            <w:tcW w:w="1139"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0.856</w:t>
            </w:r>
          </w:p>
        </w:tc>
        <w:tc>
          <w:tcPr>
            <w:tcW w:w="1341" w:type="pct"/>
            <w:vAlign w:val="center"/>
          </w:tcPr>
          <w:p w:rsidR="00F95C12" w:rsidRPr="008047D3" w:rsidRDefault="00F95C12" w:rsidP="00657BEC">
            <w:pPr>
              <w:autoSpaceDE w:val="0"/>
              <w:autoSpaceDN w:val="0"/>
              <w:bidi w:val="0"/>
              <w:adjustRightInd w:val="0"/>
              <w:snapToGrid w:val="0"/>
              <w:jc w:val="both"/>
              <w:rPr>
                <w:b/>
                <w:bCs/>
                <w:color w:val="000000"/>
              </w:rPr>
            </w:pPr>
            <w:r w:rsidRPr="008047D3">
              <w:rPr>
                <w:b/>
                <w:bCs/>
                <w:color w:val="000000"/>
              </w:rPr>
              <w:t>0.00**</w:t>
            </w:r>
          </w:p>
        </w:tc>
      </w:tr>
      <w:tr w:rsidR="00F95C12" w:rsidRPr="008047D3" w:rsidTr="00310F47">
        <w:trPr>
          <w:jc w:val="center"/>
        </w:trPr>
        <w:tc>
          <w:tcPr>
            <w:tcW w:w="2520" w:type="pct"/>
            <w:shd w:val="clear" w:color="auto" w:fill="DEEAF6" w:themeFill="accent1" w:themeFillTint="33"/>
            <w:vAlign w:val="center"/>
          </w:tcPr>
          <w:p w:rsidR="00F95C12" w:rsidRPr="008047D3" w:rsidRDefault="00F95C12" w:rsidP="00657BEC">
            <w:pPr>
              <w:bidi w:val="0"/>
              <w:snapToGrid w:val="0"/>
              <w:jc w:val="both"/>
              <w:rPr>
                <w:b/>
                <w:bCs/>
                <w:lang w:bidi="ar-EG"/>
              </w:rPr>
            </w:pPr>
            <w:r w:rsidRPr="008047D3">
              <w:rPr>
                <w:b/>
                <w:bCs/>
                <w:lang w:bidi="ar-EG"/>
              </w:rPr>
              <w:t>ACR</w:t>
            </w:r>
          </w:p>
        </w:tc>
        <w:tc>
          <w:tcPr>
            <w:tcW w:w="1139" w:type="pct"/>
            <w:vAlign w:val="center"/>
          </w:tcPr>
          <w:p w:rsidR="00F95C12" w:rsidRPr="008047D3" w:rsidRDefault="00F95C12" w:rsidP="00657BEC">
            <w:pPr>
              <w:autoSpaceDE w:val="0"/>
              <w:autoSpaceDN w:val="0"/>
              <w:bidi w:val="0"/>
              <w:adjustRightInd w:val="0"/>
              <w:snapToGrid w:val="0"/>
              <w:jc w:val="both"/>
              <w:rPr>
                <w:color w:val="000000"/>
              </w:rPr>
            </w:pPr>
            <w:r w:rsidRPr="008047D3">
              <w:rPr>
                <w:color w:val="000000"/>
              </w:rPr>
              <w:t>0.625</w:t>
            </w:r>
          </w:p>
        </w:tc>
        <w:tc>
          <w:tcPr>
            <w:tcW w:w="1341" w:type="pct"/>
            <w:vAlign w:val="center"/>
          </w:tcPr>
          <w:p w:rsidR="00F95C12" w:rsidRPr="008047D3" w:rsidRDefault="00F95C12" w:rsidP="00657BEC">
            <w:pPr>
              <w:autoSpaceDE w:val="0"/>
              <w:autoSpaceDN w:val="0"/>
              <w:bidi w:val="0"/>
              <w:adjustRightInd w:val="0"/>
              <w:snapToGrid w:val="0"/>
              <w:jc w:val="both"/>
              <w:rPr>
                <w:b/>
                <w:bCs/>
                <w:color w:val="000000"/>
              </w:rPr>
            </w:pPr>
            <w:r w:rsidRPr="008047D3">
              <w:rPr>
                <w:b/>
                <w:bCs/>
                <w:color w:val="000000"/>
              </w:rPr>
              <w:t>0.003*</w:t>
            </w:r>
          </w:p>
        </w:tc>
      </w:tr>
    </w:tbl>
    <w:p w:rsidR="00F95C12" w:rsidRPr="008047D3" w:rsidRDefault="009B2D32" w:rsidP="00D62B3D">
      <w:pPr>
        <w:snapToGrid w:val="0"/>
        <w:spacing w:after="0" w:line="240" w:lineRule="auto"/>
        <w:jc w:val="both"/>
        <w:rPr>
          <w:rFonts w:ascii="Times New Roman" w:eastAsia="Times New Roman" w:hAnsi="Times New Roman" w:cs="Times New Roman"/>
          <w:sz w:val="20"/>
          <w:szCs w:val="20"/>
          <w:lang w:bidi="ar-EG"/>
        </w:rPr>
      </w:pPr>
      <w:r w:rsidRPr="008047D3">
        <w:rPr>
          <w:rFonts w:ascii="Times New Roman" w:eastAsia="Times New Roman" w:hAnsi="Times New Roman" w:cs="Times New Roman"/>
          <w:sz w:val="20"/>
          <w:szCs w:val="20"/>
          <w:lang w:bidi="ar-EG"/>
        </w:rPr>
        <w:t xml:space="preserve">P =probability value </w:t>
      </w:r>
      <w:r w:rsidR="00310F47" w:rsidRPr="008047D3">
        <w:rPr>
          <w:rFonts w:ascii="Times New Roman" w:hAnsi="Times New Roman" w:cs="Times New Roman"/>
          <w:sz w:val="20"/>
          <w:szCs w:val="20"/>
          <w:lang w:eastAsia="zh-CN" w:bidi="ar-EG"/>
        </w:rPr>
        <w:tab/>
      </w:r>
      <w:r w:rsidR="00F95C12" w:rsidRPr="008047D3">
        <w:rPr>
          <w:rFonts w:ascii="Times New Roman" w:eastAsia="Times New Roman" w:hAnsi="Times New Roman" w:cs="Times New Roman"/>
          <w:sz w:val="20"/>
          <w:szCs w:val="20"/>
          <w:lang w:bidi="ar-EG"/>
        </w:rPr>
        <w:t>N. =number</w:t>
      </w:r>
      <m:oMath>
        <m:r>
          <m:rPr>
            <m:sty m:val="bi"/>
          </m:rPr>
          <w:rPr>
            <w:rFonts w:ascii="Cambria Math" w:hAnsi="Times New Roman" w:cs="Times New Roman"/>
            <w:sz w:val="20"/>
            <w:szCs w:val="20"/>
            <w:lang w:bidi="ar-EG"/>
          </w:rPr>
          <m:t xml:space="preserve"> </m:t>
        </m:r>
        <m:r>
          <m:rPr>
            <m:sty m:val="bi"/>
          </m:rPr>
          <w:rPr>
            <w:rFonts w:ascii="Cambria Math" w:hAnsi="Cambria Math" w:cs="Times New Roman"/>
            <w:sz w:val="20"/>
            <w:szCs w:val="20"/>
            <w:lang w:bidi="ar-EG"/>
          </w:rPr>
          <m:t>r</m:t>
        </m:r>
        <m:r>
          <w:rPr>
            <w:rFonts w:ascii="Cambria Math" w:eastAsia="Times New Roman" w:hAnsi="Times New Roman" w:cs="Times New Roman"/>
            <w:sz w:val="20"/>
            <w:szCs w:val="20"/>
            <w:lang w:bidi="ar-EG"/>
          </w:rPr>
          <m:t>=</m:t>
        </m:r>
      </m:oMath>
      <w:r w:rsidR="00F95C12" w:rsidRPr="008047D3">
        <w:rPr>
          <w:rFonts w:ascii="Times New Roman" w:eastAsia="Times New Roman" w:hAnsi="Times New Roman" w:cs="Times New Roman"/>
          <w:sz w:val="20"/>
          <w:szCs w:val="20"/>
          <w:lang w:bidi="ar-EG"/>
        </w:rPr>
        <w:t>Correlation coefficient</w:t>
      </w:r>
      <w:r w:rsidR="00310F47" w:rsidRPr="008047D3">
        <w:rPr>
          <w:rFonts w:ascii="Times New Roman" w:eastAsia="Times New Roman" w:hAnsi="Times New Roman" w:cs="Times New Roman"/>
          <w:sz w:val="20"/>
          <w:szCs w:val="20"/>
          <w:lang w:bidi="ar-EG"/>
        </w:rPr>
        <w:t xml:space="preserve"> </w:t>
      </w:r>
      <w:r w:rsidR="00F95C12" w:rsidRPr="008047D3">
        <w:rPr>
          <w:rFonts w:ascii="Times New Roman" w:eastAsia="Times New Roman" w:hAnsi="Times New Roman" w:cs="Times New Roman"/>
          <w:sz w:val="20"/>
          <w:szCs w:val="20"/>
          <w:lang w:bidi="ar-EG"/>
        </w:rPr>
        <w:t>Non-significant: P &gt; 0.05</w:t>
      </w:r>
      <w:r w:rsidR="00310F47" w:rsidRPr="008047D3">
        <w:rPr>
          <w:rFonts w:ascii="Times New Roman" w:eastAsia="Times New Roman" w:hAnsi="Times New Roman" w:cs="Times New Roman"/>
          <w:sz w:val="20"/>
          <w:szCs w:val="20"/>
          <w:lang w:bidi="ar-EG"/>
        </w:rPr>
        <w:t xml:space="preserve"> </w:t>
      </w:r>
      <w:r w:rsidR="00F95C12" w:rsidRPr="008047D3">
        <w:rPr>
          <w:rFonts w:ascii="Times New Roman" w:eastAsia="Times New Roman" w:hAnsi="Times New Roman" w:cs="Times New Roman"/>
          <w:sz w:val="20"/>
          <w:szCs w:val="20"/>
          <w:lang w:bidi="ar-EG"/>
        </w:rPr>
        <w:t>* Significant: P &lt; 0.05</w:t>
      </w:r>
    </w:p>
    <w:p w:rsidR="009B2D32" w:rsidRPr="008047D3" w:rsidRDefault="009B2D32" w:rsidP="00657BEC">
      <w:pPr>
        <w:pStyle w:val="ListParagraph"/>
        <w:snapToGrid w:val="0"/>
        <w:spacing w:after="0" w:line="240" w:lineRule="auto"/>
        <w:ind w:left="0"/>
        <w:jc w:val="both"/>
        <w:rPr>
          <w:rFonts w:ascii="Times New Roman" w:hAnsi="Times New Roman" w:cs="Times New Roman"/>
          <w:b/>
          <w:bCs/>
          <w:sz w:val="20"/>
          <w:szCs w:val="20"/>
        </w:rPr>
      </w:pPr>
    </w:p>
    <w:p w:rsidR="009514E0" w:rsidRPr="008047D3" w:rsidRDefault="009514E0" w:rsidP="009514E0">
      <w:pPr>
        <w:snapToGrid w:val="0"/>
        <w:spacing w:after="0" w:line="240" w:lineRule="auto"/>
        <w:jc w:val="both"/>
        <w:rPr>
          <w:rFonts w:ascii="Times New Roman" w:eastAsia="Times New Roman" w:hAnsi="Times New Roman" w:cs="Times New Roman"/>
          <w:sz w:val="20"/>
          <w:szCs w:val="20"/>
          <w:lang w:bidi="ar-EG"/>
        </w:rPr>
      </w:pPr>
      <w:r w:rsidRPr="008047D3">
        <w:rPr>
          <w:rFonts w:ascii="Times New Roman" w:hAnsi="Times New Roman" w:cs="Times New Roman"/>
          <w:b/>
          <w:bCs/>
          <w:sz w:val="20"/>
          <w:szCs w:val="20"/>
        </w:rPr>
        <w:t>Table (12): detection of serum Nesfatin-1 levels cutoff value according to ROC curve regarding the studied groups</w:t>
      </w:r>
    </w:p>
    <w:tbl>
      <w:tblPr>
        <w:tblStyle w:val="LightGrid-Accent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05"/>
        <w:gridCol w:w="1834"/>
        <w:gridCol w:w="1300"/>
        <w:gridCol w:w="2628"/>
        <w:gridCol w:w="2607"/>
      </w:tblGrid>
      <w:tr w:rsidR="009514E0" w:rsidRPr="008047D3" w:rsidTr="008047D3">
        <w:trPr>
          <w:cnfStyle w:val="000000100000"/>
          <w:jc w:val="center"/>
        </w:trPr>
        <w:tc>
          <w:tcPr>
            <w:cnfStyle w:val="000010000000"/>
            <w:tcW w:w="5000" w:type="pct"/>
            <w:gridSpan w:val="5"/>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rsidR="009514E0" w:rsidRPr="008047D3" w:rsidRDefault="009514E0" w:rsidP="008047D3">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b/>
                <w:bCs/>
                <w:color w:val="000000"/>
                <w:sz w:val="20"/>
                <w:szCs w:val="20"/>
              </w:rPr>
              <w:t>Area Under the Curve</w:t>
            </w:r>
          </w:p>
        </w:tc>
      </w:tr>
      <w:tr w:rsidR="009514E0" w:rsidRPr="008047D3" w:rsidTr="008047D3">
        <w:trPr>
          <w:cnfStyle w:val="000000010000"/>
          <w:jc w:val="center"/>
        </w:trPr>
        <w:tc>
          <w:tcPr>
            <w:cnfStyle w:val="000010000000"/>
            <w:tcW w:w="5000" w:type="pct"/>
            <w:gridSpan w:val="5"/>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rsidR="009514E0" w:rsidRPr="008047D3" w:rsidRDefault="009514E0" w:rsidP="008047D3">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Test Result Variable (s): Serum Nesfatin-1</w:t>
            </w:r>
          </w:p>
        </w:tc>
      </w:tr>
      <w:tr w:rsidR="009514E0" w:rsidRPr="008047D3" w:rsidTr="008047D3">
        <w:trPr>
          <w:cnfStyle w:val="000000100000"/>
          <w:jc w:val="center"/>
        </w:trPr>
        <w:tc>
          <w:tcPr>
            <w:cnfStyle w:val="000010000000"/>
            <w:tcW w:w="583" w:type="pct"/>
            <w:vMerge w:val="restart"/>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rsidR="009514E0" w:rsidRPr="008047D3" w:rsidRDefault="009514E0" w:rsidP="008047D3">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Area</w:t>
            </w:r>
          </w:p>
        </w:tc>
        <w:tc>
          <w:tcPr>
            <w:tcW w:w="968" w:type="pct"/>
            <w:vMerge w:val="restart"/>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rsidR="009514E0" w:rsidRPr="008047D3" w:rsidRDefault="009514E0" w:rsidP="008047D3">
            <w:pPr>
              <w:autoSpaceDE w:val="0"/>
              <w:autoSpaceDN w:val="0"/>
              <w:adjustRightInd w:val="0"/>
              <w:snapToGrid w:val="0"/>
              <w:jc w:val="both"/>
              <w:cnfStyle w:val="000000100000"/>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CUTOFF</w:t>
            </w:r>
          </w:p>
        </w:tc>
        <w:tc>
          <w:tcPr>
            <w:cnfStyle w:val="000010000000"/>
            <w:tcW w:w="686" w:type="pct"/>
            <w:vMerge w:val="restart"/>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rsidR="009514E0" w:rsidRPr="008047D3" w:rsidRDefault="009514E0" w:rsidP="008047D3">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P</w:t>
            </w:r>
          </w:p>
        </w:tc>
        <w:tc>
          <w:tcPr>
            <w:tcW w:w="2763" w:type="pct"/>
            <w:gridSpan w:val="2"/>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rsidR="009514E0" w:rsidRPr="008047D3" w:rsidRDefault="009514E0" w:rsidP="008047D3">
            <w:pPr>
              <w:autoSpaceDE w:val="0"/>
              <w:autoSpaceDN w:val="0"/>
              <w:adjustRightInd w:val="0"/>
              <w:snapToGrid w:val="0"/>
              <w:jc w:val="both"/>
              <w:cnfStyle w:val="000000100000"/>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95% Confidence Interval (CI)</w:t>
            </w:r>
          </w:p>
        </w:tc>
      </w:tr>
      <w:tr w:rsidR="009514E0" w:rsidRPr="008047D3" w:rsidTr="008047D3">
        <w:trPr>
          <w:cnfStyle w:val="000000010000"/>
          <w:jc w:val="center"/>
        </w:trPr>
        <w:tc>
          <w:tcPr>
            <w:cnfStyle w:val="000010000000"/>
            <w:tcW w:w="583" w:type="pct"/>
            <w:vMerge/>
            <w:shd w:val="clear" w:color="auto" w:fill="DEEAF6" w:themeFill="accent1" w:themeFillTint="33"/>
            <w:vAlign w:val="center"/>
          </w:tcPr>
          <w:p w:rsidR="009514E0" w:rsidRPr="008047D3" w:rsidRDefault="009514E0" w:rsidP="008047D3">
            <w:pPr>
              <w:autoSpaceDE w:val="0"/>
              <w:autoSpaceDN w:val="0"/>
              <w:adjustRightInd w:val="0"/>
              <w:snapToGrid w:val="0"/>
              <w:jc w:val="both"/>
              <w:rPr>
                <w:rFonts w:ascii="Times New Roman" w:hAnsi="Times New Roman" w:cs="Times New Roman"/>
                <w:b/>
                <w:bCs/>
                <w:color w:val="000000"/>
                <w:sz w:val="20"/>
                <w:szCs w:val="20"/>
              </w:rPr>
            </w:pPr>
          </w:p>
        </w:tc>
        <w:tc>
          <w:tcPr>
            <w:tcW w:w="968" w:type="pct"/>
            <w:vMerge/>
            <w:shd w:val="clear" w:color="auto" w:fill="DEEAF6" w:themeFill="accent1" w:themeFillTint="33"/>
            <w:vAlign w:val="center"/>
          </w:tcPr>
          <w:p w:rsidR="009514E0" w:rsidRPr="008047D3" w:rsidRDefault="009514E0" w:rsidP="008047D3">
            <w:pPr>
              <w:autoSpaceDE w:val="0"/>
              <w:autoSpaceDN w:val="0"/>
              <w:adjustRightInd w:val="0"/>
              <w:snapToGrid w:val="0"/>
              <w:jc w:val="both"/>
              <w:cnfStyle w:val="000000010000"/>
              <w:rPr>
                <w:rFonts w:ascii="Times New Roman" w:hAnsi="Times New Roman" w:cs="Times New Roman"/>
                <w:b/>
                <w:bCs/>
                <w:color w:val="000000"/>
                <w:sz w:val="20"/>
                <w:szCs w:val="20"/>
              </w:rPr>
            </w:pPr>
          </w:p>
        </w:tc>
        <w:tc>
          <w:tcPr>
            <w:cnfStyle w:val="000010000000"/>
            <w:tcW w:w="686" w:type="pct"/>
            <w:vMerge/>
            <w:shd w:val="clear" w:color="auto" w:fill="DEEAF6" w:themeFill="accent1" w:themeFillTint="33"/>
            <w:vAlign w:val="center"/>
          </w:tcPr>
          <w:p w:rsidR="009514E0" w:rsidRPr="008047D3" w:rsidRDefault="009514E0" w:rsidP="008047D3">
            <w:pPr>
              <w:autoSpaceDE w:val="0"/>
              <w:autoSpaceDN w:val="0"/>
              <w:adjustRightInd w:val="0"/>
              <w:snapToGrid w:val="0"/>
              <w:jc w:val="both"/>
              <w:rPr>
                <w:rFonts w:ascii="Times New Roman" w:hAnsi="Times New Roman" w:cs="Times New Roman"/>
                <w:b/>
                <w:bCs/>
                <w:color w:val="000000"/>
                <w:sz w:val="20"/>
                <w:szCs w:val="20"/>
              </w:rPr>
            </w:pPr>
          </w:p>
        </w:tc>
        <w:tc>
          <w:tcPr>
            <w:tcW w:w="1387" w:type="pct"/>
            <w:shd w:val="clear" w:color="auto" w:fill="DEEAF6" w:themeFill="accent1" w:themeFillTint="33"/>
            <w:vAlign w:val="center"/>
          </w:tcPr>
          <w:p w:rsidR="009514E0" w:rsidRPr="008047D3" w:rsidRDefault="009514E0" w:rsidP="008047D3">
            <w:pPr>
              <w:autoSpaceDE w:val="0"/>
              <w:autoSpaceDN w:val="0"/>
              <w:adjustRightInd w:val="0"/>
              <w:snapToGrid w:val="0"/>
              <w:jc w:val="both"/>
              <w:cnfStyle w:val="000000010000"/>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Lower Bound</w:t>
            </w:r>
          </w:p>
        </w:tc>
        <w:tc>
          <w:tcPr>
            <w:cnfStyle w:val="000010000000"/>
            <w:tcW w:w="1376" w:type="pct"/>
            <w:shd w:val="clear" w:color="auto" w:fill="DEEAF6" w:themeFill="accent1" w:themeFillTint="33"/>
            <w:vAlign w:val="center"/>
          </w:tcPr>
          <w:p w:rsidR="009514E0" w:rsidRPr="008047D3" w:rsidRDefault="009514E0" w:rsidP="008047D3">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Upper Bound</w:t>
            </w:r>
          </w:p>
        </w:tc>
      </w:tr>
      <w:tr w:rsidR="009514E0" w:rsidRPr="008047D3" w:rsidTr="008047D3">
        <w:trPr>
          <w:cnfStyle w:val="000000100000"/>
          <w:jc w:val="center"/>
        </w:trPr>
        <w:tc>
          <w:tcPr>
            <w:cnfStyle w:val="000010000000"/>
            <w:tcW w:w="583" w:type="pct"/>
            <w:tcBorders>
              <w:top w:val="none" w:sz="0" w:space="0" w:color="auto"/>
              <w:left w:val="none" w:sz="0" w:space="0" w:color="auto"/>
              <w:bottom w:val="none" w:sz="0" w:space="0" w:color="auto"/>
              <w:right w:val="none" w:sz="0" w:space="0" w:color="auto"/>
            </w:tcBorders>
            <w:shd w:val="clear" w:color="auto" w:fill="auto"/>
            <w:vAlign w:val="center"/>
          </w:tcPr>
          <w:p w:rsidR="009514E0" w:rsidRPr="008047D3" w:rsidRDefault="009514E0" w:rsidP="008047D3">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0.841</w:t>
            </w:r>
          </w:p>
        </w:tc>
        <w:tc>
          <w:tcPr>
            <w:tcW w:w="968" w:type="pct"/>
            <w:tcBorders>
              <w:top w:val="none" w:sz="0" w:space="0" w:color="auto"/>
              <w:left w:val="none" w:sz="0" w:space="0" w:color="auto"/>
              <w:bottom w:val="none" w:sz="0" w:space="0" w:color="auto"/>
              <w:right w:val="none" w:sz="0" w:space="0" w:color="auto"/>
            </w:tcBorders>
            <w:shd w:val="clear" w:color="auto" w:fill="auto"/>
            <w:vAlign w:val="center"/>
          </w:tcPr>
          <w:p w:rsidR="009514E0" w:rsidRPr="008047D3" w:rsidRDefault="009514E0" w:rsidP="008047D3">
            <w:pPr>
              <w:autoSpaceDE w:val="0"/>
              <w:autoSpaceDN w:val="0"/>
              <w:adjustRightInd w:val="0"/>
              <w:snapToGrid w:val="0"/>
              <w:jc w:val="both"/>
              <w:cnfStyle w:val="000000100000"/>
              <w:rPr>
                <w:rFonts w:ascii="Times New Roman" w:hAnsi="Times New Roman" w:cs="Times New Roman"/>
                <w:color w:val="000000"/>
                <w:sz w:val="20"/>
                <w:szCs w:val="20"/>
              </w:rPr>
            </w:pPr>
            <w:r w:rsidRPr="008047D3">
              <w:rPr>
                <w:rFonts w:ascii="Times New Roman" w:hAnsi="Times New Roman" w:cs="Times New Roman"/>
                <w:color w:val="000000"/>
                <w:sz w:val="20"/>
                <w:szCs w:val="20"/>
              </w:rPr>
              <w:t>&gt;12.65</w:t>
            </w:r>
          </w:p>
        </w:tc>
        <w:tc>
          <w:tcPr>
            <w:cnfStyle w:val="000010000000"/>
            <w:tcW w:w="686" w:type="pct"/>
            <w:tcBorders>
              <w:top w:val="none" w:sz="0" w:space="0" w:color="auto"/>
              <w:left w:val="none" w:sz="0" w:space="0" w:color="auto"/>
              <w:bottom w:val="none" w:sz="0" w:space="0" w:color="auto"/>
              <w:right w:val="none" w:sz="0" w:space="0" w:color="auto"/>
            </w:tcBorders>
            <w:shd w:val="clear" w:color="auto" w:fill="auto"/>
            <w:vAlign w:val="center"/>
          </w:tcPr>
          <w:p w:rsidR="009514E0" w:rsidRPr="008047D3" w:rsidRDefault="009514E0" w:rsidP="008047D3">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0.00**</w:t>
            </w:r>
          </w:p>
        </w:tc>
        <w:tc>
          <w:tcPr>
            <w:tcW w:w="1387" w:type="pct"/>
            <w:tcBorders>
              <w:top w:val="none" w:sz="0" w:space="0" w:color="auto"/>
              <w:left w:val="none" w:sz="0" w:space="0" w:color="auto"/>
              <w:bottom w:val="none" w:sz="0" w:space="0" w:color="auto"/>
              <w:right w:val="none" w:sz="0" w:space="0" w:color="auto"/>
            </w:tcBorders>
            <w:shd w:val="clear" w:color="auto" w:fill="auto"/>
            <w:vAlign w:val="center"/>
          </w:tcPr>
          <w:p w:rsidR="009514E0" w:rsidRPr="008047D3" w:rsidRDefault="009514E0" w:rsidP="008047D3">
            <w:pPr>
              <w:autoSpaceDE w:val="0"/>
              <w:autoSpaceDN w:val="0"/>
              <w:adjustRightInd w:val="0"/>
              <w:snapToGrid w:val="0"/>
              <w:jc w:val="both"/>
              <w:cnfStyle w:val="000000100000"/>
              <w:rPr>
                <w:rFonts w:ascii="Times New Roman" w:hAnsi="Times New Roman" w:cs="Times New Roman"/>
                <w:color w:val="000000"/>
                <w:sz w:val="20"/>
                <w:szCs w:val="20"/>
              </w:rPr>
            </w:pPr>
            <w:r w:rsidRPr="008047D3">
              <w:rPr>
                <w:rFonts w:ascii="Times New Roman" w:hAnsi="Times New Roman" w:cs="Times New Roman"/>
                <w:color w:val="000000"/>
                <w:sz w:val="20"/>
                <w:szCs w:val="20"/>
              </w:rPr>
              <w:t>0.752</w:t>
            </w:r>
          </w:p>
        </w:tc>
        <w:tc>
          <w:tcPr>
            <w:cnfStyle w:val="000010000000"/>
            <w:tcW w:w="1376" w:type="pct"/>
            <w:tcBorders>
              <w:top w:val="none" w:sz="0" w:space="0" w:color="auto"/>
              <w:left w:val="none" w:sz="0" w:space="0" w:color="auto"/>
              <w:bottom w:val="none" w:sz="0" w:space="0" w:color="auto"/>
              <w:right w:val="none" w:sz="0" w:space="0" w:color="auto"/>
            </w:tcBorders>
            <w:shd w:val="clear" w:color="auto" w:fill="auto"/>
            <w:vAlign w:val="center"/>
          </w:tcPr>
          <w:p w:rsidR="009514E0" w:rsidRPr="008047D3" w:rsidRDefault="009514E0" w:rsidP="008047D3">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0.930</w:t>
            </w:r>
          </w:p>
        </w:tc>
      </w:tr>
    </w:tbl>
    <w:p w:rsidR="009514E0" w:rsidRPr="008047D3" w:rsidRDefault="009514E0" w:rsidP="009514E0">
      <w:pPr>
        <w:snapToGrid w:val="0"/>
        <w:spacing w:after="0" w:line="240" w:lineRule="auto"/>
        <w:jc w:val="both"/>
        <w:rPr>
          <w:rFonts w:ascii="Times New Roman" w:eastAsia="Times New Roman" w:hAnsi="Times New Roman" w:cs="Times New Roman"/>
          <w:sz w:val="20"/>
          <w:szCs w:val="20"/>
          <w:lang w:bidi="ar-EG"/>
        </w:rPr>
      </w:pPr>
      <w:r w:rsidRPr="008047D3">
        <w:rPr>
          <w:rFonts w:ascii="Times New Roman" w:eastAsia="Times New Roman" w:hAnsi="Times New Roman" w:cs="Times New Roman"/>
          <w:sz w:val="20"/>
          <w:szCs w:val="20"/>
          <w:lang w:bidi="ar-EG"/>
        </w:rPr>
        <w:t xml:space="preserve">P =probability value </w:t>
      </w:r>
      <w:r w:rsidRPr="008047D3">
        <w:rPr>
          <w:rFonts w:ascii="Times New Roman" w:hAnsi="Times New Roman" w:cs="Times New Roman"/>
          <w:sz w:val="20"/>
          <w:szCs w:val="20"/>
          <w:lang w:eastAsia="zh-CN" w:bidi="ar-EG"/>
        </w:rPr>
        <w:tab/>
      </w:r>
      <w:r w:rsidRPr="008047D3">
        <w:rPr>
          <w:rFonts w:ascii="Times New Roman" w:eastAsia="Times New Roman" w:hAnsi="Times New Roman" w:cs="Times New Roman"/>
          <w:sz w:val="20"/>
          <w:szCs w:val="20"/>
          <w:lang w:bidi="ar-EG"/>
        </w:rPr>
        <w:t xml:space="preserve"> Non-significant: P &gt; 0.05 </w:t>
      </w:r>
      <w:r w:rsidRPr="008047D3">
        <w:rPr>
          <w:rFonts w:ascii="Times New Roman" w:hAnsi="Times New Roman" w:cs="Times New Roman"/>
          <w:sz w:val="20"/>
          <w:szCs w:val="20"/>
          <w:lang w:eastAsia="zh-CN" w:bidi="ar-EG"/>
        </w:rPr>
        <w:tab/>
      </w:r>
      <w:r w:rsidRPr="008047D3">
        <w:rPr>
          <w:rFonts w:ascii="Times New Roman" w:eastAsia="Times New Roman" w:hAnsi="Times New Roman" w:cs="Times New Roman"/>
          <w:sz w:val="20"/>
          <w:szCs w:val="20"/>
          <w:lang w:bidi="ar-EG"/>
        </w:rPr>
        <w:t xml:space="preserve"> * Significant: P &lt; 0.05</w:t>
      </w:r>
    </w:p>
    <w:p w:rsidR="009514E0" w:rsidRDefault="009514E0" w:rsidP="009514E0">
      <w:pPr>
        <w:snapToGrid w:val="0"/>
        <w:spacing w:after="0" w:line="240" w:lineRule="auto"/>
        <w:jc w:val="both"/>
        <w:rPr>
          <w:rFonts w:ascii="Times New Roman" w:hAnsi="Times New Roman" w:cs="Times New Roman" w:hint="eastAsia"/>
          <w:b/>
          <w:bCs/>
          <w:sz w:val="20"/>
          <w:szCs w:val="20"/>
          <w:lang w:eastAsia="zh-CN"/>
        </w:rPr>
      </w:pPr>
    </w:p>
    <w:p w:rsidR="00B91467" w:rsidRDefault="00B91467" w:rsidP="009514E0">
      <w:pPr>
        <w:snapToGrid w:val="0"/>
        <w:spacing w:after="0" w:line="240" w:lineRule="auto"/>
        <w:jc w:val="both"/>
        <w:rPr>
          <w:rFonts w:ascii="Times New Roman" w:hAnsi="Times New Roman" w:cs="Times New Roman" w:hint="eastAsia"/>
          <w:b/>
          <w:bCs/>
          <w:sz w:val="20"/>
          <w:szCs w:val="20"/>
          <w:lang w:eastAsia="zh-CN"/>
        </w:rPr>
      </w:pPr>
    </w:p>
    <w:p w:rsidR="00B91467" w:rsidRPr="008047D3" w:rsidRDefault="00B91467" w:rsidP="009514E0">
      <w:pPr>
        <w:snapToGrid w:val="0"/>
        <w:spacing w:after="0" w:line="240" w:lineRule="auto"/>
        <w:jc w:val="both"/>
        <w:rPr>
          <w:rFonts w:ascii="Times New Roman" w:hAnsi="Times New Roman" w:cs="Times New Roman"/>
          <w:b/>
          <w:bCs/>
          <w:sz w:val="20"/>
          <w:szCs w:val="20"/>
          <w:lang w:eastAsia="zh-CN"/>
        </w:rPr>
      </w:pPr>
    </w:p>
    <w:p w:rsidR="009514E0" w:rsidRPr="008047D3" w:rsidRDefault="009514E0" w:rsidP="009514E0">
      <w:pPr>
        <w:snapToGrid w:val="0"/>
        <w:spacing w:after="0" w:line="240" w:lineRule="auto"/>
        <w:jc w:val="both"/>
        <w:rPr>
          <w:rFonts w:ascii="Times New Roman" w:hAnsi="Times New Roman" w:cs="Times New Roman"/>
          <w:b/>
          <w:bCs/>
          <w:sz w:val="20"/>
          <w:szCs w:val="20"/>
          <w:lang w:eastAsia="zh-CN"/>
        </w:rPr>
        <w:sectPr w:rsidR="009514E0" w:rsidRPr="008047D3" w:rsidSect="005E40AC">
          <w:type w:val="continuous"/>
          <w:pgSz w:w="12240" w:h="15840" w:code="13"/>
          <w:pgMar w:top="1440" w:right="1440" w:bottom="1440" w:left="1440" w:header="720" w:footer="720" w:gutter="0"/>
          <w:cols w:space="720"/>
          <w:docGrid w:linePitch="360"/>
        </w:sectPr>
      </w:pPr>
    </w:p>
    <w:p w:rsidR="00F95C12" w:rsidRPr="008047D3" w:rsidRDefault="00F95C12" w:rsidP="00657BEC">
      <w:pPr>
        <w:pStyle w:val="ListParagraph"/>
        <w:numPr>
          <w:ilvl w:val="0"/>
          <w:numId w:val="11"/>
        </w:numPr>
        <w:snapToGrid w:val="0"/>
        <w:spacing w:after="0" w:line="240" w:lineRule="auto"/>
        <w:ind w:left="0" w:firstLine="0"/>
        <w:jc w:val="both"/>
        <w:rPr>
          <w:rFonts w:ascii="Times New Roman" w:hAnsi="Times New Roman" w:cs="Times New Roman"/>
          <w:b/>
          <w:bCs/>
          <w:sz w:val="20"/>
          <w:szCs w:val="20"/>
        </w:rPr>
      </w:pPr>
      <w:r w:rsidRPr="008047D3">
        <w:rPr>
          <w:rFonts w:ascii="Times New Roman" w:hAnsi="Times New Roman" w:cs="Times New Roman"/>
          <w:b/>
          <w:bCs/>
          <w:sz w:val="20"/>
          <w:szCs w:val="20"/>
        </w:rPr>
        <w:lastRenderedPageBreak/>
        <w:t>Serum Nesfatin-1 levels cutoff value and its association and agreement in the two studied groups:</w:t>
      </w:r>
    </w:p>
    <w:p w:rsidR="00742C0E" w:rsidRPr="008047D3" w:rsidRDefault="00742C0E" w:rsidP="00657BEC">
      <w:pPr>
        <w:snapToGrid w:val="0"/>
        <w:spacing w:after="0" w:line="240" w:lineRule="auto"/>
        <w:ind w:firstLine="425"/>
        <w:jc w:val="both"/>
        <w:rPr>
          <w:rFonts w:ascii="Times New Roman" w:eastAsia="Times New Roman" w:hAnsi="Times New Roman" w:cs="Times New Roman"/>
          <w:sz w:val="20"/>
          <w:szCs w:val="20"/>
          <w:lang w:bidi="ar-EG"/>
        </w:rPr>
      </w:pPr>
      <w:r w:rsidRPr="008047D3">
        <w:rPr>
          <w:rFonts w:ascii="Times New Roman" w:eastAsia="Times New Roman" w:hAnsi="Times New Roman" w:cs="Times New Roman"/>
          <w:sz w:val="20"/>
          <w:szCs w:val="20"/>
          <w:lang w:bidi="ar-EG"/>
        </w:rPr>
        <w:t xml:space="preserve">Tables (12, 13) Demonstrated that serum Nesfatin-1 had an </w:t>
      </w:r>
      <w:r w:rsidRPr="008047D3">
        <w:rPr>
          <w:rFonts w:ascii="Times New Roman" w:eastAsia="Times New Roman" w:hAnsi="Times New Roman" w:cs="Times New Roman"/>
          <w:b/>
          <w:bCs/>
          <w:sz w:val="20"/>
          <w:szCs w:val="20"/>
          <w:lang w:bidi="ar-EG"/>
        </w:rPr>
        <w:t>optimal cutoff value</w:t>
      </w:r>
      <w:r w:rsidRPr="008047D3">
        <w:rPr>
          <w:rFonts w:ascii="Times New Roman" w:eastAsia="Times New Roman" w:hAnsi="Times New Roman" w:cs="Times New Roman"/>
          <w:sz w:val="20"/>
          <w:szCs w:val="20"/>
          <w:lang w:bidi="ar-EG"/>
        </w:rPr>
        <w:t>&gt; 12.65 mmol/L with area under the ROC curve at 0.841 and at 95% confidence interval (CI), the lower bound was 0.752 and the upper bound was 0.930.</w:t>
      </w:r>
    </w:p>
    <w:p w:rsidR="00742C0E" w:rsidRPr="008047D3" w:rsidRDefault="00742C0E" w:rsidP="00657BEC">
      <w:pPr>
        <w:snapToGrid w:val="0"/>
        <w:spacing w:after="0" w:line="240" w:lineRule="auto"/>
        <w:ind w:firstLine="425"/>
        <w:jc w:val="both"/>
        <w:rPr>
          <w:rFonts w:ascii="Times New Roman" w:eastAsia="Times New Roman" w:hAnsi="Times New Roman" w:cs="Times New Roman"/>
          <w:sz w:val="20"/>
          <w:szCs w:val="20"/>
          <w:lang w:bidi="ar-EG"/>
        </w:rPr>
      </w:pPr>
      <w:r w:rsidRPr="008047D3">
        <w:rPr>
          <w:rFonts w:ascii="Times New Roman" w:eastAsia="Times New Roman" w:hAnsi="Times New Roman" w:cs="Times New Roman"/>
          <w:sz w:val="20"/>
          <w:szCs w:val="20"/>
          <w:lang w:bidi="ar-EG"/>
        </w:rPr>
        <w:lastRenderedPageBreak/>
        <w:t>Serum Nesfatin-1 ha</w:t>
      </w:r>
      <w:r w:rsidR="00D62B3D" w:rsidRPr="008047D3">
        <w:rPr>
          <w:rFonts w:ascii="Times New Roman" w:eastAsia="Times New Roman" w:hAnsi="Times New Roman" w:cs="Times New Roman"/>
          <w:sz w:val="20"/>
          <w:szCs w:val="20"/>
          <w:lang w:bidi="ar-EG"/>
        </w:rPr>
        <w:t xml:space="preserve">d </w:t>
      </w:r>
      <w:r w:rsidR="008047D3" w:rsidRPr="008047D3">
        <w:rPr>
          <w:rFonts w:ascii="Times New Roman" w:eastAsia="Times New Roman" w:hAnsi="Times New Roman" w:cs="Times New Roman"/>
          <w:b/>
          <w:bCs/>
          <w:sz w:val="20"/>
          <w:szCs w:val="20"/>
          <w:lang w:bidi="ar-EG"/>
        </w:rPr>
        <w:t>Sensitivity</w:t>
      </w:r>
      <w:r w:rsidR="008047D3" w:rsidRPr="008047D3">
        <w:rPr>
          <w:rFonts w:ascii="Times New Roman" w:eastAsia="Times New Roman" w:hAnsi="Times New Roman" w:cs="Times New Roman"/>
          <w:sz w:val="20"/>
          <w:szCs w:val="20"/>
          <w:lang w:bidi="ar-EG"/>
        </w:rPr>
        <w:t xml:space="preserve"> of</w:t>
      </w:r>
      <w:r w:rsidRPr="008047D3">
        <w:rPr>
          <w:rFonts w:ascii="Times New Roman" w:eastAsia="Times New Roman" w:hAnsi="Times New Roman" w:cs="Times New Roman"/>
          <w:sz w:val="20"/>
          <w:szCs w:val="20"/>
          <w:lang w:bidi="ar-EG"/>
        </w:rPr>
        <w:t xml:space="preserve"> 80.0% and </w:t>
      </w:r>
      <w:r w:rsidR="008047D3" w:rsidRPr="008047D3">
        <w:rPr>
          <w:rFonts w:ascii="Times New Roman" w:eastAsia="Times New Roman" w:hAnsi="Times New Roman" w:cs="Times New Roman"/>
          <w:b/>
          <w:bCs/>
          <w:sz w:val="20"/>
          <w:szCs w:val="20"/>
          <w:lang w:bidi="ar-EG"/>
        </w:rPr>
        <w:t>Specificity</w:t>
      </w:r>
      <w:r w:rsidR="008047D3" w:rsidRPr="008047D3">
        <w:rPr>
          <w:rFonts w:ascii="Times New Roman" w:eastAsia="Times New Roman" w:hAnsi="Times New Roman" w:cs="Times New Roman"/>
          <w:sz w:val="20"/>
          <w:szCs w:val="20"/>
          <w:lang w:bidi="ar-EG"/>
        </w:rPr>
        <w:t xml:space="preserve"> of</w:t>
      </w:r>
      <w:r w:rsidRPr="008047D3">
        <w:rPr>
          <w:rFonts w:ascii="Times New Roman" w:eastAsia="Times New Roman" w:hAnsi="Times New Roman" w:cs="Times New Roman"/>
          <w:sz w:val="20"/>
          <w:szCs w:val="20"/>
          <w:lang w:bidi="ar-EG"/>
        </w:rPr>
        <w:t xml:space="preserve"> 74.0% and statistically high significant difference in the studied groups (P-value 0.000) which proved that serum Nesfatin-1 could be considered as biomarker for early detection of diabetic kidney disease in type 2 diabetic patients.</w:t>
      </w:r>
      <w:r w:rsidR="00310F47" w:rsidRPr="008047D3">
        <w:rPr>
          <w:rFonts w:ascii="Times New Roman" w:eastAsia="Times New Roman" w:hAnsi="Times New Roman" w:cs="Times New Roman"/>
          <w:sz w:val="20"/>
          <w:szCs w:val="20"/>
          <w:lang w:bidi="ar-EG"/>
        </w:rPr>
        <w:t xml:space="preserve"> </w:t>
      </w:r>
    </w:p>
    <w:p w:rsidR="00657BEC" w:rsidRPr="008047D3" w:rsidRDefault="00657BEC" w:rsidP="00657BEC">
      <w:pPr>
        <w:snapToGrid w:val="0"/>
        <w:spacing w:after="0" w:line="240" w:lineRule="auto"/>
        <w:jc w:val="both"/>
        <w:rPr>
          <w:rFonts w:ascii="Times New Roman" w:hAnsi="Times New Roman" w:cs="Times New Roman"/>
          <w:b/>
          <w:bCs/>
          <w:sz w:val="20"/>
          <w:szCs w:val="20"/>
        </w:rPr>
        <w:sectPr w:rsidR="00657BEC" w:rsidRPr="008047D3" w:rsidSect="005E40AC">
          <w:type w:val="continuous"/>
          <w:pgSz w:w="12240" w:h="15840" w:code="13"/>
          <w:pgMar w:top="1440" w:right="1440" w:bottom="1440" w:left="1440" w:header="720" w:footer="720" w:gutter="0"/>
          <w:cols w:num="2" w:space="550"/>
          <w:docGrid w:linePitch="360"/>
        </w:sectPr>
      </w:pPr>
    </w:p>
    <w:p w:rsidR="009B2D32" w:rsidRPr="008047D3" w:rsidRDefault="009B2D32" w:rsidP="00657BEC">
      <w:pPr>
        <w:snapToGrid w:val="0"/>
        <w:spacing w:after="0" w:line="240" w:lineRule="auto"/>
        <w:jc w:val="both"/>
        <w:rPr>
          <w:rFonts w:ascii="Times New Roman" w:hAnsi="Times New Roman" w:cs="Times New Roman"/>
          <w:b/>
          <w:bCs/>
          <w:sz w:val="20"/>
          <w:szCs w:val="20"/>
        </w:rPr>
      </w:pPr>
    </w:p>
    <w:p w:rsidR="00B91467" w:rsidRDefault="00B91467" w:rsidP="00657BEC">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F95C12" w:rsidRPr="008047D3" w:rsidRDefault="00F95C12" w:rsidP="00657BEC">
      <w:pPr>
        <w:autoSpaceDE w:val="0"/>
        <w:autoSpaceDN w:val="0"/>
        <w:adjustRightInd w:val="0"/>
        <w:snapToGrid w:val="0"/>
        <w:spacing w:after="0" w:line="240" w:lineRule="auto"/>
        <w:jc w:val="both"/>
        <w:rPr>
          <w:rFonts w:ascii="Times New Roman" w:hAnsi="Times New Roman" w:cs="Times New Roman"/>
          <w:sz w:val="20"/>
          <w:szCs w:val="20"/>
        </w:rPr>
      </w:pPr>
      <w:r w:rsidRPr="008047D3">
        <w:rPr>
          <w:rFonts w:ascii="Times New Roman" w:hAnsi="Times New Roman" w:cs="Times New Roman"/>
          <w:b/>
          <w:bCs/>
          <w:sz w:val="20"/>
          <w:szCs w:val="20"/>
        </w:rPr>
        <w:t>Table (13): Association and agreement between marker cutoff value and Serum Nesfatin-1 levels in the studied groups</w:t>
      </w:r>
    </w:p>
    <w:tbl>
      <w:tblPr>
        <w:tblStyle w:val="LightGrid-Accent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056"/>
        <w:gridCol w:w="918"/>
        <w:gridCol w:w="380"/>
        <w:gridCol w:w="987"/>
        <w:gridCol w:w="1199"/>
        <w:gridCol w:w="1055"/>
        <w:gridCol w:w="762"/>
        <w:gridCol w:w="898"/>
        <w:gridCol w:w="2219"/>
      </w:tblGrid>
      <w:tr w:rsidR="00310F47" w:rsidRPr="008047D3" w:rsidTr="00310F47">
        <w:trPr>
          <w:cnfStyle w:val="000000100000"/>
          <w:jc w:val="center"/>
        </w:trPr>
        <w:tc>
          <w:tcPr>
            <w:cnfStyle w:val="000010000000"/>
            <w:tcW w:w="1241" w:type="pct"/>
            <w:gridSpan w:val="3"/>
            <w:vMerge w:val="restar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p>
        </w:tc>
        <w:tc>
          <w:tcPr>
            <w:tcW w:w="1154" w:type="pct"/>
            <w:gridSpan w:val="2"/>
            <w:shd w:val="clear" w:color="auto" w:fill="DEEAF6" w:themeFill="accent1" w:themeFillTint="33"/>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Group</w:t>
            </w:r>
          </w:p>
        </w:tc>
        <w:tc>
          <w:tcPr>
            <w:cnfStyle w:val="000010000000"/>
            <w:tcW w:w="557" w:type="pct"/>
            <w:vMerge w:val="restar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Total</w:t>
            </w:r>
          </w:p>
        </w:tc>
        <w:tc>
          <w:tcPr>
            <w:tcW w:w="402" w:type="pct"/>
            <w:vMerge w:val="restart"/>
            <w:shd w:val="clear" w:color="auto" w:fill="DEEAF6" w:themeFill="accent1" w:themeFillTint="33"/>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b/>
                <w:bCs/>
                <w:color w:val="000000"/>
                <w:sz w:val="20"/>
                <w:szCs w:val="20"/>
                <w:vertAlign w:val="superscript"/>
              </w:rPr>
            </w:pPr>
            <w:r w:rsidRPr="008047D3">
              <w:rPr>
                <w:rFonts w:ascii="Times New Roman" w:hAnsi="Times New Roman" w:cs="Times New Roman"/>
                <w:b/>
                <w:bCs/>
                <w:color w:val="000000"/>
                <w:sz w:val="20"/>
                <w:szCs w:val="20"/>
              </w:rPr>
              <w:t>X</w:t>
            </w:r>
            <w:r w:rsidRPr="008047D3">
              <w:rPr>
                <w:rFonts w:ascii="Times New Roman" w:hAnsi="Times New Roman" w:cs="Times New Roman"/>
                <w:b/>
                <w:bCs/>
                <w:color w:val="000000"/>
                <w:sz w:val="20"/>
                <w:szCs w:val="20"/>
                <w:vertAlign w:val="superscript"/>
              </w:rPr>
              <w:t>2</w:t>
            </w:r>
          </w:p>
        </w:tc>
        <w:tc>
          <w:tcPr>
            <w:cnfStyle w:val="000010000000"/>
            <w:tcW w:w="474" w:type="pct"/>
            <w:vMerge w:val="restar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P</w:t>
            </w:r>
          </w:p>
        </w:tc>
        <w:tc>
          <w:tcPr>
            <w:tcW w:w="1171" w:type="pct"/>
            <w:vMerge w:val="restart"/>
            <w:shd w:val="clear" w:color="auto" w:fill="DEEAF6" w:themeFill="accent1" w:themeFillTint="33"/>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Kappa agreement</w:t>
            </w:r>
          </w:p>
        </w:tc>
      </w:tr>
      <w:tr w:rsidR="00310F47" w:rsidRPr="008047D3" w:rsidTr="00310F47">
        <w:trPr>
          <w:cnfStyle w:val="000000010000"/>
          <w:jc w:val="center"/>
        </w:trPr>
        <w:tc>
          <w:tcPr>
            <w:cnfStyle w:val="000010000000"/>
            <w:tcW w:w="1241" w:type="pct"/>
            <w:gridSpan w:val="3"/>
            <w:vMerge/>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p>
        </w:tc>
        <w:tc>
          <w:tcPr>
            <w:tcW w:w="521" w:type="pct"/>
            <w:shd w:val="clear" w:color="auto" w:fill="DEEAF6" w:themeFill="accent1" w:themeFillTint="33"/>
            <w:vAlign w:val="center"/>
          </w:tcPr>
          <w:p w:rsidR="00F95C12" w:rsidRPr="008047D3" w:rsidRDefault="00F95C12" w:rsidP="009514E0">
            <w:pPr>
              <w:autoSpaceDE w:val="0"/>
              <w:autoSpaceDN w:val="0"/>
              <w:adjustRightInd w:val="0"/>
              <w:snapToGrid w:val="0"/>
              <w:jc w:val="both"/>
              <w:cnfStyle w:val="000000010000"/>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Group</w:t>
            </w:r>
            <w:r w:rsidR="009514E0" w:rsidRPr="008047D3">
              <w:rPr>
                <w:rFonts w:ascii="Times New Roman" w:hAnsi="Times New Roman" w:cs="Times New Roman" w:hint="eastAsia"/>
                <w:b/>
                <w:bCs/>
                <w:color w:val="000000"/>
                <w:sz w:val="20"/>
                <w:szCs w:val="20"/>
                <w:lang w:eastAsia="zh-CN"/>
              </w:rPr>
              <w:t xml:space="preserve"> </w:t>
            </w:r>
            <w:r w:rsidRPr="008047D3">
              <w:rPr>
                <w:rFonts w:ascii="Times New Roman" w:hAnsi="Times New Roman" w:cs="Times New Roman"/>
                <w:b/>
                <w:bCs/>
                <w:color w:val="000000"/>
                <w:sz w:val="20"/>
                <w:szCs w:val="20"/>
              </w:rPr>
              <w:t>I</w:t>
            </w:r>
          </w:p>
        </w:tc>
        <w:tc>
          <w:tcPr>
            <w:cnfStyle w:val="000010000000"/>
            <w:tcW w:w="633" w:type="pc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Group II</w:t>
            </w:r>
          </w:p>
        </w:tc>
        <w:tc>
          <w:tcPr>
            <w:tcW w:w="557" w:type="pct"/>
            <w:vMerge/>
            <w:shd w:val="clear" w:color="auto" w:fill="auto"/>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p>
        </w:tc>
        <w:tc>
          <w:tcPr>
            <w:cnfStyle w:val="000010000000"/>
            <w:tcW w:w="402" w:type="pct"/>
            <w:vMerge/>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p>
        </w:tc>
        <w:tc>
          <w:tcPr>
            <w:tcW w:w="474" w:type="pct"/>
            <w:vMerge/>
            <w:shd w:val="clear" w:color="auto" w:fill="auto"/>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p>
        </w:tc>
        <w:tc>
          <w:tcPr>
            <w:cnfStyle w:val="000010000000"/>
            <w:tcW w:w="1171" w:type="pct"/>
            <w:vMerge/>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p>
        </w:tc>
      </w:tr>
      <w:tr w:rsidR="00310F47" w:rsidRPr="008047D3" w:rsidTr="00310F47">
        <w:trPr>
          <w:cnfStyle w:val="000000100000"/>
          <w:jc w:val="center"/>
        </w:trPr>
        <w:tc>
          <w:tcPr>
            <w:cnfStyle w:val="000010000000"/>
            <w:tcW w:w="557" w:type="pct"/>
            <w:vMerge w:val="restar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Marker</w:t>
            </w:r>
          </w:p>
        </w:tc>
        <w:tc>
          <w:tcPr>
            <w:tcW w:w="484" w:type="pct"/>
            <w:vMerge w:val="restart"/>
            <w:shd w:val="clear" w:color="auto" w:fill="DEEAF6" w:themeFill="accent1" w:themeFillTint="33"/>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&lt;12.65</w:t>
            </w:r>
          </w:p>
        </w:tc>
        <w:tc>
          <w:tcPr>
            <w:cnfStyle w:val="000010000000"/>
            <w:tcW w:w="200"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N</w:t>
            </w:r>
          </w:p>
        </w:tc>
        <w:tc>
          <w:tcPr>
            <w:tcW w:w="521" w:type="pct"/>
            <w:shd w:val="clear" w:color="auto" w:fill="auto"/>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color w:val="000000"/>
                <w:sz w:val="20"/>
                <w:szCs w:val="20"/>
              </w:rPr>
            </w:pPr>
            <w:r w:rsidRPr="008047D3">
              <w:rPr>
                <w:rFonts w:ascii="Times New Roman" w:hAnsi="Times New Roman" w:cs="Times New Roman"/>
                <w:color w:val="000000"/>
                <w:sz w:val="20"/>
                <w:szCs w:val="20"/>
              </w:rPr>
              <w:t>37</w:t>
            </w:r>
          </w:p>
        </w:tc>
        <w:tc>
          <w:tcPr>
            <w:cnfStyle w:val="000010000000"/>
            <w:tcW w:w="633"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10</w:t>
            </w:r>
          </w:p>
        </w:tc>
        <w:tc>
          <w:tcPr>
            <w:tcW w:w="557" w:type="pct"/>
            <w:shd w:val="clear" w:color="auto" w:fill="auto"/>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color w:val="000000"/>
                <w:sz w:val="20"/>
                <w:szCs w:val="20"/>
              </w:rPr>
            </w:pPr>
            <w:r w:rsidRPr="008047D3">
              <w:rPr>
                <w:rFonts w:ascii="Times New Roman" w:hAnsi="Times New Roman" w:cs="Times New Roman"/>
                <w:color w:val="000000"/>
                <w:sz w:val="20"/>
                <w:szCs w:val="20"/>
              </w:rPr>
              <w:t>47</w:t>
            </w:r>
          </w:p>
        </w:tc>
        <w:tc>
          <w:tcPr>
            <w:cnfStyle w:val="000010000000"/>
            <w:tcW w:w="402" w:type="pct"/>
            <w:vMerge w:val="restar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29.26</w:t>
            </w:r>
          </w:p>
        </w:tc>
        <w:tc>
          <w:tcPr>
            <w:tcW w:w="474" w:type="pct"/>
            <w:vMerge w:val="restart"/>
            <w:shd w:val="clear" w:color="auto" w:fill="auto"/>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color w:val="000000"/>
                <w:sz w:val="20"/>
                <w:szCs w:val="20"/>
              </w:rPr>
            </w:pPr>
            <w:r w:rsidRPr="008047D3">
              <w:rPr>
                <w:rFonts w:ascii="Times New Roman" w:hAnsi="Times New Roman" w:cs="Times New Roman"/>
                <w:color w:val="000000"/>
                <w:sz w:val="20"/>
                <w:szCs w:val="20"/>
              </w:rPr>
              <w:t>0.00**</w:t>
            </w:r>
          </w:p>
        </w:tc>
        <w:tc>
          <w:tcPr>
            <w:cnfStyle w:val="000010000000"/>
            <w:tcW w:w="1171" w:type="pct"/>
            <w:vMerge w:val="restar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0.54</w:t>
            </w:r>
          </w:p>
        </w:tc>
      </w:tr>
      <w:tr w:rsidR="00310F47" w:rsidRPr="008047D3" w:rsidTr="00310F47">
        <w:trPr>
          <w:cnfStyle w:val="000000010000"/>
          <w:jc w:val="center"/>
        </w:trPr>
        <w:tc>
          <w:tcPr>
            <w:cnfStyle w:val="000010000000"/>
            <w:tcW w:w="557" w:type="pct"/>
            <w:vMerge/>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p>
        </w:tc>
        <w:tc>
          <w:tcPr>
            <w:tcW w:w="484" w:type="pct"/>
            <w:vMerge/>
            <w:shd w:val="clear" w:color="auto" w:fill="DEEAF6" w:themeFill="accent1" w:themeFillTint="33"/>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b/>
                <w:bCs/>
                <w:color w:val="000000"/>
                <w:sz w:val="20"/>
                <w:szCs w:val="20"/>
              </w:rPr>
            </w:pPr>
          </w:p>
        </w:tc>
        <w:tc>
          <w:tcPr>
            <w:cnfStyle w:val="000010000000"/>
            <w:tcW w:w="200"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w:t>
            </w:r>
          </w:p>
        </w:tc>
        <w:tc>
          <w:tcPr>
            <w:tcW w:w="521" w:type="pct"/>
            <w:shd w:val="clear" w:color="auto" w:fill="auto"/>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74.0%</w:t>
            </w:r>
          </w:p>
        </w:tc>
        <w:tc>
          <w:tcPr>
            <w:cnfStyle w:val="000010000000"/>
            <w:tcW w:w="633"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20.0%</w:t>
            </w:r>
          </w:p>
        </w:tc>
        <w:tc>
          <w:tcPr>
            <w:tcW w:w="557" w:type="pct"/>
            <w:shd w:val="clear" w:color="auto" w:fill="auto"/>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47.0%</w:t>
            </w:r>
          </w:p>
        </w:tc>
        <w:tc>
          <w:tcPr>
            <w:cnfStyle w:val="000010000000"/>
            <w:tcW w:w="402" w:type="pct"/>
            <w:vMerge/>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p>
        </w:tc>
        <w:tc>
          <w:tcPr>
            <w:tcW w:w="474" w:type="pct"/>
            <w:vMerge/>
            <w:shd w:val="clear" w:color="auto" w:fill="auto"/>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p>
        </w:tc>
        <w:tc>
          <w:tcPr>
            <w:cnfStyle w:val="000010000000"/>
            <w:tcW w:w="1171" w:type="pct"/>
            <w:vMerge/>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p>
        </w:tc>
      </w:tr>
      <w:tr w:rsidR="00310F47" w:rsidRPr="008047D3" w:rsidTr="00310F47">
        <w:trPr>
          <w:cnfStyle w:val="000000100000"/>
          <w:jc w:val="center"/>
        </w:trPr>
        <w:tc>
          <w:tcPr>
            <w:cnfStyle w:val="000010000000"/>
            <w:tcW w:w="557" w:type="pct"/>
            <w:vMerge/>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p>
        </w:tc>
        <w:tc>
          <w:tcPr>
            <w:tcW w:w="484" w:type="pct"/>
            <w:vMerge w:val="restart"/>
            <w:shd w:val="clear" w:color="auto" w:fill="DEEAF6" w:themeFill="accent1" w:themeFillTint="33"/>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&gt;12.65</w:t>
            </w:r>
          </w:p>
        </w:tc>
        <w:tc>
          <w:tcPr>
            <w:cnfStyle w:val="000010000000"/>
            <w:tcW w:w="200"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N</w:t>
            </w:r>
          </w:p>
        </w:tc>
        <w:tc>
          <w:tcPr>
            <w:tcW w:w="521" w:type="pct"/>
            <w:shd w:val="clear" w:color="auto" w:fill="auto"/>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color w:val="000000"/>
                <w:sz w:val="20"/>
                <w:szCs w:val="20"/>
              </w:rPr>
            </w:pPr>
            <w:r w:rsidRPr="008047D3">
              <w:rPr>
                <w:rFonts w:ascii="Times New Roman" w:hAnsi="Times New Roman" w:cs="Times New Roman"/>
                <w:color w:val="000000"/>
                <w:sz w:val="20"/>
                <w:szCs w:val="20"/>
              </w:rPr>
              <w:t>13</w:t>
            </w:r>
          </w:p>
        </w:tc>
        <w:tc>
          <w:tcPr>
            <w:cnfStyle w:val="000010000000"/>
            <w:tcW w:w="633"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40</w:t>
            </w:r>
          </w:p>
        </w:tc>
        <w:tc>
          <w:tcPr>
            <w:tcW w:w="557" w:type="pct"/>
            <w:shd w:val="clear" w:color="auto" w:fill="auto"/>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color w:val="000000"/>
                <w:sz w:val="20"/>
                <w:szCs w:val="20"/>
              </w:rPr>
            </w:pPr>
            <w:r w:rsidRPr="008047D3">
              <w:rPr>
                <w:rFonts w:ascii="Times New Roman" w:hAnsi="Times New Roman" w:cs="Times New Roman"/>
                <w:color w:val="000000"/>
                <w:sz w:val="20"/>
                <w:szCs w:val="20"/>
              </w:rPr>
              <w:t>53</w:t>
            </w:r>
          </w:p>
        </w:tc>
        <w:tc>
          <w:tcPr>
            <w:cnfStyle w:val="000010000000"/>
            <w:tcW w:w="402" w:type="pct"/>
            <w:vMerge/>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p>
        </w:tc>
        <w:tc>
          <w:tcPr>
            <w:tcW w:w="474" w:type="pct"/>
            <w:vMerge/>
            <w:shd w:val="clear" w:color="auto" w:fill="auto"/>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color w:val="000000"/>
                <w:sz w:val="20"/>
                <w:szCs w:val="20"/>
              </w:rPr>
            </w:pPr>
          </w:p>
        </w:tc>
        <w:tc>
          <w:tcPr>
            <w:cnfStyle w:val="000010000000"/>
            <w:tcW w:w="1171" w:type="pct"/>
            <w:vMerge/>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p>
        </w:tc>
      </w:tr>
      <w:tr w:rsidR="00310F47" w:rsidRPr="008047D3" w:rsidTr="00310F47">
        <w:trPr>
          <w:cnfStyle w:val="000000010000"/>
          <w:jc w:val="center"/>
        </w:trPr>
        <w:tc>
          <w:tcPr>
            <w:cnfStyle w:val="000010000000"/>
            <w:tcW w:w="557" w:type="pct"/>
            <w:vMerge/>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p>
        </w:tc>
        <w:tc>
          <w:tcPr>
            <w:tcW w:w="484" w:type="pct"/>
            <w:vMerge/>
            <w:shd w:val="clear" w:color="auto" w:fill="DEEAF6" w:themeFill="accent1" w:themeFillTint="33"/>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p>
        </w:tc>
        <w:tc>
          <w:tcPr>
            <w:cnfStyle w:val="000010000000"/>
            <w:tcW w:w="200"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w:t>
            </w:r>
          </w:p>
        </w:tc>
        <w:tc>
          <w:tcPr>
            <w:tcW w:w="521" w:type="pct"/>
            <w:shd w:val="clear" w:color="auto" w:fill="auto"/>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26.0%</w:t>
            </w:r>
          </w:p>
        </w:tc>
        <w:tc>
          <w:tcPr>
            <w:cnfStyle w:val="000010000000"/>
            <w:tcW w:w="633"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80.0%</w:t>
            </w:r>
          </w:p>
        </w:tc>
        <w:tc>
          <w:tcPr>
            <w:tcW w:w="557" w:type="pct"/>
            <w:shd w:val="clear" w:color="auto" w:fill="auto"/>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53.0%</w:t>
            </w:r>
          </w:p>
        </w:tc>
        <w:tc>
          <w:tcPr>
            <w:cnfStyle w:val="000010000000"/>
            <w:tcW w:w="402" w:type="pct"/>
            <w:vMerge/>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p>
        </w:tc>
        <w:tc>
          <w:tcPr>
            <w:tcW w:w="474" w:type="pct"/>
            <w:vMerge/>
            <w:shd w:val="clear" w:color="auto" w:fill="auto"/>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p>
        </w:tc>
        <w:tc>
          <w:tcPr>
            <w:cnfStyle w:val="000010000000"/>
            <w:tcW w:w="1171" w:type="pct"/>
            <w:vMerge/>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p>
        </w:tc>
      </w:tr>
      <w:tr w:rsidR="00310F47" w:rsidRPr="008047D3" w:rsidTr="00310F47">
        <w:trPr>
          <w:cnfStyle w:val="000000100000"/>
          <w:jc w:val="center"/>
        </w:trPr>
        <w:tc>
          <w:tcPr>
            <w:cnfStyle w:val="000010000000"/>
            <w:tcW w:w="1041" w:type="pct"/>
            <w:gridSpan w:val="2"/>
            <w:vMerge w:val="restart"/>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b/>
                <w:bCs/>
                <w:color w:val="000000"/>
                <w:sz w:val="20"/>
                <w:szCs w:val="20"/>
              </w:rPr>
            </w:pPr>
            <w:r w:rsidRPr="008047D3">
              <w:rPr>
                <w:rFonts w:ascii="Times New Roman" w:hAnsi="Times New Roman" w:cs="Times New Roman"/>
                <w:b/>
                <w:bCs/>
                <w:color w:val="000000"/>
                <w:sz w:val="20"/>
                <w:szCs w:val="20"/>
              </w:rPr>
              <w:t>Total</w:t>
            </w:r>
          </w:p>
        </w:tc>
        <w:tc>
          <w:tcPr>
            <w:tcW w:w="200" w:type="pct"/>
            <w:shd w:val="clear" w:color="auto" w:fill="auto"/>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color w:val="000000"/>
                <w:sz w:val="20"/>
                <w:szCs w:val="20"/>
              </w:rPr>
            </w:pPr>
            <w:r w:rsidRPr="008047D3">
              <w:rPr>
                <w:rFonts w:ascii="Times New Roman" w:hAnsi="Times New Roman" w:cs="Times New Roman"/>
                <w:color w:val="000000"/>
                <w:sz w:val="20"/>
                <w:szCs w:val="20"/>
              </w:rPr>
              <w:t>N</w:t>
            </w:r>
          </w:p>
        </w:tc>
        <w:tc>
          <w:tcPr>
            <w:cnfStyle w:val="000010000000"/>
            <w:tcW w:w="521"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50</w:t>
            </w:r>
          </w:p>
        </w:tc>
        <w:tc>
          <w:tcPr>
            <w:tcW w:w="633" w:type="pct"/>
            <w:shd w:val="clear" w:color="auto" w:fill="auto"/>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color w:val="000000"/>
                <w:sz w:val="20"/>
                <w:szCs w:val="20"/>
              </w:rPr>
            </w:pPr>
            <w:r w:rsidRPr="008047D3">
              <w:rPr>
                <w:rFonts w:ascii="Times New Roman" w:hAnsi="Times New Roman" w:cs="Times New Roman"/>
                <w:color w:val="000000"/>
                <w:sz w:val="20"/>
                <w:szCs w:val="20"/>
              </w:rPr>
              <w:t>50</w:t>
            </w:r>
          </w:p>
        </w:tc>
        <w:tc>
          <w:tcPr>
            <w:cnfStyle w:val="000010000000"/>
            <w:tcW w:w="557"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100</w:t>
            </w:r>
          </w:p>
        </w:tc>
        <w:tc>
          <w:tcPr>
            <w:tcW w:w="402" w:type="pct"/>
            <w:shd w:val="clear" w:color="auto" w:fill="auto"/>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color w:val="000000"/>
                <w:sz w:val="20"/>
                <w:szCs w:val="20"/>
              </w:rPr>
            </w:pPr>
          </w:p>
        </w:tc>
        <w:tc>
          <w:tcPr>
            <w:cnfStyle w:val="000010000000"/>
            <w:tcW w:w="474"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p>
        </w:tc>
        <w:tc>
          <w:tcPr>
            <w:tcW w:w="1171" w:type="pct"/>
            <w:shd w:val="clear" w:color="auto" w:fill="auto"/>
            <w:vAlign w:val="center"/>
          </w:tcPr>
          <w:p w:rsidR="00F95C12" w:rsidRPr="008047D3" w:rsidRDefault="00F95C12" w:rsidP="00657BEC">
            <w:pPr>
              <w:autoSpaceDE w:val="0"/>
              <w:autoSpaceDN w:val="0"/>
              <w:adjustRightInd w:val="0"/>
              <w:snapToGrid w:val="0"/>
              <w:jc w:val="both"/>
              <w:cnfStyle w:val="000000100000"/>
              <w:rPr>
                <w:rFonts w:ascii="Times New Roman" w:hAnsi="Times New Roman" w:cs="Times New Roman"/>
                <w:color w:val="000000"/>
                <w:sz w:val="20"/>
                <w:szCs w:val="20"/>
              </w:rPr>
            </w:pPr>
          </w:p>
        </w:tc>
      </w:tr>
      <w:tr w:rsidR="00310F47" w:rsidRPr="008047D3" w:rsidTr="00310F47">
        <w:trPr>
          <w:cnfStyle w:val="000000010000"/>
          <w:jc w:val="center"/>
        </w:trPr>
        <w:tc>
          <w:tcPr>
            <w:cnfStyle w:val="000010000000"/>
            <w:tcW w:w="1041" w:type="pct"/>
            <w:gridSpan w:val="2"/>
            <w:vMerge/>
            <w:shd w:val="clear" w:color="auto" w:fill="DEEAF6" w:themeFill="accent1" w:themeFillTint="33"/>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p>
        </w:tc>
        <w:tc>
          <w:tcPr>
            <w:tcW w:w="200" w:type="pct"/>
            <w:shd w:val="clear" w:color="auto" w:fill="auto"/>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w:t>
            </w:r>
          </w:p>
        </w:tc>
        <w:tc>
          <w:tcPr>
            <w:cnfStyle w:val="000010000000"/>
            <w:tcW w:w="521"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100.0%</w:t>
            </w:r>
          </w:p>
        </w:tc>
        <w:tc>
          <w:tcPr>
            <w:tcW w:w="633" w:type="pct"/>
            <w:shd w:val="clear" w:color="auto" w:fill="auto"/>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r w:rsidRPr="008047D3">
              <w:rPr>
                <w:rFonts w:ascii="Times New Roman" w:hAnsi="Times New Roman" w:cs="Times New Roman"/>
                <w:color w:val="000000"/>
                <w:sz w:val="20"/>
                <w:szCs w:val="20"/>
              </w:rPr>
              <w:t>100.0%</w:t>
            </w:r>
          </w:p>
        </w:tc>
        <w:tc>
          <w:tcPr>
            <w:cnfStyle w:val="000010000000"/>
            <w:tcW w:w="557" w:type="pct"/>
            <w:shd w:val="clear" w:color="auto" w:fill="auto"/>
            <w:vAlign w:val="center"/>
          </w:tcPr>
          <w:p w:rsidR="00F95C12" w:rsidRPr="008047D3" w:rsidRDefault="00F95C12" w:rsidP="00D62B3D">
            <w:pPr>
              <w:autoSpaceDE w:val="0"/>
              <w:autoSpaceDN w:val="0"/>
              <w:adjustRightInd w:val="0"/>
              <w:snapToGrid w:val="0"/>
              <w:jc w:val="both"/>
              <w:rPr>
                <w:rFonts w:ascii="Times New Roman" w:hAnsi="Times New Roman" w:cs="Times New Roman"/>
                <w:color w:val="000000"/>
                <w:sz w:val="20"/>
                <w:szCs w:val="20"/>
              </w:rPr>
            </w:pPr>
            <w:r w:rsidRPr="008047D3">
              <w:rPr>
                <w:rFonts w:ascii="Times New Roman" w:hAnsi="Times New Roman" w:cs="Times New Roman"/>
                <w:color w:val="000000"/>
                <w:sz w:val="20"/>
                <w:szCs w:val="20"/>
              </w:rPr>
              <w:t>100</w:t>
            </w:r>
            <w:r w:rsidR="00D62B3D" w:rsidRPr="008047D3">
              <w:rPr>
                <w:rFonts w:ascii="Times New Roman" w:hAnsi="Times New Roman" w:cs="Times New Roman" w:hint="eastAsia"/>
                <w:color w:val="000000"/>
                <w:sz w:val="20"/>
                <w:szCs w:val="20"/>
                <w:lang w:eastAsia="zh-CN"/>
              </w:rPr>
              <w:t>.</w:t>
            </w:r>
            <w:r w:rsidRPr="008047D3">
              <w:rPr>
                <w:rFonts w:ascii="Times New Roman" w:hAnsi="Times New Roman" w:cs="Times New Roman"/>
                <w:color w:val="000000"/>
                <w:sz w:val="20"/>
                <w:szCs w:val="20"/>
              </w:rPr>
              <w:t>0%</w:t>
            </w:r>
          </w:p>
        </w:tc>
        <w:tc>
          <w:tcPr>
            <w:tcW w:w="402" w:type="pct"/>
            <w:shd w:val="clear" w:color="auto" w:fill="auto"/>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p>
        </w:tc>
        <w:tc>
          <w:tcPr>
            <w:cnfStyle w:val="000010000000"/>
            <w:tcW w:w="474" w:type="pct"/>
            <w:shd w:val="clear" w:color="auto" w:fill="auto"/>
            <w:vAlign w:val="center"/>
          </w:tcPr>
          <w:p w:rsidR="00F95C12" w:rsidRPr="008047D3" w:rsidRDefault="00F95C12" w:rsidP="00657BEC">
            <w:pPr>
              <w:autoSpaceDE w:val="0"/>
              <w:autoSpaceDN w:val="0"/>
              <w:adjustRightInd w:val="0"/>
              <w:snapToGrid w:val="0"/>
              <w:jc w:val="both"/>
              <w:rPr>
                <w:rFonts w:ascii="Times New Roman" w:hAnsi="Times New Roman" w:cs="Times New Roman"/>
                <w:color w:val="000000"/>
                <w:sz w:val="20"/>
                <w:szCs w:val="20"/>
              </w:rPr>
            </w:pPr>
          </w:p>
        </w:tc>
        <w:tc>
          <w:tcPr>
            <w:tcW w:w="1171" w:type="pct"/>
            <w:shd w:val="clear" w:color="auto" w:fill="auto"/>
            <w:vAlign w:val="center"/>
          </w:tcPr>
          <w:p w:rsidR="00F95C12" w:rsidRPr="008047D3" w:rsidRDefault="00F95C12" w:rsidP="00657BEC">
            <w:pPr>
              <w:autoSpaceDE w:val="0"/>
              <w:autoSpaceDN w:val="0"/>
              <w:adjustRightInd w:val="0"/>
              <w:snapToGrid w:val="0"/>
              <w:jc w:val="both"/>
              <w:cnfStyle w:val="000000010000"/>
              <w:rPr>
                <w:rFonts w:ascii="Times New Roman" w:hAnsi="Times New Roman" w:cs="Times New Roman"/>
                <w:color w:val="000000"/>
                <w:sz w:val="20"/>
                <w:szCs w:val="20"/>
              </w:rPr>
            </w:pPr>
          </w:p>
        </w:tc>
      </w:tr>
    </w:tbl>
    <w:p w:rsidR="00F95C12" w:rsidRPr="008047D3" w:rsidRDefault="00F95C12" w:rsidP="00D62B3D">
      <w:pPr>
        <w:snapToGrid w:val="0"/>
        <w:spacing w:after="0" w:line="240" w:lineRule="auto"/>
        <w:jc w:val="both"/>
        <w:rPr>
          <w:rFonts w:ascii="Times New Roman" w:eastAsia="Times New Roman" w:hAnsi="Times New Roman" w:cs="Times New Roman"/>
          <w:sz w:val="20"/>
          <w:szCs w:val="20"/>
          <w:lang w:bidi="ar-EG"/>
        </w:rPr>
      </w:pPr>
      <w:r w:rsidRPr="008047D3">
        <w:rPr>
          <w:rFonts w:ascii="Times New Roman" w:eastAsia="Times New Roman" w:hAnsi="Times New Roman" w:cs="Times New Roman"/>
          <w:sz w:val="20"/>
          <w:szCs w:val="20"/>
          <w:lang w:bidi="ar-EG"/>
        </w:rPr>
        <w:t>P =pro</w:t>
      </w:r>
      <w:r w:rsidR="009B2D32" w:rsidRPr="008047D3">
        <w:rPr>
          <w:rFonts w:ascii="Times New Roman" w:eastAsia="Times New Roman" w:hAnsi="Times New Roman" w:cs="Times New Roman"/>
          <w:sz w:val="20"/>
          <w:szCs w:val="20"/>
          <w:lang w:bidi="ar-EG"/>
        </w:rPr>
        <w:t>bability value</w:t>
      </w:r>
      <w:r w:rsidR="00310F47" w:rsidRPr="008047D3">
        <w:rPr>
          <w:rFonts w:ascii="Times New Roman" w:eastAsia="Times New Roman" w:hAnsi="Times New Roman" w:cs="Times New Roman"/>
          <w:sz w:val="20"/>
          <w:szCs w:val="20"/>
          <w:lang w:bidi="ar-EG"/>
        </w:rPr>
        <w:t xml:space="preserve"> </w:t>
      </w:r>
      <w:r w:rsidR="00310F47" w:rsidRPr="008047D3">
        <w:rPr>
          <w:rFonts w:ascii="Times New Roman" w:hAnsi="Times New Roman" w:cs="Times New Roman"/>
          <w:sz w:val="20"/>
          <w:szCs w:val="20"/>
          <w:lang w:eastAsia="zh-CN" w:bidi="ar-EG"/>
        </w:rPr>
        <w:tab/>
      </w:r>
      <w:r w:rsidR="00310F47" w:rsidRPr="008047D3">
        <w:rPr>
          <w:rFonts w:ascii="Times New Roman" w:eastAsia="Times New Roman" w:hAnsi="Times New Roman" w:cs="Times New Roman"/>
          <w:sz w:val="20"/>
          <w:szCs w:val="20"/>
          <w:lang w:bidi="ar-EG"/>
        </w:rPr>
        <w:t xml:space="preserve"> </w:t>
      </w:r>
      <w:r w:rsidRPr="008047D3">
        <w:rPr>
          <w:rFonts w:ascii="Times New Roman" w:eastAsia="Times New Roman" w:hAnsi="Times New Roman" w:cs="Times New Roman"/>
          <w:sz w:val="20"/>
          <w:szCs w:val="20"/>
          <w:lang w:bidi="ar-EG"/>
        </w:rPr>
        <w:t>No. =number</w:t>
      </w:r>
      <m:oMath>
        <m:r>
          <m:rPr>
            <m:sty m:val="bi"/>
          </m:rPr>
          <w:rPr>
            <w:rFonts w:ascii="Cambria Math" w:hAnsi="Times New Roman" w:cs="Times New Roman"/>
            <w:sz w:val="20"/>
            <w:szCs w:val="20"/>
            <w:lang w:bidi="ar-EG"/>
          </w:rPr>
          <m:t xml:space="preserve"> </m:t>
        </m:r>
        <m:r>
          <m:rPr>
            <m:sty m:val="bi"/>
          </m:rPr>
          <w:rPr>
            <w:rFonts w:ascii="Cambria Math" w:hAnsi="Cambria Math" w:cs="Times New Roman"/>
            <w:sz w:val="20"/>
            <w:szCs w:val="20"/>
            <w:lang w:bidi="ar-EG"/>
          </w:rPr>
          <m:t>χ</m:t>
        </m:r>
      </m:oMath>
      <w:r w:rsidRPr="008047D3">
        <w:rPr>
          <w:rFonts w:ascii="Times New Roman" w:hAnsi="Times New Roman" w:cs="Times New Roman"/>
          <w:b/>
          <w:bCs/>
          <w:sz w:val="20"/>
          <w:szCs w:val="20"/>
          <w:vertAlign w:val="superscript"/>
          <w:lang w:bidi="ar-EG"/>
        </w:rPr>
        <w:t>2</w:t>
      </w:r>
      <m:oMath>
        <m:r>
          <w:rPr>
            <w:rFonts w:ascii="Cambria Math" w:eastAsia="Times New Roman" w:hAnsi="Times New Roman" w:cs="Times New Roman"/>
            <w:sz w:val="20"/>
            <w:szCs w:val="20"/>
            <w:lang w:bidi="ar-EG"/>
          </w:rPr>
          <m:t>=</m:t>
        </m:r>
      </m:oMath>
      <w:r w:rsidR="009B2D32" w:rsidRPr="008047D3">
        <w:rPr>
          <w:rFonts w:ascii="Times New Roman" w:eastAsia="Times New Roman" w:hAnsi="Times New Roman" w:cs="Times New Roman"/>
          <w:sz w:val="20"/>
          <w:szCs w:val="20"/>
          <w:lang w:bidi="ar-EG"/>
        </w:rPr>
        <w:t>chi square test</w:t>
      </w:r>
      <w:r w:rsidR="00310F47" w:rsidRPr="008047D3">
        <w:rPr>
          <w:rFonts w:ascii="Times New Roman" w:eastAsia="Times New Roman" w:hAnsi="Times New Roman" w:cs="Times New Roman"/>
          <w:sz w:val="20"/>
          <w:szCs w:val="20"/>
          <w:lang w:bidi="ar-EG"/>
        </w:rPr>
        <w:t xml:space="preserve"> </w:t>
      </w:r>
      <w:r w:rsidR="00310F47" w:rsidRPr="008047D3">
        <w:rPr>
          <w:rFonts w:ascii="Times New Roman" w:hAnsi="Times New Roman" w:cs="Times New Roman"/>
          <w:sz w:val="20"/>
          <w:szCs w:val="20"/>
          <w:lang w:eastAsia="zh-CN" w:bidi="ar-EG"/>
        </w:rPr>
        <w:tab/>
      </w:r>
      <w:r w:rsidR="00310F47" w:rsidRPr="008047D3">
        <w:rPr>
          <w:rFonts w:ascii="Times New Roman" w:eastAsia="Times New Roman" w:hAnsi="Times New Roman" w:cs="Times New Roman"/>
          <w:sz w:val="20"/>
          <w:szCs w:val="20"/>
          <w:lang w:bidi="ar-EG"/>
        </w:rPr>
        <w:t xml:space="preserve"> </w:t>
      </w:r>
      <w:r w:rsidRPr="008047D3">
        <w:rPr>
          <w:rFonts w:ascii="Times New Roman" w:eastAsia="Times New Roman" w:hAnsi="Times New Roman" w:cs="Times New Roman"/>
          <w:sz w:val="20"/>
          <w:szCs w:val="20"/>
          <w:lang w:bidi="ar-EG"/>
        </w:rPr>
        <w:t>non-significant: P &gt; 0.05</w:t>
      </w:r>
      <w:r w:rsidR="00310F47" w:rsidRPr="008047D3">
        <w:rPr>
          <w:rFonts w:ascii="Times New Roman" w:eastAsia="Times New Roman" w:hAnsi="Times New Roman" w:cs="Times New Roman"/>
          <w:sz w:val="20"/>
          <w:szCs w:val="20"/>
          <w:lang w:bidi="ar-EG"/>
        </w:rPr>
        <w:t xml:space="preserve"> </w:t>
      </w:r>
      <w:r w:rsidRPr="008047D3">
        <w:rPr>
          <w:rFonts w:ascii="Times New Roman" w:eastAsia="Times New Roman" w:hAnsi="Times New Roman" w:cs="Times New Roman"/>
          <w:sz w:val="20"/>
          <w:szCs w:val="20"/>
          <w:lang w:bidi="ar-EG"/>
        </w:rPr>
        <w:t>* Significant: P &lt; 0.05</w:t>
      </w:r>
    </w:p>
    <w:p w:rsidR="00F95C12" w:rsidRDefault="00F95C12" w:rsidP="00657BEC">
      <w:pPr>
        <w:snapToGrid w:val="0"/>
        <w:spacing w:after="0" w:line="240" w:lineRule="auto"/>
        <w:ind w:firstLine="425"/>
        <w:jc w:val="both"/>
        <w:rPr>
          <w:rFonts w:ascii="Times New Roman" w:hAnsi="Times New Roman" w:cs="Times New Roman" w:hint="eastAsia"/>
          <w:sz w:val="20"/>
          <w:szCs w:val="20"/>
          <w:lang w:eastAsia="zh-CN" w:bidi="ar-EG"/>
        </w:rPr>
      </w:pPr>
    </w:p>
    <w:p w:rsidR="00B91467" w:rsidRPr="00B91467" w:rsidRDefault="00B91467" w:rsidP="00657BEC">
      <w:pPr>
        <w:snapToGrid w:val="0"/>
        <w:spacing w:after="0" w:line="240" w:lineRule="auto"/>
        <w:ind w:firstLine="425"/>
        <w:jc w:val="both"/>
        <w:rPr>
          <w:rFonts w:ascii="Times New Roman" w:hAnsi="Times New Roman" w:cs="Times New Roman" w:hint="eastAsia"/>
          <w:sz w:val="20"/>
          <w:szCs w:val="20"/>
          <w:lang w:eastAsia="zh-CN" w:bidi="ar-EG"/>
        </w:rPr>
      </w:pPr>
    </w:p>
    <w:p w:rsidR="00657BEC" w:rsidRPr="008047D3" w:rsidRDefault="00657BEC" w:rsidP="00657BEC">
      <w:pPr>
        <w:snapToGrid w:val="0"/>
        <w:spacing w:after="0" w:line="240" w:lineRule="auto"/>
        <w:jc w:val="both"/>
        <w:rPr>
          <w:rFonts w:ascii="Times New Roman" w:eastAsia="Calibri" w:hAnsi="Times New Roman" w:cs="Times New Roman"/>
          <w:b/>
          <w:bCs/>
          <w:sz w:val="20"/>
          <w:szCs w:val="20"/>
        </w:rPr>
        <w:sectPr w:rsidR="00657BEC" w:rsidRPr="008047D3" w:rsidSect="005E40AC">
          <w:type w:val="continuous"/>
          <w:pgSz w:w="12240" w:h="15840" w:code="13"/>
          <w:pgMar w:top="1440" w:right="1440" w:bottom="1440" w:left="1440" w:header="720" w:footer="720" w:gutter="0"/>
          <w:cols w:space="720"/>
          <w:docGrid w:linePitch="360"/>
        </w:sectPr>
      </w:pPr>
    </w:p>
    <w:p w:rsidR="00F95C12" w:rsidRPr="008047D3" w:rsidRDefault="009B2D32" w:rsidP="00657BEC">
      <w:pPr>
        <w:snapToGrid w:val="0"/>
        <w:spacing w:after="0" w:line="240" w:lineRule="auto"/>
        <w:jc w:val="both"/>
        <w:rPr>
          <w:rFonts w:ascii="Times New Roman" w:eastAsia="Calibri" w:hAnsi="Times New Roman" w:cs="Times New Roman"/>
          <w:b/>
          <w:bCs/>
          <w:sz w:val="20"/>
          <w:szCs w:val="20"/>
        </w:rPr>
      </w:pPr>
      <w:r w:rsidRPr="008047D3">
        <w:rPr>
          <w:rFonts w:ascii="Times New Roman" w:eastAsia="Calibri" w:hAnsi="Times New Roman" w:cs="Times New Roman"/>
          <w:b/>
          <w:bCs/>
          <w:sz w:val="20"/>
          <w:szCs w:val="20"/>
        </w:rPr>
        <w:lastRenderedPageBreak/>
        <w:t xml:space="preserve">4. </w:t>
      </w:r>
      <w:r w:rsidR="00F95C12" w:rsidRPr="008047D3">
        <w:rPr>
          <w:rFonts w:ascii="Times New Roman" w:eastAsia="Calibri" w:hAnsi="Times New Roman" w:cs="Times New Roman"/>
          <w:b/>
          <w:bCs/>
          <w:sz w:val="20"/>
          <w:szCs w:val="20"/>
        </w:rPr>
        <w:t>Discussion</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vertAlign w:val="superscript"/>
        </w:rPr>
      </w:pPr>
      <w:r w:rsidRPr="008047D3">
        <w:rPr>
          <w:rFonts w:ascii="Times New Roman" w:eastAsia="Calibri" w:hAnsi="Times New Roman" w:cs="Times New Roman"/>
          <w:sz w:val="20"/>
          <w:szCs w:val="20"/>
        </w:rPr>
        <w:t xml:space="preserve">Diabetes mellitus is a chronic disease caused by inherited and/or acquired deficiency in production of insulin by the pancreas, or by the ineffectiveness of the insulin produced. Such a deficiency results in increased concentrations of glucose in the blood, which in turn is associated with both microvascular and macrovascular complications. </w:t>
      </w:r>
      <w:r w:rsidRPr="008047D3">
        <w:rPr>
          <w:rFonts w:ascii="Times New Roman" w:eastAsia="Calibri" w:hAnsi="Times New Roman" w:cs="Times New Roman"/>
          <w:sz w:val="20"/>
          <w:szCs w:val="20"/>
          <w:vertAlign w:val="superscript"/>
        </w:rPr>
        <w:t>(1)</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vertAlign w:val="superscript"/>
        </w:rPr>
      </w:pPr>
      <w:r w:rsidRPr="008047D3">
        <w:rPr>
          <w:rFonts w:ascii="Times New Roman" w:eastAsia="Calibri" w:hAnsi="Times New Roman" w:cs="Times New Roman"/>
          <w:sz w:val="20"/>
          <w:szCs w:val="20"/>
        </w:rPr>
        <w:t xml:space="preserve">Diabetic kidney disease (DKD) is one of the most common microvascular complications of DM, greatly affecting the life quality and survival of the patients. As global prevalence of diabetes is steadily increasing, the number of patients with DKD is expanding day by day. DKD is now the leading cause of ESRD, a disease that is described as a worldwide medical catastrophe. </w:t>
      </w:r>
      <w:r w:rsidRPr="008047D3">
        <w:rPr>
          <w:rFonts w:ascii="Times New Roman" w:eastAsia="Calibri" w:hAnsi="Times New Roman" w:cs="Times New Roman"/>
          <w:sz w:val="20"/>
          <w:szCs w:val="20"/>
          <w:vertAlign w:val="superscript"/>
        </w:rPr>
        <w:t>(</w:t>
      </w:r>
      <w:r w:rsidR="00A86AC6" w:rsidRPr="008047D3">
        <w:rPr>
          <w:rFonts w:ascii="Times New Roman" w:eastAsia="Calibri" w:hAnsi="Times New Roman" w:cs="Times New Roman"/>
          <w:sz w:val="20"/>
          <w:szCs w:val="20"/>
          <w:vertAlign w:val="superscript"/>
        </w:rPr>
        <w:t>7</w:t>
      </w:r>
      <w:r w:rsidRPr="008047D3">
        <w:rPr>
          <w:rFonts w:ascii="Times New Roman" w:eastAsia="Calibri" w:hAnsi="Times New Roman" w:cs="Times New Roman"/>
          <w:sz w:val="20"/>
          <w:szCs w:val="20"/>
          <w:vertAlign w:val="superscript"/>
        </w:rPr>
        <w:t>)</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t xml:space="preserve">The routine classical evaluation of DKD includes appearance of albuminuria, decreased creatinine clearance and increased serum creatinine. But, it has been reported that a decline in the renal function of patients with diabetes was not always accompanied by an increased ACR. About 20%-30% of patients with T2DM, accompanied by renal insufficiency, showed normoalbuminuria, which is a condition referred to now as non-proteinuric DKD </w:t>
      </w:r>
      <w:r w:rsidRPr="008047D3">
        <w:rPr>
          <w:rFonts w:ascii="Times New Roman" w:eastAsia="Calibri" w:hAnsi="Times New Roman" w:cs="Times New Roman"/>
          <w:sz w:val="20"/>
          <w:szCs w:val="20"/>
          <w:vertAlign w:val="superscript"/>
        </w:rPr>
        <w:t>(</w:t>
      </w:r>
      <w:r w:rsidR="00A86AC6" w:rsidRPr="008047D3">
        <w:rPr>
          <w:rFonts w:ascii="Times New Roman" w:eastAsia="Calibri" w:hAnsi="Times New Roman" w:cs="Times New Roman"/>
          <w:sz w:val="20"/>
          <w:szCs w:val="20"/>
          <w:vertAlign w:val="superscript"/>
        </w:rPr>
        <w:t>8</w:t>
      </w:r>
      <w:r w:rsidRPr="008047D3">
        <w:rPr>
          <w:rFonts w:ascii="Times New Roman" w:eastAsia="Calibri" w:hAnsi="Times New Roman" w:cs="Times New Roman"/>
          <w:sz w:val="20"/>
          <w:szCs w:val="20"/>
          <w:vertAlign w:val="superscript"/>
        </w:rPr>
        <w:t>)</w:t>
      </w:r>
      <w:r w:rsidRPr="008047D3">
        <w:rPr>
          <w:rFonts w:ascii="Times New Roman" w:eastAsia="Calibri" w:hAnsi="Times New Roman" w:cs="Times New Roman"/>
          <w:sz w:val="20"/>
          <w:szCs w:val="20"/>
        </w:rPr>
        <w:t>, hence the need for new biomarkers for earlier detection of DKD has emerged.</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t xml:space="preserve">Nesfatin-1 is a newly discovered hypothalamic neuropeptide that regulates appetite. It is an 82 amino-acid peptide originating from the cleavage of nucleobindin2 NUCB2. Nesfatin-1 is expressed in </w:t>
      </w:r>
      <w:r w:rsidRPr="008047D3">
        <w:rPr>
          <w:rFonts w:ascii="Times New Roman" w:eastAsia="Calibri" w:hAnsi="Times New Roman" w:cs="Times New Roman"/>
          <w:sz w:val="20"/>
          <w:szCs w:val="20"/>
        </w:rPr>
        <w:lastRenderedPageBreak/>
        <w:t xml:space="preserve">neurons of various brain areas including PVN, ARC and LHA in hypothalamic nuclei and in the NTS and DMNX at the brainstem level. It has the ability to cross blood brain barrier without molecular saturation. It is also expressed in pancreatic b-cells, where it is co-localized with insulin in secretion vesicles. </w:t>
      </w:r>
      <w:r w:rsidRPr="008047D3">
        <w:rPr>
          <w:rFonts w:ascii="Times New Roman" w:eastAsia="Calibri" w:hAnsi="Times New Roman" w:cs="Times New Roman"/>
          <w:sz w:val="20"/>
          <w:szCs w:val="20"/>
          <w:vertAlign w:val="superscript"/>
        </w:rPr>
        <w:t xml:space="preserve">(4, </w:t>
      </w:r>
      <w:r w:rsidR="00A86AC6" w:rsidRPr="008047D3">
        <w:rPr>
          <w:rFonts w:ascii="Times New Roman" w:eastAsia="Calibri" w:hAnsi="Times New Roman" w:cs="Times New Roman"/>
          <w:sz w:val="20"/>
          <w:szCs w:val="20"/>
          <w:vertAlign w:val="superscript"/>
        </w:rPr>
        <w:t>9</w:t>
      </w:r>
      <w:r w:rsidRPr="008047D3">
        <w:rPr>
          <w:rFonts w:ascii="Times New Roman" w:eastAsia="Calibri" w:hAnsi="Times New Roman" w:cs="Times New Roman"/>
          <w:sz w:val="20"/>
          <w:szCs w:val="20"/>
          <w:vertAlign w:val="superscript"/>
        </w:rPr>
        <w:t>)</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vertAlign w:val="superscript"/>
        </w:rPr>
      </w:pPr>
      <w:r w:rsidRPr="008047D3">
        <w:rPr>
          <w:rFonts w:ascii="Times New Roman" w:eastAsia="Calibri" w:hAnsi="Times New Roman" w:cs="Times New Roman"/>
          <w:sz w:val="20"/>
          <w:szCs w:val="20"/>
        </w:rPr>
        <w:t xml:space="preserve">The middle segment covering the amino acids from 23 to 53, which is called M30 is the responsible for the dose-dependent inhibition of food intake. The amino acid sequencing of this segment is similar to that of alpha-MSH and Agouti-related peptides (AgRP). </w:t>
      </w:r>
      <w:r w:rsidRPr="008047D3">
        <w:rPr>
          <w:rFonts w:ascii="Times New Roman" w:eastAsia="Calibri" w:hAnsi="Times New Roman" w:cs="Times New Roman"/>
          <w:sz w:val="20"/>
          <w:szCs w:val="20"/>
          <w:vertAlign w:val="superscript"/>
        </w:rPr>
        <w:t>(</w:t>
      </w:r>
      <w:r w:rsidR="00A86AC6" w:rsidRPr="008047D3">
        <w:rPr>
          <w:rFonts w:ascii="Times New Roman" w:eastAsia="Calibri" w:hAnsi="Times New Roman" w:cs="Times New Roman"/>
          <w:sz w:val="20"/>
          <w:szCs w:val="20"/>
          <w:vertAlign w:val="superscript"/>
        </w:rPr>
        <w:t>10</w:t>
      </w:r>
      <w:r w:rsidRPr="008047D3">
        <w:rPr>
          <w:rFonts w:ascii="Times New Roman" w:eastAsia="Calibri" w:hAnsi="Times New Roman" w:cs="Times New Roman"/>
          <w:sz w:val="20"/>
          <w:szCs w:val="20"/>
          <w:vertAlign w:val="superscript"/>
        </w:rPr>
        <w:t>)</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vertAlign w:val="superscript"/>
        </w:rPr>
      </w:pPr>
      <w:r w:rsidRPr="008047D3">
        <w:rPr>
          <w:rFonts w:ascii="Times New Roman" w:eastAsia="Calibri" w:hAnsi="Times New Roman" w:cs="Times New Roman"/>
          <w:sz w:val="20"/>
          <w:szCs w:val="20"/>
        </w:rPr>
        <w:t>Nesfatin-1 has been reported to possess an anti-hyperglycemic effect which is peripheral and time, dose and insulin dependent</w:t>
      </w:r>
      <w:r w:rsidR="00D62B3D" w:rsidRPr="008047D3">
        <w:rPr>
          <w:rFonts w:ascii="Times New Roman" w:eastAsia="Calibri" w:hAnsi="Times New Roman" w:cs="Times New Roman"/>
          <w:sz w:val="20"/>
          <w:szCs w:val="20"/>
        </w:rPr>
        <w:t>. R</w:t>
      </w:r>
      <w:r w:rsidRPr="008047D3">
        <w:rPr>
          <w:rFonts w:ascii="Times New Roman" w:eastAsia="Calibri" w:hAnsi="Times New Roman" w:cs="Times New Roman"/>
          <w:sz w:val="20"/>
          <w:szCs w:val="20"/>
        </w:rPr>
        <w:t xml:space="preserve">ecent experimental studies have also linked nesfatin-1 to enhanced peripheral and hepatic insulin sensitivity, through promoting peripheral glucose uptake and decreasing gluconeogenesis via different pathways. </w:t>
      </w:r>
      <w:r w:rsidRPr="008047D3">
        <w:rPr>
          <w:rFonts w:ascii="Times New Roman" w:eastAsia="Calibri" w:hAnsi="Times New Roman" w:cs="Times New Roman"/>
          <w:sz w:val="20"/>
          <w:szCs w:val="20"/>
          <w:vertAlign w:val="superscript"/>
        </w:rPr>
        <w:t>(</w:t>
      </w:r>
      <w:r w:rsidR="00A86AC6" w:rsidRPr="008047D3">
        <w:rPr>
          <w:rFonts w:ascii="Times New Roman" w:eastAsia="Calibri" w:hAnsi="Times New Roman" w:cs="Times New Roman"/>
          <w:sz w:val="20"/>
          <w:szCs w:val="20"/>
          <w:vertAlign w:val="superscript"/>
        </w:rPr>
        <w:t>10</w:t>
      </w:r>
      <w:r w:rsidRPr="008047D3">
        <w:rPr>
          <w:rFonts w:ascii="Times New Roman" w:eastAsia="Calibri" w:hAnsi="Times New Roman" w:cs="Times New Roman"/>
          <w:sz w:val="20"/>
          <w:szCs w:val="20"/>
          <w:vertAlign w:val="superscript"/>
        </w:rPr>
        <w:t>, 1</w:t>
      </w:r>
      <w:r w:rsidR="00A86AC6" w:rsidRPr="008047D3">
        <w:rPr>
          <w:rFonts w:ascii="Times New Roman" w:eastAsia="Calibri" w:hAnsi="Times New Roman" w:cs="Times New Roman"/>
          <w:sz w:val="20"/>
          <w:szCs w:val="20"/>
          <w:vertAlign w:val="superscript"/>
        </w:rPr>
        <w:t>1</w:t>
      </w:r>
      <w:r w:rsidRPr="008047D3">
        <w:rPr>
          <w:rFonts w:ascii="Times New Roman" w:eastAsia="Calibri" w:hAnsi="Times New Roman" w:cs="Times New Roman"/>
          <w:sz w:val="20"/>
          <w:szCs w:val="20"/>
          <w:vertAlign w:val="superscript"/>
        </w:rPr>
        <w:t>)</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t>The aim of our study was to evaluate serum Nesfatin-1 as a potential early biomarker of diabetic kidney disease (DKD) in type 2 diabetic patients. It was conducted on 100 adult patients selected from Tanta University Hospital and Ahmed Maher Teaching hospital (Internal Medicine inpatient wards and outpatient clinics). Divided into two groups:</w:t>
      </w:r>
    </w:p>
    <w:p w:rsidR="009B2D32" w:rsidRPr="008047D3" w:rsidRDefault="00F95C12" w:rsidP="00D62B3D">
      <w:pPr>
        <w:snapToGrid w:val="0"/>
        <w:spacing w:after="0" w:line="240" w:lineRule="auto"/>
        <w:jc w:val="both"/>
        <w:rPr>
          <w:rFonts w:ascii="Times New Roman" w:eastAsia="Calibri" w:hAnsi="Times New Roman" w:cs="Times New Roman"/>
          <w:sz w:val="20"/>
          <w:szCs w:val="20"/>
        </w:rPr>
      </w:pPr>
      <w:r w:rsidRPr="008047D3">
        <w:rPr>
          <w:rFonts w:ascii="Times New Roman" w:eastAsia="Calibri" w:hAnsi="Times New Roman" w:cs="Times New Roman"/>
          <w:b/>
          <w:bCs/>
          <w:sz w:val="20"/>
          <w:szCs w:val="20"/>
        </w:rPr>
        <w:t>Group I</w:t>
      </w:r>
      <w:r w:rsidRPr="008047D3">
        <w:rPr>
          <w:rFonts w:ascii="Times New Roman" w:eastAsia="Calibri" w:hAnsi="Times New Roman" w:cs="Times New Roman"/>
          <w:sz w:val="20"/>
          <w:szCs w:val="20"/>
        </w:rPr>
        <w:t>:</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t>Included 50 adult patients with type 2 diabetes and normo-albuminuria (UAE&lt;30 mg/day).</w:t>
      </w:r>
    </w:p>
    <w:p w:rsidR="00310F47" w:rsidRPr="008047D3" w:rsidRDefault="00F95C12" w:rsidP="00657BEC">
      <w:pPr>
        <w:snapToGrid w:val="0"/>
        <w:spacing w:after="0" w:line="240" w:lineRule="auto"/>
        <w:jc w:val="both"/>
        <w:rPr>
          <w:rFonts w:ascii="Times New Roman" w:eastAsia="Calibri" w:hAnsi="Times New Roman" w:cs="Times New Roman"/>
          <w:sz w:val="20"/>
          <w:szCs w:val="20"/>
        </w:rPr>
      </w:pPr>
      <w:r w:rsidRPr="008047D3">
        <w:rPr>
          <w:rFonts w:ascii="Times New Roman" w:eastAsia="Calibri" w:hAnsi="Times New Roman" w:cs="Times New Roman"/>
          <w:b/>
          <w:bCs/>
          <w:sz w:val="20"/>
          <w:szCs w:val="20"/>
        </w:rPr>
        <w:t>Group II:</w:t>
      </w:r>
    </w:p>
    <w:p w:rsidR="00F95C12" w:rsidRPr="008047D3" w:rsidRDefault="00310F47"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lastRenderedPageBreak/>
        <w:t>I</w:t>
      </w:r>
      <w:r w:rsidR="00F95C12" w:rsidRPr="008047D3">
        <w:rPr>
          <w:rFonts w:ascii="Times New Roman" w:eastAsia="Calibri" w:hAnsi="Times New Roman" w:cs="Times New Roman"/>
          <w:sz w:val="20"/>
          <w:szCs w:val="20"/>
        </w:rPr>
        <w:t>ncluded 50 adult patients with type 2 diabetes and albuminuria (UAE≥30 mg/day).</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b/>
          <w:bCs/>
          <w:i/>
          <w:iCs/>
          <w:sz w:val="20"/>
          <w:szCs w:val="20"/>
        </w:rPr>
        <w:t>In our study,</w:t>
      </w:r>
      <w:r w:rsidR="00061BBF" w:rsidRPr="008047D3">
        <w:rPr>
          <w:rFonts w:ascii="Times New Roman" w:eastAsia="Calibri" w:hAnsi="Times New Roman" w:cs="Times New Roman"/>
          <w:sz w:val="20"/>
          <w:szCs w:val="20"/>
        </w:rPr>
        <w:t xml:space="preserve"> </w:t>
      </w:r>
      <w:r w:rsidRPr="008047D3">
        <w:rPr>
          <w:rFonts w:ascii="Times New Roman" w:eastAsia="Calibri" w:hAnsi="Times New Roman" w:cs="Times New Roman"/>
          <w:sz w:val="20"/>
          <w:szCs w:val="20"/>
        </w:rPr>
        <w:t>there was a statistically significant difference between the mean values of DM duration in the two studied groups (P-value 0.00).</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t xml:space="preserve">Our results were in agreement with the results reported by </w:t>
      </w:r>
      <w:r w:rsidRPr="008047D3">
        <w:rPr>
          <w:rFonts w:ascii="Times New Roman" w:eastAsia="Calibri" w:hAnsi="Times New Roman" w:cs="Times New Roman"/>
          <w:b/>
          <w:bCs/>
          <w:sz w:val="20"/>
          <w:szCs w:val="20"/>
        </w:rPr>
        <w:t xml:space="preserve">Zeng et al </w:t>
      </w:r>
      <w:r w:rsidRPr="008047D3">
        <w:rPr>
          <w:rFonts w:ascii="Times New Roman" w:eastAsia="Calibri" w:hAnsi="Times New Roman" w:cs="Times New Roman"/>
          <w:b/>
          <w:bCs/>
          <w:sz w:val="20"/>
          <w:szCs w:val="20"/>
          <w:vertAlign w:val="superscript"/>
        </w:rPr>
        <w:t>(</w:t>
      </w:r>
      <w:r w:rsidR="00A86AC6" w:rsidRPr="008047D3">
        <w:rPr>
          <w:rFonts w:ascii="Times New Roman" w:eastAsia="Calibri" w:hAnsi="Times New Roman" w:cs="Times New Roman"/>
          <w:b/>
          <w:bCs/>
          <w:sz w:val="20"/>
          <w:szCs w:val="20"/>
          <w:vertAlign w:val="superscript"/>
        </w:rPr>
        <w:t>12</w:t>
      </w:r>
      <w:r w:rsidRPr="008047D3">
        <w:rPr>
          <w:rFonts w:ascii="Times New Roman" w:eastAsia="Calibri" w:hAnsi="Times New Roman" w:cs="Times New Roman"/>
          <w:b/>
          <w:bCs/>
          <w:sz w:val="20"/>
          <w:szCs w:val="20"/>
          <w:vertAlign w:val="superscript"/>
        </w:rPr>
        <w:t>)</w:t>
      </w:r>
      <w:r w:rsidRPr="008047D3">
        <w:rPr>
          <w:rFonts w:ascii="Times New Roman" w:eastAsia="Calibri" w:hAnsi="Times New Roman" w:cs="Times New Roman"/>
          <w:b/>
          <w:bCs/>
          <w:sz w:val="20"/>
          <w:szCs w:val="20"/>
        </w:rPr>
        <w:t xml:space="preserve"> in 2017</w:t>
      </w:r>
      <w:r w:rsidRPr="008047D3">
        <w:rPr>
          <w:rFonts w:ascii="Times New Roman" w:eastAsia="Calibri" w:hAnsi="Times New Roman" w:cs="Times New Roman"/>
          <w:sz w:val="20"/>
          <w:szCs w:val="20"/>
        </w:rPr>
        <w:t xml:space="preserve"> who reported that there was a statistically significant difference between the two studied groups regarding DM duration (P-value 0.00).</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b/>
          <w:bCs/>
          <w:i/>
          <w:iCs/>
          <w:sz w:val="20"/>
          <w:szCs w:val="20"/>
        </w:rPr>
        <w:t>In our study</w:t>
      </w:r>
      <w:r w:rsidRPr="008047D3">
        <w:rPr>
          <w:rFonts w:ascii="Times New Roman" w:eastAsia="Calibri" w:hAnsi="Times New Roman" w:cs="Times New Roman"/>
          <w:sz w:val="20"/>
          <w:szCs w:val="20"/>
        </w:rPr>
        <w:t>, there was no statistically significant difference between the mean values of BMI in the two studied groups (P-value 0.717).</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t xml:space="preserve">Our results were in agreement with the results obtained by </w:t>
      </w:r>
      <w:r w:rsidRPr="008047D3">
        <w:rPr>
          <w:rFonts w:ascii="Times New Roman" w:eastAsia="Calibri" w:hAnsi="Times New Roman" w:cs="Times New Roman"/>
          <w:b/>
          <w:bCs/>
          <w:sz w:val="20"/>
          <w:szCs w:val="20"/>
        </w:rPr>
        <w:t>Wei et al</w:t>
      </w:r>
      <w:r w:rsidR="00310F47" w:rsidRPr="008047D3">
        <w:rPr>
          <w:rFonts w:ascii="Times New Roman" w:eastAsia="Calibri" w:hAnsi="Times New Roman" w:cs="Times New Roman"/>
          <w:b/>
          <w:bCs/>
          <w:sz w:val="20"/>
          <w:szCs w:val="20"/>
        </w:rPr>
        <w:t xml:space="preserve"> </w:t>
      </w:r>
      <w:r w:rsidRPr="008047D3">
        <w:rPr>
          <w:rFonts w:ascii="Times New Roman" w:eastAsia="Calibri" w:hAnsi="Times New Roman" w:cs="Times New Roman"/>
          <w:b/>
          <w:bCs/>
          <w:sz w:val="20"/>
          <w:szCs w:val="20"/>
          <w:vertAlign w:val="superscript"/>
        </w:rPr>
        <w:t>(</w:t>
      </w:r>
      <w:r w:rsidR="00A86AC6" w:rsidRPr="008047D3">
        <w:rPr>
          <w:rFonts w:ascii="Times New Roman" w:eastAsia="Calibri" w:hAnsi="Times New Roman" w:cs="Times New Roman"/>
          <w:b/>
          <w:bCs/>
          <w:sz w:val="20"/>
          <w:szCs w:val="20"/>
          <w:vertAlign w:val="superscript"/>
        </w:rPr>
        <w:t>13</w:t>
      </w:r>
      <w:r w:rsidRPr="008047D3">
        <w:rPr>
          <w:rFonts w:ascii="Times New Roman" w:eastAsia="Calibri" w:hAnsi="Times New Roman" w:cs="Times New Roman"/>
          <w:b/>
          <w:bCs/>
          <w:sz w:val="20"/>
          <w:szCs w:val="20"/>
          <w:vertAlign w:val="superscript"/>
        </w:rPr>
        <w:t xml:space="preserve">) </w:t>
      </w:r>
      <w:r w:rsidRPr="008047D3">
        <w:rPr>
          <w:rFonts w:ascii="Times New Roman" w:eastAsia="Calibri" w:hAnsi="Times New Roman" w:cs="Times New Roman"/>
          <w:b/>
          <w:bCs/>
          <w:sz w:val="20"/>
          <w:szCs w:val="20"/>
        </w:rPr>
        <w:t>in 2018</w:t>
      </w:r>
      <w:r w:rsidRPr="008047D3">
        <w:rPr>
          <w:rFonts w:ascii="Times New Roman" w:eastAsia="Calibri" w:hAnsi="Times New Roman" w:cs="Times New Roman"/>
          <w:sz w:val="20"/>
          <w:szCs w:val="20"/>
        </w:rPr>
        <w:t xml:space="preserve"> who reported that there was no statistically significant difference between the studied groups regarding BMI (P-value =0.08).</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t xml:space="preserve">On the other hand our results were in disagreement with the results reported by </w:t>
      </w:r>
      <w:r w:rsidRPr="008047D3">
        <w:rPr>
          <w:rFonts w:ascii="Times New Roman" w:eastAsia="Calibri" w:hAnsi="Times New Roman" w:cs="Times New Roman"/>
          <w:b/>
          <w:bCs/>
          <w:sz w:val="20"/>
          <w:szCs w:val="20"/>
        </w:rPr>
        <w:t>Abd-Elaaty et al</w:t>
      </w:r>
      <w:r w:rsidRPr="008047D3">
        <w:rPr>
          <w:rFonts w:ascii="Times New Roman" w:eastAsia="Calibri" w:hAnsi="Times New Roman" w:cs="Times New Roman"/>
          <w:b/>
          <w:bCs/>
          <w:sz w:val="20"/>
          <w:szCs w:val="20"/>
          <w:vertAlign w:val="superscript"/>
        </w:rPr>
        <w:t xml:space="preserve"> </w:t>
      </w:r>
      <w:r w:rsidRPr="008047D3">
        <w:rPr>
          <w:rFonts w:ascii="Times New Roman" w:eastAsia="Calibri" w:hAnsi="Times New Roman" w:cs="Times New Roman"/>
          <w:sz w:val="20"/>
          <w:szCs w:val="20"/>
          <w:vertAlign w:val="superscript"/>
        </w:rPr>
        <w:t>(</w:t>
      </w:r>
      <w:r w:rsidR="00A86AC6" w:rsidRPr="008047D3">
        <w:rPr>
          <w:rFonts w:ascii="Times New Roman" w:eastAsia="Calibri" w:hAnsi="Times New Roman" w:cs="Times New Roman"/>
          <w:sz w:val="20"/>
          <w:szCs w:val="20"/>
          <w:vertAlign w:val="superscript"/>
        </w:rPr>
        <w:t>14</w:t>
      </w:r>
      <w:r w:rsidRPr="008047D3">
        <w:rPr>
          <w:rFonts w:ascii="Times New Roman" w:eastAsia="Calibri" w:hAnsi="Times New Roman" w:cs="Times New Roman"/>
          <w:sz w:val="20"/>
          <w:szCs w:val="20"/>
          <w:vertAlign w:val="superscript"/>
        </w:rPr>
        <w:t>)</w:t>
      </w:r>
      <w:r w:rsidRPr="008047D3">
        <w:rPr>
          <w:rFonts w:ascii="Times New Roman" w:eastAsia="Calibri" w:hAnsi="Times New Roman" w:cs="Times New Roman"/>
          <w:b/>
          <w:bCs/>
          <w:sz w:val="20"/>
          <w:szCs w:val="20"/>
        </w:rPr>
        <w:t xml:space="preserve"> in (2017</w:t>
      </w:r>
      <w:r w:rsidR="00D62B3D" w:rsidRPr="008047D3">
        <w:rPr>
          <w:rFonts w:ascii="Times New Roman" w:eastAsia="Calibri" w:hAnsi="Times New Roman" w:cs="Times New Roman"/>
          <w:b/>
          <w:bCs/>
          <w:sz w:val="20"/>
          <w:szCs w:val="20"/>
        </w:rPr>
        <w:t xml:space="preserve">) </w:t>
      </w:r>
      <w:r w:rsidR="00D62B3D" w:rsidRPr="008047D3">
        <w:rPr>
          <w:rFonts w:ascii="Times New Roman" w:eastAsia="Calibri" w:hAnsi="Times New Roman" w:cs="Times New Roman"/>
          <w:sz w:val="20"/>
          <w:szCs w:val="20"/>
        </w:rPr>
        <w:t>w</w:t>
      </w:r>
      <w:r w:rsidRPr="008047D3">
        <w:rPr>
          <w:rFonts w:ascii="Times New Roman" w:eastAsia="Calibri" w:hAnsi="Times New Roman" w:cs="Times New Roman"/>
          <w:sz w:val="20"/>
          <w:szCs w:val="20"/>
        </w:rPr>
        <w:t>ho reported that there was a statistically significant difference between the studied groups regarding BMI (P-value&lt;0.001).</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t>The previous study carried out b</w:t>
      </w:r>
      <w:r w:rsidR="00D62B3D" w:rsidRPr="008047D3">
        <w:rPr>
          <w:rFonts w:ascii="Times New Roman" w:eastAsia="Calibri" w:hAnsi="Times New Roman" w:cs="Times New Roman"/>
          <w:sz w:val="20"/>
          <w:szCs w:val="20"/>
        </w:rPr>
        <w:t xml:space="preserve">y </w:t>
      </w:r>
      <w:r w:rsidR="00D62B3D" w:rsidRPr="008047D3">
        <w:rPr>
          <w:rFonts w:ascii="Times New Roman" w:eastAsia="Calibri" w:hAnsi="Times New Roman" w:cs="Times New Roman"/>
          <w:b/>
          <w:bCs/>
          <w:sz w:val="20"/>
          <w:szCs w:val="20"/>
        </w:rPr>
        <w:t>A</w:t>
      </w:r>
      <w:r w:rsidRPr="008047D3">
        <w:rPr>
          <w:rFonts w:ascii="Times New Roman" w:eastAsia="Calibri" w:hAnsi="Times New Roman" w:cs="Times New Roman"/>
          <w:b/>
          <w:bCs/>
          <w:sz w:val="20"/>
          <w:szCs w:val="20"/>
        </w:rPr>
        <w:t>bd-Elaaty et a</w:t>
      </w:r>
      <w:r w:rsidR="00310F47" w:rsidRPr="008047D3">
        <w:rPr>
          <w:rFonts w:ascii="Times New Roman" w:eastAsia="Calibri" w:hAnsi="Times New Roman" w:cs="Times New Roman"/>
          <w:b/>
          <w:bCs/>
          <w:sz w:val="20"/>
          <w:szCs w:val="20"/>
        </w:rPr>
        <w:t xml:space="preserve">l </w:t>
      </w:r>
      <w:r w:rsidR="00310F47" w:rsidRPr="008047D3">
        <w:rPr>
          <w:rFonts w:ascii="Times New Roman" w:eastAsia="Calibri" w:hAnsi="Times New Roman" w:cs="Times New Roman"/>
          <w:b/>
          <w:bCs/>
          <w:sz w:val="20"/>
          <w:szCs w:val="20"/>
          <w:vertAlign w:val="superscript"/>
        </w:rPr>
        <w:t>(</w:t>
      </w:r>
      <w:r w:rsidR="00A86AC6" w:rsidRPr="008047D3">
        <w:rPr>
          <w:rFonts w:ascii="Times New Roman" w:eastAsia="Calibri" w:hAnsi="Times New Roman" w:cs="Times New Roman"/>
          <w:b/>
          <w:bCs/>
          <w:sz w:val="20"/>
          <w:szCs w:val="20"/>
          <w:vertAlign w:val="superscript"/>
        </w:rPr>
        <w:t>14</w:t>
      </w:r>
      <w:r w:rsidRPr="008047D3">
        <w:rPr>
          <w:rFonts w:ascii="Times New Roman" w:eastAsia="Calibri" w:hAnsi="Times New Roman" w:cs="Times New Roman"/>
          <w:b/>
          <w:bCs/>
          <w:sz w:val="20"/>
          <w:szCs w:val="20"/>
          <w:vertAlign w:val="superscript"/>
        </w:rPr>
        <w:t>)</w:t>
      </w:r>
      <w:r w:rsidR="00310F47" w:rsidRPr="008047D3">
        <w:rPr>
          <w:rFonts w:ascii="Times New Roman" w:eastAsia="Calibri" w:hAnsi="Times New Roman" w:cs="Times New Roman"/>
          <w:b/>
          <w:bCs/>
          <w:sz w:val="20"/>
          <w:szCs w:val="20"/>
          <w:vertAlign w:val="superscript"/>
        </w:rPr>
        <w:t xml:space="preserve"> </w:t>
      </w:r>
      <w:r w:rsidRPr="008047D3">
        <w:rPr>
          <w:rFonts w:ascii="Times New Roman" w:eastAsia="Calibri" w:hAnsi="Times New Roman" w:cs="Times New Roman"/>
          <w:sz w:val="20"/>
          <w:szCs w:val="20"/>
        </w:rPr>
        <w:t>may have differed from ours regarding BMI distribution as they hadn’t exclude obese patients with BMI ≥30 mg/kg</w:t>
      </w:r>
      <w:r w:rsidRPr="008047D3">
        <w:rPr>
          <w:rFonts w:ascii="Times New Roman" w:eastAsia="Calibri" w:hAnsi="Times New Roman" w:cs="Times New Roman"/>
          <w:sz w:val="20"/>
          <w:szCs w:val="20"/>
          <w:vertAlign w:val="superscript"/>
        </w:rPr>
        <w:t>2</w:t>
      </w:r>
      <w:r w:rsidRPr="008047D3">
        <w:rPr>
          <w:rFonts w:ascii="Times New Roman" w:eastAsia="Calibri" w:hAnsi="Times New Roman" w:cs="Times New Roman"/>
          <w:sz w:val="20"/>
          <w:szCs w:val="20"/>
        </w:rPr>
        <w:t xml:space="preserve"> as we had excluded them in our study.</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b/>
          <w:bCs/>
          <w:i/>
          <w:iCs/>
          <w:sz w:val="20"/>
          <w:szCs w:val="20"/>
        </w:rPr>
        <w:t>In our study</w:t>
      </w:r>
      <w:r w:rsidRPr="008047D3">
        <w:rPr>
          <w:rFonts w:ascii="Times New Roman" w:eastAsia="Calibri" w:hAnsi="Times New Roman" w:cs="Times New Roman"/>
          <w:sz w:val="20"/>
          <w:szCs w:val="20"/>
        </w:rPr>
        <w:t>, there were no statistically significant differences between the two studied groups regarding the mean values of HB, TLC and PLT (P-value=0.431, 0.357 and 0.894 respectively).</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t xml:space="preserve">Our results regarding HB, TLC and PLT were comparable with the results reported by </w:t>
      </w:r>
      <w:r w:rsidRPr="008047D3">
        <w:rPr>
          <w:rFonts w:ascii="Times New Roman" w:eastAsia="Calibri" w:hAnsi="Times New Roman" w:cs="Times New Roman"/>
          <w:b/>
          <w:bCs/>
          <w:sz w:val="20"/>
          <w:szCs w:val="20"/>
        </w:rPr>
        <w:t xml:space="preserve">Kahraman et al </w:t>
      </w:r>
      <w:r w:rsidRPr="008047D3">
        <w:rPr>
          <w:rFonts w:ascii="Times New Roman" w:eastAsia="Calibri" w:hAnsi="Times New Roman" w:cs="Times New Roman"/>
          <w:b/>
          <w:bCs/>
          <w:sz w:val="20"/>
          <w:szCs w:val="20"/>
          <w:vertAlign w:val="superscript"/>
        </w:rPr>
        <w:t>(</w:t>
      </w:r>
      <w:r w:rsidR="00A86AC6" w:rsidRPr="008047D3">
        <w:rPr>
          <w:rFonts w:ascii="Times New Roman" w:eastAsia="Calibri" w:hAnsi="Times New Roman" w:cs="Times New Roman"/>
          <w:b/>
          <w:bCs/>
          <w:sz w:val="20"/>
          <w:szCs w:val="20"/>
          <w:vertAlign w:val="superscript"/>
        </w:rPr>
        <w:t>15</w:t>
      </w:r>
      <w:r w:rsidRPr="008047D3">
        <w:rPr>
          <w:rFonts w:ascii="Times New Roman" w:eastAsia="Calibri" w:hAnsi="Times New Roman" w:cs="Times New Roman"/>
          <w:b/>
          <w:bCs/>
          <w:sz w:val="20"/>
          <w:szCs w:val="20"/>
          <w:vertAlign w:val="superscript"/>
        </w:rPr>
        <w:t xml:space="preserve">) </w:t>
      </w:r>
      <w:r w:rsidRPr="008047D3">
        <w:rPr>
          <w:rFonts w:ascii="Times New Roman" w:eastAsia="Calibri" w:hAnsi="Times New Roman" w:cs="Times New Roman"/>
          <w:b/>
          <w:bCs/>
          <w:sz w:val="20"/>
          <w:szCs w:val="20"/>
        </w:rPr>
        <w:t xml:space="preserve">in 2016 </w:t>
      </w:r>
      <w:r w:rsidRPr="008047D3">
        <w:rPr>
          <w:rFonts w:ascii="Times New Roman" w:eastAsia="Calibri" w:hAnsi="Times New Roman" w:cs="Times New Roman"/>
          <w:sz w:val="20"/>
          <w:szCs w:val="20"/>
        </w:rPr>
        <w:t>who reported that there were a statistically significant difference between the three studied groups regarding HB (P-value=0.006) but there was no statistically significant difference regarding TLC and PLT between the studied groups (P-value= 0.846 and 0.104 respectively).</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t xml:space="preserve">The results obtained by </w:t>
      </w:r>
      <w:r w:rsidRPr="008047D3">
        <w:rPr>
          <w:rFonts w:ascii="Times New Roman" w:eastAsia="Calibri" w:hAnsi="Times New Roman" w:cs="Times New Roman"/>
          <w:b/>
          <w:bCs/>
          <w:sz w:val="20"/>
          <w:szCs w:val="20"/>
        </w:rPr>
        <w:t xml:space="preserve">Kahraman et al </w:t>
      </w:r>
      <w:r w:rsidRPr="008047D3">
        <w:rPr>
          <w:rFonts w:ascii="Times New Roman" w:eastAsia="Calibri" w:hAnsi="Times New Roman" w:cs="Times New Roman"/>
          <w:b/>
          <w:bCs/>
          <w:sz w:val="20"/>
          <w:szCs w:val="20"/>
          <w:vertAlign w:val="superscript"/>
        </w:rPr>
        <w:t>(</w:t>
      </w:r>
      <w:r w:rsidR="00A86AC6" w:rsidRPr="008047D3">
        <w:rPr>
          <w:rFonts w:ascii="Times New Roman" w:eastAsia="Calibri" w:hAnsi="Times New Roman" w:cs="Times New Roman"/>
          <w:b/>
          <w:bCs/>
          <w:sz w:val="20"/>
          <w:szCs w:val="20"/>
          <w:vertAlign w:val="superscript"/>
        </w:rPr>
        <w:t>15</w:t>
      </w:r>
      <w:r w:rsidRPr="008047D3">
        <w:rPr>
          <w:rFonts w:ascii="Times New Roman" w:eastAsia="Calibri" w:hAnsi="Times New Roman" w:cs="Times New Roman"/>
          <w:b/>
          <w:bCs/>
          <w:sz w:val="20"/>
          <w:szCs w:val="20"/>
          <w:vertAlign w:val="superscript"/>
        </w:rPr>
        <w:t>)</w:t>
      </w:r>
      <w:r w:rsidR="00A86AC6" w:rsidRPr="008047D3">
        <w:rPr>
          <w:rFonts w:ascii="Times New Roman" w:eastAsia="Calibri" w:hAnsi="Times New Roman" w:cs="Times New Roman"/>
          <w:sz w:val="20"/>
          <w:szCs w:val="20"/>
        </w:rPr>
        <w:t xml:space="preserve"> </w:t>
      </w:r>
      <w:r w:rsidRPr="008047D3">
        <w:rPr>
          <w:rFonts w:ascii="Times New Roman" w:eastAsia="Calibri" w:hAnsi="Times New Roman" w:cs="Times New Roman"/>
          <w:sz w:val="20"/>
          <w:szCs w:val="20"/>
        </w:rPr>
        <w:t>regarding HB level may be differed from our study as anemia were recorded in the macro-albuminuric group in contrary to our study which may be due to the progression of DKD causing decreased erythropoietin secretion with the interstitial affection of the kidneys.</w:t>
      </w:r>
      <w:r w:rsidR="00310F47" w:rsidRPr="008047D3">
        <w:rPr>
          <w:rFonts w:ascii="Times New Roman" w:eastAsia="Calibri" w:hAnsi="Times New Roman" w:cs="Times New Roman"/>
          <w:sz w:val="20"/>
          <w:szCs w:val="20"/>
        </w:rPr>
        <w:t xml:space="preserve"> </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lang w:bidi="ar-EG"/>
        </w:rPr>
      </w:pPr>
      <w:r w:rsidRPr="008047D3">
        <w:rPr>
          <w:rFonts w:ascii="Times New Roman" w:eastAsia="Calibri" w:hAnsi="Times New Roman" w:cs="Times New Roman"/>
          <w:b/>
          <w:bCs/>
          <w:i/>
          <w:iCs/>
          <w:sz w:val="20"/>
          <w:szCs w:val="20"/>
          <w:lang w:bidi="ar-EG"/>
        </w:rPr>
        <w:t>In our study,</w:t>
      </w:r>
      <w:r w:rsidR="00A86AC6" w:rsidRPr="008047D3">
        <w:rPr>
          <w:rFonts w:ascii="Times New Roman" w:eastAsia="Calibri" w:hAnsi="Times New Roman" w:cs="Times New Roman"/>
          <w:b/>
          <w:bCs/>
          <w:sz w:val="20"/>
          <w:szCs w:val="20"/>
          <w:lang w:bidi="ar-EG"/>
        </w:rPr>
        <w:t xml:space="preserve"> </w:t>
      </w:r>
      <w:r w:rsidRPr="008047D3">
        <w:rPr>
          <w:rFonts w:ascii="Times New Roman" w:eastAsia="Calibri" w:hAnsi="Times New Roman" w:cs="Times New Roman"/>
          <w:b/>
          <w:bCs/>
          <w:sz w:val="20"/>
          <w:szCs w:val="20"/>
          <w:lang w:bidi="ar-EG"/>
        </w:rPr>
        <w:t>t</w:t>
      </w:r>
      <w:r w:rsidRPr="008047D3">
        <w:rPr>
          <w:rFonts w:ascii="Times New Roman" w:eastAsia="Calibri" w:hAnsi="Times New Roman" w:cs="Times New Roman"/>
          <w:sz w:val="20"/>
          <w:szCs w:val="20"/>
          <w:lang w:bidi="ar-EG"/>
        </w:rPr>
        <w:t>here were no statistically significant differences regarding serum cholesterol and triglycerides between the two studied groups (P-value=0.935, 0.135 respectively).</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lang w:bidi="ar-EG"/>
        </w:rPr>
      </w:pPr>
      <w:r w:rsidRPr="008047D3">
        <w:rPr>
          <w:rFonts w:ascii="Times New Roman" w:eastAsia="Calibri" w:hAnsi="Times New Roman" w:cs="Times New Roman"/>
          <w:sz w:val="20"/>
          <w:szCs w:val="20"/>
          <w:lang w:bidi="ar-EG"/>
        </w:rPr>
        <w:t xml:space="preserve">We were in agreement with the results reported by </w:t>
      </w:r>
      <w:r w:rsidRPr="008047D3">
        <w:rPr>
          <w:rFonts w:ascii="Times New Roman" w:eastAsia="Calibri" w:hAnsi="Times New Roman" w:cs="Times New Roman"/>
          <w:b/>
          <w:bCs/>
          <w:sz w:val="20"/>
          <w:szCs w:val="20"/>
          <w:lang w:bidi="ar-EG"/>
        </w:rPr>
        <w:t xml:space="preserve">Khandare et al </w:t>
      </w:r>
      <w:r w:rsidRPr="008047D3">
        <w:rPr>
          <w:rFonts w:ascii="Times New Roman" w:eastAsia="Calibri" w:hAnsi="Times New Roman" w:cs="Times New Roman"/>
          <w:b/>
          <w:bCs/>
          <w:sz w:val="20"/>
          <w:szCs w:val="20"/>
          <w:vertAlign w:val="superscript"/>
          <w:lang w:bidi="ar-EG"/>
        </w:rPr>
        <w:t>(</w:t>
      </w:r>
      <w:r w:rsidR="00A86AC6" w:rsidRPr="008047D3">
        <w:rPr>
          <w:rFonts w:ascii="Times New Roman" w:eastAsia="Calibri" w:hAnsi="Times New Roman" w:cs="Times New Roman"/>
          <w:b/>
          <w:bCs/>
          <w:sz w:val="20"/>
          <w:szCs w:val="20"/>
          <w:vertAlign w:val="superscript"/>
          <w:lang w:bidi="ar-EG"/>
        </w:rPr>
        <w:t>16</w:t>
      </w:r>
      <w:r w:rsidRPr="008047D3">
        <w:rPr>
          <w:rFonts w:ascii="Times New Roman" w:eastAsia="Calibri" w:hAnsi="Times New Roman" w:cs="Times New Roman"/>
          <w:b/>
          <w:bCs/>
          <w:sz w:val="20"/>
          <w:szCs w:val="20"/>
          <w:vertAlign w:val="superscript"/>
          <w:lang w:bidi="ar-EG"/>
        </w:rPr>
        <w:t>)</w:t>
      </w:r>
      <w:r w:rsidRPr="008047D3">
        <w:rPr>
          <w:rFonts w:ascii="Times New Roman" w:eastAsia="Calibri" w:hAnsi="Times New Roman" w:cs="Times New Roman"/>
          <w:b/>
          <w:bCs/>
          <w:sz w:val="20"/>
          <w:szCs w:val="20"/>
          <w:lang w:bidi="ar-EG"/>
        </w:rPr>
        <w:t xml:space="preserve"> in 2017 </w:t>
      </w:r>
      <w:r w:rsidRPr="008047D3">
        <w:rPr>
          <w:rFonts w:ascii="Times New Roman" w:eastAsia="Calibri" w:hAnsi="Times New Roman" w:cs="Times New Roman"/>
          <w:sz w:val="20"/>
          <w:szCs w:val="20"/>
          <w:lang w:bidi="ar-EG"/>
        </w:rPr>
        <w:t xml:space="preserve">who reported that there were no statistically significant differences between the two studied groups (group 1: T2DM patients with normo-albuminuria and group 2: T2DM patients with </w:t>
      </w:r>
      <w:r w:rsidRPr="008047D3">
        <w:rPr>
          <w:rFonts w:ascii="Times New Roman" w:eastAsia="Calibri" w:hAnsi="Times New Roman" w:cs="Times New Roman"/>
          <w:sz w:val="20"/>
          <w:szCs w:val="20"/>
          <w:lang w:bidi="ar-EG"/>
        </w:rPr>
        <w:lastRenderedPageBreak/>
        <w:t>albuminuria)</w:t>
      </w:r>
      <w:r w:rsidR="00310F47" w:rsidRPr="008047D3">
        <w:rPr>
          <w:rFonts w:ascii="Times New Roman" w:eastAsia="Calibri" w:hAnsi="Times New Roman" w:cs="Times New Roman"/>
          <w:sz w:val="20"/>
          <w:szCs w:val="20"/>
          <w:lang w:bidi="ar-EG"/>
        </w:rPr>
        <w:t xml:space="preserve"> </w:t>
      </w:r>
      <w:r w:rsidRPr="008047D3">
        <w:rPr>
          <w:rFonts w:ascii="Times New Roman" w:eastAsia="Calibri" w:hAnsi="Times New Roman" w:cs="Times New Roman"/>
          <w:sz w:val="20"/>
          <w:szCs w:val="20"/>
          <w:lang w:bidi="ar-EG"/>
        </w:rPr>
        <w:t>regarding serum cholesterol and triglycerides (P-value=0.742 and 0.48 respectively).</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lang w:bidi="ar-EG"/>
        </w:rPr>
      </w:pPr>
      <w:r w:rsidRPr="008047D3">
        <w:rPr>
          <w:rFonts w:ascii="Times New Roman" w:eastAsia="Calibri" w:hAnsi="Times New Roman" w:cs="Times New Roman"/>
          <w:sz w:val="20"/>
          <w:szCs w:val="20"/>
          <w:lang w:bidi="ar-EG"/>
        </w:rPr>
        <w:t xml:space="preserve">On the other hand our results regarding serum cholesterol and triglycerides were in disagreement with the results reported by </w:t>
      </w:r>
      <w:r w:rsidRPr="008047D3">
        <w:rPr>
          <w:rFonts w:ascii="Times New Roman" w:eastAsia="Calibri" w:hAnsi="Times New Roman" w:cs="Times New Roman"/>
          <w:b/>
          <w:bCs/>
          <w:sz w:val="20"/>
          <w:szCs w:val="20"/>
          <w:lang w:bidi="ar-EG"/>
        </w:rPr>
        <w:t xml:space="preserve">Mahendran et al </w:t>
      </w:r>
      <w:r w:rsidRPr="008047D3">
        <w:rPr>
          <w:rFonts w:ascii="Times New Roman" w:eastAsia="Calibri" w:hAnsi="Times New Roman" w:cs="Times New Roman"/>
          <w:b/>
          <w:bCs/>
          <w:sz w:val="20"/>
          <w:szCs w:val="20"/>
          <w:vertAlign w:val="superscript"/>
          <w:lang w:bidi="ar-EG"/>
        </w:rPr>
        <w:t>(</w:t>
      </w:r>
      <w:r w:rsidR="00A86AC6" w:rsidRPr="008047D3">
        <w:rPr>
          <w:rFonts w:ascii="Times New Roman" w:eastAsia="Calibri" w:hAnsi="Times New Roman" w:cs="Times New Roman"/>
          <w:b/>
          <w:bCs/>
          <w:sz w:val="20"/>
          <w:szCs w:val="20"/>
          <w:vertAlign w:val="superscript"/>
          <w:lang w:bidi="ar-EG"/>
        </w:rPr>
        <w:t>17</w:t>
      </w:r>
      <w:r w:rsidRPr="008047D3">
        <w:rPr>
          <w:rFonts w:ascii="Times New Roman" w:eastAsia="Calibri" w:hAnsi="Times New Roman" w:cs="Times New Roman"/>
          <w:b/>
          <w:bCs/>
          <w:sz w:val="20"/>
          <w:szCs w:val="20"/>
          <w:vertAlign w:val="superscript"/>
          <w:lang w:bidi="ar-EG"/>
        </w:rPr>
        <w:t>)</w:t>
      </w:r>
      <w:r w:rsidRPr="008047D3">
        <w:rPr>
          <w:rFonts w:ascii="Times New Roman" w:eastAsia="Calibri" w:hAnsi="Times New Roman" w:cs="Times New Roman"/>
          <w:b/>
          <w:bCs/>
          <w:sz w:val="20"/>
          <w:szCs w:val="20"/>
          <w:lang w:bidi="ar-EG"/>
        </w:rPr>
        <w:t xml:space="preserve"> in 2016 </w:t>
      </w:r>
      <w:r w:rsidRPr="008047D3">
        <w:rPr>
          <w:rFonts w:ascii="Times New Roman" w:eastAsia="Calibri" w:hAnsi="Times New Roman" w:cs="Times New Roman"/>
          <w:sz w:val="20"/>
          <w:szCs w:val="20"/>
          <w:lang w:bidi="ar-EG"/>
        </w:rPr>
        <w:t xml:space="preserve">who reported that there were statistically significant differences between the three studied groups regarding serum cholesterol and triglycerides. </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lang w:bidi="ar-EG"/>
        </w:rPr>
      </w:pPr>
      <w:r w:rsidRPr="008047D3">
        <w:rPr>
          <w:rFonts w:ascii="Times New Roman" w:eastAsia="Calibri" w:hAnsi="Times New Roman" w:cs="Times New Roman"/>
          <w:sz w:val="20"/>
          <w:szCs w:val="20"/>
          <w:lang w:bidi="ar-EG"/>
        </w:rPr>
        <w:t xml:space="preserve">Our results regarding serum cholesterol and triglycerides may have differed from the results obtained by </w:t>
      </w:r>
      <w:r w:rsidRPr="008047D3">
        <w:rPr>
          <w:rFonts w:ascii="Times New Roman" w:eastAsia="Calibri" w:hAnsi="Times New Roman" w:cs="Times New Roman"/>
          <w:b/>
          <w:bCs/>
          <w:sz w:val="20"/>
          <w:szCs w:val="20"/>
          <w:lang w:bidi="ar-EG"/>
        </w:rPr>
        <w:t xml:space="preserve">Mahendran et al </w:t>
      </w:r>
      <w:r w:rsidRPr="008047D3">
        <w:rPr>
          <w:rFonts w:ascii="Times New Roman" w:eastAsia="Calibri" w:hAnsi="Times New Roman" w:cs="Times New Roman"/>
          <w:b/>
          <w:bCs/>
          <w:sz w:val="20"/>
          <w:szCs w:val="20"/>
          <w:vertAlign w:val="superscript"/>
          <w:lang w:bidi="ar-EG"/>
        </w:rPr>
        <w:t>(</w:t>
      </w:r>
      <w:r w:rsidR="00A86AC6" w:rsidRPr="008047D3">
        <w:rPr>
          <w:rFonts w:ascii="Times New Roman" w:eastAsia="Calibri" w:hAnsi="Times New Roman" w:cs="Times New Roman"/>
          <w:b/>
          <w:bCs/>
          <w:sz w:val="20"/>
          <w:szCs w:val="20"/>
          <w:vertAlign w:val="superscript"/>
          <w:lang w:bidi="ar-EG"/>
        </w:rPr>
        <w:t>17</w:t>
      </w:r>
      <w:r w:rsidRPr="008047D3">
        <w:rPr>
          <w:rFonts w:ascii="Times New Roman" w:eastAsia="Calibri" w:hAnsi="Times New Roman" w:cs="Times New Roman"/>
          <w:b/>
          <w:bCs/>
          <w:sz w:val="20"/>
          <w:szCs w:val="20"/>
          <w:vertAlign w:val="superscript"/>
          <w:lang w:bidi="ar-EG"/>
        </w:rPr>
        <w:t>)</w:t>
      </w:r>
      <w:r w:rsidR="00A86AC6" w:rsidRPr="008047D3">
        <w:rPr>
          <w:rFonts w:ascii="Times New Roman" w:eastAsia="Calibri" w:hAnsi="Times New Roman" w:cs="Times New Roman"/>
          <w:sz w:val="20"/>
          <w:szCs w:val="20"/>
          <w:lang w:bidi="ar-EG"/>
        </w:rPr>
        <w:t xml:space="preserve"> </w:t>
      </w:r>
      <w:r w:rsidRPr="008047D3">
        <w:rPr>
          <w:rFonts w:ascii="Times New Roman" w:eastAsia="Calibri" w:hAnsi="Times New Roman" w:cs="Times New Roman"/>
          <w:sz w:val="20"/>
          <w:szCs w:val="20"/>
          <w:lang w:bidi="ar-EG"/>
        </w:rPr>
        <w:t xml:space="preserve">as obese patients with BMI </w:t>
      </w:r>
      <w:r w:rsidRPr="008047D3">
        <w:rPr>
          <w:rFonts w:ascii="Times New Roman" w:hAnsi="Times New Roman" w:cs="Times New Roman"/>
          <w:color w:val="222222"/>
          <w:sz w:val="20"/>
          <w:szCs w:val="20"/>
          <w:shd w:val="clear" w:color="auto" w:fill="FFFFFF"/>
        </w:rPr>
        <w:t>≥ 30 and patients with uncontrolled dyslipidemia weren’t excluded.</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b/>
          <w:bCs/>
          <w:i/>
          <w:iCs/>
          <w:sz w:val="20"/>
          <w:szCs w:val="20"/>
        </w:rPr>
        <w:t xml:space="preserve">In our study, </w:t>
      </w:r>
      <w:r w:rsidRPr="008047D3">
        <w:rPr>
          <w:rFonts w:ascii="Times New Roman" w:eastAsia="Calibri" w:hAnsi="Times New Roman" w:cs="Times New Roman"/>
          <w:sz w:val="20"/>
          <w:szCs w:val="20"/>
        </w:rPr>
        <w:t>there were no statistically significant differences between the two studied groups regarding FBS and 2HP.P (P-value 0.382 and 0.585 respectively) while there was a statistically significant difference regarding HBA1c (P-value= 0.032).</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t xml:space="preserve">Our results were in agreement with the results reported by </w:t>
      </w:r>
      <w:r w:rsidRPr="008047D3">
        <w:rPr>
          <w:rFonts w:ascii="Times New Roman" w:eastAsia="Calibri" w:hAnsi="Times New Roman" w:cs="Times New Roman"/>
          <w:b/>
          <w:bCs/>
          <w:sz w:val="20"/>
          <w:szCs w:val="20"/>
        </w:rPr>
        <w:t>Amer et al</w:t>
      </w:r>
      <w:r w:rsidRPr="008047D3">
        <w:rPr>
          <w:rFonts w:ascii="Times New Roman" w:eastAsia="Calibri" w:hAnsi="Times New Roman" w:cs="Times New Roman"/>
          <w:b/>
          <w:bCs/>
          <w:sz w:val="20"/>
          <w:szCs w:val="20"/>
          <w:vertAlign w:val="superscript"/>
        </w:rPr>
        <w:t xml:space="preserve"> (</w:t>
      </w:r>
      <w:r w:rsidR="00A86AC6" w:rsidRPr="008047D3">
        <w:rPr>
          <w:rFonts w:ascii="Times New Roman" w:eastAsia="Calibri" w:hAnsi="Times New Roman" w:cs="Times New Roman"/>
          <w:b/>
          <w:bCs/>
          <w:sz w:val="20"/>
          <w:szCs w:val="20"/>
          <w:vertAlign w:val="superscript"/>
        </w:rPr>
        <w:t>18</w:t>
      </w:r>
      <w:r w:rsidRPr="008047D3">
        <w:rPr>
          <w:rFonts w:ascii="Times New Roman" w:eastAsia="Calibri" w:hAnsi="Times New Roman" w:cs="Times New Roman"/>
          <w:b/>
          <w:bCs/>
          <w:sz w:val="20"/>
          <w:szCs w:val="20"/>
          <w:vertAlign w:val="superscript"/>
        </w:rPr>
        <w:t>)</w:t>
      </w:r>
      <w:r w:rsidRPr="008047D3">
        <w:rPr>
          <w:rFonts w:ascii="Times New Roman" w:eastAsia="Calibri" w:hAnsi="Times New Roman" w:cs="Times New Roman"/>
          <w:b/>
          <w:bCs/>
          <w:sz w:val="20"/>
          <w:szCs w:val="20"/>
        </w:rPr>
        <w:t xml:space="preserve"> in 2018 </w:t>
      </w:r>
      <w:r w:rsidRPr="008047D3">
        <w:rPr>
          <w:rFonts w:ascii="Times New Roman" w:eastAsia="Calibri" w:hAnsi="Times New Roman" w:cs="Times New Roman"/>
          <w:sz w:val="20"/>
          <w:szCs w:val="20"/>
        </w:rPr>
        <w:t>who reported that there was no statistically significant difference regarding FBS (P-value=0.082) but there was a statistically significant difference regarding HBA1c (P-value&lt;0.01) between the studied groups.</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t xml:space="preserve">Our results regarding glycemic profile were in agreement regarding FBS and disagreement regarding HBA1c with the results reported by </w:t>
      </w:r>
      <w:r w:rsidRPr="008047D3">
        <w:rPr>
          <w:rFonts w:ascii="Times New Roman" w:eastAsia="Calibri" w:hAnsi="Times New Roman" w:cs="Times New Roman"/>
          <w:b/>
          <w:bCs/>
          <w:sz w:val="20"/>
          <w:szCs w:val="20"/>
        </w:rPr>
        <w:t>Wang et al</w:t>
      </w:r>
      <w:r w:rsidRPr="008047D3">
        <w:rPr>
          <w:rFonts w:ascii="Times New Roman" w:eastAsia="Calibri" w:hAnsi="Times New Roman" w:cs="Times New Roman"/>
          <w:b/>
          <w:bCs/>
          <w:sz w:val="20"/>
          <w:szCs w:val="20"/>
          <w:vertAlign w:val="superscript"/>
        </w:rPr>
        <w:t xml:space="preserve"> (</w:t>
      </w:r>
      <w:r w:rsidR="00A86AC6" w:rsidRPr="008047D3">
        <w:rPr>
          <w:rFonts w:ascii="Times New Roman" w:eastAsia="Calibri" w:hAnsi="Times New Roman" w:cs="Times New Roman"/>
          <w:b/>
          <w:bCs/>
          <w:sz w:val="20"/>
          <w:szCs w:val="20"/>
          <w:vertAlign w:val="superscript"/>
        </w:rPr>
        <w:t>19</w:t>
      </w:r>
      <w:r w:rsidRPr="008047D3">
        <w:rPr>
          <w:rFonts w:ascii="Times New Roman" w:eastAsia="Calibri" w:hAnsi="Times New Roman" w:cs="Times New Roman"/>
          <w:b/>
          <w:bCs/>
          <w:sz w:val="20"/>
          <w:szCs w:val="20"/>
          <w:vertAlign w:val="superscript"/>
        </w:rPr>
        <w:t xml:space="preserve">) </w:t>
      </w:r>
      <w:r w:rsidRPr="008047D3">
        <w:rPr>
          <w:rFonts w:ascii="Times New Roman" w:eastAsia="Calibri" w:hAnsi="Times New Roman" w:cs="Times New Roman"/>
          <w:b/>
          <w:bCs/>
          <w:sz w:val="20"/>
          <w:szCs w:val="20"/>
        </w:rPr>
        <w:t xml:space="preserve">in 2015 </w:t>
      </w:r>
      <w:r w:rsidRPr="008047D3">
        <w:rPr>
          <w:rFonts w:ascii="Times New Roman" w:eastAsia="Calibri" w:hAnsi="Times New Roman" w:cs="Times New Roman"/>
          <w:sz w:val="20"/>
          <w:szCs w:val="20"/>
        </w:rPr>
        <w:t>who reported that there were no statistically significant differences between the three studied groups regarding FBS and HBA1c (P-value =0.541 and 0.328 respectively).</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t xml:space="preserve">Our study results regarding HBA1c may have differed from the results obtained by </w:t>
      </w:r>
      <w:r w:rsidRPr="008047D3">
        <w:rPr>
          <w:rFonts w:ascii="Times New Roman" w:eastAsia="Calibri" w:hAnsi="Times New Roman" w:cs="Times New Roman"/>
          <w:b/>
          <w:bCs/>
          <w:sz w:val="20"/>
          <w:szCs w:val="20"/>
        </w:rPr>
        <w:t xml:space="preserve">Wang et al </w:t>
      </w:r>
      <w:r w:rsidRPr="008047D3">
        <w:rPr>
          <w:rFonts w:ascii="Times New Roman" w:eastAsia="Calibri" w:hAnsi="Times New Roman" w:cs="Times New Roman"/>
          <w:b/>
          <w:bCs/>
          <w:sz w:val="20"/>
          <w:szCs w:val="20"/>
          <w:vertAlign w:val="superscript"/>
        </w:rPr>
        <w:t>(</w:t>
      </w:r>
      <w:r w:rsidR="00A86AC6" w:rsidRPr="008047D3">
        <w:rPr>
          <w:rFonts w:ascii="Times New Roman" w:eastAsia="Calibri" w:hAnsi="Times New Roman" w:cs="Times New Roman"/>
          <w:b/>
          <w:bCs/>
          <w:sz w:val="20"/>
          <w:szCs w:val="20"/>
          <w:vertAlign w:val="superscript"/>
        </w:rPr>
        <w:t>19</w:t>
      </w:r>
      <w:r w:rsidRPr="008047D3">
        <w:rPr>
          <w:rFonts w:ascii="Times New Roman" w:eastAsia="Calibri" w:hAnsi="Times New Roman" w:cs="Times New Roman"/>
          <w:b/>
          <w:bCs/>
          <w:sz w:val="20"/>
          <w:szCs w:val="20"/>
          <w:vertAlign w:val="superscript"/>
        </w:rPr>
        <w:t xml:space="preserve">) </w:t>
      </w:r>
      <w:r w:rsidRPr="008047D3">
        <w:rPr>
          <w:rFonts w:ascii="Times New Roman" w:eastAsia="Calibri" w:hAnsi="Times New Roman" w:cs="Times New Roman"/>
          <w:sz w:val="20"/>
          <w:szCs w:val="20"/>
        </w:rPr>
        <w:t>as tighter control of DM were achieved especially in our normo-albuminuric group while patients with poor compliance on treatment or uncontrolled DM weren’t excluded from the other study.</w:t>
      </w:r>
      <w:r w:rsidR="00310F47" w:rsidRPr="008047D3">
        <w:rPr>
          <w:rFonts w:ascii="Times New Roman" w:eastAsia="Calibri" w:hAnsi="Times New Roman" w:cs="Times New Roman"/>
          <w:sz w:val="20"/>
          <w:szCs w:val="20"/>
        </w:rPr>
        <w:t xml:space="preserve"> </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t xml:space="preserve">Also our results regarding 2HP.P BG were in agreement with the results reported by </w:t>
      </w:r>
      <w:r w:rsidRPr="008047D3">
        <w:rPr>
          <w:rFonts w:ascii="Times New Roman" w:eastAsia="Calibri" w:hAnsi="Times New Roman" w:cs="Times New Roman"/>
          <w:b/>
          <w:bCs/>
          <w:sz w:val="20"/>
          <w:szCs w:val="20"/>
        </w:rPr>
        <w:t>Khandare et al</w:t>
      </w:r>
      <w:r w:rsidRPr="008047D3">
        <w:rPr>
          <w:rFonts w:ascii="Times New Roman" w:eastAsia="Calibri" w:hAnsi="Times New Roman" w:cs="Times New Roman"/>
          <w:b/>
          <w:bCs/>
          <w:sz w:val="20"/>
          <w:szCs w:val="20"/>
          <w:vertAlign w:val="superscript"/>
        </w:rPr>
        <w:t xml:space="preserve"> (</w:t>
      </w:r>
      <w:r w:rsidR="00A86AC6" w:rsidRPr="008047D3">
        <w:rPr>
          <w:rFonts w:ascii="Times New Roman" w:eastAsia="Calibri" w:hAnsi="Times New Roman" w:cs="Times New Roman"/>
          <w:b/>
          <w:bCs/>
          <w:sz w:val="20"/>
          <w:szCs w:val="20"/>
          <w:vertAlign w:val="superscript"/>
        </w:rPr>
        <w:t>16</w:t>
      </w:r>
      <w:r w:rsidRPr="008047D3">
        <w:rPr>
          <w:rFonts w:ascii="Times New Roman" w:eastAsia="Calibri" w:hAnsi="Times New Roman" w:cs="Times New Roman"/>
          <w:b/>
          <w:bCs/>
          <w:sz w:val="20"/>
          <w:szCs w:val="20"/>
          <w:vertAlign w:val="superscript"/>
        </w:rPr>
        <w:t>)</w:t>
      </w:r>
      <w:r w:rsidR="00A86AC6" w:rsidRPr="008047D3">
        <w:rPr>
          <w:rFonts w:ascii="Times New Roman" w:eastAsia="Calibri" w:hAnsi="Times New Roman" w:cs="Times New Roman"/>
          <w:sz w:val="20"/>
          <w:szCs w:val="20"/>
        </w:rPr>
        <w:t xml:space="preserve"> </w:t>
      </w:r>
      <w:r w:rsidRPr="008047D3">
        <w:rPr>
          <w:rFonts w:ascii="Times New Roman" w:eastAsia="Calibri" w:hAnsi="Times New Roman" w:cs="Times New Roman"/>
          <w:sz w:val="20"/>
          <w:szCs w:val="20"/>
        </w:rPr>
        <w:t>who reported that there was no statistically significant difference between the two studied groups regarding 2HP.P BG (P-value=0.342).</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b/>
          <w:bCs/>
          <w:i/>
          <w:iCs/>
          <w:sz w:val="20"/>
          <w:szCs w:val="20"/>
        </w:rPr>
        <w:t>In our study,</w:t>
      </w:r>
      <w:r w:rsidR="00061BBF" w:rsidRPr="008047D3">
        <w:rPr>
          <w:rFonts w:ascii="Times New Roman" w:eastAsia="Calibri" w:hAnsi="Times New Roman" w:cs="Times New Roman"/>
          <w:sz w:val="20"/>
          <w:szCs w:val="20"/>
        </w:rPr>
        <w:t xml:space="preserve"> </w:t>
      </w:r>
      <w:r w:rsidRPr="008047D3">
        <w:rPr>
          <w:rFonts w:ascii="Times New Roman" w:eastAsia="Calibri" w:hAnsi="Times New Roman" w:cs="Times New Roman"/>
          <w:sz w:val="20"/>
          <w:szCs w:val="20"/>
        </w:rPr>
        <w:t>there was a statistically significant value regarding serum uric acid between the two studied groups (P-value=0.004).</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t xml:space="preserve">Our results were in agreement with the results reported by </w:t>
      </w:r>
      <w:r w:rsidRPr="008047D3">
        <w:rPr>
          <w:rFonts w:ascii="Times New Roman" w:eastAsia="Calibri" w:hAnsi="Times New Roman" w:cs="Times New Roman"/>
          <w:b/>
          <w:bCs/>
          <w:sz w:val="20"/>
          <w:szCs w:val="20"/>
        </w:rPr>
        <w:t xml:space="preserve">Irannejad et al </w:t>
      </w:r>
      <w:r w:rsidRPr="008047D3">
        <w:rPr>
          <w:rFonts w:ascii="Times New Roman" w:eastAsia="Calibri" w:hAnsi="Times New Roman" w:cs="Times New Roman"/>
          <w:b/>
          <w:bCs/>
          <w:sz w:val="20"/>
          <w:szCs w:val="20"/>
          <w:vertAlign w:val="superscript"/>
        </w:rPr>
        <w:t>(</w:t>
      </w:r>
      <w:r w:rsidR="00A86AC6" w:rsidRPr="008047D3">
        <w:rPr>
          <w:rFonts w:ascii="Times New Roman" w:eastAsia="Calibri" w:hAnsi="Times New Roman" w:cs="Times New Roman"/>
          <w:b/>
          <w:bCs/>
          <w:sz w:val="20"/>
          <w:szCs w:val="20"/>
          <w:vertAlign w:val="superscript"/>
        </w:rPr>
        <w:t>20</w:t>
      </w:r>
      <w:r w:rsidRPr="008047D3">
        <w:rPr>
          <w:rFonts w:ascii="Times New Roman" w:eastAsia="Calibri" w:hAnsi="Times New Roman" w:cs="Times New Roman"/>
          <w:b/>
          <w:bCs/>
          <w:sz w:val="20"/>
          <w:szCs w:val="20"/>
          <w:vertAlign w:val="superscript"/>
        </w:rPr>
        <w:t>)</w:t>
      </w:r>
      <w:r w:rsidR="00A86AC6" w:rsidRPr="008047D3">
        <w:rPr>
          <w:rFonts w:ascii="Times New Roman" w:eastAsia="Calibri" w:hAnsi="Times New Roman" w:cs="Times New Roman"/>
          <w:sz w:val="20"/>
          <w:szCs w:val="20"/>
        </w:rPr>
        <w:t xml:space="preserve"> </w:t>
      </w:r>
      <w:r w:rsidRPr="008047D3">
        <w:rPr>
          <w:rFonts w:ascii="Times New Roman" w:eastAsia="Calibri" w:hAnsi="Times New Roman" w:cs="Times New Roman"/>
          <w:sz w:val="20"/>
          <w:szCs w:val="20"/>
        </w:rPr>
        <w:t>who reported that there was a statistically significant difference between the two studied groups regarding serum uric acid (P-value=0.001).</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b/>
          <w:bCs/>
          <w:i/>
          <w:iCs/>
          <w:sz w:val="20"/>
          <w:szCs w:val="20"/>
        </w:rPr>
        <w:t>In our study,</w:t>
      </w:r>
      <w:r w:rsidR="00061BBF" w:rsidRPr="008047D3">
        <w:rPr>
          <w:rFonts w:ascii="Times New Roman" w:eastAsia="Calibri" w:hAnsi="Times New Roman" w:cs="Times New Roman"/>
          <w:sz w:val="20"/>
          <w:szCs w:val="20"/>
        </w:rPr>
        <w:t xml:space="preserve"> </w:t>
      </w:r>
      <w:r w:rsidRPr="008047D3">
        <w:rPr>
          <w:rFonts w:ascii="Times New Roman" w:eastAsia="Calibri" w:hAnsi="Times New Roman" w:cs="Times New Roman"/>
          <w:sz w:val="20"/>
          <w:szCs w:val="20"/>
        </w:rPr>
        <w:t>there was a statistically significant difference between the two studied groups regarding serum creatinine (P-value=0.003).</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t xml:space="preserve">Our results were in agreement with the results reported by </w:t>
      </w:r>
      <w:r w:rsidRPr="008047D3">
        <w:rPr>
          <w:rFonts w:ascii="Times New Roman" w:eastAsia="Calibri" w:hAnsi="Times New Roman" w:cs="Times New Roman"/>
          <w:b/>
          <w:bCs/>
          <w:sz w:val="20"/>
          <w:szCs w:val="20"/>
        </w:rPr>
        <w:t xml:space="preserve">Wu et al </w:t>
      </w:r>
      <w:r w:rsidRPr="008047D3">
        <w:rPr>
          <w:rFonts w:ascii="Times New Roman" w:eastAsia="Calibri" w:hAnsi="Times New Roman" w:cs="Times New Roman"/>
          <w:b/>
          <w:bCs/>
          <w:sz w:val="20"/>
          <w:szCs w:val="20"/>
          <w:vertAlign w:val="superscript"/>
        </w:rPr>
        <w:t>(</w:t>
      </w:r>
      <w:r w:rsidR="00A86AC6" w:rsidRPr="008047D3">
        <w:rPr>
          <w:rFonts w:ascii="Times New Roman" w:eastAsia="Calibri" w:hAnsi="Times New Roman" w:cs="Times New Roman"/>
          <w:b/>
          <w:bCs/>
          <w:sz w:val="20"/>
          <w:szCs w:val="20"/>
          <w:vertAlign w:val="superscript"/>
        </w:rPr>
        <w:t>21</w:t>
      </w:r>
      <w:r w:rsidRPr="008047D3">
        <w:rPr>
          <w:rFonts w:ascii="Times New Roman" w:eastAsia="Calibri" w:hAnsi="Times New Roman" w:cs="Times New Roman"/>
          <w:b/>
          <w:bCs/>
          <w:sz w:val="20"/>
          <w:szCs w:val="20"/>
          <w:vertAlign w:val="superscript"/>
        </w:rPr>
        <w:t xml:space="preserve">) </w:t>
      </w:r>
      <w:r w:rsidRPr="008047D3">
        <w:rPr>
          <w:rFonts w:ascii="Times New Roman" w:eastAsia="Calibri" w:hAnsi="Times New Roman" w:cs="Times New Roman"/>
          <w:b/>
          <w:bCs/>
          <w:sz w:val="20"/>
          <w:szCs w:val="20"/>
        </w:rPr>
        <w:t>in 2017</w:t>
      </w:r>
      <w:r w:rsidRPr="008047D3">
        <w:rPr>
          <w:rFonts w:ascii="Times New Roman" w:eastAsia="Calibri" w:hAnsi="Times New Roman" w:cs="Times New Roman"/>
          <w:sz w:val="20"/>
          <w:szCs w:val="20"/>
        </w:rPr>
        <w:t xml:space="preserve"> who reported that there was a statistically significant difference </w:t>
      </w:r>
      <w:r w:rsidRPr="008047D3">
        <w:rPr>
          <w:rFonts w:ascii="Times New Roman" w:eastAsia="Calibri" w:hAnsi="Times New Roman" w:cs="Times New Roman"/>
          <w:sz w:val="20"/>
          <w:szCs w:val="20"/>
        </w:rPr>
        <w:lastRenderedPageBreak/>
        <w:t>regarding serum creatinine between the studied groups (P-value&lt;0.001 for each).</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t xml:space="preserve">On the other hand, our results were in disagreement with the results obtained by </w:t>
      </w:r>
      <w:r w:rsidRPr="008047D3">
        <w:rPr>
          <w:rFonts w:ascii="Times New Roman" w:eastAsia="Calibri" w:hAnsi="Times New Roman" w:cs="Times New Roman"/>
          <w:b/>
          <w:bCs/>
          <w:sz w:val="20"/>
          <w:szCs w:val="20"/>
        </w:rPr>
        <w:t xml:space="preserve">Kocak et al </w:t>
      </w:r>
      <w:r w:rsidRPr="008047D3">
        <w:rPr>
          <w:rFonts w:ascii="Times New Roman" w:eastAsia="Calibri" w:hAnsi="Times New Roman" w:cs="Times New Roman"/>
          <w:b/>
          <w:bCs/>
          <w:sz w:val="20"/>
          <w:szCs w:val="20"/>
          <w:vertAlign w:val="superscript"/>
        </w:rPr>
        <w:t>(</w:t>
      </w:r>
      <w:r w:rsidR="00A86AC6" w:rsidRPr="008047D3">
        <w:rPr>
          <w:rFonts w:ascii="Times New Roman" w:eastAsia="Calibri" w:hAnsi="Times New Roman" w:cs="Times New Roman"/>
          <w:b/>
          <w:bCs/>
          <w:sz w:val="20"/>
          <w:szCs w:val="20"/>
          <w:vertAlign w:val="superscript"/>
        </w:rPr>
        <w:t>22</w:t>
      </w:r>
      <w:r w:rsidRPr="008047D3">
        <w:rPr>
          <w:rFonts w:ascii="Times New Roman" w:eastAsia="Calibri" w:hAnsi="Times New Roman" w:cs="Times New Roman"/>
          <w:b/>
          <w:bCs/>
          <w:sz w:val="20"/>
          <w:szCs w:val="20"/>
          <w:vertAlign w:val="superscript"/>
        </w:rPr>
        <w:t>)</w:t>
      </w:r>
      <w:r w:rsidRPr="008047D3">
        <w:rPr>
          <w:rFonts w:ascii="Times New Roman" w:eastAsia="Calibri" w:hAnsi="Times New Roman" w:cs="Times New Roman"/>
          <w:b/>
          <w:bCs/>
          <w:sz w:val="20"/>
          <w:szCs w:val="20"/>
        </w:rPr>
        <w:t xml:space="preserve"> in 2018 </w:t>
      </w:r>
      <w:r w:rsidRPr="008047D3">
        <w:rPr>
          <w:rFonts w:ascii="Times New Roman" w:eastAsia="Calibri" w:hAnsi="Times New Roman" w:cs="Times New Roman"/>
          <w:sz w:val="20"/>
          <w:szCs w:val="20"/>
        </w:rPr>
        <w:t>who reported that there were no statistically significant differences between the two groups regarding serum creatinine (P-value 0.059).</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b/>
          <w:bCs/>
          <w:i/>
          <w:iCs/>
          <w:sz w:val="20"/>
          <w:szCs w:val="20"/>
        </w:rPr>
        <w:t xml:space="preserve">In our study, </w:t>
      </w:r>
      <w:r w:rsidRPr="008047D3">
        <w:rPr>
          <w:rFonts w:ascii="Times New Roman" w:eastAsia="Calibri" w:hAnsi="Times New Roman" w:cs="Times New Roman"/>
          <w:sz w:val="20"/>
          <w:szCs w:val="20"/>
        </w:rPr>
        <w:t>there was a statistically significant difference between the two studied groups regarding BUN (P-value=0.009).</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t xml:space="preserve">Our results were in disagreement with the results obtained by </w:t>
      </w:r>
      <w:r w:rsidRPr="008047D3">
        <w:rPr>
          <w:rFonts w:ascii="Times New Roman" w:eastAsia="Calibri" w:hAnsi="Times New Roman" w:cs="Times New Roman"/>
          <w:b/>
          <w:bCs/>
          <w:sz w:val="20"/>
          <w:szCs w:val="20"/>
        </w:rPr>
        <w:t xml:space="preserve">Khandare et al </w:t>
      </w:r>
      <w:r w:rsidRPr="008047D3">
        <w:rPr>
          <w:rFonts w:ascii="Times New Roman" w:eastAsia="Calibri" w:hAnsi="Times New Roman" w:cs="Times New Roman"/>
          <w:b/>
          <w:bCs/>
          <w:sz w:val="20"/>
          <w:szCs w:val="20"/>
          <w:vertAlign w:val="superscript"/>
        </w:rPr>
        <w:t>(</w:t>
      </w:r>
      <w:r w:rsidR="00A86AC6" w:rsidRPr="008047D3">
        <w:rPr>
          <w:rFonts w:ascii="Times New Roman" w:eastAsia="Calibri" w:hAnsi="Times New Roman" w:cs="Times New Roman"/>
          <w:b/>
          <w:bCs/>
          <w:sz w:val="20"/>
          <w:szCs w:val="20"/>
          <w:vertAlign w:val="superscript"/>
        </w:rPr>
        <w:t>16</w:t>
      </w:r>
      <w:r w:rsidRPr="008047D3">
        <w:rPr>
          <w:rFonts w:ascii="Times New Roman" w:eastAsia="Calibri" w:hAnsi="Times New Roman" w:cs="Times New Roman"/>
          <w:b/>
          <w:bCs/>
          <w:sz w:val="20"/>
          <w:szCs w:val="20"/>
          <w:vertAlign w:val="superscript"/>
        </w:rPr>
        <w:t xml:space="preserve">) </w:t>
      </w:r>
      <w:r w:rsidRPr="008047D3">
        <w:rPr>
          <w:rFonts w:ascii="Times New Roman" w:eastAsia="Calibri" w:hAnsi="Times New Roman" w:cs="Times New Roman"/>
          <w:sz w:val="20"/>
          <w:szCs w:val="20"/>
        </w:rPr>
        <w:t>who reported that there was no statistically significant difference between the two studied groups regarding serum urea (P-value=0.105).</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t xml:space="preserve">Our study results regarding serum creatinine and BUN levels may have differed from the results obtained by </w:t>
      </w:r>
      <w:r w:rsidRPr="008047D3">
        <w:rPr>
          <w:rFonts w:ascii="Times New Roman" w:eastAsia="Calibri" w:hAnsi="Times New Roman" w:cs="Times New Roman"/>
          <w:b/>
          <w:bCs/>
          <w:sz w:val="20"/>
          <w:szCs w:val="20"/>
        </w:rPr>
        <w:t xml:space="preserve">Kocak et al </w:t>
      </w:r>
      <w:r w:rsidRPr="008047D3">
        <w:rPr>
          <w:rFonts w:ascii="Times New Roman" w:eastAsia="Calibri" w:hAnsi="Times New Roman" w:cs="Times New Roman"/>
          <w:b/>
          <w:bCs/>
          <w:sz w:val="20"/>
          <w:szCs w:val="20"/>
          <w:vertAlign w:val="superscript"/>
        </w:rPr>
        <w:t>(</w:t>
      </w:r>
      <w:r w:rsidR="00A86AC6" w:rsidRPr="008047D3">
        <w:rPr>
          <w:rFonts w:ascii="Times New Roman" w:eastAsia="Calibri" w:hAnsi="Times New Roman" w:cs="Times New Roman"/>
          <w:b/>
          <w:bCs/>
          <w:sz w:val="20"/>
          <w:szCs w:val="20"/>
          <w:vertAlign w:val="superscript"/>
        </w:rPr>
        <w:t>22</w:t>
      </w:r>
      <w:r w:rsidRPr="008047D3">
        <w:rPr>
          <w:rFonts w:ascii="Times New Roman" w:eastAsia="Calibri" w:hAnsi="Times New Roman" w:cs="Times New Roman"/>
          <w:b/>
          <w:bCs/>
          <w:sz w:val="20"/>
          <w:szCs w:val="20"/>
          <w:vertAlign w:val="superscript"/>
        </w:rPr>
        <w:t>)</w:t>
      </w:r>
      <w:r w:rsidR="00061BBF" w:rsidRPr="008047D3">
        <w:rPr>
          <w:rFonts w:ascii="Times New Roman" w:eastAsia="Calibri" w:hAnsi="Times New Roman" w:cs="Times New Roman"/>
          <w:sz w:val="20"/>
          <w:szCs w:val="20"/>
        </w:rPr>
        <w:t xml:space="preserve"> </w:t>
      </w:r>
      <w:r w:rsidRPr="008047D3">
        <w:rPr>
          <w:rFonts w:ascii="Times New Roman" w:eastAsia="Calibri" w:hAnsi="Times New Roman" w:cs="Times New Roman"/>
          <w:sz w:val="20"/>
          <w:szCs w:val="20"/>
        </w:rPr>
        <w:t xml:space="preserve">and </w:t>
      </w:r>
      <w:r w:rsidRPr="008047D3">
        <w:rPr>
          <w:rFonts w:ascii="Times New Roman" w:eastAsia="Calibri" w:hAnsi="Times New Roman" w:cs="Times New Roman"/>
          <w:b/>
          <w:bCs/>
          <w:sz w:val="20"/>
          <w:szCs w:val="20"/>
        </w:rPr>
        <w:t xml:space="preserve">Khandare et al </w:t>
      </w:r>
      <w:r w:rsidRPr="008047D3">
        <w:rPr>
          <w:rFonts w:ascii="Times New Roman" w:eastAsia="Calibri" w:hAnsi="Times New Roman" w:cs="Times New Roman"/>
          <w:b/>
          <w:bCs/>
          <w:sz w:val="20"/>
          <w:szCs w:val="20"/>
          <w:vertAlign w:val="superscript"/>
        </w:rPr>
        <w:t>(</w:t>
      </w:r>
      <w:r w:rsidR="00A86AC6" w:rsidRPr="008047D3">
        <w:rPr>
          <w:rFonts w:ascii="Times New Roman" w:eastAsia="Calibri" w:hAnsi="Times New Roman" w:cs="Times New Roman"/>
          <w:b/>
          <w:bCs/>
          <w:sz w:val="20"/>
          <w:szCs w:val="20"/>
          <w:vertAlign w:val="superscript"/>
        </w:rPr>
        <w:t>16</w:t>
      </w:r>
      <w:r w:rsidRPr="008047D3">
        <w:rPr>
          <w:rFonts w:ascii="Times New Roman" w:eastAsia="Calibri" w:hAnsi="Times New Roman" w:cs="Times New Roman"/>
          <w:b/>
          <w:bCs/>
          <w:sz w:val="20"/>
          <w:szCs w:val="20"/>
          <w:vertAlign w:val="superscript"/>
        </w:rPr>
        <w:t>)</w:t>
      </w:r>
      <w:r w:rsidR="00A86AC6" w:rsidRPr="008047D3">
        <w:rPr>
          <w:rFonts w:ascii="Times New Roman" w:eastAsia="Calibri" w:hAnsi="Times New Roman" w:cs="Times New Roman"/>
          <w:b/>
          <w:bCs/>
          <w:sz w:val="20"/>
          <w:szCs w:val="20"/>
          <w:vertAlign w:val="superscript"/>
        </w:rPr>
        <w:t xml:space="preserve"> </w:t>
      </w:r>
      <w:r w:rsidRPr="008047D3">
        <w:rPr>
          <w:rFonts w:ascii="Times New Roman" w:eastAsia="Calibri" w:hAnsi="Times New Roman" w:cs="Times New Roman"/>
          <w:sz w:val="20"/>
          <w:szCs w:val="20"/>
        </w:rPr>
        <w:t>as</w:t>
      </w:r>
      <w:r w:rsidR="00A86AC6" w:rsidRPr="008047D3">
        <w:rPr>
          <w:rFonts w:ascii="Times New Roman" w:eastAsia="Calibri" w:hAnsi="Times New Roman" w:cs="Times New Roman"/>
          <w:sz w:val="20"/>
          <w:szCs w:val="20"/>
        </w:rPr>
        <w:t xml:space="preserve"> </w:t>
      </w:r>
      <w:r w:rsidRPr="008047D3">
        <w:rPr>
          <w:rFonts w:ascii="Times New Roman" w:eastAsia="Calibri" w:hAnsi="Times New Roman" w:cs="Times New Roman"/>
          <w:sz w:val="20"/>
          <w:szCs w:val="20"/>
        </w:rPr>
        <w:t xml:space="preserve">it has been reported that a decline in the renal function of patients with diabetes was not always accompanied by an increased ACR. About 20%-30% of patients with T2DM, accompanied by renal insufficiency, showed normoalbuminuria, which is a condition referred to now as non-proteinuric DKD </w:t>
      </w:r>
      <w:r w:rsidRPr="008047D3">
        <w:rPr>
          <w:rFonts w:ascii="Times New Roman" w:eastAsia="Calibri" w:hAnsi="Times New Roman" w:cs="Times New Roman"/>
          <w:sz w:val="20"/>
          <w:szCs w:val="20"/>
          <w:vertAlign w:val="superscript"/>
        </w:rPr>
        <w:t>(</w:t>
      </w:r>
      <w:r w:rsidR="00A86AC6" w:rsidRPr="008047D3">
        <w:rPr>
          <w:rFonts w:ascii="Times New Roman" w:eastAsia="Calibri" w:hAnsi="Times New Roman" w:cs="Times New Roman"/>
          <w:sz w:val="20"/>
          <w:szCs w:val="20"/>
          <w:vertAlign w:val="superscript"/>
        </w:rPr>
        <w:t>8</w:t>
      </w:r>
      <w:r w:rsidRPr="008047D3">
        <w:rPr>
          <w:rFonts w:ascii="Times New Roman" w:eastAsia="Calibri" w:hAnsi="Times New Roman" w:cs="Times New Roman"/>
          <w:sz w:val="20"/>
          <w:szCs w:val="20"/>
          <w:vertAlign w:val="superscript"/>
        </w:rPr>
        <w:t>)</w:t>
      </w:r>
      <w:r w:rsidRPr="008047D3">
        <w:rPr>
          <w:rFonts w:ascii="Times New Roman" w:eastAsia="Calibri" w:hAnsi="Times New Roman" w:cs="Times New Roman"/>
          <w:sz w:val="20"/>
          <w:szCs w:val="20"/>
        </w:rPr>
        <w:t>.</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b/>
          <w:bCs/>
          <w:i/>
          <w:iCs/>
          <w:sz w:val="20"/>
          <w:szCs w:val="20"/>
        </w:rPr>
        <w:t>In our study</w:t>
      </w:r>
      <w:r w:rsidR="00D62B3D" w:rsidRPr="008047D3">
        <w:rPr>
          <w:rFonts w:ascii="Times New Roman" w:eastAsia="Calibri" w:hAnsi="Times New Roman" w:cs="Times New Roman"/>
          <w:b/>
          <w:bCs/>
          <w:i/>
          <w:iCs/>
          <w:sz w:val="20"/>
          <w:szCs w:val="20"/>
        </w:rPr>
        <w:t xml:space="preserve">, </w:t>
      </w:r>
      <w:r w:rsidR="00D62B3D" w:rsidRPr="008047D3">
        <w:rPr>
          <w:rFonts w:ascii="Times New Roman" w:eastAsia="Calibri" w:hAnsi="Times New Roman" w:cs="Times New Roman"/>
          <w:sz w:val="20"/>
          <w:szCs w:val="20"/>
        </w:rPr>
        <w:t>t</w:t>
      </w:r>
      <w:r w:rsidRPr="008047D3">
        <w:rPr>
          <w:rFonts w:ascii="Times New Roman" w:eastAsia="Calibri" w:hAnsi="Times New Roman" w:cs="Times New Roman"/>
          <w:sz w:val="20"/>
          <w:szCs w:val="20"/>
        </w:rPr>
        <w:t>here was a statistically significant difference between the two studied groups regarding ACR (P-value=0.00)</w:t>
      </w:r>
    </w:p>
    <w:p w:rsidR="00F95C12" w:rsidRPr="008047D3" w:rsidRDefault="00F95C12" w:rsidP="00657BEC">
      <w:pPr>
        <w:snapToGrid w:val="0"/>
        <w:spacing w:after="0" w:line="240" w:lineRule="auto"/>
        <w:ind w:firstLine="425"/>
        <w:jc w:val="both"/>
        <w:rPr>
          <w:rFonts w:ascii="Times New Roman" w:eastAsia="Calibri" w:hAnsi="Times New Roman" w:cs="Times New Roman"/>
          <w:color w:val="333333"/>
          <w:sz w:val="20"/>
          <w:szCs w:val="20"/>
          <w:shd w:val="clear" w:color="auto" w:fill="FFFFFF"/>
        </w:rPr>
      </w:pPr>
      <w:r w:rsidRPr="008047D3">
        <w:rPr>
          <w:rFonts w:ascii="Times New Roman" w:eastAsia="Calibri" w:hAnsi="Times New Roman" w:cs="Times New Roman"/>
          <w:sz w:val="20"/>
          <w:szCs w:val="20"/>
        </w:rPr>
        <w:t xml:space="preserve">Our results were in agreement with the results reported by </w:t>
      </w:r>
      <w:r w:rsidRPr="008047D3">
        <w:rPr>
          <w:rFonts w:ascii="Times New Roman" w:eastAsia="Calibri" w:hAnsi="Times New Roman" w:cs="Times New Roman"/>
          <w:b/>
          <w:bCs/>
          <w:sz w:val="20"/>
          <w:szCs w:val="20"/>
        </w:rPr>
        <w:t xml:space="preserve">Zeng et al </w:t>
      </w:r>
      <w:r w:rsidRPr="008047D3">
        <w:rPr>
          <w:rFonts w:ascii="Times New Roman" w:eastAsia="Calibri" w:hAnsi="Times New Roman" w:cs="Times New Roman"/>
          <w:b/>
          <w:bCs/>
          <w:sz w:val="20"/>
          <w:szCs w:val="20"/>
          <w:vertAlign w:val="superscript"/>
        </w:rPr>
        <w:t xml:space="preserve">(128) </w:t>
      </w:r>
      <w:r w:rsidRPr="008047D3">
        <w:rPr>
          <w:rFonts w:ascii="Times New Roman" w:eastAsia="Calibri" w:hAnsi="Times New Roman" w:cs="Times New Roman"/>
          <w:sz w:val="20"/>
          <w:szCs w:val="20"/>
        </w:rPr>
        <w:t>in which t</w:t>
      </w:r>
      <w:r w:rsidRPr="008047D3">
        <w:rPr>
          <w:rFonts w:ascii="Times New Roman" w:eastAsia="Calibri" w:hAnsi="Times New Roman" w:cs="Times New Roman"/>
          <w:color w:val="333333"/>
          <w:sz w:val="20"/>
          <w:szCs w:val="20"/>
          <w:shd w:val="clear" w:color="auto" w:fill="FFFFFF"/>
        </w:rPr>
        <w:t>here was a statistically significant difference between the two studied groups regarding ACR (P-value=0.00).</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b/>
          <w:bCs/>
          <w:sz w:val="20"/>
          <w:szCs w:val="20"/>
        </w:rPr>
        <w:t xml:space="preserve">In our study, </w:t>
      </w:r>
      <w:r w:rsidRPr="008047D3">
        <w:rPr>
          <w:rFonts w:ascii="Times New Roman" w:eastAsia="Calibri" w:hAnsi="Times New Roman" w:cs="Times New Roman"/>
          <w:sz w:val="20"/>
          <w:szCs w:val="20"/>
        </w:rPr>
        <w:t>there was a statistically significant difference between the two studied groups regarding serum Nesfatin-1 level (P-value 0.00).</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t xml:space="preserve">Our results were in agreement with the results reported by </w:t>
      </w:r>
      <w:r w:rsidRPr="008047D3">
        <w:rPr>
          <w:rFonts w:ascii="Times New Roman" w:eastAsia="Calibri" w:hAnsi="Times New Roman" w:cs="Times New Roman"/>
          <w:b/>
          <w:bCs/>
          <w:sz w:val="20"/>
          <w:szCs w:val="20"/>
        </w:rPr>
        <w:t xml:space="preserve">Irannejad et al </w:t>
      </w:r>
      <w:r w:rsidRPr="008047D3">
        <w:rPr>
          <w:rFonts w:ascii="Times New Roman" w:eastAsia="Calibri" w:hAnsi="Times New Roman" w:cs="Times New Roman"/>
          <w:b/>
          <w:bCs/>
          <w:sz w:val="20"/>
          <w:szCs w:val="20"/>
          <w:vertAlign w:val="superscript"/>
        </w:rPr>
        <w:t>(</w:t>
      </w:r>
      <w:r w:rsidR="00A86AC6" w:rsidRPr="008047D3">
        <w:rPr>
          <w:rFonts w:ascii="Times New Roman" w:eastAsia="Calibri" w:hAnsi="Times New Roman" w:cs="Times New Roman"/>
          <w:b/>
          <w:bCs/>
          <w:sz w:val="20"/>
          <w:szCs w:val="20"/>
          <w:vertAlign w:val="superscript"/>
        </w:rPr>
        <w:t>20</w:t>
      </w:r>
      <w:r w:rsidRPr="008047D3">
        <w:rPr>
          <w:rFonts w:ascii="Times New Roman" w:eastAsia="Calibri" w:hAnsi="Times New Roman" w:cs="Times New Roman"/>
          <w:b/>
          <w:bCs/>
          <w:sz w:val="20"/>
          <w:szCs w:val="20"/>
          <w:vertAlign w:val="superscript"/>
        </w:rPr>
        <w:t>)</w:t>
      </w:r>
      <w:r w:rsidR="00A86AC6" w:rsidRPr="008047D3">
        <w:rPr>
          <w:rFonts w:ascii="Times New Roman" w:eastAsia="Calibri" w:hAnsi="Times New Roman" w:cs="Times New Roman"/>
          <w:b/>
          <w:bCs/>
          <w:sz w:val="20"/>
          <w:szCs w:val="20"/>
          <w:vertAlign w:val="superscript"/>
        </w:rPr>
        <w:t xml:space="preserve"> </w:t>
      </w:r>
      <w:r w:rsidRPr="008047D3">
        <w:rPr>
          <w:rFonts w:ascii="Times New Roman" w:eastAsia="Calibri" w:hAnsi="Times New Roman" w:cs="Times New Roman"/>
          <w:sz w:val="20"/>
          <w:szCs w:val="20"/>
        </w:rPr>
        <w:t>in which there was a statistically significant difference between the two studied groups (P-value&lt;0.001).</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t xml:space="preserve">Also our results were in agreement with the results reported by </w:t>
      </w:r>
      <w:r w:rsidRPr="008047D3">
        <w:rPr>
          <w:rFonts w:ascii="Times New Roman" w:eastAsia="Calibri" w:hAnsi="Times New Roman" w:cs="Times New Roman"/>
          <w:b/>
          <w:bCs/>
          <w:sz w:val="20"/>
          <w:szCs w:val="20"/>
        </w:rPr>
        <w:t xml:space="preserve">Sonbol et al </w:t>
      </w:r>
      <w:r w:rsidRPr="008047D3">
        <w:rPr>
          <w:rFonts w:ascii="Times New Roman" w:eastAsia="Calibri" w:hAnsi="Times New Roman" w:cs="Times New Roman"/>
          <w:b/>
          <w:bCs/>
          <w:sz w:val="20"/>
          <w:szCs w:val="20"/>
          <w:vertAlign w:val="superscript"/>
        </w:rPr>
        <w:t>(</w:t>
      </w:r>
      <w:r w:rsidR="00A86AC6" w:rsidRPr="008047D3">
        <w:rPr>
          <w:rFonts w:ascii="Times New Roman" w:eastAsia="Calibri" w:hAnsi="Times New Roman" w:cs="Times New Roman"/>
          <w:b/>
          <w:bCs/>
          <w:sz w:val="20"/>
          <w:szCs w:val="20"/>
          <w:vertAlign w:val="superscript"/>
        </w:rPr>
        <w:t>23</w:t>
      </w:r>
      <w:r w:rsidRPr="008047D3">
        <w:rPr>
          <w:rFonts w:ascii="Times New Roman" w:eastAsia="Calibri" w:hAnsi="Times New Roman" w:cs="Times New Roman"/>
          <w:b/>
          <w:bCs/>
          <w:sz w:val="20"/>
          <w:szCs w:val="20"/>
          <w:vertAlign w:val="superscript"/>
        </w:rPr>
        <w:t xml:space="preserve">) </w:t>
      </w:r>
      <w:r w:rsidRPr="008047D3">
        <w:rPr>
          <w:rFonts w:ascii="Times New Roman" w:eastAsia="Calibri" w:hAnsi="Times New Roman" w:cs="Times New Roman"/>
          <w:b/>
          <w:bCs/>
          <w:sz w:val="20"/>
          <w:szCs w:val="20"/>
        </w:rPr>
        <w:t xml:space="preserve">in 2018 </w:t>
      </w:r>
      <w:r w:rsidRPr="008047D3">
        <w:rPr>
          <w:rFonts w:ascii="Times New Roman" w:eastAsia="Calibri" w:hAnsi="Times New Roman" w:cs="Times New Roman"/>
          <w:sz w:val="20"/>
          <w:szCs w:val="20"/>
        </w:rPr>
        <w:t>in which there was a statistically significant difference between the studied groups regarding serum Nesfatin-1 (P-value&lt;0.001).</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t xml:space="preserve">While our results were in disagreement with the results reported by </w:t>
      </w:r>
      <w:r w:rsidRPr="008047D3">
        <w:rPr>
          <w:rFonts w:ascii="Times New Roman" w:eastAsia="Calibri" w:hAnsi="Times New Roman" w:cs="Times New Roman"/>
          <w:b/>
          <w:bCs/>
          <w:sz w:val="20"/>
          <w:szCs w:val="20"/>
        </w:rPr>
        <w:t xml:space="preserve">Abd-Elaaty et al </w:t>
      </w:r>
      <w:r w:rsidRPr="008047D3">
        <w:rPr>
          <w:rFonts w:ascii="Times New Roman" w:eastAsia="Calibri" w:hAnsi="Times New Roman" w:cs="Times New Roman"/>
          <w:b/>
          <w:bCs/>
          <w:sz w:val="20"/>
          <w:szCs w:val="20"/>
          <w:vertAlign w:val="superscript"/>
        </w:rPr>
        <w:t>(</w:t>
      </w:r>
      <w:r w:rsidR="00A86AC6" w:rsidRPr="008047D3">
        <w:rPr>
          <w:rFonts w:ascii="Times New Roman" w:eastAsia="Calibri" w:hAnsi="Times New Roman" w:cs="Times New Roman"/>
          <w:b/>
          <w:bCs/>
          <w:sz w:val="20"/>
          <w:szCs w:val="20"/>
          <w:vertAlign w:val="superscript"/>
        </w:rPr>
        <w:t>14</w:t>
      </w:r>
      <w:r w:rsidRPr="008047D3">
        <w:rPr>
          <w:rFonts w:ascii="Times New Roman" w:eastAsia="Calibri" w:hAnsi="Times New Roman" w:cs="Times New Roman"/>
          <w:b/>
          <w:bCs/>
          <w:sz w:val="20"/>
          <w:szCs w:val="20"/>
          <w:vertAlign w:val="superscript"/>
        </w:rPr>
        <w:t>)</w:t>
      </w:r>
      <w:r w:rsidR="00A86AC6" w:rsidRPr="008047D3">
        <w:rPr>
          <w:rFonts w:ascii="Times New Roman" w:eastAsia="Calibri" w:hAnsi="Times New Roman" w:cs="Times New Roman"/>
          <w:sz w:val="20"/>
          <w:szCs w:val="20"/>
        </w:rPr>
        <w:t xml:space="preserve"> </w:t>
      </w:r>
      <w:r w:rsidRPr="008047D3">
        <w:rPr>
          <w:rFonts w:ascii="Times New Roman" w:eastAsia="Calibri" w:hAnsi="Times New Roman" w:cs="Times New Roman"/>
          <w:sz w:val="20"/>
          <w:szCs w:val="20"/>
        </w:rPr>
        <w:t>in which there was no statistically significant difference between the studied groups regarding serum Nesfatin-1 level (P-value 0.564).</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t xml:space="preserve">The results obtained by </w:t>
      </w:r>
      <w:r w:rsidRPr="008047D3">
        <w:rPr>
          <w:rFonts w:ascii="Times New Roman" w:eastAsia="Calibri" w:hAnsi="Times New Roman" w:cs="Times New Roman"/>
          <w:b/>
          <w:bCs/>
          <w:sz w:val="20"/>
          <w:szCs w:val="20"/>
        </w:rPr>
        <w:t xml:space="preserve">Abd-Elaaty et al </w:t>
      </w:r>
      <w:r w:rsidRPr="008047D3">
        <w:rPr>
          <w:rFonts w:ascii="Times New Roman" w:eastAsia="Calibri" w:hAnsi="Times New Roman" w:cs="Times New Roman"/>
          <w:b/>
          <w:bCs/>
          <w:sz w:val="20"/>
          <w:szCs w:val="20"/>
          <w:vertAlign w:val="superscript"/>
        </w:rPr>
        <w:t>(</w:t>
      </w:r>
      <w:r w:rsidR="00A86AC6" w:rsidRPr="008047D3">
        <w:rPr>
          <w:rFonts w:ascii="Times New Roman" w:eastAsia="Calibri" w:hAnsi="Times New Roman" w:cs="Times New Roman"/>
          <w:b/>
          <w:bCs/>
          <w:sz w:val="20"/>
          <w:szCs w:val="20"/>
          <w:vertAlign w:val="superscript"/>
        </w:rPr>
        <w:t>14</w:t>
      </w:r>
      <w:r w:rsidRPr="008047D3">
        <w:rPr>
          <w:rFonts w:ascii="Times New Roman" w:eastAsia="Calibri" w:hAnsi="Times New Roman" w:cs="Times New Roman"/>
          <w:b/>
          <w:bCs/>
          <w:sz w:val="20"/>
          <w:szCs w:val="20"/>
          <w:vertAlign w:val="superscript"/>
        </w:rPr>
        <w:t>)</w:t>
      </w:r>
      <w:r w:rsidR="00061BBF" w:rsidRPr="008047D3">
        <w:rPr>
          <w:rFonts w:ascii="Times New Roman" w:eastAsia="Calibri" w:hAnsi="Times New Roman" w:cs="Times New Roman"/>
          <w:b/>
          <w:bCs/>
          <w:sz w:val="20"/>
          <w:szCs w:val="20"/>
          <w:vertAlign w:val="superscript"/>
        </w:rPr>
        <w:t xml:space="preserve"> </w:t>
      </w:r>
      <w:r w:rsidRPr="008047D3">
        <w:rPr>
          <w:rFonts w:ascii="Times New Roman" w:eastAsia="Calibri" w:hAnsi="Times New Roman" w:cs="Times New Roman"/>
          <w:sz w:val="20"/>
          <w:szCs w:val="20"/>
        </w:rPr>
        <w:t>regarding serum Nesfatin-1 level may have differed from ours as patients on drugs which may affect serum Nesfatin-1 level as anti-epileptic drugs or patients with special habits of smoking or alcohol consumption weren’t excluded while we did exclude them.</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b/>
          <w:bCs/>
          <w:i/>
          <w:iCs/>
          <w:sz w:val="20"/>
          <w:szCs w:val="20"/>
        </w:rPr>
        <w:lastRenderedPageBreak/>
        <w:t xml:space="preserve">In our study, </w:t>
      </w:r>
      <w:r w:rsidRPr="008047D3">
        <w:rPr>
          <w:rFonts w:ascii="Times New Roman" w:eastAsia="Calibri" w:hAnsi="Times New Roman" w:cs="Times New Roman"/>
          <w:sz w:val="20"/>
          <w:szCs w:val="20"/>
        </w:rPr>
        <w:t>There was no correlation between serum Nesfatin-1 and BMI in the studied groups (r=0.257, P-value=0.481).</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t xml:space="preserve">Our results were in disagreement with the results reported by </w:t>
      </w:r>
      <w:r w:rsidRPr="008047D3">
        <w:rPr>
          <w:rFonts w:ascii="Times New Roman" w:eastAsia="Calibri" w:hAnsi="Times New Roman" w:cs="Times New Roman"/>
          <w:b/>
          <w:bCs/>
          <w:sz w:val="20"/>
          <w:szCs w:val="20"/>
        </w:rPr>
        <w:t xml:space="preserve">Guo et al </w:t>
      </w:r>
      <w:r w:rsidRPr="008047D3">
        <w:rPr>
          <w:rFonts w:ascii="Times New Roman" w:eastAsia="Calibri" w:hAnsi="Times New Roman" w:cs="Times New Roman"/>
          <w:b/>
          <w:bCs/>
          <w:sz w:val="20"/>
          <w:szCs w:val="20"/>
          <w:vertAlign w:val="superscript"/>
        </w:rPr>
        <w:t>(</w:t>
      </w:r>
      <w:r w:rsidR="00A86AC6" w:rsidRPr="008047D3">
        <w:rPr>
          <w:rFonts w:ascii="Times New Roman" w:eastAsia="Calibri" w:hAnsi="Times New Roman" w:cs="Times New Roman"/>
          <w:b/>
          <w:bCs/>
          <w:sz w:val="20"/>
          <w:szCs w:val="20"/>
          <w:vertAlign w:val="superscript"/>
        </w:rPr>
        <w:t>24</w:t>
      </w:r>
      <w:r w:rsidRPr="008047D3">
        <w:rPr>
          <w:rFonts w:ascii="Times New Roman" w:eastAsia="Calibri" w:hAnsi="Times New Roman" w:cs="Times New Roman"/>
          <w:b/>
          <w:bCs/>
          <w:sz w:val="20"/>
          <w:szCs w:val="20"/>
          <w:vertAlign w:val="superscript"/>
        </w:rPr>
        <w:t xml:space="preserve">) </w:t>
      </w:r>
      <w:r w:rsidRPr="008047D3">
        <w:rPr>
          <w:rFonts w:ascii="Times New Roman" w:eastAsia="Calibri" w:hAnsi="Times New Roman" w:cs="Times New Roman"/>
          <w:b/>
          <w:bCs/>
          <w:sz w:val="20"/>
          <w:szCs w:val="20"/>
        </w:rPr>
        <w:t xml:space="preserve">in 2014 </w:t>
      </w:r>
      <w:r w:rsidRPr="008047D3">
        <w:rPr>
          <w:rFonts w:ascii="Times New Roman" w:eastAsia="Calibri" w:hAnsi="Times New Roman" w:cs="Times New Roman"/>
          <w:sz w:val="20"/>
          <w:szCs w:val="20"/>
        </w:rPr>
        <w:t>who reported that serum Nesfatin-1 level had statistically negative correlation with BMI which differed from our study probably because they included cases with only a BMI ≥28 and excluded patients with IGT and DM.</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t xml:space="preserve">While we were in agreement with the results reported by </w:t>
      </w:r>
      <w:r w:rsidRPr="008047D3">
        <w:rPr>
          <w:rFonts w:ascii="Times New Roman" w:eastAsia="Calibri" w:hAnsi="Times New Roman" w:cs="Times New Roman"/>
          <w:b/>
          <w:bCs/>
          <w:sz w:val="20"/>
          <w:szCs w:val="20"/>
        </w:rPr>
        <w:t xml:space="preserve">Kuyumcu et al </w:t>
      </w:r>
      <w:r w:rsidRPr="008047D3">
        <w:rPr>
          <w:rFonts w:ascii="Times New Roman" w:eastAsia="Calibri" w:hAnsi="Times New Roman" w:cs="Times New Roman"/>
          <w:b/>
          <w:bCs/>
          <w:sz w:val="20"/>
          <w:szCs w:val="20"/>
          <w:vertAlign w:val="superscript"/>
        </w:rPr>
        <w:t>(</w:t>
      </w:r>
      <w:r w:rsidR="00A86AC6" w:rsidRPr="008047D3">
        <w:rPr>
          <w:rFonts w:ascii="Times New Roman" w:eastAsia="Calibri" w:hAnsi="Times New Roman" w:cs="Times New Roman"/>
          <w:b/>
          <w:bCs/>
          <w:sz w:val="20"/>
          <w:szCs w:val="20"/>
          <w:vertAlign w:val="superscript"/>
        </w:rPr>
        <w:t>25</w:t>
      </w:r>
      <w:r w:rsidRPr="008047D3">
        <w:rPr>
          <w:rFonts w:ascii="Times New Roman" w:eastAsia="Calibri" w:hAnsi="Times New Roman" w:cs="Times New Roman"/>
          <w:b/>
          <w:bCs/>
          <w:sz w:val="20"/>
          <w:szCs w:val="20"/>
          <w:vertAlign w:val="superscript"/>
        </w:rPr>
        <w:t xml:space="preserve">) </w:t>
      </w:r>
      <w:r w:rsidRPr="008047D3">
        <w:rPr>
          <w:rFonts w:ascii="Times New Roman" w:eastAsia="Calibri" w:hAnsi="Times New Roman" w:cs="Times New Roman"/>
          <w:b/>
          <w:bCs/>
          <w:sz w:val="20"/>
          <w:szCs w:val="20"/>
        </w:rPr>
        <w:t xml:space="preserve">in 2018 </w:t>
      </w:r>
      <w:r w:rsidRPr="008047D3">
        <w:rPr>
          <w:rFonts w:ascii="Times New Roman" w:eastAsia="Calibri" w:hAnsi="Times New Roman" w:cs="Times New Roman"/>
          <w:sz w:val="20"/>
          <w:szCs w:val="20"/>
        </w:rPr>
        <w:t>who reported that there was no correlation between serum Nesfatin-1 level and BMI (r=0.06, P-value=0.70).</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b/>
          <w:bCs/>
          <w:i/>
          <w:iCs/>
          <w:sz w:val="20"/>
          <w:szCs w:val="20"/>
        </w:rPr>
        <w:t xml:space="preserve">In our study, </w:t>
      </w:r>
      <w:r w:rsidRPr="008047D3">
        <w:rPr>
          <w:rFonts w:ascii="Times New Roman" w:eastAsia="Calibri" w:hAnsi="Times New Roman" w:cs="Times New Roman"/>
          <w:sz w:val="20"/>
          <w:szCs w:val="20"/>
        </w:rPr>
        <w:t>there was a statistically positive correlation between serum Nesfatin-1 and HBA1c in the studied groups (r=0.525, P-value=0.004).</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t xml:space="preserve">We were in agreement with the results reported by </w:t>
      </w:r>
      <w:r w:rsidRPr="008047D3">
        <w:rPr>
          <w:rFonts w:ascii="Times New Roman" w:eastAsia="Calibri" w:hAnsi="Times New Roman" w:cs="Times New Roman"/>
          <w:b/>
          <w:bCs/>
          <w:sz w:val="20"/>
          <w:szCs w:val="20"/>
        </w:rPr>
        <w:t>Zhang et al</w:t>
      </w:r>
      <w:r w:rsidRPr="008047D3">
        <w:rPr>
          <w:rFonts w:ascii="Times New Roman" w:eastAsia="Calibri" w:hAnsi="Times New Roman" w:cs="Times New Roman"/>
          <w:b/>
          <w:bCs/>
          <w:sz w:val="20"/>
          <w:szCs w:val="20"/>
          <w:vertAlign w:val="superscript"/>
        </w:rPr>
        <w:t xml:space="preserve"> (</w:t>
      </w:r>
      <w:r w:rsidR="00A86AC6" w:rsidRPr="008047D3">
        <w:rPr>
          <w:rFonts w:ascii="Times New Roman" w:eastAsia="Calibri" w:hAnsi="Times New Roman" w:cs="Times New Roman"/>
          <w:b/>
          <w:bCs/>
          <w:sz w:val="20"/>
          <w:szCs w:val="20"/>
          <w:vertAlign w:val="superscript"/>
        </w:rPr>
        <w:t>26</w:t>
      </w:r>
      <w:r w:rsidRPr="008047D3">
        <w:rPr>
          <w:rFonts w:ascii="Times New Roman" w:eastAsia="Calibri" w:hAnsi="Times New Roman" w:cs="Times New Roman"/>
          <w:b/>
          <w:bCs/>
          <w:sz w:val="20"/>
          <w:szCs w:val="20"/>
          <w:vertAlign w:val="superscript"/>
        </w:rPr>
        <w:t>)</w:t>
      </w:r>
      <w:r w:rsidRPr="008047D3">
        <w:rPr>
          <w:rFonts w:ascii="Times New Roman" w:eastAsia="Calibri" w:hAnsi="Times New Roman" w:cs="Times New Roman"/>
          <w:b/>
          <w:bCs/>
          <w:sz w:val="20"/>
          <w:szCs w:val="20"/>
        </w:rPr>
        <w:t xml:space="preserve"> in 2012 </w:t>
      </w:r>
      <w:r w:rsidRPr="008047D3">
        <w:rPr>
          <w:rFonts w:ascii="Times New Roman" w:eastAsia="Calibri" w:hAnsi="Times New Roman" w:cs="Times New Roman"/>
          <w:sz w:val="20"/>
          <w:szCs w:val="20"/>
        </w:rPr>
        <w:t>who reported that plasma Nesfatin-1 level correlated positively with HBA1c in both IGT and newly diagnosed T2DM patients groups.</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t xml:space="preserve">But we were in disagreement with the results reported by </w:t>
      </w:r>
      <w:r w:rsidRPr="008047D3">
        <w:rPr>
          <w:rFonts w:ascii="Times New Roman" w:eastAsia="Calibri" w:hAnsi="Times New Roman" w:cs="Times New Roman"/>
          <w:b/>
          <w:bCs/>
          <w:sz w:val="20"/>
          <w:szCs w:val="20"/>
        </w:rPr>
        <w:t xml:space="preserve">Fupeng et al </w:t>
      </w:r>
      <w:r w:rsidRPr="008047D3">
        <w:rPr>
          <w:rFonts w:ascii="Times New Roman" w:eastAsia="Calibri" w:hAnsi="Times New Roman" w:cs="Times New Roman"/>
          <w:b/>
          <w:bCs/>
          <w:sz w:val="20"/>
          <w:szCs w:val="20"/>
          <w:vertAlign w:val="superscript"/>
        </w:rPr>
        <w:t>(</w:t>
      </w:r>
      <w:r w:rsidR="00A86AC6" w:rsidRPr="008047D3">
        <w:rPr>
          <w:rFonts w:ascii="Times New Roman" w:eastAsia="Calibri" w:hAnsi="Times New Roman" w:cs="Times New Roman"/>
          <w:b/>
          <w:bCs/>
          <w:sz w:val="20"/>
          <w:szCs w:val="20"/>
          <w:vertAlign w:val="superscript"/>
        </w:rPr>
        <w:t>27</w:t>
      </w:r>
      <w:r w:rsidRPr="008047D3">
        <w:rPr>
          <w:rFonts w:ascii="Times New Roman" w:eastAsia="Calibri" w:hAnsi="Times New Roman" w:cs="Times New Roman"/>
          <w:b/>
          <w:bCs/>
          <w:sz w:val="20"/>
          <w:szCs w:val="20"/>
          <w:vertAlign w:val="superscript"/>
        </w:rPr>
        <w:t>)</w:t>
      </w:r>
      <w:r w:rsidRPr="008047D3">
        <w:rPr>
          <w:rFonts w:ascii="Times New Roman" w:eastAsia="Calibri" w:hAnsi="Times New Roman" w:cs="Times New Roman"/>
          <w:b/>
          <w:bCs/>
          <w:sz w:val="20"/>
          <w:szCs w:val="20"/>
        </w:rPr>
        <w:t xml:space="preserve"> in 2014</w:t>
      </w:r>
      <w:r w:rsidRPr="008047D3">
        <w:rPr>
          <w:rFonts w:ascii="Times New Roman" w:eastAsia="Calibri" w:hAnsi="Times New Roman" w:cs="Times New Roman"/>
          <w:sz w:val="20"/>
          <w:szCs w:val="20"/>
        </w:rPr>
        <w:t xml:space="preserve"> who reported that plasma Nesfatin-1 level had a statistically negative correlation with HBA1c in both T2DM and IGT patients groups.</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t xml:space="preserve">Our results regarding the positive correlation between serum Nesfatin-1 level and HBA1c may have differed from the results obtained by </w:t>
      </w:r>
      <w:r w:rsidRPr="008047D3">
        <w:rPr>
          <w:rFonts w:ascii="Times New Roman" w:eastAsia="Calibri" w:hAnsi="Times New Roman" w:cs="Times New Roman"/>
          <w:b/>
          <w:bCs/>
          <w:sz w:val="20"/>
          <w:szCs w:val="20"/>
        </w:rPr>
        <w:t xml:space="preserve">Fupeng et al </w:t>
      </w:r>
      <w:r w:rsidRPr="008047D3">
        <w:rPr>
          <w:rFonts w:ascii="Times New Roman" w:eastAsia="Calibri" w:hAnsi="Times New Roman" w:cs="Times New Roman"/>
          <w:b/>
          <w:bCs/>
          <w:sz w:val="20"/>
          <w:szCs w:val="20"/>
          <w:vertAlign w:val="superscript"/>
        </w:rPr>
        <w:t>(</w:t>
      </w:r>
      <w:r w:rsidR="00A86AC6" w:rsidRPr="008047D3">
        <w:rPr>
          <w:rFonts w:ascii="Times New Roman" w:eastAsia="Calibri" w:hAnsi="Times New Roman" w:cs="Times New Roman"/>
          <w:b/>
          <w:bCs/>
          <w:sz w:val="20"/>
          <w:szCs w:val="20"/>
          <w:vertAlign w:val="superscript"/>
        </w:rPr>
        <w:t>27</w:t>
      </w:r>
      <w:r w:rsidRPr="008047D3">
        <w:rPr>
          <w:rFonts w:ascii="Times New Roman" w:eastAsia="Calibri" w:hAnsi="Times New Roman" w:cs="Times New Roman"/>
          <w:b/>
          <w:bCs/>
          <w:sz w:val="20"/>
          <w:szCs w:val="20"/>
          <w:vertAlign w:val="superscript"/>
        </w:rPr>
        <w:t>)</w:t>
      </w:r>
      <w:r w:rsidRPr="008047D3">
        <w:rPr>
          <w:rFonts w:ascii="Times New Roman" w:eastAsia="Calibri" w:hAnsi="Times New Roman" w:cs="Times New Roman"/>
          <w:sz w:val="20"/>
          <w:szCs w:val="20"/>
        </w:rPr>
        <w:t>as the patients in their study groups had thyroid dysfunction with high TSH level which had a negative correlation with serum Nesfatin-1 level in their study and may have a greater influence on serum Nesfatin-1 level than DM.</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b/>
          <w:bCs/>
          <w:i/>
          <w:iCs/>
          <w:sz w:val="20"/>
          <w:szCs w:val="20"/>
        </w:rPr>
        <w:t xml:space="preserve">In our study, </w:t>
      </w:r>
      <w:r w:rsidRPr="008047D3">
        <w:rPr>
          <w:rFonts w:ascii="Times New Roman" w:eastAsia="Calibri" w:hAnsi="Times New Roman" w:cs="Times New Roman"/>
          <w:sz w:val="20"/>
          <w:szCs w:val="20"/>
        </w:rPr>
        <w:t>serum Nesfatin-1 had statistically positive correlations with serum creatinine (r=0.787, P-value= 0.00) and ACR (r=0.625, P-value=0.003) in both studied groups.</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t xml:space="preserve">Our results were in agreement with the results reported by </w:t>
      </w:r>
      <w:r w:rsidRPr="008047D3">
        <w:rPr>
          <w:rFonts w:ascii="Times New Roman" w:eastAsia="Calibri" w:hAnsi="Times New Roman" w:cs="Times New Roman"/>
          <w:b/>
          <w:bCs/>
          <w:sz w:val="20"/>
          <w:szCs w:val="20"/>
        </w:rPr>
        <w:t xml:space="preserve">Sonbol et al </w:t>
      </w:r>
      <w:r w:rsidRPr="008047D3">
        <w:rPr>
          <w:rFonts w:ascii="Times New Roman" w:eastAsia="Calibri" w:hAnsi="Times New Roman" w:cs="Times New Roman"/>
          <w:b/>
          <w:bCs/>
          <w:sz w:val="20"/>
          <w:szCs w:val="20"/>
          <w:vertAlign w:val="superscript"/>
        </w:rPr>
        <w:t>(</w:t>
      </w:r>
      <w:r w:rsidR="00A86AC6" w:rsidRPr="008047D3">
        <w:rPr>
          <w:rFonts w:ascii="Times New Roman" w:eastAsia="Calibri" w:hAnsi="Times New Roman" w:cs="Times New Roman"/>
          <w:b/>
          <w:bCs/>
          <w:sz w:val="20"/>
          <w:szCs w:val="20"/>
          <w:vertAlign w:val="superscript"/>
        </w:rPr>
        <w:t>23</w:t>
      </w:r>
      <w:r w:rsidRPr="008047D3">
        <w:rPr>
          <w:rFonts w:ascii="Times New Roman" w:eastAsia="Calibri" w:hAnsi="Times New Roman" w:cs="Times New Roman"/>
          <w:b/>
          <w:bCs/>
          <w:sz w:val="20"/>
          <w:szCs w:val="20"/>
          <w:vertAlign w:val="superscript"/>
        </w:rPr>
        <w:t>)</w:t>
      </w:r>
      <w:r w:rsidR="00310F47" w:rsidRPr="008047D3">
        <w:rPr>
          <w:rFonts w:ascii="Times New Roman" w:eastAsia="Calibri" w:hAnsi="Times New Roman" w:cs="Times New Roman"/>
          <w:b/>
          <w:bCs/>
          <w:sz w:val="20"/>
          <w:szCs w:val="20"/>
          <w:vertAlign w:val="superscript"/>
        </w:rPr>
        <w:t xml:space="preserve"> </w:t>
      </w:r>
      <w:r w:rsidRPr="008047D3">
        <w:rPr>
          <w:rFonts w:ascii="Times New Roman" w:eastAsia="Calibri" w:hAnsi="Times New Roman" w:cs="Times New Roman"/>
          <w:sz w:val="20"/>
          <w:szCs w:val="20"/>
        </w:rPr>
        <w:t>who reported</w:t>
      </w:r>
      <w:r w:rsidR="00310F47" w:rsidRPr="008047D3">
        <w:rPr>
          <w:rFonts w:ascii="Times New Roman" w:eastAsia="Calibri" w:hAnsi="Times New Roman" w:cs="Times New Roman"/>
          <w:sz w:val="20"/>
          <w:szCs w:val="20"/>
        </w:rPr>
        <w:t xml:space="preserve"> </w:t>
      </w:r>
      <w:r w:rsidRPr="008047D3">
        <w:rPr>
          <w:rFonts w:ascii="Times New Roman" w:eastAsia="Calibri" w:hAnsi="Times New Roman" w:cs="Times New Roman"/>
          <w:sz w:val="20"/>
          <w:szCs w:val="20"/>
        </w:rPr>
        <w:t>positive correlations between serum Nesfatin-1 level and both serum creatinine (r=0.640</w:t>
      </w:r>
      <w:r w:rsidR="00D62B3D" w:rsidRPr="008047D3">
        <w:rPr>
          <w:rFonts w:ascii="Times New Roman" w:eastAsia="Calibri" w:hAnsi="Times New Roman" w:cs="Times New Roman"/>
          <w:sz w:val="20"/>
          <w:szCs w:val="20"/>
        </w:rPr>
        <w:t>, P</w:t>
      </w:r>
      <w:r w:rsidRPr="008047D3">
        <w:rPr>
          <w:rFonts w:ascii="Times New Roman" w:eastAsia="Calibri" w:hAnsi="Times New Roman" w:cs="Times New Roman"/>
          <w:sz w:val="20"/>
          <w:szCs w:val="20"/>
        </w:rPr>
        <w:t xml:space="preserve">-value&lt;0.001) and ACR (r=0.511, P-value&lt;0.001) in normo-albuminuric, micro-albuminuric and macro-albuminuric groups. Also we agreed with the results reported by </w:t>
      </w:r>
      <w:r w:rsidRPr="008047D3">
        <w:rPr>
          <w:rFonts w:ascii="Times New Roman" w:eastAsia="Calibri" w:hAnsi="Times New Roman" w:cs="Times New Roman"/>
          <w:b/>
          <w:bCs/>
          <w:sz w:val="20"/>
          <w:szCs w:val="20"/>
        </w:rPr>
        <w:t xml:space="preserve">Irannejad et al </w:t>
      </w:r>
      <w:r w:rsidRPr="008047D3">
        <w:rPr>
          <w:rFonts w:ascii="Times New Roman" w:eastAsia="Calibri" w:hAnsi="Times New Roman" w:cs="Times New Roman"/>
          <w:b/>
          <w:bCs/>
          <w:sz w:val="20"/>
          <w:szCs w:val="20"/>
          <w:vertAlign w:val="superscript"/>
        </w:rPr>
        <w:t>(</w:t>
      </w:r>
      <w:r w:rsidR="00A86AC6" w:rsidRPr="008047D3">
        <w:rPr>
          <w:rFonts w:ascii="Times New Roman" w:eastAsia="Calibri" w:hAnsi="Times New Roman" w:cs="Times New Roman"/>
          <w:b/>
          <w:bCs/>
          <w:sz w:val="20"/>
          <w:szCs w:val="20"/>
          <w:vertAlign w:val="superscript"/>
        </w:rPr>
        <w:t>20</w:t>
      </w:r>
      <w:r w:rsidRPr="008047D3">
        <w:rPr>
          <w:rFonts w:ascii="Times New Roman" w:eastAsia="Calibri" w:hAnsi="Times New Roman" w:cs="Times New Roman"/>
          <w:b/>
          <w:bCs/>
          <w:sz w:val="20"/>
          <w:szCs w:val="20"/>
          <w:vertAlign w:val="superscript"/>
        </w:rPr>
        <w:t xml:space="preserve">) </w:t>
      </w:r>
      <w:r w:rsidRPr="008047D3">
        <w:rPr>
          <w:rFonts w:ascii="Times New Roman" w:eastAsia="Calibri" w:hAnsi="Times New Roman" w:cs="Times New Roman"/>
          <w:sz w:val="20"/>
          <w:szCs w:val="20"/>
        </w:rPr>
        <w:t xml:space="preserve">which showed positive correlations between serum Nesfatin-1 level serum creatinine (r=0.282, P-value=0.008) and ACR (r=0.595, P-value&gt;0.001) in both normo-albuminuric and micro-albuminuric groups. </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b/>
          <w:bCs/>
          <w:i/>
          <w:iCs/>
          <w:sz w:val="20"/>
          <w:szCs w:val="20"/>
        </w:rPr>
        <w:t>In our study,</w:t>
      </w:r>
      <w:r w:rsidRPr="008047D3">
        <w:rPr>
          <w:rFonts w:ascii="Times New Roman" w:eastAsia="Calibri" w:hAnsi="Times New Roman" w:cs="Times New Roman"/>
          <w:sz w:val="20"/>
          <w:szCs w:val="20"/>
        </w:rPr>
        <w:t xml:space="preserve"> serum Nesfatin-1 had an optimal cutoff value &gt; 12.65 mmol/L with area under the ROC curve at 0.841 with Sensitivity 80.0% and Specificity 74.0% in the studied groups for association with DM nephropathy in T2DM patients.</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t xml:space="preserve">To the best of our knowledge, there was no previous study which discussed a ROC curve for the </w:t>
      </w:r>
      <w:r w:rsidRPr="008047D3">
        <w:rPr>
          <w:rFonts w:ascii="Times New Roman" w:eastAsia="Calibri" w:hAnsi="Times New Roman" w:cs="Times New Roman"/>
          <w:sz w:val="20"/>
          <w:szCs w:val="20"/>
        </w:rPr>
        <w:lastRenderedPageBreak/>
        <w:t>relation between serum Nesfatin-1 and DM nephropathy in T2DM patients.</w:t>
      </w:r>
      <w:r w:rsidR="00310F47" w:rsidRPr="008047D3">
        <w:rPr>
          <w:rFonts w:ascii="Times New Roman" w:eastAsia="Calibri" w:hAnsi="Times New Roman" w:cs="Times New Roman"/>
          <w:sz w:val="20"/>
          <w:szCs w:val="20"/>
        </w:rPr>
        <w:t xml:space="preserve"> </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t xml:space="preserve">Our study had no control group consisting of healthy subjects without T2DM but the assay range for serum Nesfatin-1 stated by the manufacturer of the kits used in our work was 0.2mmol/L. The normo-albuminuric group had a mean value of serum Nesfatin-1 level of </w:t>
      </w:r>
      <w:r w:rsidRPr="008047D3">
        <w:rPr>
          <w:rFonts w:ascii="Times New Roman" w:eastAsia="Times New Roman" w:hAnsi="Times New Roman" w:cs="Times New Roman"/>
          <w:color w:val="000000"/>
          <w:sz w:val="20"/>
          <w:szCs w:val="20"/>
        </w:rPr>
        <w:t>10.57±3.4mmol/L, while the albuminuric group had a mean value of 16.65±5.5mmol/L which showed significant increase in serum Nesfatin-1 with the presence of DM and the progression of DKD.</w:t>
      </w:r>
    </w:p>
    <w:p w:rsidR="00F95C12" w:rsidRPr="008047D3" w:rsidRDefault="00F95C12" w:rsidP="00657BEC">
      <w:pPr>
        <w:snapToGrid w:val="0"/>
        <w:spacing w:after="0" w:line="240" w:lineRule="auto"/>
        <w:ind w:firstLine="425"/>
        <w:jc w:val="both"/>
        <w:rPr>
          <w:rFonts w:ascii="Times New Roman" w:eastAsia="Calibri" w:hAnsi="Times New Roman" w:cs="Times New Roman"/>
          <w:sz w:val="20"/>
          <w:szCs w:val="20"/>
        </w:rPr>
      </w:pPr>
      <w:r w:rsidRPr="008047D3">
        <w:rPr>
          <w:rFonts w:ascii="Times New Roman" w:eastAsia="Calibri" w:hAnsi="Times New Roman" w:cs="Times New Roman"/>
          <w:sz w:val="20"/>
          <w:szCs w:val="20"/>
        </w:rPr>
        <w:t>Finally, we concluded that serum Nesfatin-1 level could be considered as an early marker for diabetic nephropathy in T2DM patients.</w:t>
      </w:r>
    </w:p>
    <w:p w:rsidR="00F95C12" w:rsidRPr="008047D3" w:rsidRDefault="00F95C12" w:rsidP="00657BEC">
      <w:pPr>
        <w:snapToGrid w:val="0"/>
        <w:spacing w:after="0" w:line="240" w:lineRule="auto"/>
        <w:ind w:firstLine="425"/>
        <w:jc w:val="both"/>
        <w:rPr>
          <w:rFonts w:ascii="Times New Roman" w:hAnsi="Times New Roman" w:cs="Times New Roman"/>
          <w:sz w:val="20"/>
          <w:szCs w:val="20"/>
        </w:rPr>
      </w:pPr>
    </w:p>
    <w:p w:rsidR="00F95C12" w:rsidRPr="008047D3" w:rsidRDefault="00F95C12" w:rsidP="00657BEC">
      <w:pPr>
        <w:snapToGrid w:val="0"/>
        <w:spacing w:after="0" w:line="240" w:lineRule="auto"/>
        <w:jc w:val="both"/>
        <w:rPr>
          <w:rFonts w:ascii="Times New Roman" w:hAnsi="Times New Roman" w:cs="Times New Roman"/>
          <w:b/>
          <w:bCs/>
          <w:sz w:val="20"/>
          <w:szCs w:val="20"/>
        </w:rPr>
      </w:pPr>
      <w:r w:rsidRPr="008047D3">
        <w:rPr>
          <w:rFonts w:ascii="Times New Roman" w:hAnsi="Times New Roman" w:cs="Times New Roman"/>
          <w:b/>
          <w:bCs/>
          <w:sz w:val="20"/>
          <w:szCs w:val="20"/>
        </w:rPr>
        <w:t>Recommendations</w:t>
      </w:r>
    </w:p>
    <w:p w:rsidR="00F95C12" w:rsidRPr="008047D3" w:rsidRDefault="00F95C12" w:rsidP="00657BEC">
      <w:pPr>
        <w:pStyle w:val="ListParagraph"/>
        <w:numPr>
          <w:ilvl w:val="0"/>
          <w:numId w:val="13"/>
        </w:numPr>
        <w:snapToGrid w:val="0"/>
        <w:spacing w:after="0" w:line="240" w:lineRule="auto"/>
        <w:ind w:left="0" w:firstLine="425"/>
        <w:jc w:val="both"/>
        <w:rPr>
          <w:rFonts w:ascii="Times New Roman" w:hAnsi="Times New Roman" w:cs="Times New Roman"/>
          <w:b/>
          <w:bCs/>
          <w:sz w:val="20"/>
          <w:szCs w:val="20"/>
        </w:rPr>
      </w:pPr>
      <w:r w:rsidRPr="008047D3">
        <w:rPr>
          <w:rFonts w:ascii="Times New Roman" w:hAnsi="Times New Roman" w:cs="Times New Roman"/>
          <w:sz w:val="20"/>
          <w:szCs w:val="20"/>
        </w:rPr>
        <w:t xml:space="preserve">Further large scale studies are needed to investigate the role and the relation of Nesfatin-1 to diabetic nephropathy in type 2 diabetic patients. </w:t>
      </w:r>
    </w:p>
    <w:p w:rsidR="00F95C12" w:rsidRPr="008047D3" w:rsidRDefault="00F95C12" w:rsidP="00657BEC">
      <w:pPr>
        <w:pStyle w:val="ListParagraph"/>
        <w:numPr>
          <w:ilvl w:val="0"/>
          <w:numId w:val="13"/>
        </w:numPr>
        <w:snapToGrid w:val="0"/>
        <w:spacing w:after="0" w:line="240" w:lineRule="auto"/>
        <w:ind w:left="0" w:firstLine="425"/>
        <w:jc w:val="both"/>
        <w:rPr>
          <w:rFonts w:ascii="Times New Roman" w:hAnsi="Times New Roman" w:cs="Times New Roman"/>
          <w:sz w:val="20"/>
          <w:szCs w:val="20"/>
        </w:rPr>
      </w:pPr>
      <w:r w:rsidRPr="008047D3">
        <w:rPr>
          <w:rFonts w:ascii="Times New Roman" w:hAnsi="Times New Roman" w:cs="Times New Roman"/>
          <w:sz w:val="20"/>
          <w:szCs w:val="20"/>
        </w:rPr>
        <w:t>Serum Nesfatin-1 can be used as an early biomarker for detection of DKD before the development of albuminuria which may appear late after the pathological renal changes are well established.</w:t>
      </w:r>
    </w:p>
    <w:p w:rsidR="00142ACE" w:rsidRPr="008047D3" w:rsidRDefault="00F95C12" w:rsidP="00657BEC">
      <w:pPr>
        <w:pStyle w:val="ListParagraph"/>
        <w:numPr>
          <w:ilvl w:val="0"/>
          <w:numId w:val="13"/>
        </w:numPr>
        <w:snapToGrid w:val="0"/>
        <w:spacing w:after="0" w:line="240" w:lineRule="auto"/>
        <w:ind w:left="0" w:firstLine="425"/>
        <w:jc w:val="both"/>
        <w:rPr>
          <w:rFonts w:ascii="Times New Roman" w:hAnsi="Times New Roman" w:cs="Times New Roman"/>
          <w:b/>
          <w:bCs/>
          <w:sz w:val="20"/>
          <w:szCs w:val="20"/>
        </w:rPr>
      </w:pPr>
      <w:r w:rsidRPr="008047D3">
        <w:rPr>
          <w:rFonts w:ascii="Times New Roman" w:hAnsi="Times New Roman" w:cs="Times New Roman"/>
          <w:sz w:val="20"/>
          <w:szCs w:val="20"/>
        </w:rPr>
        <w:t>Our study had some important limitations; first, our research was carried out in a cross-sectional design and the causal associations could not be addressed. Second, the practice gold standard to diagnose diabetic nephropathy is renal biopsy, whereas we used UAE classification of albuminuria as a non-invasive marker and substitute of this diagnostic gold standard. Third, the relatively small sample size of patients included in this study</w:t>
      </w:r>
      <w:r w:rsidR="00D62B3D" w:rsidRPr="008047D3">
        <w:rPr>
          <w:rFonts w:ascii="Times New Roman" w:hAnsi="Times New Roman" w:cs="Times New Roman"/>
          <w:sz w:val="20"/>
          <w:szCs w:val="20"/>
        </w:rPr>
        <w:t>. L</w:t>
      </w:r>
      <w:r w:rsidRPr="008047D3">
        <w:rPr>
          <w:rFonts w:ascii="Times New Roman" w:hAnsi="Times New Roman" w:cs="Times New Roman"/>
          <w:sz w:val="20"/>
          <w:szCs w:val="20"/>
        </w:rPr>
        <w:t>astly, lack of a control group consisting of disease-free subjects without T2DM was another important limitation of this preliminary work.</w:t>
      </w:r>
    </w:p>
    <w:p w:rsidR="00142ACE" w:rsidRPr="008047D3" w:rsidRDefault="00142ACE" w:rsidP="00657BEC">
      <w:pPr>
        <w:snapToGrid w:val="0"/>
        <w:spacing w:after="0" w:line="240" w:lineRule="auto"/>
        <w:ind w:firstLine="425"/>
        <w:jc w:val="both"/>
        <w:rPr>
          <w:rFonts w:ascii="Times New Roman" w:hAnsi="Times New Roman" w:cs="Times New Roman"/>
          <w:sz w:val="20"/>
          <w:szCs w:val="20"/>
        </w:rPr>
      </w:pPr>
    </w:p>
    <w:p w:rsidR="00142ACE" w:rsidRPr="008047D3" w:rsidRDefault="00142ACE" w:rsidP="00657BEC">
      <w:pPr>
        <w:snapToGrid w:val="0"/>
        <w:spacing w:after="0" w:line="240" w:lineRule="auto"/>
        <w:jc w:val="both"/>
        <w:rPr>
          <w:rFonts w:ascii="Times New Roman" w:hAnsi="Times New Roman" w:cs="Times New Roman"/>
          <w:b/>
          <w:bCs/>
          <w:color w:val="000000" w:themeColor="text1"/>
          <w:sz w:val="20"/>
          <w:szCs w:val="20"/>
        </w:rPr>
      </w:pPr>
      <w:r w:rsidRPr="008047D3">
        <w:rPr>
          <w:rFonts w:ascii="Times New Roman" w:hAnsi="Times New Roman" w:cs="Times New Roman"/>
          <w:b/>
          <w:bCs/>
          <w:color w:val="000000" w:themeColor="text1"/>
          <w:sz w:val="20"/>
          <w:szCs w:val="20"/>
        </w:rPr>
        <w:t>References</w:t>
      </w:r>
    </w:p>
    <w:p w:rsidR="00142ACE" w:rsidRPr="008047D3" w:rsidRDefault="00142ACE" w:rsidP="00657BEC">
      <w:pPr>
        <w:pStyle w:val="ListParagraph"/>
        <w:numPr>
          <w:ilvl w:val="0"/>
          <w:numId w:val="14"/>
        </w:numPr>
        <w:snapToGrid w:val="0"/>
        <w:spacing w:after="0" w:line="240" w:lineRule="auto"/>
        <w:ind w:left="425" w:hanging="425"/>
        <w:jc w:val="both"/>
        <w:rPr>
          <w:rFonts w:ascii="Times New Roman" w:hAnsi="Times New Roman" w:cs="Times New Roman"/>
          <w:bCs/>
          <w:color w:val="000000" w:themeColor="text1"/>
          <w:sz w:val="20"/>
          <w:szCs w:val="20"/>
        </w:rPr>
      </w:pPr>
      <w:r w:rsidRPr="008047D3">
        <w:rPr>
          <w:rFonts w:ascii="Times New Roman" w:hAnsi="Times New Roman" w:cs="Times New Roman"/>
          <w:bCs/>
          <w:color w:val="000000" w:themeColor="text1"/>
          <w:sz w:val="20"/>
          <w:szCs w:val="20"/>
          <w:shd w:val="clear" w:color="auto" w:fill="FFFFFF"/>
        </w:rPr>
        <w:t>Kerner</w:t>
      </w:r>
      <w:r w:rsidR="00310F47" w:rsidRPr="008047D3">
        <w:rPr>
          <w:rFonts w:ascii="Times New Roman" w:hAnsi="Times New Roman" w:cs="Times New Roman"/>
          <w:bCs/>
          <w:color w:val="000000" w:themeColor="text1"/>
          <w:sz w:val="20"/>
          <w:szCs w:val="20"/>
          <w:shd w:val="clear" w:color="auto" w:fill="FFFFFF"/>
        </w:rPr>
        <w:t xml:space="preserve"> </w:t>
      </w:r>
      <w:r w:rsidRPr="008047D3">
        <w:rPr>
          <w:rFonts w:ascii="Times New Roman" w:hAnsi="Times New Roman" w:cs="Times New Roman"/>
          <w:bCs/>
          <w:color w:val="000000" w:themeColor="text1"/>
          <w:sz w:val="20"/>
          <w:szCs w:val="20"/>
          <w:shd w:val="clear" w:color="auto" w:fill="FFFFFF"/>
        </w:rPr>
        <w:t>W,</w:t>
      </w:r>
      <w:r w:rsidR="00310F47" w:rsidRPr="008047D3">
        <w:rPr>
          <w:rFonts w:ascii="Times New Roman" w:hAnsi="Times New Roman" w:cs="Times New Roman"/>
          <w:bCs/>
          <w:color w:val="000000" w:themeColor="text1"/>
          <w:sz w:val="20"/>
          <w:szCs w:val="20"/>
          <w:shd w:val="clear" w:color="auto" w:fill="FFFFFF"/>
        </w:rPr>
        <w:t xml:space="preserve"> </w:t>
      </w:r>
      <w:r w:rsidRPr="008047D3">
        <w:rPr>
          <w:rFonts w:ascii="Times New Roman" w:hAnsi="Times New Roman" w:cs="Times New Roman"/>
          <w:bCs/>
          <w:color w:val="000000" w:themeColor="text1"/>
          <w:sz w:val="20"/>
          <w:szCs w:val="20"/>
          <w:shd w:val="clear" w:color="auto" w:fill="FFFFFF"/>
        </w:rPr>
        <w:t>Brückel</w:t>
      </w:r>
      <w:r w:rsidR="00310F47" w:rsidRPr="008047D3">
        <w:rPr>
          <w:rFonts w:ascii="Times New Roman" w:hAnsi="Times New Roman" w:cs="Times New Roman"/>
          <w:bCs/>
          <w:color w:val="000000" w:themeColor="text1"/>
          <w:sz w:val="20"/>
          <w:szCs w:val="20"/>
          <w:shd w:val="clear" w:color="auto" w:fill="FFFFFF"/>
        </w:rPr>
        <w:t xml:space="preserve"> </w:t>
      </w:r>
      <w:r w:rsidRPr="008047D3">
        <w:rPr>
          <w:rFonts w:ascii="Times New Roman" w:hAnsi="Times New Roman" w:cs="Times New Roman"/>
          <w:bCs/>
          <w:color w:val="000000" w:themeColor="text1"/>
          <w:sz w:val="20"/>
          <w:szCs w:val="20"/>
          <w:shd w:val="clear" w:color="auto" w:fill="FFFFFF"/>
        </w:rPr>
        <w:t>J</w:t>
      </w:r>
      <w:r w:rsidRPr="008047D3">
        <w:rPr>
          <w:rFonts w:ascii="Times New Roman" w:hAnsi="Times New Roman" w:cs="Times New Roman"/>
          <w:color w:val="000000" w:themeColor="text1"/>
          <w:sz w:val="20"/>
          <w:szCs w:val="20"/>
          <w:shd w:val="clear" w:color="auto" w:fill="FFFFFF"/>
        </w:rPr>
        <w:t>.</w:t>
      </w:r>
      <w:r w:rsidRPr="008047D3">
        <w:rPr>
          <w:rFonts w:ascii="Times New Roman" w:hAnsi="Times New Roman" w:cs="Times New Roman"/>
          <w:bCs/>
          <w:color w:val="000000" w:themeColor="text1"/>
          <w:sz w:val="20"/>
          <w:szCs w:val="20"/>
          <w:shd w:val="clear" w:color="auto" w:fill="FFFFFF"/>
        </w:rPr>
        <w:t>:</w:t>
      </w:r>
      <w:r w:rsidR="00310F47" w:rsidRPr="008047D3">
        <w:rPr>
          <w:rFonts w:ascii="Times New Roman" w:hAnsi="Times New Roman" w:cs="Times New Roman"/>
          <w:color w:val="000000" w:themeColor="text1"/>
          <w:sz w:val="20"/>
          <w:szCs w:val="20"/>
          <w:shd w:val="clear" w:color="auto" w:fill="FFFFFF"/>
        </w:rPr>
        <w:t xml:space="preserve"> </w:t>
      </w:r>
      <w:r w:rsidRPr="008047D3">
        <w:rPr>
          <w:rFonts w:ascii="Times New Roman" w:hAnsi="Times New Roman" w:cs="Times New Roman"/>
          <w:color w:val="000000" w:themeColor="text1"/>
          <w:sz w:val="20"/>
          <w:szCs w:val="20"/>
          <w:shd w:val="clear" w:color="auto" w:fill="FFFFFF"/>
        </w:rPr>
        <w:t>Definition,</w:t>
      </w:r>
      <w:r w:rsidR="00310F47" w:rsidRPr="008047D3">
        <w:rPr>
          <w:rFonts w:ascii="Times New Roman" w:hAnsi="Times New Roman" w:cs="Times New Roman"/>
          <w:color w:val="000000" w:themeColor="text1"/>
          <w:sz w:val="20"/>
          <w:szCs w:val="20"/>
          <w:shd w:val="clear" w:color="auto" w:fill="FFFFFF"/>
        </w:rPr>
        <w:t xml:space="preserve"> </w:t>
      </w:r>
      <w:r w:rsidRPr="008047D3">
        <w:rPr>
          <w:rFonts w:ascii="Times New Roman" w:hAnsi="Times New Roman" w:cs="Times New Roman"/>
          <w:color w:val="000000" w:themeColor="text1"/>
          <w:sz w:val="20"/>
          <w:szCs w:val="20"/>
          <w:shd w:val="clear" w:color="auto" w:fill="FFFFFF"/>
        </w:rPr>
        <w:t>classification</w:t>
      </w:r>
      <w:r w:rsidR="00310F47" w:rsidRPr="008047D3">
        <w:rPr>
          <w:rFonts w:ascii="Times New Roman" w:hAnsi="Times New Roman" w:cs="Times New Roman"/>
          <w:color w:val="000000" w:themeColor="text1"/>
          <w:sz w:val="20"/>
          <w:szCs w:val="20"/>
          <w:shd w:val="clear" w:color="auto" w:fill="FFFFFF"/>
        </w:rPr>
        <w:t xml:space="preserve"> </w:t>
      </w:r>
      <w:r w:rsidRPr="008047D3">
        <w:rPr>
          <w:rFonts w:ascii="Times New Roman" w:hAnsi="Times New Roman" w:cs="Times New Roman"/>
          <w:color w:val="000000" w:themeColor="text1"/>
          <w:sz w:val="20"/>
          <w:szCs w:val="20"/>
          <w:shd w:val="clear" w:color="auto" w:fill="FFFFFF"/>
        </w:rPr>
        <w:t>and</w:t>
      </w:r>
      <w:r w:rsidR="00310F47" w:rsidRPr="008047D3">
        <w:rPr>
          <w:rFonts w:ascii="Times New Roman" w:hAnsi="Times New Roman" w:cs="Times New Roman"/>
          <w:color w:val="000000" w:themeColor="text1"/>
          <w:sz w:val="20"/>
          <w:szCs w:val="20"/>
          <w:shd w:val="clear" w:color="auto" w:fill="FFFFFF"/>
        </w:rPr>
        <w:t xml:space="preserve"> </w:t>
      </w:r>
      <w:r w:rsidRPr="008047D3">
        <w:rPr>
          <w:rFonts w:ascii="Times New Roman" w:hAnsi="Times New Roman" w:cs="Times New Roman"/>
          <w:color w:val="000000" w:themeColor="text1"/>
          <w:sz w:val="20"/>
          <w:szCs w:val="20"/>
          <w:shd w:val="clear" w:color="auto" w:fill="FFFFFF"/>
        </w:rPr>
        <w:t>diagnosis</w:t>
      </w:r>
      <w:r w:rsidR="00310F47" w:rsidRPr="008047D3">
        <w:rPr>
          <w:rFonts w:ascii="Times New Roman" w:hAnsi="Times New Roman" w:cs="Times New Roman"/>
          <w:color w:val="000000" w:themeColor="text1"/>
          <w:sz w:val="20"/>
          <w:szCs w:val="20"/>
          <w:shd w:val="clear" w:color="auto" w:fill="FFFFFF"/>
        </w:rPr>
        <w:t xml:space="preserve"> </w:t>
      </w:r>
      <w:r w:rsidRPr="008047D3">
        <w:rPr>
          <w:rFonts w:ascii="Times New Roman" w:hAnsi="Times New Roman" w:cs="Times New Roman"/>
          <w:color w:val="000000" w:themeColor="text1"/>
          <w:sz w:val="20"/>
          <w:szCs w:val="20"/>
          <w:shd w:val="clear" w:color="auto" w:fill="FFFFFF"/>
        </w:rPr>
        <w:t>of</w:t>
      </w:r>
      <w:r w:rsidR="00310F47" w:rsidRPr="008047D3">
        <w:rPr>
          <w:rFonts w:ascii="Times New Roman" w:hAnsi="Times New Roman" w:cs="Times New Roman"/>
          <w:color w:val="000000" w:themeColor="text1"/>
          <w:sz w:val="20"/>
          <w:szCs w:val="20"/>
          <w:shd w:val="clear" w:color="auto" w:fill="FFFFFF"/>
        </w:rPr>
        <w:t xml:space="preserve"> </w:t>
      </w:r>
      <w:r w:rsidRPr="008047D3">
        <w:rPr>
          <w:rFonts w:ascii="Times New Roman" w:hAnsi="Times New Roman" w:cs="Times New Roman"/>
          <w:color w:val="000000" w:themeColor="text1"/>
          <w:sz w:val="20"/>
          <w:szCs w:val="20"/>
          <w:shd w:val="clear" w:color="auto" w:fill="FFFFFF"/>
        </w:rPr>
        <w:t>diabetes</w:t>
      </w:r>
      <w:r w:rsidR="00310F47" w:rsidRPr="008047D3">
        <w:rPr>
          <w:rFonts w:ascii="Times New Roman" w:hAnsi="Times New Roman" w:cs="Times New Roman"/>
          <w:color w:val="000000" w:themeColor="text1"/>
          <w:sz w:val="20"/>
          <w:szCs w:val="20"/>
          <w:shd w:val="clear" w:color="auto" w:fill="FFFFFF"/>
        </w:rPr>
        <w:t xml:space="preserve"> </w:t>
      </w:r>
      <w:r w:rsidRPr="008047D3">
        <w:rPr>
          <w:rFonts w:ascii="Times New Roman" w:hAnsi="Times New Roman" w:cs="Times New Roman"/>
          <w:color w:val="000000" w:themeColor="text1"/>
          <w:sz w:val="20"/>
          <w:szCs w:val="20"/>
          <w:shd w:val="clear" w:color="auto" w:fill="FFFFFF"/>
        </w:rPr>
        <w:t>mellitus.</w:t>
      </w:r>
      <w:r w:rsidR="00310F47" w:rsidRPr="008047D3">
        <w:rPr>
          <w:rFonts w:ascii="Times New Roman" w:hAnsi="Times New Roman" w:cs="Times New Roman"/>
          <w:color w:val="000000" w:themeColor="text1"/>
          <w:sz w:val="20"/>
          <w:szCs w:val="20"/>
          <w:shd w:val="clear" w:color="auto" w:fill="FFFFFF"/>
        </w:rPr>
        <w:t xml:space="preserve"> </w:t>
      </w:r>
      <w:r w:rsidRPr="008047D3">
        <w:rPr>
          <w:rFonts w:ascii="Times New Roman" w:hAnsi="Times New Roman" w:cs="Times New Roman"/>
          <w:color w:val="000000" w:themeColor="text1"/>
          <w:sz w:val="20"/>
          <w:szCs w:val="20"/>
          <w:shd w:val="clear" w:color="auto" w:fill="FFFFFF"/>
        </w:rPr>
        <w:t>Experimental</w:t>
      </w:r>
      <w:r w:rsidR="00310F47" w:rsidRPr="008047D3">
        <w:rPr>
          <w:rFonts w:ascii="Times New Roman" w:hAnsi="Times New Roman" w:cs="Times New Roman"/>
          <w:color w:val="000000" w:themeColor="text1"/>
          <w:sz w:val="20"/>
          <w:szCs w:val="20"/>
          <w:shd w:val="clear" w:color="auto" w:fill="FFFFFF"/>
        </w:rPr>
        <w:t xml:space="preserve"> </w:t>
      </w:r>
      <w:r w:rsidRPr="008047D3">
        <w:rPr>
          <w:rFonts w:ascii="Times New Roman" w:hAnsi="Times New Roman" w:cs="Times New Roman"/>
          <w:color w:val="000000" w:themeColor="text1"/>
          <w:sz w:val="20"/>
          <w:szCs w:val="20"/>
          <w:shd w:val="clear" w:color="auto" w:fill="FFFFFF"/>
        </w:rPr>
        <w:t>and</w:t>
      </w:r>
      <w:r w:rsidR="00310F47" w:rsidRPr="008047D3">
        <w:rPr>
          <w:rFonts w:ascii="Times New Roman" w:hAnsi="Times New Roman" w:cs="Times New Roman"/>
          <w:color w:val="000000" w:themeColor="text1"/>
          <w:sz w:val="20"/>
          <w:szCs w:val="20"/>
          <w:shd w:val="clear" w:color="auto" w:fill="FFFFFF"/>
        </w:rPr>
        <w:t xml:space="preserve"> </w:t>
      </w:r>
      <w:r w:rsidRPr="008047D3">
        <w:rPr>
          <w:rFonts w:ascii="Times New Roman" w:hAnsi="Times New Roman" w:cs="Times New Roman"/>
          <w:color w:val="000000" w:themeColor="text1"/>
          <w:sz w:val="20"/>
          <w:szCs w:val="20"/>
          <w:shd w:val="clear" w:color="auto" w:fill="FFFFFF"/>
        </w:rPr>
        <w:t>Clinical</w:t>
      </w:r>
      <w:r w:rsidR="00310F47" w:rsidRPr="008047D3">
        <w:rPr>
          <w:rFonts w:ascii="Times New Roman" w:hAnsi="Times New Roman" w:cs="Times New Roman"/>
          <w:color w:val="000000" w:themeColor="text1"/>
          <w:sz w:val="20"/>
          <w:szCs w:val="20"/>
          <w:shd w:val="clear" w:color="auto" w:fill="FFFFFF"/>
        </w:rPr>
        <w:t xml:space="preserve"> </w:t>
      </w:r>
      <w:r w:rsidRPr="008047D3">
        <w:rPr>
          <w:rFonts w:ascii="Times New Roman" w:hAnsi="Times New Roman" w:cs="Times New Roman"/>
          <w:color w:val="000000" w:themeColor="text1"/>
          <w:sz w:val="20"/>
          <w:szCs w:val="20"/>
          <w:shd w:val="clear" w:color="auto" w:fill="FFFFFF"/>
        </w:rPr>
        <w:t>Endocrinology</w:t>
      </w:r>
      <w:r w:rsidR="00310F47" w:rsidRPr="008047D3">
        <w:rPr>
          <w:rFonts w:ascii="Times New Roman" w:hAnsi="Times New Roman" w:cs="Times New Roman"/>
          <w:color w:val="000000" w:themeColor="text1"/>
          <w:sz w:val="20"/>
          <w:szCs w:val="20"/>
          <w:shd w:val="clear" w:color="auto" w:fill="FFFFFF"/>
        </w:rPr>
        <w:t xml:space="preserve"> &amp; </w:t>
      </w:r>
      <w:r w:rsidRPr="008047D3">
        <w:rPr>
          <w:rFonts w:ascii="Times New Roman" w:hAnsi="Times New Roman" w:cs="Times New Roman"/>
          <w:color w:val="000000" w:themeColor="text1"/>
          <w:sz w:val="20"/>
          <w:szCs w:val="20"/>
          <w:shd w:val="clear" w:color="auto" w:fill="FFFFFF"/>
        </w:rPr>
        <w:t>Diabetes.</w:t>
      </w:r>
      <w:r w:rsidR="00310F47" w:rsidRPr="008047D3">
        <w:rPr>
          <w:rFonts w:ascii="Times New Roman" w:hAnsi="Times New Roman" w:cs="Times New Roman"/>
          <w:color w:val="000000" w:themeColor="text1"/>
          <w:sz w:val="20"/>
          <w:szCs w:val="20"/>
          <w:shd w:val="clear" w:color="auto" w:fill="FFFFFF"/>
        </w:rPr>
        <w:t xml:space="preserve"> </w:t>
      </w:r>
      <w:r w:rsidRPr="008047D3">
        <w:rPr>
          <w:rFonts w:ascii="Times New Roman" w:hAnsi="Times New Roman" w:cs="Times New Roman"/>
          <w:color w:val="000000" w:themeColor="text1"/>
          <w:sz w:val="20"/>
          <w:szCs w:val="20"/>
          <w:shd w:val="clear" w:color="auto" w:fill="FFFFFF"/>
        </w:rPr>
        <w:t>2014;122(07):384-6.</w:t>
      </w:r>
    </w:p>
    <w:p w:rsidR="00142ACE" w:rsidRPr="008047D3" w:rsidRDefault="00142ACE" w:rsidP="00657BEC">
      <w:pPr>
        <w:pStyle w:val="ListParagraph"/>
        <w:numPr>
          <w:ilvl w:val="0"/>
          <w:numId w:val="14"/>
        </w:numPr>
        <w:snapToGrid w:val="0"/>
        <w:spacing w:after="0" w:line="240" w:lineRule="auto"/>
        <w:ind w:left="425" w:hanging="425"/>
        <w:jc w:val="both"/>
        <w:rPr>
          <w:rFonts w:ascii="Times New Roman" w:hAnsi="Times New Roman" w:cs="Times New Roman"/>
          <w:color w:val="000000" w:themeColor="text1"/>
          <w:sz w:val="20"/>
          <w:szCs w:val="20"/>
        </w:rPr>
      </w:pPr>
      <w:r w:rsidRPr="008047D3">
        <w:rPr>
          <w:rFonts w:ascii="Times New Roman" w:hAnsi="Times New Roman" w:cs="Times New Roman"/>
          <w:bCs/>
          <w:color w:val="000000" w:themeColor="text1"/>
          <w:sz w:val="20"/>
          <w:szCs w:val="20"/>
        </w:rPr>
        <w:t>World</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Health</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Organization:</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Global</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Report</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on</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Diabetes.</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Geneva</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2016.</w:t>
      </w:r>
      <w:r w:rsidR="00310F47" w:rsidRPr="008047D3">
        <w:rPr>
          <w:rFonts w:ascii="Times New Roman" w:hAnsi="Times New Roman" w:cs="Times New Roman"/>
          <w:color w:val="000000" w:themeColor="text1"/>
          <w:sz w:val="20"/>
          <w:szCs w:val="20"/>
        </w:rPr>
        <w:t xml:space="preserve"> </w:t>
      </w:r>
    </w:p>
    <w:p w:rsidR="00142ACE" w:rsidRPr="008047D3" w:rsidRDefault="00142ACE" w:rsidP="00657BEC">
      <w:pPr>
        <w:pStyle w:val="ListParagraph"/>
        <w:numPr>
          <w:ilvl w:val="0"/>
          <w:numId w:val="14"/>
        </w:numPr>
        <w:snapToGrid w:val="0"/>
        <w:spacing w:after="0" w:line="240" w:lineRule="auto"/>
        <w:ind w:left="425" w:hanging="425"/>
        <w:jc w:val="both"/>
        <w:rPr>
          <w:rFonts w:ascii="Times New Roman" w:hAnsi="Times New Roman" w:cs="Times New Roman"/>
          <w:color w:val="000000" w:themeColor="text1"/>
          <w:sz w:val="20"/>
          <w:szCs w:val="20"/>
        </w:rPr>
      </w:pPr>
      <w:r w:rsidRPr="008047D3">
        <w:rPr>
          <w:rFonts w:ascii="Times New Roman" w:hAnsi="Times New Roman" w:cs="Times New Roman"/>
          <w:bCs/>
          <w:color w:val="000000" w:themeColor="text1"/>
          <w:sz w:val="20"/>
          <w:szCs w:val="20"/>
        </w:rPr>
        <w:t>Tuttle</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K,</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Bakris</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G,</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Bilou</w:t>
      </w:r>
      <w:r w:rsidR="00D62B3D" w:rsidRPr="008047D3">
        <w:rPr>
          <w:rFonts w:ascii="Times New Roman" w:hAnsi="Times New Roman" w:cs="Times New Roman"/>
          <w:bCs/>
          <w:color w:val="000000" w:themeColor="text1"/>
          <w:sz w:val="20"/>
          <w:szCs w:val="20"/>
        </w:rPr>
        <w:t>s R</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et</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al:</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Diabetic</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kidney</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disease:</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a</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report</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from</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an</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ADA</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consensus</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conference.</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Am.</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J.</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Kidney</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Dis.</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2014;</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64(15):</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510–53.</w:t>
      </w:r>
    </w:p>
    <w:p w:rsidR="00142ACE" w:rsidRPr="008047D3" w:rsidRDefault="00142ACE" w:rsidP="00657BEC">
      <w:pPr>
        <w:pStyle w:val="ListParagraph"/>
        <w:numPr>
          <w:ilvl w:val="0"/>
          <w:numId w:val="14"/>
        </w:numPr>
        <w:snapToGrid w:val="0"/>
        <w:spacing w:after="0" w:line="240" w:lineRule="auto"/>
        <w:ind w:left="425" w:hanging="425"/>
        <w:jc w:val="both"/>
        <w:rPr>
          <w:rFonts w:ascii="Times New Roman" w:hAnsi="Times New Roman" w:cs="Times New Roman"/>
          <w:color w:val="000000" w:themeColor="text1"/>
          <w:sz w:val="20"/>
          <w:szCs w:val="20"/>
        </w:rPr>
      </w:pPr>
      <w:r w:rsidRPr="008047D3">
        <w:rPr>
          <w:rFonts w:ascii="Times New Roman" w:hAnsi="Times New Roman" w:cs="Times New Roman"/>
          <w:bCs/>
          <w:color w:val="000000" w:themeColor="text1"/>
          <w:sz w:val="20"/>
          <w:szCs w:val="20"/>
        </w:rPr>
        <w:t>Abaci</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A,</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Catli</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G,</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Anik</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A</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et</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al</w:t>
      </w:r>
      <w:r w:rsidR="00D62B3D" w:rsidRPr="008047D3">
        <w:rPr>
          <w:rFonts w:ascii="Times New Roman" w:hAnsi="Times New Roman" w:cs="Times New Roman"/>
          <w:bCs/>
          <w:color w:val="000000" w:themeColor="text1"/>
          <w:sz w:val="20"/>
          <w:szCs w:val="20"/>
        </w:rPr>
        <w:t xml:space="preserve">: </w:t>
      </w:r>
      <w:r w:rsidR="00D62B3D" w:rsidRPr="008047D3">
        <w:rPr>
          <w:rFonts w:ascii="Times New Roman" w:hAnsi="Times New Roman" w:cs="Times New Roman"/>
          <w:color w:val="000000" w:themeColor="text1"/>
          <w:sz w:val="20"/>
          <w:szCs w:val="20"/>
        </w:rPr>
        <w:t>T</w:t>
      </w:r>
      <w:r w:rsidRPr="008047D3">
        <w:rPr>
          <w:rFonts w:ascii="Times New Roman" w:hAnsi="Times New Roman" w:cs="Times New Roman"/>
          <w:color w:val="000000" w:themeColor="text1"/>
          <w:sz w:val="20"/>
          <w:szCs w:val="20"/>
        </w:rPr>
        <w:t>he</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relation</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of</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serum</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nesfatin-1</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level</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with</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metabolic</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and</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clinical</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parameters</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in</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obese</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and</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healthy</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children.</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Pediatr.</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Diab.</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2013;</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14(18):</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189–95.</w:t>
      </w:r>
    </w:p>
    <w:p w:rsidR="00142ACE" w:rsidRPr="008047D3" w:rsidRDefault="00142ACE" w:rsidP="00657BEC">
      <w:pPr>
        <w:pStyle w:val="ListParagraph"/>
        <w:numPr>
          <w:ilvl w:val="0"/>
          <w:numId w:val="14"/>
        </w:numPr>
        <w:snapToGrid w:val="0"/>
        <w:spacing w:after="0" w:line="240" w:lineRule="auto"/>
        <w:ind w:left="425" w:hanging="425"/>
        <w:jc w:val="both"/>
        <w:rPr>
          <w:rFonts w:ascii="Times New Roman" w:hAnsi="Times New Roman" w:cs="Times New Roman"/>
          <w:color w:val="000000" w:themeColor="text1"/>
          <w:sz w:val="20"/>
          <w:szCs w:val="20"/>
        </w:rPr>
      </w:pPr>
      <w:r w:rsidRPr="008047D3">
        <w:rPr>
          <w:rFonts w:ascii="Times New Roman" w:hAnsi="Times New Roman" w:cs="Times New Roman"/>
          <w:bCs/>
          <w:color w:val="000000" w:themeColor="text1"/>
          <w:sz w:val="20"/>
          <w:szCs w:val="20"/>
        </w:rPr>
        <w:t>Wu</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D,</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Yang</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M,</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Chen</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Y</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et</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al:</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color w:val="000000" w:themeColor="text1"/>
          <w:sz w:val="20"/>
          <w:szCs w:val="20"/>
        </w:rPr>
        <w:t>Hypothalamic</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nesfatin-1/NUCB2</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knockdown</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augments</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hepatic</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gluconeogenesis</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that</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is</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correlated</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with</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inhibition</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lastRenderedPageBreak/>
        <w:t>of</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mTOR-STAT3</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signaling</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pathway</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in</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rats.</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Diabetes.</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2014;</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63(18):1234–47.</w:t>
      </w:r>
    </w:p>
    <w:p w:rsidR="00142ACE" w:rsidRPr="008047D3" w:rsidRDefault="00142ACE" w:rsidP="00657BEC">
      <w:pPr>
        <w:pStyle w:val="ListParagraph"/>
        <w:numPr>
          <w:ilvl w:val="0"/>
          <w:numId w:val="14"/>
        </w:numPr>
        <w:snapToGrid w:val="0"/>
        <w:spacing w:after="0" w:line="240" w:lineRule="auto"/>
        <w:ind w:left="425" w:hanging="425"/>
        <w:jc w:val="both"/>
        <w:rPr>
          <w:rFonts w:ascii="Times New Roman" w:hAnsi="Times New Roman" w:cs="Times New Roman"/>
          <w:color w:val="000000" w:themeColor="text1"/>
          <w:sz w:val="20"/>
          <w:szCs w:val="20"/>
          <w:shd w:val="clear" w:color="auto" w:fill="FFFFFF"/>
        </w:rPr>
      </w:pPr>
      <w:r w:rsidRPr="008047D3">
        <w:rPr>
          <w:rFonts w:ascii="Times New Roman" w:hAnsi="Times New Roman" w:cs="Times New Roman"/>
          <w:bCs/>
          <w:color w:val="000000" w:themeColor="text1"/>
          <w:sz w:val="20"/>
          <w:szCs w:val="20"/>
          <w:shd w:val="clear" w:color="auto" w:fill="FFFFFF"/>
        </w:rPr>
        <w:t>Stengel</w:t>
      </w:r>
      <w:r w:rsidR="00310F47" w:rsidRPr="008047D3">
        <w:rPr>
          <w:rFonts w:ascii="Times New Roman" w:hAnsi="Times New Roman" w:cs="Times New Roman"/>
          <w:bCs/>
          <w:color w:val="000000" w:themeColor="text1"/>
          <w:sz w:val="20"/>
          <w:szCs w:val="20"/>
          <w:shd w:val="clear" w:color="auto" w:fill="FFFFFF"/>
        </w:rPr>
        <w:t xml:space="preserve"> </w:t>
      </w:r>
      <w:r w:rsidRPr="008047D3">
        <w:rPr>
          <w:rFonts w:ascii="Times New Roman" w:hAnsi="Times New Roman" w:cs="Times New Roman"/>
          <w:bCs/>
          <w:color w:val="000000" w:themeColor="text1"/>
          <w:sz w:val="20"/>
          <w:szCs w:val="20"/>
          <w:shd w:val="clear" w:color="auto" w:fill="FFFFFF"/>
        </w:rPr>
        <w:t>A</w:t>
      </w:r>
      <w:r w:rsidR="00310F47" w:rsidRPr="008047D3">
        <w:rPr>
          <w:rFonts w:ascii="Times New Roman" w:hAnsi="Times New Roman" w:cs="Times New Roman"/>
          <w:bCs/>
          <w:color w:val="000000" w:themeColor="text1"/>
          <w:sz w:val="20"/>
          <w:szCs w:val="20"/>
          <w:shd w:val="clear" w:color="auto" w:fill="FFFFFF"/>
        </w:rPr>
        <w:t xml:space="preserve"> </w:t>
      </w:r>
      <w:r w:rsidRPr="008047D3">
        <w:rPr>
          <w:rFonts w:ascii="Times New Roman" w:hAnsi="Times New Roman" w:cs="Times New Roman"/>
          <w:bCs/>
          <w:color w:val="000000" w:themeColor="text1"/>
          <w:sz w:val="20"/>
          <w:szCs w:val="20"/>
          <w:shd w:val="clear" w:color="auto" w:fill="FFFFFF"/>
        </w:rPr>
        <w:t>and</w:t>
      </w:r>
      <w:r w:rsidR="00310F47" w:rsidRPr="008047D3">
        <w:rPr>
          <w:rFonts w:ascii="Times New Roman" w:hAnsi="Times New Roman" w:cs="Times New Roman"/>
          <w:bCs/>
          <w:color w:val="000000" w:themeColor="text1"/>
          <w:sz w:val="20"/>
          <w:szCs w:val="20"/>
          <w:shd w:val="clear" w:color="auto" w:fill="FFFFFF"/>
        </w:rPr>
        <w:t xml:space="preserve"> </w:t>
      </w:r>
      <w:r w:rsidRPr="008047D3">
        <w:rPr>
          <w:rFonts w:ascii="Times New Roman" w:hAnsi="Times New Roman" w:cs="Times New Roman"/>
          <w:bCs/>
          <w:color w:val="000000" w:themeColor="text1"/>
          <w:sz w:val="20"/>
          <w:szCs w:val="20"/>
          <w:shd w:val="clear" w:color="auto" w:fill="FFFFFF"/>
        </w:rPr>
        <w:t>Taché</w:t>
      </w:r>
      <w:r w:rsidR="00310F47" w:rsidRPr="008047D3">
        <w:rPr>
          <w:rFonts w:ascii="Times New Roman" w:hAnsi="Times New Roman" w:cs="Times New Roman"/>
          <w:bCs/>
          <w:color w:val="000000" w:themeColor="text1"/>
          <w:sz w:val="20"/>
          <w:szCs w:val="20"/>
          <w:shd w:val="clear" w:color="auto" w:fill="FFFFFF"/>
        </w:rPr>
        <w:t xml:space="preserve"> </w:t>
      </w:r>
      <w:r w:rsidRPr="008047D3">
        <w:rPr>
          <w:rFonts w:ascii="Times New Roman" w:hAnsi="Times New Roman" w:cs="Times New Roman"/>
          <w:bCs/>
          <w:color w:val="000000" w:themeColor="text1"/>
          <w:sz w:val="20"/>
          <w:szCs w:val="20"/>
          <w:shd w:val="clear" w:color="auto" w:fill="FFFFFF"/>
        </w:rPr>
        <w:t>Y</w:t>
      </w:r>
      <w:r w:rsidR="00D62B3D" w:rsidRPr="008047D3">
        <w:rPr>
          <w:rFonts w:ascii="Times New Roman" w:hAnsi="Times New Roman" w:cs="Times New Roman"/>
          <w:bCs/>
          <w:color w:val="000000" w:themeColor="text1"/>
          <w:sz w:val="20"/>
          <w:szCs w:val="20"/>
          <w:shd w:val="clear" w:color="auto" w:fill="FFFFFF"/>
        </w:rPr>
        <w:t xml:space="preserve">: </w:t>
      </w:r>
      <w:r w:rsidR="00D62B3D" w:rsidRPr="008047D3">
        <w:rPr>
          <w:rFonts w:ascii="Times New Roman" w:hAnsi="Times New Roman" w:cs="Times New Roman"/>
          <w:color w:val="000000" w:themeColor="text1"/>
          <w:sz w:val="20"/>
          <w:szCs w:val="20"/>
          <w:shd w:val="clear" w:color="auto" w:fill="FFFFFF"/>
        </w:rPr>
        <w:t>M</w:t>
      </w:r>
      <w:r w:rsidRPr="008047D3">
        <w:rPr>
          <w:rFonts w:ascii="Times New Roman" w:hAnsi="Times New Roman" w:cs="Times New Roman"/>
          <w:color w:val="000000" w:themeColor="text1"/>
          <w:sz w:val="20"/>
          <w:szCs w:val="20"/>
          <w:shd w:val="clear" w:color="auto" w:fill="FFFFFF"/>
        </w:rPr>
        <w:t>inireview:</w:t>
      </w:r>
      <w:r w:rsidR="00310F47" w:rsidRPr="008047D3">
        <w:rPr>
          <w:rFonts w:ascii="Times New Roman" w:hAnsi="Times New Roman" w:cs="Times New Roman"/>
          <w:color w:val="000000" w:themeColor="text1"/>
          <w:sz w:val="20"/>
          <w:szCs w:val="20"/>
          <w:shd w:val="clear" w:color="auto" w:fill="FFFFFF"/>
        </w:rPr>
        <w:t xml:space="preserve"> </w:t>
      </w:r>
      <w:r w:rsidRPr="008047D3">
        <w:rPr>
          <w:rFonts w:ascii="Times New Roman" w:hAnsi="Times New Roman" w:cs="Times New Roman"/>
          <w:color w:val="000000" w:themeColor="text1"/>
          <w:sz w:val="20"/>
          <w:szCs w:val="20"/>
          <w:shd w:val="clear" w:color="auto" w:fill="FFFFFF"/>
        </w:rPr>
        <w:t>nesfatin-1--an</w:t>
      </w:r>
      <w:r w:rsidR="00310F47" w:rsidRPr="008047D3">
        <w:rPr>
          <w:rFonts w:ascii="Times New Roman" w:hAnsi="Times New Roman" w:cs="Times New Roman"/>
          <w:color w:val="000000" w:themeColor="text1"/>
          <w:sz w:val="20"/>
          <w:szCs w:val="20"/>
          <w:shd w:val="clear" w:color="auto" w:fill="FFFFFF"/>
        </w:rPr>
        <w:t xml:space="preserve"> </w:t>
      </w:r>
      <w:r w:rsidRPr="008047D3">
        <w:rPr>
          <w:rFonts w:ascii="Times New Roman" w:hAnsi="Times New Roman" w:cs="Times New Roman"/>
          <w:color w:val="000000" w:themeColor="text1"/>
          <w:sz w:val="20"/>
          <w:szCs w:val="20"/>
          <w:shd w:val="clear" w:color="auto" w:fill="FFFFFF"/>
        </w:rPr>
        <w:t>emerging</w:t>
      </w:r>
      <w:r w:rsidR="00310F47" w:rsidRPr="008047D3">
        <w:rPr>
          <w:rFonts w:ascii="Times New Roman" w:hAnsi="Times New Roman" w:cs="Times New Roman"/>
          <w:color w:val="000000" w:themeColor="text1"/>
          <w:sz w:val="20"/>
          <w:szCs w:val="20"/>
          <w:shd w:val="clear" w:color="auto" w:fill="FFFFFF"/>
        </w:rPr>
        <w:t xml:space="preserve"> </w:t>
      </w:r>
      <w:r w:rsidRPr="008047D3">
        <w:rPr>
          <w:rFonts w:ascii="Times New Roman" w:hAnsi="Times New Roman" w:cs="Times New Roman"/>
          <w:color w:val="000000" w:themeColor="text1"/>
          <w:sz w:val="20"/>
          <w:szCs w:val="20"/>
          <w:shd w:val="clear" w:color="auto" w:fill="FFFFFF"/>
        </w:rPr>
        <w:t>new</w:t>
      </w:r>
      <w:r w:rsidR="00310F47" w:rsidRPr="008047D3">
        <w:rPr>
          <w:rFonts w:ascii="Times New Roman" w:hAnsi="Times New Roman" w:cs="Times New Roman"/>
          <w:color w:val="000000" w:themeColor="text1"/>
          <w:sz w:val="20"/>
          <w:szCs w:val="20"/>
          <w:shd w:val="clear" w:color="auto" w:fill="FFFFFF"/>
        </w:rPr>
        <w:t xml:space="preserve"> </w:t>
      </w:r>
      <w:r w:rsidRPr="008047D3">
        <w:rPr>
          <w:rFonts w:ascii="Times New Roman" w:hAnsi="Times New Roman" w:cs="Times New Roman"/>
          <w:color w:val="000000" w:themeColor="text1"/>
          <w:sz w:val="20"/>
          <w:szCs w:val="20"/>
          <w:shd w:val="clear" w:color="auto" w:fill="FFFFFF"/>
        </w:rPr>
        <w:t>player</w:t>
      </w:r>
      <w:r w:rsidR="00310F47" w:rsidRPr="008047D3">
        <w:rPr>
          <w:rFonts w:ascii="Times New Roman" w:hAnsi="Times New Roman" w:cs="Times New Roman"/>
          <w:color w:val="000000" w:themeColor="text1"/>
          <w:sz w:val="20"/>
          <w:szCs w:val="20"/>
          <w:shd w:val="clear" w:color="auto" w:fill="FFFFFF"/>
        </w:rPr>
        <w:t xml:space="preserve"> </w:t>
      </w:r>
      <w:r w:rsidRPr="008047D3">
        <w:rPr>
          <w:rFonts w:ascii="Times New Roman" w:hAnsi="Times New Roman" w:cs="Times New Roman"/>
          <w:color w:val="000000" w:themeColor="text1"/>
          <w:sz w:val="20"/>
          <w:szCs w:val="20"/>
          <w:shd w:val="clear" w:color="auto" w:fill="FFFFFF"/>
        </w:rPr>
        <w:t>in</w:t>
      </w:r>
      <w:r w:rsidR="00310F47" w:rsidRPr="008047D3">
        <w:rPr>
          <w:rFonts w:ascii="Times New Roman" w:hAnsi="Times New Roman" w:cs="Times New Roman"/>
          <w:color w:val="000000" w:themeColor="text1"/>
          <w:sz w:val="20"/>
          <w:szCs w:val="20"/>
          <w:shd w:val="clear" w:color="auto" w:fill="FFFFFF"/>
        </w:rPr>
        <w:t xml:space="preserve"> </w:t>
      </w:r>
      <w:r w:rsidRPr="008047D3">
        <w:rPr>
          <w:rFonts w:ascii="Times New Roman" w:hAnsi="Times New Roman" w:cs="Times New Roman"/>
          <w:color w:val="000000" w:themeColor="text1"/>
          <w:sz w:val="20"/>
          <w:szCs w:val="20"/>
          <w:shd w:val="clear" w:color="auto" w:fill="FFFFFF"/>
        </w:rPr>
        <w:t>the</w:t>
      </w:r>
      <w:r w:rsidR="00310F47" w:rsidRPr="008047D3">
        <w:rPr>
          <w:rFonts w:ascii="Times New Roman" w:hAnsi="Times New Roman" w:cs="Times New Roman"/>
          <w:color w:val="000000" w:themeColor="text1"/>
          <w:sz w:val="20"/>
          <w:szCs w:val="20"/>
          <w:shd w:val="clear" w:color="auto" w:fill="FFFFFF"/>
        </w:rPr>
        <w:t xml:space="preserve"> </w:t>
      </w:r>
      <w:r w:rsidRPr="008047D3">
        <w:rPr>
          <w:rFonts w:ascii="Times New Roman" w:hAnsi="Times New Roman" w:cs="Times New Roman"/>
          <w:color w:val="000000" w:themeColor="text1"/>
          <w:sz w:val="20"/>
          <w:szCs w:val="20"/>
          <w:shd w:val="clear" w:color="auto" w:fill="FFFFFF"/>
        </w:rPr>
        <w:t>brain-gut,</w:t>
      </w:r>
      <w:r w:rsidR="00310F47" w:rsidRPr="008047D3">
        <w:rPr>
          <w:rFonts w:ascii="Times New Roman" w:hAnsi="Times New Roman" w:cs="Times New Roman"/>
          <w:color w:val="000000" w:themeColor="text1"/>
          <w:sz w:val="20"/>
          <w:szCs w:val="20"/>
          <w:shd w:val="clear" w:color="auto" w:fill="FFFFFF"/>
        </w:rPr>
        <w:t xml:space="preserve"> </w:t>
      </w:r>
      <w:r w:rsidRPr="008047D3">
        <w:rPr>
          <w:rFonts w:ascii="Times New Roman" w:hAnsi="Times New Roman" w:cs="Times New Roman"/>
          <w:color w:val="000000" w:themeColor="text1"/>
          <w:sz w:val="20"/>
          <w:szCs w:val="20"/>
          <w:shd w:val="clear" w:color="auto" w:fill="FFFFFF"/>
        </w:rPr>
        <w:t>endocrine,</w:t>
      </w:r>
      <w:r w:rsidR="00310F47" w:rsidRPr="008047D3">
        <w:rPr>
          <w:rFonts w:ascii="Times New Roman" w:hAnsi="Times New Roman" w:cs="Times New Roman"/>
          <w:color w:val="000000" w:themeColor="text1"/>
          <w:sz w:val="20"/>
          <w:szCs w:val="20"/>
          <w:shd w:val="clear" w:color="auto" w:fill="FFFFFF"/>
        </w:rPr>
        <w:t xml:space="preserve"> </w:t>
      </w:r>
      <w:r w:rsidRPr="008047D3">
        <w:rPr>
          <w:rFonts w:ascii="Times New Roman" w:hAnsi="Times New Roman" w:cs="Times New Roman"/>
          <w:color w:val="000000" w:themeColor="text1"/>
          <w:sz w:val="20"/>
          <w:szCs w:val="20"/>
          <w:shd w:val="clear" w:color="auto" w:fill="FFFFFF"/>
        </w:rPr>
        <w:t>and</w:t>
      </w:r>
      <w:r w:rsidR="00310F47" w:rsidRPr="008047D3">
        <w:rPr>
          <w:rFonts w:ascii="Times New Roman" w:hAnsi="Times New Roman" w:cs="Times New Roman"/>
          <w:color w:val="000000" w:themeColor="text1"/>
          <w:sz w:val="20"/>
          <w:szCs w:val="20"/>
          <w:shd w:val="clear" w:color="auto" w:fill="FFFFFF"/>
        </w:rPr>
        <w:t xml:space="preserve"> </w:t>
      </w:r>
      <w:r w:rsidRPr="008047D3">
        <w:rPr>
          <w:rFonts w:ascii="Times New Roman" w:hAnsi="Times New Roman" w:cs="Times New Roman"/>
          <w:color w:val="000000" w:themeColor="text1"/>
          <w:sz w:val="20"/>
          <w:szCs w:val="20"/>
          <w:shd w:val="clear" w:color="auto" w:fill="FFFFFF"/>
        </w:rPr>
        <w:t>metabolic</w:t>
      </w:r>
      <w:r w:rsidR="00310F47" w:rsidRPr="008047D3">
        <w:rPr>
          <w:rFonts w:ascii="Times New Roman" w:hAnsi="Times New Roman" w:cs="Times New Roman"/>
          <w:color w:val="000000" w:themeColor="text1"/>
          <w:sz w:val="20"/>
          <w:szCs w:val="20"/>
          <w:shd w:val="clear" w:color="auto" w:fill="FFFFFF"/>
        </w:rPr>
        <w:t xml:space="preserve"> </w:t>
      </w:r>
      <w:r w:rsidRPr="008047D3">
        <w:rPr>
          <w:rFonts w:ascii="Times New Roman" w:hAnsi="Times New Roman" w:cs="Times New Roman"/>
          <w:color w:val="000000" w:themeColor="text1"/>
          <w:sz w:val="20"/>
          <w:szCs w:val="20"/>
          <w:shd w:val="clear" w:color="auto" w:fill="FFFFFF"/>
        </w:rPr>
        <w:t>axis.</w:t>
      </w:r>
      <w:r w:rsidR="00310F47" w:rsidRPr="008047D3">
        <w:rPr>
          <w:rFonts w:ascii="Times New Roman" w:hAnsi="Times New Roman" w:cs="Times New Roman"/>
          <w:color w:val="000000" w:themeColor="text1"/>
          <w:sz w:val="20"/>
          <w:szCs w:val="20"/>
          <w:shd w:val="clear" w:color="auto" w:fill="FFFFFF"/>
        </w:rPr>
        <w:t xml:space="preserve"> </w:t>
      </w:r>
      <w:r w:rsidRPr="008047D3">
        <w:rPr>
          <w:rFonts w:ascii="Times New Roman" w:hAnsi="Times New Roman" w:cs="Times New Roman"/>
          <w:color w:val="000000" w:themeColor="text1"/>
          <w:sz w:val="20"/>
          <w:szCs w:val="20"/>
          <w:shd w:val="clear" w:color="auto" w:fill="FFFFFF"/>
        </w:rPr>
        <w:t>Endocrinology.</w:t>
      </w:r>
      <w:r w:rsidR="00310F47" w:rsidRPr="008047D3">
        <w:rPr>
          <w:rFonts w:ascii="Times New Roman" w:hAnsi="Times New Roman" w:cs="Times New Roman"/>
          <w:color w:val="000000" w:themeColor="text1"/>
          <w:sz w:val="20"/>
          <w:szCs w:val="20"/>
          <w:shd w:val="clear" w:color="auto" w:fill="FFFFFF"/>
        </w:rPr>
        <w:t xml:space="preserve"> </w:t>
      </w:r>
      <w:r w:rsidRPr="008047D3">
        <w:rPr>
          <w:rFonts w:ascii="Times New Roman" w:hAnsi="Times New Roman" w:cs="Times New Roman"/>
          <w:color w:val="000000" w:themeColor="text1"/>
          <w:sz w:val="20"/>
          <w:szCs w:val="20"/>
          <w:shd w:val="clear" w:color="auto" w:fill="FFFFFF"/>
        </w:rPr>
        <w:t>2011;152(11):4033-8.</w:t>
      </w:r>
    </w:p>
    <w:p w:rsidR="00142ACE" w:rsidRPr="008047D3" w:rsidRDefault="00142ACE" w:rsidP="00657BEC">
      <w:pPr>
        <w:pStyle w:val="ListParagraph"/>
        <w:numPr>
          <w:ilvl w:val="0"/>
          <w:numId w:val="14"/>
        </w:numPr>
        <w:snapToGrid w:val="0"/>
        <w:spacing w:after="0" w:line="240" w:lineRule="auto"/>
        <w:ind w:left="425" w:hanging="425"/>
        <w:jc w:val="both"/>
        <w:rPr>
          <w:rFonts w:ascii="Times New Roman" w:hAnsi="Times New Roman" w:cs="Times New Roman"/>
          <w:color w:val="000000" w:themeColor="text1"/>
          <w:sz w:val="20"/>
          <w:szCs w:val="20"/>
          <w:shd w:val="clear" w:color="auto" w:fill="FFFFFF"/>
        </w:rPr>
      </w:pPr>
      <w:r w:rsidRPr="008047D3">
        <w:rPr>
          <w:rFonts w:ascii="Times New Roman" w:hAnsi="Times New Roman" w:cs="Times New Roman"/>
          <w:bCs/>
          <w:color w:val="000000" w:themeColor="text1"/>
          <w:sz w:val="20"/>
          <w:szCs w:val="20"/>
        </w:rPr>
        <w:t>Afkarian</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M,</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Sachs</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MC,</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Kestenbaum</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B</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et</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al</w:t>
      </w:r>
      <w:r w:rsidRPr="008047D3">
        <w:rPr>
          <w:rFonts w:ascii="Times New Roman" w:hAnsi="Times New Roman" w:cs="Times New Roman"/>
          <w:color w:val="000000" w:themeColor="text1"/>
          <w:sz w:val="20"/>
          <w:szCs w:val="20"/>
        </w:rPr>
        <w:t>.</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Kidney</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disease</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and</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increased</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mortality</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risk</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in</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type</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2</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diabetes.</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J.</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Am.</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Soc.</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Nephrol.</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2013;24(2):302–8.</w:t>
      </w:r>
    </w:p>
    <w:p w:rsidR="00142ACE" w:rsidRPr="008047D3" w:rsidRDefault="00142ACE" w:rsidP="00657BEC">
      <w:pPr>
        <w:pStyle w:val="ListParagraph"/>
        <w:numPr>
          <w:ilvl w:val="0"/>
          <w:numId w:val="14"/>
        </w:numPr>
        <w:snapToGrid w:val="0"/>
        <w:spacing w:after="0" w:line="240" w:lineRule="auto"/>
        <w:ind w:left="425" w:hanging="425"/>
        <w:jc w:val="both"/>
        <w:rPr>
          <w:rFonts w:ascii="Times New Roman" w:hAnsi="Times New Roman" w:cs="Times New Roman"/>
          <w:color w:val="000000" w:themeColor="text1"/>
          <w:sz w:val="20"/>
          <w:szCs w:val="20"/>
        </w:rPr>
      </w:pPr>
      <w:r w:rsidRPr="008047D3">
        <w:rPr>
          <w:rFonts w:ascii="Times New Roman" w:hAnsi="Times New Roman" w:cs="Times New Roman"/>
          <w:bCs/>
          <w:color w:val="000000" w:themeColor="text1"/>
          <w:sz w:val="20"/>
          <w:szCs w:val="20"/>
        </w:rPr>
        <w:t>American</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Diabetes</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Association:</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Standards</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of</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medical</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care</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in</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diabetes.</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Diabetes</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Care.</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2014;37</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(1)</w:t>
      </w:r>
      <w:r w:rsidR="00D62B3D" w:rsidRPr="008047D3">
        <w:rPr>
          <w:rFonts w:ascii="Times New Roman" w:hAnsi="Times New Roman" w:cs="Times New Roman"/>
          <w:color w:val="000000" w:themeColor="text1"/>
          <w:sz w:val="20"/>
          <w:szCs w:val="20"/>
        </w:rPr>
        <w:t>: S</w:t>
      </w:r>
      <w:r w:rsidRPr="008047D3">
        <w:rPr>
          <w:rFonts w:ascii="Times New Roman" w:hAnsi="Times New Roman" w:cs="Times New Roman"/>
          <w:color w:val="000000" w:themeColor="text1"/>
          <w:sz w:val="20"/>
          <w:szCs w:val="20"/>
        </w:rPr>
        <w:t>14–S80.</w:t>
      </w:r>
    </w:p>
    <w:p w:rsidR="00142ACE" w:rsidRPr="008047D3" w:rsidRDefault="00142ACE" w:rsidP="00657BEC">
      <w:pPr>
        <w:pStyle w:val="ListParagraph"/>
        <w:numPr>
          <w:ilvl w:val="0"/>
          <w:numId w:val="14"/>
        </w:numPr>
        <w:snapToGrid w:val="0"/>
        <w:spacing w:after="0" w:line="240" w:lineRule="auto"/>
        <w:ind w:left="425" w:hanging="425"/>
        <w:jc w:val="both"/>
        <w:rPr>
          <w:rFonts w:ascii="Times New Roman" w:hAnsi="Times New Roman" w:cs="Times New Roman"/>
          <w:color w:val="000000" w:themeColor="text1"/>
          <w:sz w:val="20"/>
          <w:szCs w:val="20"/>
          <w:lang w:bidi="ar-EG"/>
        </w:rPr>
      </w:pPr>
      <w:r w:rsidRPr="008047D3">
        <w:rPr>
          <w:rFonts w:ascii="Times New Roman" w:hAnsi="Times New Roman" w:cs="Times New Roman"/>
          <w:bCs/>
          <w:color w:val="000000" w:themeColor="text1"/>
          <w:sz w:val="20"/>
          <w:szCs w:val="20"/>
        </w:rPr>
        <w:t>Dore</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R,</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Levata</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L,</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Lehnert</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H</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et</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al</w:t>
      </w:r>
      <w:r w:rsidR="00D62B3D" w:rsidRPr="008047D3">
        <w:rPr>
          <w:rFonts w:ascii="Times New Roman" w:hAnsi="Times New Roman" w:cs="Times New Roman"/>
          <w:bCs/>
          <w:color w:val="000000" w:themeColor="text1"/>
          <w:sz w:val="20"/>
          <w:szCs w:val="20"/>
        </w:rPr>
        <w:t xml:space="preserve">: </w:t>
      </w:r>
      <w:r w:rsidR="00D62B3D" w:rsidRPr="008047D3">
        <w:rPr>
          <w:rFonts w:ascii="Times New Roman" w:hAnsi="Times New Roman" w:cs="Times New Roman"/>
          <w:color w:val="000000" w:themeColor="text1"/>
          <w:sz w:val="20"/>
          <w:szCs w:val="20"/>
        </w:rPr>
        <w:t>N</w:t>
      </w:r>
      <w:r w:rsidRPr="008047D3">
        <w:rPr>
          <w:rFonts w:ascii="Times New Roman" w:hAnsi="Times New Roman" w:cs="Times New Roman"/>
          <w:color w:val="000000" w:themeColor="text1"/>
          <w:sz w:val="20"/>
          <w:szCs w:val="20"/>
        </w:rPr>
        <w:t>esfatin-1:</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functions</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and</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physiology</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of</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a</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novel</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regulatory</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peptide,</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Journal</w:t>
      </w:r>
      <w:r w:rsidR="00D62B3D" w:rsidRPr="008047D3">
        <w:rPr>
          <w:rFonts w:ascii="Times New Roman" w:hAnsi="Times New Roman" w:cs="Times New Roman" w:hint="eastAsia"/>
          <w:color w:val="000000" w:themeColor="text1"/>
          <w:sz w:val="20"/>
          <w:szCs w:val="20"/>
          <w:lang w:eastAsia="zh-CN"/>
        </w:rPr>
        <w:t xml:space="preserve"> </w:t>
      </w:r>
      <w:r w:rsidRPr="008047D3">
        <w:rPr>
          <w:rFonts w:ascii="Times New Roman" w:hAnsi="Times New Roman" w:cs="Times New Roman"/>
          <w:color w:val="000000" w:themeColor="text1"/>
          <w:sz w:val="20"/>
          <w:szCs w:val="20"/>
        </w:rPr>
        <w:t>o</w:t>
      </w:r>
      <w:r w:rsidR="00D62B3D" w:rsidRPr="008047D3">
        <w:rPr>
          <w:rFonts w:ascii="Times New Roman" w:hAnsi="Times New Roman" w:cs="Times New Roman"/>
          <w:color w:val="000000" w:themeColor="text1"/>
          <w:sz w:val="20"/>
          <w:szCs w:val="20"/>
        </w:rPr>
        <w:t>f E</w:t>
      </w:r>
      <w:r w:rsidRPr="008047D3">
        <w:rPr>
          <w:rFonts w:ascii="Times New Roman" w:hAnsi="Times New Roman" w:cs="Times New Roman"/>
          <w:color w:val="000000" w:themeColor="text1"/>
          <w:sz w:val="20"/>
          <w:szCs w:val="20"/>
        </w:rPr>
        <w:t>ndocrinology.</w:t>
      </w:r>
      <w:r w:rsidR="00310F47" w:rsidRPr="008047D3">
        <w:rPr>
          <w:rFonts w:ascii="Times New Roman" w:hAnsi="Times New Roman" w:cs="Times New Roman"/>
          <w:color w:val="000000" w:themeColor="text1"/>
          <w:sz w:val="20"/>
          <w:szCs w:val="20"/>
        </w:rPr>
        <w:t xml:space="preserve"> </w:t>
      </w:r>
      <w:r w:rsidRPr="008047D3">
        <w:rPr>
          <w:rFonts w:ascii="Times New Roman" w:hAnsi="Times New Roman" w:cs="Times New Roman"/>
          <w:color w:val="000000" w:themeColor="text1"/>
          <w:sz w:val="20"/>
          <w:szCs w:val="20"/>
        </w:rPr>
        <w:t>2017;232(1):45-65.</w:t>
      </w:r>
    </w:p>
    <w:p w:rsidR="00142ACE" w:rsidRPr="008047D3" w:rsidRDefault="00142ACE" w:rsidP="00657BEC">
      <w:pPr>
        <w:pStyle w:val="ListParagraph"/>
        <w:numPr>
          <w:ilvl w:val="0"/>
          <w:numId w:val="14"/>
        </w:numPr>
        <w:snapToGrid w:val="0"/>
        <w:spacing w:after="0" w:line="240" w:lineRule="auto"/>
        <w:ind w:left="425" w:hanging="425"/>
        <w:jc w:val="both"/>
        <w:rPr>
          <w:rFonts w:ascii="Times New Roman" w:hAnsi="Times New Roman" w:cs="Times New Roman"/>
          <w:color w:val="000000" w:themeColor="text1"/>
          <w:sz w:val="20"/>
          <w:szCs w:val="20"/>
          <w:lang w:bidi="ar-EG"/>
        </w:rPr>
      </w:pPr>
      <w:r w:rsidRPr="008047D3">
        <w:rPr>
          <w:rFonts w:ascii="Times New Roman" w:hAnsi="Times New Roman" w:cs="Times New Roman"/>
          <w:bCs/>
          <w:color w:val="000000" w:themeColor="text1"/>
          <w:sz w:val="20"/>
          <w:szCs w:val="20"/>
          <w:lang w:bidi="ar-EG"/>
        </w:rPr>
        <w:t>Oh-I</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S,</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Shimizu</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H,</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Satoh</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T</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et</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al</w:t>
      </w:r>
      <w:r w:rsidR="00D62B3D" w:rsidRPr="008047D3">
        <w:rPr>
          <w:rFonts w:ascii="Times New Roman" w:hAnsi="Times New Roman" w:cs="Times New Roman"/>
          <w:bCs/>
          <w:color w:val="000000" w:themeColor="text1"/>
          <w:sz w:val="20"/>
          <w:szCs w:val="20"/>
        </w:rPr>
        <w:t xml:space="preserve">: </w:t>
      </w:r>
      <w:r w:rsidR="00D62B3D" w:rsidRPr="008047D3">
        <w:rPr>
          <w:rFonts w:ascii="Times New Roman" w:hAnsi="Times New Roman" w:cs="Times New Roman"/>
          <w:color w:val="000000" w:themeColor="text1"/>
          <w:sz w:val="20"/>
          <w:szCs w:val="20"/>
          <w:lang w:bidi="ar-EG"/>
        </w:rPr>
        <w:t>I</w:t>
      </w:r>
      <w:r w:rsidRPr="008047D3">
        <w:rPr>
          <w:rFonts w:ascii="Times New Roman" w:hAnsi="Times New Roman" w:cs="Times New Roman"/>
          <w:color w:val="000000" w:themeColor="text1"/>
          <w:sz w:val="20"/>
          <w:szCs w:val="20"/>
          <w:lang w:bidi="ar-EG"/>
        </w:rPr>
        <w:t>dentification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of</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nesfatin-1</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satiety</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molecule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in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the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hypothalamus.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sz w:val="20"/>
          <w:szCs w:val="20"/>
          <w:lang w:bidi="ar-EG"/>
        </w:rPr>
        <w:t>Nature.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2006;</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443(7112):709-12.</w:t>
      </w:r>
    </w:p>
    <w:p w:rsidR="00142ACE" w:rsidRPr="008047D3" w:rsidRDefault="00142ACE" w:rsidP="00657BEC">
      <w:pPr>
        <w:pStyle w:val="ListParagraph"/>
        <w:numPr>
          <w:ilvl w:val="0"/>
          <w:numId w:val="14"/>
        </w:numPr>
        <w:snapToGrid w:val="0"/>
        <w:spacing w:after="0" w:line="240" w:lineRule="auto"/>
        <w:ind w:left="425" w:hanging="425"/>
        <w:jc w:val="both"/>
        <w:rPr>
          <w:rFonts w:ascii="Times New Roman" w:hAnsi="Times New Roman" w:cs="Times New Roman"/>
          <w:color w:val="000000" w:themeColor="text1"/>
          <w:sz w:val="20"/>
          <w:szCs w:val="20"/>
          <w:vertAlign w:val="superscript"/>
          <w:lang w:bidi="ar-EG"/>
        </w:rPr>
      </w:pPr>
      <w:r w:rsidRPr="008047D3">
        <w:rPr>
          <w:rFonts w:ascii="Times New Roman" w:hAnsi="Times New Roman" w:cs="Times New Roman"/>
          <w:bCs/>
          <w:color w:val="000000" w:themeColor="text1"/>
          <w:sz w:val="20"/>
          <w:szCs w:val="20"/>
          <w:lang w:bidi="ar-EG"/>
        </w:rPr>
        <w:t>Yang</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M,</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Zhang</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Z,</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Wang</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C</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et</w:t>
      </w:r>
      <w:r w:rsidR="00310F47" w:rsidRPr="008047D3">
        <w:rPr>
          <w:rFonts w:ascii="Times New Roman" w:hAnsi="Times New Roman" w:cs="Times New Roman"/>
          <w:bCs/>
          <w:color w:val="000000" w:themeColor="text1"/>
          <w:sz w:val="20"/>
          <w:szCs w:val="20"/>
        </w:rPr>
        <w:t xml:space="preserve"> </w:t>
      </w:r>
      <w:r w:rsidRPr="008047D3">
        <w:rPr>
          <w:rFonts w:ascii="Times New Roman" w:hAnsi="Times New Roman" w:cs="Times New Roman"/>
          <w:bCs/>
          <w:color w:val="000000" w:themeColor="text1"/>
          <w:sz w:val="20"/>
          <w:szCs w:val="20"/>
        </w:rPr>
        <w:t>al:</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Nesfatin-1</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action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in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the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brain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increases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insulin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sensitivity</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through</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Akt/AMPK/TORC2</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pathway</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in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diet-induced</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insulin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resistance.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Diabetes.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2012;61(8):1959-68.</w:t>
      </w:r>
    </w:p>
    <w:p w:rsidR="00142ACE" w:rsidRPr="008047D3" w:rsidRDefault="00142ACE" w:rsidP="00657BEC">
      <w:pPr>
        <w:pStyle w:val="ListParagraph"/>
        <w:numPr>
          <w:ilvl w:val="0"/>
          <w:numId w:val="14"/>
        </w:numPr>
        <w:snapToGrid w:val="0"/>
        <w:spacing w:after="0" w:line="240" w:lineRule="auto"/>
        <w:ind w:left="425" w:hanging="425"/>
        <w:jc w:val="both"/>
        <w:rPr>
          <w:rFonts w:ascii="Times New Roman" w:hAnsi="Times New Roman" w:cs="Times New Roman"/>
          <w:color w:val="000000" w:themeColor="text1"/>
          <w:sz w:val="20"/>
          <w:szCs w:val="20"/>
          <w:lang w:bidi="ar-EG"/>
        </w:rPr>
      </w:pPr>
      <w:r w:rsidRPr="008047D3">
        <w:rPr>
          <w:rFonts w:ascii="Times New Roman" w:hAnsi="Times New Roman" w:cs="Times New Roman"/>
          <w:bCs/>
          <w:color w:val="000000" w:themeColor="text1"/>
          <w:sz w:val="20"/>
          <w:szCs w:val="20"/>
          <w:lang w:bidi="ar-EG"/>
        </w:rPr>
        <w:t>Zeng</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X,</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Lu</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D,</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Li</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J,</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et</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al:</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Performance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of</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urinary</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neutrophil</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gelatinase-associated</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lipocalin,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clusterin,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and</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cystatin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C</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in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predicting</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diabetic</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kidney</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disease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and</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diabetic</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microalbuminuria:</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consecutive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cohort</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study.</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BMC</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Nephrology</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[Internet].</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Springer</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Nature;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2017;</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12(1):18.</w:t>
      </w:r>
    </w:p>
    <w:p w:rsidR="00142ACE" w:rsidRPr="008047D3" w:rsidRDefault="00142ACE" w:rsidP="00657BEC">
      <w:pPr>
        <w:pStyle w:val="ListParagraph"/>
        <w:numPr>
          <w:ilvl w:val="0"/>
          <w:numId w:val="14"/>
        </w:numPr>
        <w:snapToGrid w:val="0"/>
        <w:spacing w:after="0" w:line="240" w:lineRule="auto"/>
        <w:ind w:left="425" w:hanging="425"/>
        <w:jc w:val="both"/>
        <w:rPr>
          <w:rFonts w:ascii="Times New Roman" w:hAnsi="Times New Roman" w:cs="Times New Roman"/>
          <w:color w:val="000000" w:themeColor="text1"/>
          <w:sz w:val="20"/>
          <w:szCs w:val="20"/>
          <w:lang w:bidi="ar-EG"/>
        </w:rPr>
      </w:pPr>
      <w:r w:rsidRPr="008047D3">
        <w:rPr>
          <w:rFonts w:ascii="Times New Roman" w:hAnsi="Times New Roman" w:cs="Times New Roman"/>
          <w:bCs/>
          <w:color w:val="000000" w:themeColor="text1"/>
          <w:sz w:val="20"/>
          <w:szCs w:val="20"/>
          <w:lang w:bidi="ar-EG"/>
        </w:rPr>
        <w:t>Wei</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W,</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Tu</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M,</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Huang</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R</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et</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al:</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Serum</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osteoinductive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factor</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is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associated</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with</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microalbuminuria</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and</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diabetic</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nephropathy</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in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type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2</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diabetes.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Medicine.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2018;</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97(31):11759.</w:t>
      </w:r>
    </w:p>
    <w:p w:rsidR="00142ACE" w:rsidRPr="008047D3" w:rsidRDefault="00142ACE" w:rsidP="00657BEC">
      <w:pPr>
        <w:pStyle w:val="ListParagraph"/>
        <w:numPr>
          <w:ilvl w:val="0"/>
          <w:numId w:val="14"/>
        </w:numPr>
        <w:snapToGrid w:val="0"/>
        <w:spacing w:after="0" w:line="240" w:lineRule="auto"/>
        <w:ind w:left="425" w:hanging="425"/>
        <w:jc w:val="both"/>
        <w:rPr>
          <w:rFonts w:ascii="Times New Roman" w:hAnsi="Times New Roman" w:cs="Times New Roman"/>
          <w:color w:val="000000" w:themeColor="text1"/>
          <w:sz w:val="20"/>
          <w:szCs w:val="20"/>
          <w:lang w:bidi="ar-EG"/>
        </w:rPr>
      </w:pPr>
      <w:r w:rsidRPr="008047D3">
        <w:rPr>
          <w:rFonts w:ascii="Times New Roman" w:hAnsi="Times New Roman" w:cs="Times New Roman"/>
          <w:bCs/>
          <w:color w:val="000000" w:themeColor="text1"/>
          <w:sz w:val="20"/>
          <w:szCs w:val="20"/>
          <w:lang w:bidi="ar-EG"/>
        </w:rPr>
        <w:t>Abd-Elaaty</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T,</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Rezk</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M,</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Abdel</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Moneiu</w:t>
      </w:r>
      <w:r w:rsidR="00D62B3D" w:rsidRPr="008047D3">
        <w:rPr>
          <w:rFonts w:ascii="Times New Roman" w:hAnsi="Times New Roman" w:cs="Times New Roman"/>
          <w:bCs/>
          <w:color w:val="000000" w:themeColor="text1"/>
          <w:sz w:val="20"/>
          <w:szCs w:val="20"/>
          <w:lang w:bidi="ar-EG"/>
        </w:rPr>
        <w:t>m H</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et</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al</w:t>
      </w:r>
      <w:r w:rsidR="00D62B3D" w:rsidRPr="008047D3">
        <w:rPr>
          <w:rFonts w:ascii="Times New Roman" w:hAnsi="Times New Roman" w:cs="Times New Roman"/>
          <w:bCs/>
          <w:color w:val="000000" w:themeColor="text1"/>
          <w:sz w:val="20"/>
          <w:szCs w:val="20"/>
          <w:lang w:bidi="ar-EG"/>
        </w:rPr>
        <w:t xml:space="preserve">: </w:t>
      </w:r>
      <w:r w:rsidR="00D62B3D" w:rsidRPr="008047D3">
        <w:rPr>
          <w:rFonts w:ascii="Times New Roman" w:hAnsi="Times New Roman" w:cs="Times New Roman"/>
          <w:color w:val="000000" w:themeColor="text1"/>
          <w:sz w:val="20"/>
          <w:szCs w:val="20"/>
          <w:lang w:bidi="ar-EG"/>
        </w:rPr>
        <w:t>S</w:t>
      </w:r>
      <w:r w:rsidRPr="008047D3">
        <w:rPr>
          <w:rFonts w:ascii="Times New Roman" w:hAnsi="Times New Roman" w:cs="Times New Roman"/>
          <w:color w:val="000000" w:themeColor="text1"/>
          <w:sz w:val="20"/>
          <w:szCs w:val="20"/>
          <w:lang w:bidi="ar-EG"/>
        </w:rPr>
        <w:t>tudy</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of</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the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association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of</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serum</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level</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of</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nesfatin-1</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and</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diabetic</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kidney</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disease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in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patients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with</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type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2</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diabetes.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Egypt</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J</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Obes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Diabetes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Endocrinol</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2017;3(1):59-67.</w:t>
      </w:r>
    </w:p>
    <w:p w:rsidR="00142ACE" w:rsidRPr="008047D3" w:rsidRDefault="00142ACE" w:rsidP="00657BEC">
      <w:pPr>
        <w:pStyle w:val="ListParagraph"/>
        <w:numPr>
          <w:ilvl w:val="0"/>
          <w:numId w:val="14"/>
        </w:numPr>
        <w:snapToGrid w:val="0"/>
        <w:spacing w:after="0" w:line="240" w:lineRule="auto"/>
        <w:ind w:left="425" w:hanging="425"/>
        <w:jc w:val="both"/>
        <w:rPr>
          <w:rFonts w:ascii="Times New Roman" w:hAnsi="Times New Roman" w:cs="Times New Roman"/>
          <w:color w:val="000000" w:themeColor="text1"/>
          <w:sz w:val="20"/>
          <w:szCs w:val="20"/>
          <w:lang w:bidi="ar-EG"/>
        </w:rPr>
      </w:pPr>
      <w:r w:rsidRPr="008047D3">
        <w:rPr>
          <w:rFonts w:ascii="Times New Roman" w:hAnsi="Times New Roman" w:cs="Times New Roman"/>
          <w:bCs/>
          <w:color w:val="000000" w:themeColor="text1"/>
          <w:sz w:val="20"/>
          <w:szCs w:val="20"/>
          <w:lang w:bidi="ar-EG"/>
        </w:rPr>
        <w:t>Kahraman</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C,</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Kahraman</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N,</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Aras</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B</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et</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al:</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The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relationship</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between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neutrophil-to-lymphocyte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ratio</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and</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albuminuria</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in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type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2</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diabetic</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patients: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pilot</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study.</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Archives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of</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medical</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science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AMS,2016;</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12(3):571-5.</w:t>
      </w:r>
    </w:p>
    <w:p w:rsidR="00142ACE" w:rsidRPr="008047D3" w:rsidRDefault="00142ACE" w:rsidP="00657BEC">
      <w:pPr>
        <w:pStyle w:val="ListParagraph"/>
        <w:numPr>
          <w:ilvl w:val="0"/>
          <w:numId w:val="14"/>
        </w:numPr>
        <w:snapToGrid w:val="0"/>
        <w:spacing w:after="0" w:line="240" w:lineRule="auto"/>
        <w:ind w:left="425" w:hanging="425"/>
        <w:jc w:val="both"/>
        <w:rPr>
          <w:rFonts w:ascii="Times New Roman" w:hAnsi="Times New Roman" w:cs="Times New Roman"/>
          <w:color w:val="000000" w:themeColor="text1"/>
          <w:sz w:val="20"/>
          <w:szCs w:val="20"/>
          <w:lang w:bidi="ar-EG"/>
        </w:rPr>
      </w:pPr>
      <w:r w:rsidRPr="008047D3">
        <w:rPr>
          <w:rFonts w:ascii="Times New Roman" w:hAnsi="Times New Roman" w:cs="Times New Roman"/>
          <w:bCs/>
          <w:color w:val="000000" w:themeColor="text1"/>
          <w:sz w:val="20"/>
          <w:szCs w:val="20"/>
          <w:lang w:bidi="ar-EG"/>
        </w:rPr>
        <w:t>132.</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Khandare</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S,</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Chittawar</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S,</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Nahar</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N</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et</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al::</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Study</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of</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Neutrophil-lymphocyte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Ratio</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Novel</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Marker</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for</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Diabetic</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Nephropathy</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in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Type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2</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Diabetes.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Indian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J</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Endocrino</w:t>
      </w:r>
      <w:r w:rsidR="00D62B3D" w:rsidRPr="008047D3">
        <w:rPr>
          <w:rFonts w:ascii="Times New Roman" w:hAnsi="Times New Roman" w:cs="Times New Roman"/>
          <w:color w:val="000000" w:themeColor="text1"/>
          <w:sz w:val="20"/>
          <w:szCs w:val="20"/>
          <w:lang w:bidi="ar-EG"/>
        </w:rPr>
        <w:t>l M</w:t>
      </w:r>
      <w:r w:rsidRPr="008047D3">
        <w:rPr>
          <w:rFonts w:ascii="Times New Roman" w:hAnsi="Times New Roman" w:cs="Times New Roman"/>
          <w:color w:val="000000" w:themeColor="text1"/>
          <w:sz w:val="20"/>
          <w:szCs w:val="20"/>
          <w:lang w:bidi="ar-EG"/>
        </w:rPr>
        <w:t>etab.</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2017;21(3):387-92.</w:t>
      </w:r>
    </w:p>
    <w:p w:rsidR="00142ACE" w:rsidRPr="008047D3" w:rsidRDefault="00142ACE" w:rsidP="00657BEC">
      <w:pPr>
        <w:pStyle w:val="ListParagraph"/>
        <w:numPr>
          <w:ilvl w:val="0"/>
          <w:numId w:val="14"/>
        </w:numPr>
        <w:snapToGrid w:val="0"/>
        <w:spacing w:after="0" w:line="240" w:lineRule="auto"/>
        <w:ind w:left="425" w:hanging="425"/>
        <w:jc w:val="both"/>
        <w:rPr>
          <w:rFonts w:ascii="Times New Roman" w:hAnsi="Times New Roman" w:cs="Times New Roman"/>
          <w:color w:val="000000" w:themeColor="text1"/>
          <w:sz w:val="20"/>
          <w:szCs w:val="20"/>
          <w:lang w:bidi="ar-EG"/>
        </w:rPr>
      </w:pPr>
      <w:r w:rsidRPr="008047D3">
        <w:rPr>
          <w:rFonts w:ascii="Times New Roman" w:hAnsi="Times New Roman" w:cs="Times New Roman"/>
          <w:bCs/>
          <w:color w:val="000000" w:themeColor="text1"/>
          <w:sz w:val="20"/>
          <w:szCs w:val="20"/>
          <w:lang w:bidi="ar-EG"/>
        </w:rPr>
        <w:t>Mahendra</w:t>
      </w:r>
      <w:r w:rsidR="00D62B3D" w:rsidRPr="008047D3">
        <w:rPr>
          <w:rFonts w:ascii="Times New Roman" w:hAnsi="Times New Roman" w:cs="Times New Roman"/>
          <w:bCs/>
          <w:color w:val="000000" w:themeColor="text1"/>
          <w:sz w:val="20"/>
          <w:szCs w:val="20"/>
          <w:lang w:bidi="ar-EG"/>
        </w:rPr>
        <w:t>n K</w:t>
      </w:r>
      <w:r w:rsidRPr="008047D3">
        <w:rPr>
          <w:rFonts w:ascii="Times New Roman" w:hAnsi="Times New Roman" w:cs="Times New Roman"/>
          <w:bCs/>
          <w:color w:val="000000" w:themeColor="text1"/>
          <w:sz w:val="20"/>
          <w:szCs w:val="20"/>
          <w:lang w:bidi="ar-EG"/>
        </w:rPr>
        <w:t>,</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Bhaskar</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M,</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Santha</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K</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et</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al</w:t>
      </w:r>
      <w:r w:rsidR="00D62B3D" w:rsidRPr="008047D3">
        <w:rPr>
          <w:rFonts w:ascii="Times New Roman" w:hAnsi="Times New Roman" w:cs="Times New Roman"/>
          <w:bCs/>
          <w:color w:val="000000" w:themeColor="text1"/>
          <w:sz w:val="20"/>
          <w:szCs w:val="20"/>
          <w:lang w:bidi="ar-EG"/>
        </w:rPr>
        <w:t xml:space="preserve">: </w:t>
      </w:r>
      <w:r w:rsidR="00D62B3D" w:rsidRPr="008047D3">
        <w:rPr>
          <w:rFonts w:ascii="Times New Roman" w:hAnsi="Times New Roman" w:cs="Times New Roman"/>
          <w:color w:val="000000" w:themeColor="text1"/>
          <w:sz w:val="20"/>
          <w:szCs w:val="20"/>
          <w:lang w:bidi="ar-EG"/>
        </w:rPr>
        <w:t>P</w:t>
      </w:r>
      <w:r w:rsidRPr="008047D3">
        <w:rPr>
          <w:rFonts w:ascii="Times New Roman" w:hAnsi="Times New Roman" w:cs="Times New Roman"/>
          <w:color w:val="000000" w:themeColor="text1"/>
          <w:sz w:val="20"/>
          <w:szCs w:val="20"/>
          <w:lang w:bidi="ar-EG"/>
        </w:rPr>
        <w:t>lasma</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and</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Urinary</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Type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IV</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Collagen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Levels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for</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Early</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Detection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of</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Nephropathy</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in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Type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2</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Diabetes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Mellitus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Patients.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Int</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J</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Health</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Sci</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(Qassim).</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2016;10(4):492-98.</w:t>
      </w:r>
    </w:p>
    <w:p w:rsidR="00142ACE" w:rsidRPr="008047D3" w:rsidRDefault="00142ACE" w:rsidP="00657BEC">
      <w:pPr>
        <w:pStyle w:val="ListParagraph"/>
        <w:numPr>
          <w:ilvl w:val="0"/>
          <w:numId w:val="14"/>
        </w:numPr>
        <w:snapToGrid w:val="0"/>
        <w:spacing w:after="0" w:line="240" w:lineRule="auto"/>
        <w:ind w:left="425" w:hanging="425"/>
        <w:jc w:val="both"/>
        <w:rPr>
          <w:rFonts w:ascii="Times New Roman" w:hAnsi="Times New Roman" w:cs="Times New Roman"/>
          <w:bCs/>
          <w:color w:val="000000" w:themeColor="text1"/>
          <w:sz w:val="20"/>
          <w:szCs w:val="20"/>
          <w:lang w:bidi="ar-EG"/>
        </w:rPr>
      </w:pPr>
      <w:r w:rsidRPr="008047D3">
        <w:rPr>
          <w:rFonts w:ascii="Times New Roman" w:hAnsi="Times New Roman" w:cs="Times New Roman"/>
          <w:bCs/>
          <w:color w:val="000000" w:themeColor="text1"/>
          <w:sz w:val="20"/>
          <w:szCs w:val="20"/>
          <w:lang w:bidi="ar-EG"/>
        </w:rPr>
        <w:lastRenderedPageBreak/>
        <w:t>Amer</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H,</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Sabry</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I,</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Bekhet</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M</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et</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al:</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The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Role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of</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Urinary</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Cyclophilin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New</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Marker</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for</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Diabetic</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Nephropathy.</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The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Egyptian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Journal</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of</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Hospital</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Medicine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2018;</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70(9):</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1431-39.</w:t>
      </w:r>
    </w:p>
    <w:p w:rsidR="00142ACE" w:rsidRPr="008047D3" w:rsidRDefault="00142ACE" w:rsidP="00657BEC">
      <w:pPr>
        <w:pStyle w:val="ListParagraph"/>
        <w:numPr>
          <w:ilvl w:val="0"/>
          <w:numId w:val="14"/>
        </w:numPr>
        <w:snapToGrid w:val="0"/>
        <w:spacing w:after="0" w:line="240" w:lineRule="auto"/>
        <w:ind w:left="425" w:hanging="425"/>
        <w:jc w:val="both"/>
        <w:rPr>
          <w:rFonts w:ascii="Times New Roman" w:hAnsi="Times New Roman" w:cs="Times New Roman"/>
          <w:color w:val="000000" w:themeColor="text1"/>
          <w:sz w:val="20"/>
          <w:szCs w:val="20"/>
          <w:lang w:bidi="ar-EG"/>
        </w:rPr>
      </w:pPr>
      <w:r w:rsidRPr="008047D3">
        <w:rPr>
          <w:rFonts w:ascii="Times New Roman" w:hAnsi="Times New Roman" w:cs="Times New Roman"/>
          <w:bCs/>
          <w:color w:val="000000" w:themeColor="text1"/>
          <w:sz w:val="20"/>
          <w:szCs w:val="20"/>
          <w:lang w:bidi="ar-EG"/>
        </w:rPr>
        <w:t>135.</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Wang</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S,</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Wang</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Y,</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Zheng</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R</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et</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al</w:t>
      </w:r>
      <w:r w:rsidR="00D62B3D" w:rsidRPr="008047D3">
        <w:rPr>
          <w:rFonts w:ascii="Times New Roman" w:hAnsi="Times New Roman" w:cs="Times New Roman"/>
          <w:bCs/>
          <w:color w:val="000000" w:themeColor="text1"/>
          <w:sz w:val="20"/>
          <w:szCs w:val="20"/>
          <w:lang w:bidi="ar-EG"/>
        </w:rPr>
        <w:t xml:space="preserve">: </w:t>
      </w:r>
      <w:r w:rsidR="00D62B3D" w:rsidRPr="008047D3">
        <w:rPr>
          <w:rFonts w:ascii="Times New Roman" w:hAnsi="Times New Roman" w:cs="Times New Roman"/>
          <w:color w:val="000000" w:themeColor="text1"/>
          <w:sz w:val="20"/>
          <w:szCs w:val="20"/>
          <w:lang w:bidi="ar-EG"/>
        </w:rPr>
        <w:t>O</w:t>
      </w:r>
      <w:r w:rsidRPr="008047D3">
        <w:rPr>
          <w:rFonts w:ascii="Times New Roman" w:hAnsi="Times New Roman" w:cs="Times New Roman"/>
          <w:color w:val="000000" w:themeColor="text1"/>
          <w:sz w:val="20"/>
          <w:szCs w:val="20"/>
          <w:lang w:bidi="ar-EG"/>
        </w:rPr>
        <w:t>steoinductive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factor</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is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novel</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biomarker</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for</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the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diagnosis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of</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early</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diabetic</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nephropathy.</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In</w:t>
      </w:r>
      <w:r w:rsidR="00D62B3D" w:rsidRPr="008047D3">
        <w:rPr>
          <w:rFonts w:ascii="Times New Roman" w:hAnsi="Times New Roman" w:cs="Times New Roman"/>
          <w:color w:val="000000" w:themeColor="text1"/>
          <w:sz w:val="20"/>
          <w:szCs w:val="20"/>
          <w:lang w:bidi="ar-EG"/>
        </w:rPr>
        <w:t>t J</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Cli</w:t>
      </w:r>
      <w:r w:rsidR="00D62B3D" w:rsidRPr="008047D3">
        <w:rPr>
          <w:rFonts w:ascii="Times New Roman" w:hAnsi="Times New Roman" w:cs="Times New Roman"/>
          <w:color w:val="000000" w:themeColor="text1"/>
          <w:sz w:val="20"/>
          <w:szCs w:val="20"/>
          <w:lang w:bidi="ar-EG"/>
        </w:rPr>
        <w:t>n E</w:t>
      </w:r>
      <w:r w:rsidRPr="008047D3">
        <w:rPr>
          <w:rFonts w:ascii="Times New Roman" w:hAnsi="Times New Roman" w:cs="Times New Roman"/>
          <w:color w:val="000000" w:themeColor="text1"/>
          <w:sz w:val="20"/>
          <w:szCs w:val="20"/>
          <w:lang w:bidi="ar-EG"/>
        </w:rPr>
        <w:t>x</w:t>
      </w:r>
      <w:r w:rsidR="00D62B3D" w:rsidRPr="008047D3">
        <w:rPr>
          <w:rFonts w:ascii="Times New Roman" w:hAnsi="Times New Roman" w:cs="Times New Roman"/>
          <w:color w:val="000000" w:themeColor="text1"/>
          <w:sz w:val="20"/>
          <w:szCs w:val="20"/>
          <w:lang w:bidi="ar-EG"/>
        </w:rPr>
        <w:t>p P</w:t>
      </w:r>
      <w:r w:rsidRPr="008047D3">
        <w:rPr>
          <w:rFonts w:ascii="Times New Roman" w:hAnsi="Times New Roman" w:cs="Times New Roman"/>
          <w:color w:val="000000" w:themeColor="text1"/>
          <w:sz w:val="20"/>
          <w:szCs w:val="20"/>
          <w:lang w:bidi="ar-EG"/>
        </w:rPr>
        <w:t>athol.</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2015;8(3):3110-5.</w:t>
      </w:r>
    </w:p>
    <w:p w:rsidR="00142ACE" w:rsidRPr="008047D3" w:rsidRDefault="00142ACE" w:rsidP="00657BEC">
      <w:pPr>
        <w:pStyle w:val="ListParagraph"/>
        <w:numPr>
          <w:ilvl w:val="0"/>
          <w:numId w:val="14"/>
        </w:numPr>
        <w:snapToGrid w:val="0"/>
        <w:spacing w:after="0" w:line="240" w:lineRule="auto"/>
        <w:ind w:left="425" w:hanging="425"/>
        <w:jc w:val="both"/>
        <w:rPr>
          <w:rFonts w:ascii="Times New Roman" w:hAnsi="Times New Roman" w:cs="Times New Roman"/>
          <w:color w:val="000000" w:themeColor="text1"/>
          <w:sz w:val="20"/>
          <w:szCs w:val="20"/>
          <w:lang w:bidi="ar-EG"/>
        </w:rPr>
      </w:pPr>
      <w:r w:rsidRPr="008047D3">
        <w:rPr>
          <w:rFonts w:ascii="Times New Roman" w:hAnsi="Times New Roman" w:cs="Times New Roman"/>
          <w:bCs/>
          <w:color w:val="000000" w:themeColor="text1"/>
          <w:sz w:val="20"/>
          <w:szCs w:val="20"/>
          <w:lang w:bidi="ar-EG"/>
        </w:rPr>
        <w:t>Irannejad</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A,</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Ghajar</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A,</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Afarideh</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M</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et</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al</w:t>
      </w:r>
      <w:r w:rsidR="00D62B3D" w:rsidRPr="008047D3">
        <w:rPr>
          <w:rFonts w:ascii="Times New Roman" w:hAnsi="Times New Roman" w:cs="Times New Roman"/>
          <w:bCs/>
          <w:color w:val="000000" w:themeColor="text1"/>
          <w:sz w:val="20"/>
          <w:szCs w:val="20"/>
          <w:lang w:bidi="ar-EG"/>
        </w:rPr>
        <w:t xml:space="preserve">: </w:t>
      </w:r>
      <w:r w:rsidR="00D62B3D" w:rsidRPr="008047D3">
        <w:rPr>
          <w:rFonts w:ascii="Times New Roman" w:hAnsi="Times New Roman" w:cs="Times New Roman"/>
          <w:color w:val="000000" w:themeColor="text1"/>
          <w:sz w:val="20"/>
          <w:szCs w:val="20"/>
          <w:lang w:bidi="ar-EG"/>
        </w:rPr>
        <w:t>A</w:t>
      </w:r>
      <w:r w:rsidRPr="008047D3">
        <w:rPr>
          <w:rFonts w:ascii="Times New Roman" w:hAnsi="Times New Roman" w:cs="Times New Roman"/>
          <w:color w:val="000000" w:themeColor="text1"/>
          <w:sz w:val="20"/>
          <w:szCs w:val="20"/>
          <w:lang w:bidi="ar-EG"/>
        </w:rPr>
        <w:t>ssociation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of</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peripheral</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nesfatin-1</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with</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early</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stage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diabetic</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nephropathy.</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Pathophysiology,</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2017;</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24(1):17-22.</w:t>
      </w:r>
      <w:r w:rsidR="00310F47" w:rsidRPr="008047D3">
        <w:rPr>
          <w:rFonts w:ascii="Times New Roman" w:hAnsi="Times New Roman" w:cs="Times New Roman"/>
          <w:color w:val="000000" w:themeColor="text1"/>
          <w:sz w:val="20"/>
          <w:szCs w:val="20"/>
          <w:lang w:bidi="ar-EG"/>
        </w:rPr>
        <w:t xml:space="preserve"> </w:t>
      </w:r>
    </w:p>
    <w:p w:rsidR="00142ACE" w:rsidRPr="008047D3" w:rsidRDefault="00142ACE" w:rsidP="00657BEC">
      <w:pPr>
        <w:pStyle w:val="ListParagraph"/>
        <w:numPr>
          <w:ilvl w:val="0"/>
          <w:numId w:val="14"/>
        </w:numPr>
        <w:snapToGrid w:val="0"/>
        <w:spacing w:after="0" w:line="240" w:lineRule="auto"/>
        <w:ind w:left="425" w:hanging="425"/>
        <w:jc w:val="both"/>
        <w:rPr>
          <w:rFonts w:ascii="Times New Roman" w:hAnsi="Times New Roman" w:cs="Times New Roman"/>
          <w:color w:val="000000" w:themeColor="text1"/>
          <w:sz w:val="20"/>
          <w:szCs w:val="20"/>
          <w:lang w:bidi="ar-EG"/>
        </w:rPr>
      </w:pPr>
      <w:r w:rsidRPr="008047D3">
        <w:rPr>
          <w:rFonts w:ascii="Times New Roman" w:hAnsi="Times New Roman" w:cs="Times New Roman"/>
          <w:bCs/>
          <w:color w:val="000000" w:themeColor="text1"/>
          <w:sz w:val="20"/>
          <w:szCs w:val="20"/>
          <w:lang w:bidi="ar-EG"/>
        </w:rPr>
        <w:t>Wu</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J,</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Shao</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X,</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Lu</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K</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et</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al</w:t>
      </w:r>
      <w:r w:rsidR="00D62B3D" w:rsidRPr="008047D3">
        <w:rPr>
          <w:rFonts w:ascii="Times New Roman" w:hAnsi="Times New Roman" w:cs="Times New Roman"/>
          <w:bCs/>
          <w:color w:val="000000" w:themeColor="text1"/>
          <w:sz w:val="20"/>
          <w:szCs w:val="20"/>
          <w:lang w:bidi="ar-EG"/>
        </w:rPr>
        <w:t xml:space="preserve">: </w:t>
      </w:r>
      <w:r w:rsidR="00D62B3D" w:rsidRPr="008047D3">
        <w:rPr>
          <w:rFonts w:ascii="Times New Roman" w:hAnsi="Times New Roman" w:cs="Times New Roman"/>
          <w:color w:val="000000" w:themeColor="text1"/>
          <w:sz w:val="20"/>
          <w:szCs w:val="20"/>
          <w:lang w:bidi="ar-EG"/>
        </w:rPr>
        <w:t>U</w:t>
      </w:r>
      <w:r w:rsidRPr="008047D3">
        <w:rPr>
          <w:rFonts w:ascii="Times New Roman" w:hAnsi="Times New Roman" w:cs="Times New Roman"/>
          <w:color w:val="000000" w:themeColor="text1"/>
          <w:sz w:val="20"/>
          <w:szCs w:val="20"/>
          <w:lang w:bidi="ar-EG"/>
        </w:rPr>
        <w:t>rinary</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RBP</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and</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NGAL</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Levels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are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Associated</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with</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Nephropathy</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in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Patients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with</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Type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2</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Diabetes.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Cell</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Physio</w:t>
      </w:r>
      <w:r w:rsidR="00D62B3D" w:rsidRPr="008047D3">
        <w:rPr>
          <w:rFonts w:ascii="Times New Roman" w:hAnsi="Times New Roman" w:cs="Times New Roman"/>
          <w:color w:val="000000" w:themeColor="text1"/>
          <w:sz w:val="20"/>
          <w:szCs w:val="20"/>
          <w:lang w:bidi="ar-EG"/>
        </w:rPr>
        <w:t>l B</w:t>
      </w:r>
      <w:r w:rsidRPr="008047D3">
        <w:rPr>
          <w:rFonts w:ascii="Times New Roman" w:hAnsi="Times New Roman" w:cs="Times New Roman"/>
          <w:color w:val="000000" w:themeColor="text1"/>
          <w:sz w:val="20"/>
          <w:szCs w:val="20"/>
          <w:lang w:bidi="ar-EG"/>
        </w:rPr>
        <w:t>iochem</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2017;42(1):594-602.</w:t>
      </w:r>
    </w:p>
    <w:p w:rsidR="00142ACE" w:rsidRPr="008047D3" w:rsidRDefault="00142ACE" w:rsidP="00657BEC">
      <w:pPr>
        <w:pStyle w:val="ListParagraph"/>
        <w:numPr>
          <w:ilvl w:val="0"/>
          <w:numId w:val="14"/>
        </w:numPr>
        <w:snapToGrid w:val="0"/>
        <w:spacing w:after="0" w:line="240" w:lineRule="auto"/>
        <w:ind w:left="425" w:hanging="425"/>
        <w:jc w:val="both"/>
        <w:rPr>
          <w:rFonts w:ascii="Times New Roman" w:hAnsi="Times New Roman" w:cs="Times New Roman"/>
          <w:color w:val="000000" w:themeColor="text1"/>
          <w:sz w:val="20"/>
          <w:szCs w:val="20"/>
          <w:lang w:bidi="ar-EG"/>
        </w:rPr>
      </w:pPr>
      <w:r w:rsidRPr="008047D3">
        <w:rPr>
          <w:rFonts w:ascii="Times New Roman" w:hAnsi="Times New Roman" w:cs="Times New Roman"/>
          <w:bCs/>
          <w:color w:val="000000" w:themeColor="text1"/>
          <w:sz w:val="20"/>
          <w:szCs w:val="20"/>
          <w:lang w:bidi="ar-EG"/>
        </w:rPr>
        <w:t>Kocak</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M,</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Aktas</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G,</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Erkus</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E</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et</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al:</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Mean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Platelet</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Volume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to</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Lymphocyte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Ratio</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Novel</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Marker</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for</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Diabetic</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Nephropathy.</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Journal</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of</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the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College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of</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Physicians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and</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Surgeons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Pakistan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2018;28(11):844-47.</w:t>
      </w:r>
    </w:p>
    <w:p w:rsidR="00142ACE" w:rsidRPr="008047D3" w:rsidRDefault="00142ACE" w:rsidP="00657BEC">
      <w:pPr>
        <w:pStyle w:val="ListParagraph"/>
        <w:numPr>
          <w:ilvl w:val="0"/>
          <w:numId w:val="14"/>
        </w:numPr>
        <w:snapToGrid w:val="0"/>
        <w:spacing w:after="0" w:line="240" w:lineRule="auto"/>
        <w:ind w:left="425" w:hanging="425"/>
        <w:jc w:val="both"/>
        <w:rPr>
          <w:rFonts w:ascii="Times New Roman" w:hAnsi="Times New Roman" w:cs="Times New Roman"/>
          <w:color w:val="000000" w:themeColor="text1"/>
          <w:sz w:val="20"/>
          <w:szCs w:val="20"/>
          <w:lang w:bidi="ar-EG"/>
        </w:rPr>
      </w:pPr>
      <w:r w:rsidRPr="008047D3">
        <w:rPr>
          <w:rFonts w:ascii="Times New Roman" w:hAnsi="Times New Roman" w:cs="Times New Roman"/>
          <w:bCs/>
          <w:color w:val="000000" w:themeColor="text1"/>
          <w:sz w:val="20"/>
          <w:szCs w:val="20"/>
          <w:lang w:bidi="ar-EG"/>
        </w:rPr>
        <w:lastRenderedPageBreak/>
        <w:t>Sonbol</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A</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an</w:t>
      </w:r>
      <w:r w:rsidR="00D62B3D" w:rsidRPr="008047D3">
        <w:rPr>
          <w:rFonts w:ascii="Times New Roman" w:hAnsi="Times New Roman" w:cs="Times New Roman"/>
          <w:bCs/>
          <w:color w:val="000000" w:themeColor="text1"/>
          <w:sz w:val="20"/>
          <w:szCs w:val="20"/>
          <w:lang w:bidi="ar-EG"/>
        </w:rPr>
        <w:t>d K</w:t>
      </w:r>
      <w:r w:rsidRPr="008047D3">
        <w:rPr>
          <w:rFonts w:ascii="Times New Roman" w:hAnsi="Times New Roman" w:cs="Times New Roman"/>
          <w:bCs/>
          <w:color w:val="000000" w:themeColor="text1"/>
          <w:sz w:val="20"/>
          <w:szCs w:val="20"/>
          <w:lang w:bidi="ar-EG"/>
        </w:rPr>
        <w:t>orani</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MA:</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The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relation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between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plasma</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levels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of</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nesfatin-1</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and</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different</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grades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of</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diabetic</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kidney</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disease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in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patients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with</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type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2</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diabetes.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Egypt</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J</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Intern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Med.</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2018;30(2):68-71.</w:t>
      </w:r>
    </w:p>
    <w:p w:rsidR="00142ACE" w:rsidRPr="008047D3" w:rsidRDefault="00142ACE" w:rsidP="00657BEC">
      <w:pPr>
        <w:pStyle w:val="ListParagraph"/>
        <w:numPr>
          <w:ilvl w:val="0"/>
          <w:numId w:val="14"/>
        </w:numPr>
        <w:snapToGrid w:val="0"/>
        <w:spacing w:after="0" w:line="240" w:lineRule="auto"/>
        <w:ind w:left="425" w:hanging="425"/>
        <w:jc w:val="both"/>
        <w:rPr>
          <w:rFonts w:ascii="Times New Roman" w:hAnsi="Times New Roman" w:cs="Times New Roman"/>
          <w:color w:val="000000" w:themeColor="text1"/>
          <w:sz w:val="20"/>
          <w:szCs w:val="20"/>
          <w:lang w:bidi="ar-EG"/>
        </w:rPr>
      </w:pPr>
      <w:r w:rsidRPr="008047D3">
        <w:rPr>
          <w:rFonts w:ascii="Times New Roman" w:hAnsi="Times New Roman" w:cs="Times New Roman"/>
          <w:bCs/>
          <w:color w:val="000000" w:themeColor="text1"/>
          <w:sz w:val="20"/>
          <w:szCs w:val="20"/>
          <w:lang w:bidi="ar-EG"/>
        </w:rPr>
        <w:t>Guo</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Y,</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Xing</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M,</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Sun</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W,</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et</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al.</w:t>
      </w:r>
      <w:r w:rsidRPr="008047D3">
        <w:rPr>
          <w:rFonts w:ascii="Times New Roman" w:hAnsi="Times New Roman" w:cs="Times New Roman"/>
          <w:color w:val="000000" w:themeColor="text1"/>
          <w:sz w:val="20"/>
          <w:szCs w:val="20"/>
          <w:lang w:bidi="ar-EG"/>
        </w:rPr>
        <w:t>:</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Plasma</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nesfatin-1</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level</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in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obese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patients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after</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acupuncture: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randomised</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controlled</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trial</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Acupuncture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Medicine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2014;32(5):313-17.</w:t>
      </w:r>
    </w:p>
    <w:p w:rsidR="00142ACE" w:rsidRPr="008047D3" w:rsidRDefault="00142ACE" w:rsidP="00657BEC">
      <w:pPr>
        <w:pStyle w:val="ListParagraph"/>
        <w:numPr>
          <w:ilvl w:val="0"/>
          <w:numId w:val="14"/>
        </w:numPr>
        <w:snapToGrid w:val="0"/>
        <w:spacing w:after="0" w:line="240" w:lineRule="auto"/>
        <w:ind w:left="425" w:hanging="425"/>
        <w:jc w:val="both"/>
        <w:rPr>
          <w:rFonts w:ascii="Times New Roman" w:hAnsi="Times New Roman" w:cs="Times New Roman"/>
          <w:color w:val="000000" w:themeColor="text1"/>
          <w:sz w:val="20"/>
          <w:szCs w:val="20"/>
          <w:lang w:bidi="ar-EG"/>
        </w:rPr>
      </w:pPr>
      <w:r w:rsidRPr="008047D3">
        <w:rPr>
          <w:rFonts w:ascii="Times New Roman" w:hAnsi="Times New Roman" w:cs="Times New Roman"/>
          <w:bCs/>
          <w:color w:val="000000" w:themeColor="text1"/>
          <w:sz w:val="20"/>
          <w:szCs w:val="20"/>
          <w:lang w:bidi="ar-EG"/>
        </w:rPr>
        <w:t>Kuyumcu</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A,</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Yayla</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Ç,</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Bilal</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M</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et</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al:</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The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Relationship</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between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Nesfatin-1</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Levels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and</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SYNTAX</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Score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in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Patients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with</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Non-ST</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Segment</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Elevation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Myocardial</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Infarction.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Act</w:t>
      </w:r>
      <w:r w:rsidR="00D62B3D" w:rsidRPr="008047D3">
        <w:rPr>
          <w:rFonts w:ascii="Times New Roman" w:hAnsi="Times New Roman" w:cs="Times New Roman"/>
          <w:color w:val="000000" w:themeColor="text1"/>
          <w:sz w:val="20"/>
          <w:szCs w:val="20"/>
          <w:lang w:bidi="ar-EG"/>
        </w:rPr>
        <w:t>a C</w:t>
      </w:r>
      <w:r w:rsidRPr="008047D3">
        <w:rPr>
          <w:rFonts w:ascii="Times New Roman" w:hAnsi="Times New Roman" w:cs="Times New Roman"/>
          <w:color w:val="000000" w:themeColor="text1"/>
          <w:sz w:val="20"/>
          <w:szCs w:val="20"/>
          <w:lang w:bidi="ar-EG"/>
        </w:rPr>
        <w:t>ardiologica</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Sinica.2018;</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34(5):386-93.</w:t>
      </w:r>
    </w:p>
    <w:p w:rsidR="00142ACE" w:rsidRPr="008047D3" w:rsidRDefault="00142ACE" w:rsidP="00657BEC">
      <w:pPr>
        <w:pStyle w:val="ListParagraph"/>
        <w:numPr>
          <w:ilvl w:val="0"/>
          <w:numId w:val="14"/>
        </w:numPr>
        <w:snapToGrid w:val="0"/>
        <w:spacing w:after="0" w:line="240" w:lineRule="auto"/>
        <w:ind w:left="425" w:hanging="425"/>
        <w:jc w:val="both"/>
        <w:rPr>
          <w:rFonts w:ascii="Times New Roman" w:hAnsi="Times New Roman" w:cs="Times New Roman"/>
          <w:color w:val="000000" w:themeColor="text1"/>
          <w:sz w:val="20"/>
          <w:szCs w:val="20"/>
          <w:lang w:bidi="ar-EG"/>
        </w:rPr>
      </w:pPr>
      <w:r w:rsidRPr="008047D3">
        <w:rPr>
          <w:rFonts w:ascii="Times New Roman" w:hAnsi="Times New Roman" w:cs="Times New Roman"/>
          <w:bCs/>
          <w:color w:val="000000" w:themeColor="text1"/>
          <w:sz w:val="20"/>
          <w:szCs w:val="20"/>
          <w:lang w:bidi="ar-EG"/>
        </w:rPr>
        <w:t>Zhang</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Z ,</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Li L,</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Yang</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M</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et</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al:</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Increased</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Plasma</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Levels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of</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Nesfatin-1</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in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Patients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with</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Newly</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Diagnosed</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Type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2</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Diabetes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Mellitus.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Ex</w:t>
      </w:r>
      <w:r w:rsidR="00D62B3D" w:rsidRPr="008047D3">
        <w:rPr>
          <w:rFonts w:ascii="Times New Roman" w:hAnsi="Times New Roman" w:cs="Times New Roman"/>
          <w:color w:val="000000" w:themeColor="text1"/>
          <w:sz w:val="20"/>
          <w:szCs w:val="20"/>
          <w:lang w:bidi="ar-EG"/>
        </w:rPr>
        <w:t>p C</w:t>
      </w:r>
      <w:r w:rsidRPr="008047D3">
        <w:rPr>
          <w:rFonts w:ascii="Times New Roman" w:hAnsi="Times New Roman" w:cs="Times New Roman"/>
          <w:color w:val="000000" w:themeColor="text1"/>
          <w:sz w:val="20"/>
          <w:szCs w:val="20"/>
          <w:lang w:bidi="ar-EG"/>
        </w:rPr>
        <w:t>li</w:t>
      </w:r>
      <w:r w:rsidR="00D62B3D" w:rsidRPr="008047D3">
        <w:rPr>
          <w:rFonts w:ascii="Times New Roman" w:hAnsi="Times New Roman" w:cs="Times New Roman"/>
          <w:color w:val="000000" w:themeColor="text1"/>
          <w:sz w:val="20"/>
          <w:szCs w:val="20"/>
          <w:lang w:bidi="ar-EG"/>
        </w:rPr>
        <w:t>n E</w:t>
      </w:r>
      <w:r w:rsidRPr="008047D3">
        <w:rPr>
          <w:rFonts w:ascii="Times New Roman" w:hAnsi="Times New Roman" w:cs="Times New Roman"/>
          <w:color w:val="000000" w:themeColor="text1"/>
          <w:sz w:val="20"/>
          <w:szCs w:val="20"/>
          <w:lang w:bidi="ar-EG"/>
        </w:rPr>
        <w:t>ndocrinol</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Diabetes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2012;</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120(2):91-5.</w:t>
      </w:r>
    </w:p>
    <w:p w:rsidR="00310F47" w:rsidRPr="008047D3" w:rsidRDefault="00142ACE" w:rsidP="00657BEC">
      <w:pPr>
        <w:pStyle w:val="ListParagraph"/>
        <w:numPr>
          <w:ilvl w:val="0"/>
          <w:numId w:val="14"/>
        </w:numPr>
        <w:snapToGrid w:val="0"/>
        <w:spacing w:after="0" w:line="240" w:lineRule="auto"/>
        <w:ind w:left="425" w:hanging="425"/>
        <w:jc w:val="both"/>
        <w:rPr>
          <w:rFonts w:ascii="Times New Roman" w:hAnsi="Times New Roman" w:cs="Times New Roman"/>
          <w:color w:val="000000" w:themeColor="text1"/>
          <w:sz w:val="20"/>
          <w:szCs w:val="20"/>
          <w:lang w:bidi="ar-EG"/>
        </w:rPr>
      </w:pPr>
      <w:r w:rsidRPr="008047D3">
        <w:rPr>
          <w:rFonts w:ascii="Times New Roman" w:hAnsi="Times New Roman" w:cs="Times New Roman"/>
          <w:bCs/>
          <w:color w:val="000000" w:themeColor="text1"/>
          <w:sz w:val="20"/>
          <w:szCs w:val="20"/>
          <w:lang w:bidi="ar-EG"/>
        </w:rPr>
        <w:t>Fupeng</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L,</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Qing</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Y,</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Ning</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G</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et</w:t>
      </w:r>
      <w:r w:rsidR="00310F47" w:rsidRPr="008047D3">
        <w:rPr>
          <w:rFonts w:ascii="Times New Roman" w:hAnsi="Times New Roman" w:cs="Times New Roman"/>
          <w:bCs/>
          <w:color w:val="000000" w:themeColor="text1"/>
          <w:sz w:val="20"/>
          <w:szCs w:val="20"/>
          <w:lang w:bidi="ar-EG"/>
        </w:rPr>
        <w:t xml:space="preserve"> </w:t>
      </w:r>
      <w:r w:rsidRPr="008047D3">
        <w:rPr>
          <w:rFonts w:ascii="Times New Roman" w:hAnsi="Times New Roman" w:cs="Times New Roman"/>
          <w:bCs/>
          <w:color w:val="000000" w:themeColor="text1"/>
          <w:sz w:val="20"/>
          <w:szCs w:val="20"/>
          <w:lang w:bidi="ar-EG"/>
        </w:rPr>
        <w:t>al:</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Decreased</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Plasma</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Nesfatin-1</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Level</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Is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Related</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to</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the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Thyroid</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Dysfunction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in</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Patients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with</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Type</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2</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Diabetes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Mellitus.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Journal</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of</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Diabetes</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Research.2014;</w:t>
      </w:r>
      <w:r w:rsidR="00310F47" w:rsidRPr="008047D3">
        <w:rPr>
          <w:rFonts w:ascii="Times New Roman" w:hAnsi="Times New Roman" w:cs="Times New Roman"/>
          <w:color w:val="000000" w:themeColor="text1"/>
          <w:sz w:val="20"/>
          <w:szCs w:val="20"/>
          <w:lang w:bidi="ar-EG"/>
        </w:rPr>
        <w:t xml:space="preserve"> </w:t>
      </w:r>
      <w:r w:rsidRPr="008047D3">
        <w:rPr>
          <w:rFonts w:ascii="Times New Roman" w:hAnsi="Times New Roman" w:cs="Times New Roman"/>
          <w:color w:val="000000" w:themeColor="text1"/>
          <w:sz w:val="20"/>
          <w:szCs w:val="20"/>
          <w:lang w:bidi="ar-EG"/>
        </w:rPr>
        <w:t>128014(1):70-8.</w:t>
      </w:r>
    </w:p>
    <w:p w:rsidR="00657BEC" w:rsidRPr="008047D3" w:rsidRDefault="00657BEC" w:rsidP="00657BEC">
      <w:pPr>
        <w:snapToGrid w:val="0"/>
        <w:spacing w:after="0" w:line="240" w:lineRule="auto"/>
        <w:ind w:left="425" w:hanging="425"/>
        <w:jc w:val="both"/>
        <w:rPr>
          <w:rFonts w:ascii="Times New Roman" w:hAnsi="Times New Roman" w:cs="Times New Roman"/>
          <w:bCs/>
          <w:sz w:val="20"/>
          <w:szCs w:val="20"/>
        </w:rPr>
        <w:sectPr w:rsidR="00657BEC" w:rsidRPr="008047D3" w:rsidSect="005E40AC">
          <w:type w:val="continuous"/>
          <w:pgSz w:w="12240" w:h="15840" w:code="13"/>
          <w:pgMar w:top="1440" w:right="1440" w:bottom="1440" w:left="1440" w:header="720" w:footer="720" w:gutter="0"/>
          <w:cols w:num="2" w:space="550"/>
          <w:docGrid w:linePitch="360"/>
        </w:sectPr>
      </w:pPr>
    </w:p>
    <w:p w:rsidR="00310F47" w:rsidRPr="008047D3" w:rsidRDefault="00310F47" w:rsidP="00657BEC">
      <w:pPr>
        <w:snapToGrid w:val="0"/>
        <w:spacing w:after="0" w:line="240" w:lineRule="auto"/>
        <w:ind w:left="425" w:hanging="425"/>
        <w:jc w:val="both"/>
        <w:rPr>
          <w:rFonts w:ascii="Times New Roman" w:hAnsi="Times New Roman" w:cs="Times New Roman"/>
          <w:bCs/>
          <w:sz w:val="20"/>
          <w:szCs w:val="20"/>
        </w:rPr>
      </w:pPr>
    </w:p>
    <w:p w:rsidR="00F95C12" w:rsidRPr="008047D3" w:rsidRDefault="00D62B3D" w:rsidP="00657BEC">
      <w:pPr>
        <w:snapToGrid w:val="0"/>
        <w:spacing w:after="0" w:line="240" w:lineRule="auto"/>
        <w:ind w:left="425" w:hanging="425"/>
        <w:jc w:val="both"/>
        <w:rPr>
          <w:rFonts w:ascii="Times New Roman" w:hAnsi="Times New Roman" w:cs="Times New Roman"/>
          <w:sz w:val="20"/>
          <w:szCs w:val="20"/>
          <w:lang w:eastAsia="zh-CN"/>
        </w:rPr>
      </w:pPr>
      <w:r w:rsidRPr="008047D3">
        <w:rPr>
          <w:rFonts w:ascii="Times New Roman" w:hAnsi="Times New Roman" w:cs="Times New Roman" w:hint="eastAsia"/>
          <w:sz w:val="20"/>
          <w:szCs w:val="20"/>
          <w:lang w:eastAsia="zh-CN"/>
        </w:rPr>
        <w:t xml:space="preserve"> </w:t>
      </w:r>
    </w:p>
    <w:p w:rsidR="00310F47" w:rsidRPr="008047D3" w:rsidRDefault="00D62B3D" w:rsidP="00657BEC">
      <w:pPr>
        <w:snapToGrid w:val="0"/>
        <w:spacing w:after="0" w:line="240" w:lineRule="auto"/>
        <w:jc w:val="both"/>
        <w:rPr>
          <w:rFonts w:ascii="Times New Roman" w:hAnsi="Times New Roman" w:cs="Times New Roman"/>
          <w:bCs/>
          <w:sz w:val="20"/>
          <w:szCs w:val="20"/>
          <w:lang w:eastAsia="zh-CN" w:bidi="ar-EG"/>
        </w:rPr>
      </w:pPr>
      <w:r w:rsidRPr="008047D3">
        <w:rPr>
          <w:rFonts w:ascii="Times New Roman" w:hAnsi="Times New Roman" w:cs="Times New Roman" w:hint="eastAsia"/>
          <w:bCs/>
          <w:sz w:val="20"/>
          <w:szCs w:val="20"/>
          <w:lang w:eastAsia="zh-CN" w:bidi="ar-EG"/>
        </w:rPr>
        <w:t xml:space="preserve"> </w:t>
      </w:r>
    </w:p>
    <w:p w:rsidR="00713072" w:rsidRPr="008047D3" w:rsidRDefault="00310F47" w:rsidP="00657BEC">
      <w:pPr>
        <w:snapToGrid w:val="0"/>
        <w:spacing w:after="0" w:line="240" w:lineRule="auto"/>
        <w:jc w:val="both"/>
        <w:rPr>
          <w:rFonts w:ascii="Times New Roman" w:hAnsi="Times New Roman" w:cs="Times New Roman"/>
          <w:bCs/>
          <w:sz w:val="20"/>
          <w:szCs w:val="20"/>
          <w:lang w:bidi="ar-EG"/>
        </w:rPr>
      </w:pPr>
      <w:r w:rsidRPr="008047D3">
        <w:rPr>
          <w:rFonts w:ascii="Times New Roman" w:hAnsi="Times New Roman" w:cs="Times New Roman"/>
          <w:bCs/>
          <w:sz w:val="20"/>
          <w:szCs w:val="20"/>
          <w:lang w:bidi="ar-EG"/>
        </w:rPr>
        <w:t>7/27/2019</w:t>
      </w:r>
    </w:p>
    <w:sectPr w:rsidR="00713072" w:rsidRPr="008047D3" w:rsidSect="005E40AC">
      <w:type w:val="continuous"/>
      <w:pgSz w:w="12240" w:h="15840" w:code="13"/>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1D6" w:rsidRDefault="00D941D6" w:rsidP="00AF5005">
      <w:pPr>
        <w:spacing w:after="0" w:line="240" w:lineRule="auto"/>
      </w:pPr>
      <w:r>
        <w:separator/>
      </w:r>
    </w:p>
  </w:endnote>
  <w:endnote w:type="continuationSeparator" w:id="0">
    <w:p w:rsidR="00D941D6" w:rsidRDefault="00D941D6" w:rsidP="00AF5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7D3" w:rsidRPr="005E40AC" w:rsidRDefault="008047D3" w:rsidP="005E40AC">
    <w:pPr>
      <w:spacing w:after="0" w:line="240" w:lineRule="auto"/>
      <w:jc w:val="center"/>
      <w:rPr>
        <w:rFonts w:ascii="Times New Roman" w:hAnsi="Times New Roman" w:cs="Times New Roman"/>
        <w:sz w:val="20"/>
      </w:rPr>
    </w:pPr>
    <w:r w:rsidRPr="005E40AC">
      <w:rPr>
        <w:rFonts w:ascii="Times New Roman" w:hAnsi="Times New Roman" w:cs="Times New Roman"/>
        <w:sz w:val="20"/>
      </w:rPr>
      <w:fldChar w:fldCharType="begin"/>
    </w:r>
    <w:r w:rsidRPr="005E40AC">
      <w:rPr>
        <w:rFonts w:ascii="Times New Roman" w:hAnsi="Times New Roman" w:cs="Times New Roman"/>
        <w:sz w:val="20"/>
      </w:rPr>
      <w:instrText xml:space="preserve"> page </w:instrText>
    </w:r>
    <w:r w:rsidRPr="005E40AC">
      <w:rPr>
        <w:rFonts w:ascii="Times New Roman" w:hAnsi="Times New Roman" w:cs="Times New Roman"/>
        <w:sz w:val="20"/>
      </w:rPr>
      <w:fldChar w:fldCharType="separate"/>
    </w:r>
    <w:r w:rsidR="00B91467">
      <w:rPr>
        <w:rFonts w:ascii="Times New Roman" w:hAnsi="Times New Roman" w:cs="Times New Roman"/>
        <w:noProof/>
        <w:sz w:val="20"/>
      </w:rPr>
      <w:t>43</w:t>
    </w:r>
    <w:r w:rsidRPr="005E40A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1D6" w:rsidRDefault="00D941D6" w:rsidP="00AF5005">
      <w:pPr>
        <w:spacing w:after="0" w:line="240" w:lineRule="auto"/>
      </w:pPr>
      <w:r>
        <w:separator/>
      </w:r>
    </w:p>
  </w:footnote>
  <w:footnote w:type="continuationSeparator" w:id="0">
    <w:p w:rsidR="00D941D6" w:rsidRDefault="00D941D6" w:rsidP="00AF50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7D3" w:rsidRPr="005E40AC" w:rsidRDefault="008047D3" w:rsidP="005E40A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E40AC">
      <w:rPr>
        <w:rFonts w:ascii="Times New Roman" w:hAnsi="Times New Roman" w:cs="Times New Roman" w:hint="eastAsia"/>
        <w:sz w:val="20"/>
        <w:szCs w:val="20"/>
      </w:rPr>
      <w:tab/>
    </w:r>
    <w:r w:rsidRPr="005E40AC">
      <w:rPr>
        <w:rFonts w:ascii="Times New Roman" w:hAnsi="Times New Roman" w:cs="Times New Roman"/>
        <w:sz w:val="20"/>
        <w:szCs w:val="20"/>
      </w:rPr>
      <w:t>New York Science Journal 201</w:t>
    </w:r>
    <w:r w:rsidRPr="005E40AC">
      <w:rPr>
        <w:rFonts w:ascii="Times New Roman" w:hAnsi="Times New Roman" w:cs="Times New Roman" w:hint="eastAsia"/>
        <w:sz w:val="20"/>
        <w:szCs w:val="20"/>
      </w:rPr>
      <w:t>9</w:t>
    </w:r>
    <w:r w:rsidRPr="005E40AC">
      <w:rPr>
        <w:rFonts w:ascii="Times New Roman" w:hAnsi="Times New Roman" w:cs="Times New Roman"/>
        <w:sz w:val="20"/>
        <w:szCs w:val="20"/>
      </w:rPr>
      <w:t>;</w:t>
    </w:r>
    <w:r w:rsidRPr="005E40AC">
      <w:rPr>
        <w:rFonts w:ascii="Times New Roman" w:hAnsi="Times New Roman" w:cs="Times New Roman" w:hint="eastAsia"/>
        <w:sz w:val="20"/>
        <w:szCs w:val="20"/>
      </w:rPr>
      <w:t>12</w:t>
    </w:r>
    <w:r w:rsidRPr="005E40AC">
      <w:rPr>
        <w:rFonts w:ascii="Times New Roman" w:hAnsi="Times New Roman" w:cs="Times New Roman"/>
        <w:sz w:val="20"/>
        <w:szCs w:val="20"/>
      </w:rPr>
      <w:t>(</w:t>
    </w:r>
    <w:r w:rsidRPr="005E40AC">
      <w:rPr>
        <w:rFonts w:ascii="Times New Roman" w:hAnsi="Times New Roman" w:cs="Times New Roman" w:hint="eastAsia"/>
        <w:sz w:val="20"/>
        <w:szCs w:val="20"/>
      </w:rPr>
      <w:t>8</w:t>
    </w:r>
    <w:r w:rsidRPr="005E40AC">
      <w:rPr>
        <w:rFonts w:ascii="Times New Roman" w:hAnsi="Times New Roman" w:cs="Times New Roman"/>
        <w:sz w:val="20"/>
        <w:szCs w:val="20"/>
      </w:rPr>
      <w:t>)</w:t>
    </w:r>
    <w:r w:rsidRPr="005E40AC">
      <w:rPr>
        <w:rFonts w:ascii="Times New Roman" w:hAnsi="Times New Roman" w:cs="Times New Roman"/>
        <w:iCs/>
        <w:sz w:val="20"/>
        <w:szCs w:val="20"/>
      </w:rPr>
      <w:t xml:space="preserve"> </w:t>
    </w:r>
    <w:r w:rsidRPr="005E40AC">
      <w:rPr>
        <w:rFonts w:ascii="Times New Roman" w:hAnsi="Times New Roman" w:cs="Times New Roman" w:hint="eastAsia"/>
        <w:iCs/>
        <w:sz w:val="20"/>
        <w:szCs w:val="20"/>
      </w:rPr>
      <w:tab/>
    </w:r>
    <w:r w:rsidRPr="005E40AC">
      <w:rPr>
        <w:rFonts w:ascii="Times New Roman" w:hAnsi="Times New Roman" w:cs="Times New Roman"/>
        <w:iCs/>
        <w:sz w:val="20"/>
        <w:szCs w:val="20"/>
      </w:rPr>
      <w:t xml:space="preserve">  </w:t>
    </w:r>
    <w:hyperlink r:id="rId1" w:history="1">
      <w:r w:rsidRPr="005E40AC">
        <w:rPr>
          <w:rStyle w:val="Hyperlink"/>
          <w:rFonts w:ascii="Times New Roman" w:hAnsi="Times New Roman" w:cs="Times New Roman"/>
          <w:color w:val="0000FF"/>
          <w:sz w:val="20"/>
          <w:szCs w:val="20"/>
        </w:rPr>
        <w:t>http://www.sciencepub.net/newyork</w:t>
      </w:r>
    </w:hyperlink>
    <w:r w:rsidRPr="005E40AC">
      <w:rPr>
        <w:rFonts w:ascii="Times New Roman" w:hAnsi="Times New Roman" w:cs="Times New Roman" w:hint="eastAsia"/>
        <w:sz w:val="20"/>
      </w:rPr>
      <w:t xml:space="preserve">   </w:t>
    </w:r>
    <w:r w:rsidRPr="005E40AC">
      <w:rPr>
        <w:rFonts w:ascii="Times New Roman" w:hAnsi="Times New Roman" w:cs="Times New Roman" w:hint="eastAsia"/>
        <w:b/>
        <w:i/>
        <w:color w:val="FF0000"/>
        <w:sz w:val="20"/>
        <w:szCs w:val="20"/>
        <w:bdr w:val="single" w:sz="4" w:space="0" w:color="FF0000"/>
      </w:rPr>
      <w:t>NYJ</w:t>
    </w:r>
  </w:p>
  <w:p w:rsidR="008047D3" w:rsidRPr="005E40AC" w:rsidRDefault="008047D3" w:rsidP="005E40AC">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5DAA"/>
    <w:multiLevelType w:val="hybridMultilevel"/>
    <w:tmpl w:val="6598D39E"/>
    <w:lvl w:ilvl="0" w:tplc="04090001">
      <w:start w:val="1"/>
      <w:numFmt w:val="bullet"/>
      <w:lvlText w:val=""/>
      <w:lvlJc w:val="left"/>
      <w:pPr>
        <w:ind w:left="630" w:hanging="360"/>
      </w:pPr>
      <w:rPr>
        <w:rFonts w:ascii="Symbol" w:hAnsi="Symbol" w:hint="default"/>
        <w:b w:val="0"/>
        <w:bCs w:val="0"/>
        <w:i w:val="0"/>
        <w:iCs w:val="0"/>
        <w:sz w:val="28"/>
        <w:szCs w:val="28"/>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
    <w:nsid w:val="0616224B"/>
    <w:multiLevelType w:val="hybridMultilevel"/>
    <w:tmpl w:val="7DC2E774"/>
    <w:lvl w:ilvl="0" w:tplc="B1DE372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04EFC"/>
    <w:multiLevelType w:val="hybridMultilevel"/>
    <w:tmpl w:val="E498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CA4F37"/>
    <w:multiLevelType w:val="hybridMultilevel"/>
    <w:tmpl w:val="6E54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862A50"/>
    <w:multiLevelType w:val="hybridMultilevel"/>
    <w:tmpl w:val="A104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2E3411"/>
    <w:multiLevelType w:val="hybridMultilevel"/>
    <w:tmpl w:val="7CA66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1950C6"/>
    <w:multiLevelType w:val="hybridMultilevel"/>
    <w:tmpl w:val="24C4E176"/>
    <w:lvl w:ilvl="0" w:tplc="E9C2772A">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C7D3A"/>
    <w:multiLevelType w:val="hybridMultilevel"/>
    <w:tmpl w:val="B74C8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7BA62C1"/>
    <w:multiLevelType w:val="hybridMultilevel"/>
    <w:tmpl w:val="7D50D80C"/>
    <w:lvl w:ilvl="0" w:tplc="3B386554">
      <w:start w:val="1"/>
      <w:numFmt w:val="upperRoman"/>
      <w:lvlText w:val="%1."/>
      <w:lvlJc w:val="left"/>
      <w:pPr>
        <w:ind w:left="360" w:hanging="36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487EA9"/>
    <w:multiLevelType w:val="hybridMultilevel"/>
    <w:tmpl w:val="1794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1D4C3A"/>
    <w:multiLevelType w:val="hybridMultilevel"/>
    <w:tmpl w:val="AA3C6A40"/>
    <w:lvl w:ilvl="0" w:tplc="85C09AC8">
      <w:start w:val="1"/>
      <w:numFmt w:val="decimal"/>
      <w:lvlText w:val="%1."/>
      <w:lvlJc w:val="left"/>
      <w:pPr>
        <w:ind w:left="630" w:hanging="360"/>
      </w:pPr>
      <w:rPr>
        <w:b w:val="0"/>
        <w:bCs w:val="0"/>
        <w:i w:val="0"/>
        <w:iCs w:val="0"/>
        <w:sz w:val="28"/>
        <w:szCs w:val="28"/>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1">
    <w:nsid w:val="515152B8"/>
    <w:multiLevelType w:val="hybridMultilevel"/>
    <w:tmpl w:val="540E2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B828D7"/>
    <w:multiLevelType w:val="hybridMultilevel"/>
    <w:tmpl w:val="D054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436667"/>
    <w:multiLevelType w:val="hybridMultilevel"/>
    <w:tmpl w:val="D19A9248"/>
    <w:lvl w:ilvl="0" w:tplc="D3C27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F65D44"/>
    <w:multiLevelType w:val="hybridMultilevel"/>
    <w:tmpl w:val="62AE493E"/>
    <w:lvl w:ilvl="0" w:tplc="AAA406B4">
      <w:start w:val="1"/>
      <w:numFmt w:val="bullet"/>
      <w:lvlText w:val=""/>
      <w:lvlJc w:val="left"/>
      <w:pPr>
        <w:ind w:left="1200" w:hanging="360"/>
      </w:pPr>
      <w:rPr>
        <w:rFonts w:ascii="Wingdings" w:hAnsi="Wingdings" w:hint="default"/>
        <w:b/>
        <w:bCs w:val="0"/>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13"/>
  </w:num>
  <w:num w:numId="2">
    <w:abstractNumId w:val="14"/>
  </w:num>
  <w:num w:numId="3">
    <w:abstractNumId w:val="10"/>
  </w:num>
  <w:num w:numId="4">
    <w:abstractNumId w:val="0"/>
  </w:num>
  <w:num w:numId="5">
    <w:abstractNumId w:val="4"/>
  </w:num>
  <w:num w:numId="6">
    <w:abstractNumId w:val="2"/>
  </w:num>
  <w:num w:numId="7">
    <w:abstractNumId w:val="7"/>
  </w:num>
  <w:num w:numId="8">
    <w:abstractNumId w:val="12"/>
  </w:num>
  <w:num w:numId="9">
    <w:abstractNumId w:val="3"/>
  </w:num>
  <w:num w:numId="10">
    <w:abstractNumId w:val="11"/>
  </w:num>
  <w:num w:numId="11">
    <w:abstractNumId w:val="8"/>
  </w:num>
  <w:num w:numId="12">
    <w:abstractNumId w:val="9"/>
  </w:num>
  <w:num w:numId="13">
    <w:abstractNumId w:val="1"/>
  </w:num>
  <w:num w:numId="14">
    <w:abstractNumId w:val="6"/>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useFELayout/>
  </w:compat>
  <w:rsids>
    <w:rsidRoot w:val="00974E8F"/>
    <w:rsid w:val="00001EF6"/>
    <w:rsid w:val="000471C6"/>
    <w:rsid w:val="00061BBF"/>
    <w:rsid w:val="00074BC5"/>
    <w:rsid w:val="000C3A9A"/>
    <w:rsid w:val="000C5299"/>
    <w:rsid w:val="000F2B88"/>
    <w:rsid w:val="000F4DEE"/>
    <w:rsid w:val="000F7214"/>
    <w:rsid w:val="00114575"/>
    <w:rsid w:val="00142ACE"/>
    <w:rsid w:val="001479D8"/>
    <w:rsid w:val="0018287E"/>
    <w:rsid w:val="0018678F"/>
    <w:rsid w:val="001A546E"/>
    <w:rsid w:val="001B1B72"/>
    <w:rsid w:val="001B4234"/>
    <w:rsid w:val="001B6F66"/>
    <w:rsid w:val="001C7D4A"/>
    <w:rsid w:val="001E7EE7"/>
    <w:rsid w:val="0021039B"/>
    <w:rsid w:val="00217F75"/>
    <w:rsid w:val="0022310B"/>
    <w:rsid w:val="00234023"/>
    <w:rsid w:val="00246554"/>
    <w:rsid w:val="002616DC"/>
    <w:rsid w:val="00265645"/>
    <w:rsid w:val="00274658"/>
    <w:rsid w:val="002769C2"/>
    <w:rsid w:val="0028490F"/>
    <w:rsid w:val="002A0FC8"/>
    <w:rsid w:val="002B0756"/>
    <w:rsid w:val="002D514F"/>
    <w:rsid w:val="002E679E"/>
    <w:rsid w:val="00310F47"/>
    <w:rsid w:val="00315F5B"/>
    <w:rsid w:val="003179CB"/>
    <w:rsid w:val="003315DB"/>
    <w:rsid w:val="00350AAD"/>
    <w:rsid w:val="0036407B"/>
    <w:rsid w:val="003715CC"/>
    <w:rsid w:val="003A6E21"/>
    <w:rsid w:val="003B6632"/>
    <w:rsid w:val="003E0FDE"/>
    <w:rsid w:val="003F2890"/>
    <w:rsid w:val="004058E7"/>
    <w:rsid w:val="00406619"/>
    <w:rsid w:val="00411588"/>
    <w:rsid w:val="00416C67"/>
    <w:rsid w:val="004215E3"/>
    <w:rsid w:val="004244FB"/>
    <w:rsid w:val="004660C9"/>
    <w:rsid w:val="00470369"/>
    <w:rsid w:val="004759B2"/>
    <w:rsid w:val="004936B7"/>
    <w:rsid w:val="004A2493"/>
    <w:rsid w:val="004A7F0E"/>
    <w:rsid w:val="004D5079"/>
    <w:rsid w:val="004E2860"/>
    <w:rsid w:val="004F3216"/>
    <w:rsid w:val="00516AA0"/>
    <w:rsid w:val="00537D72"/>
    <w:rsid w:val="005536A7"/>
    <w:rsid w:val="00556156"/>
    <w:rsid w:val="00557FC7"/>
    <w:rsid w:val="00577EEC"/>
    <w:rsid w:val="00582576"/>
    <w:rsid w:val="005877DB"/>
    <w:rsid w:val="005951F3"/>
    <w:rsid w:val="005A4276"/>
    <w:rsid w:val="005B67E3"/>
    <w:rsid w:val="005D0A80"/>
    <w:rsid w:val="005D4AAC"/>
    <w:rsid w:val="005E210A"/>
    <w:rsid w:val="005E40AC"/>
    <w:rsid w:val="00605A72"/>
    <w:rsid w:val="00613BFC"/>
    <w:rsid w:val="00620C32"/>
    <w:rsid w:val="006217CF"/>
    <w:rsid w:val="006360F6"/>
    <w:rsid w:val="00657BEC"/>
    <w:rsid w:val="00660870"/>
    <w:rsid w:val="00673EAA"/>
    <w:rsid w:val="00674348"/>
    <w:rsid w:val="00677208"/>
    <w:rsid w:val="006829A0"/>
    <w:rsid w:val="00694ED2"/>
    <w:rsid w:val="006A1049"/>
    <w:rsid w:val="006A5C99"/>
    <w:rsid w:val="006A750A"/>
    <w:rsid w:val="006A7E67"/>
    <w:rsid w:val="006C77B8"/>
    <w:rsid w:val="006D0907"/>
    <w:rsid w:val="006E0C73"/>
    <w:rsid w:val="006F4997"/>
    <w:rsid w:val="0070251C"/>
    <w:rsid w:val="00703D55"/>
    <w:rsid w:val="0070404C"/>
    <w:rsid w:val="00713072"/>
    <w:rsid w:val="00714AAB"/>
    <w:rsid w:val="00725388"/>
    <w:rsid w:val="00742C0E"/>
    <w:rsid w:val="00755C45"/>
    <w:rsid w:val="00756AB3"/>
    <w:rsid w:val="0077001F"/>
    <w:rsid w:val="007A474B"/>
    <w:rsid w:val="007B1428"/>
    <w:rsid w:val="007C3CA0"/>
    <w:rsid w:val="007F759E"/>
    <w:rsid w:val="00803B9E"/>
    <w:rsid w:val="008047D3"/>
    <w:rsid w:val="008105FB"/>
    <w:rsid w:val="00816EEE"/>
    <w:rsid w:val="00837C9E"/>
    <w:rsid w:val="00843A0E"/>
    <w:rsid w:val="00885F0D"/>
    <w:rsid w:val="00887D78"/>
    <w:rsid w:val="008C58E2"/>
    <w:rsid w:val="008D040B"/>
    <w:rsid w:val="008D1DD9"/>
    <w:rsid w:val="008E269C"/>
    <w:rsid w:val="008E4056"/>
    <w:rsid w:val="008E5B89"/>
    <w:rsid w:val="009207BD"/>
    <w:rsid w:val="00940A9F"/>
    <w:rsid w:val="00942E09"/>
    <w:rsid w:val="00944AEB"/>
    <w:rsid w:val="009514E0"/>
    <w:rsid w:val="00966959"/>
    <w:rsid w:val="00966A4D"/>
    <w:rsid w:val="00967733"/>
    <w:rsid w:val="00967941"/>
    <w:rsid w:val="009679DA"/>
    <w:rsid w:val="00974E8F"/>
    <w:rsid w:val="00990D55"/>
    <w:rsid w:val="009B2D32"/>
    <w:rsid w:val="009C2B65"/>
    <w:rsid w:val="009C501A"/>
    <w:rsid w:val="009C7348"/>
    <w:rsid w:val="009E0DA3"/>
    <w:rsid w:val="00A04D37"/>
    <w:rsid w:val="00A34B0E"/>
    <w:rsid w:val="00A41DB5"/>
    <w:rsid w:val="00A77E95"/>
    <w:rsid w:val="00A86AC6"/>
    <w:rsid w:val="00A9265D"/>
    <w:rsid w:val="00AA25E8"/>
    <w:rsid w:val="00AA6E07"/>
    <w:rsid w:val="00AB467C"/>
    <w:rsid w:val="00AF5005"/>
    <w:rsid w:val="00B01CB1"/>
    <w:rsid w:val="00B060D4"/>
    <w:rsid w:val="00B123A2"/>
    <w:rsid w:val="00B20A62"/>
    <w:rsid w:val="00B25CB5"/>
    <w:rsid w:val="00B6280C"/>
    <w:rsid w:val="00B71D1B"/>
    <w:rsid w:val="00B7465C"/>
    <w:rsid w:val="00B8700D"/>
    <w:rsid w:val="00B91467"/>
    <w:rsid w:val="00BA0956"/>
    <w:rsid w:val="00BD4A2F"/>
    <w:rsid w:val="00BD7C4B"/>
    <w:rsid w:val="00BE3BEB"/>
    <w:rsid w:val="00BE6E61"/>
    <w:rsid w:val="00C37709"/>
    <w:rsid w:val="00C3775B"/>
    <w:rsid w:val="00C54CDD"/>
    <w:rsid w:val="00C55C64"/>
    <w:rsid w:val="00C67831"/>
    <w:rsid w:val="00C7418B"/>
    <w:rsid w:val="00C823CC"/>
    <w:rsid w:val="00C96E74"/>
    <w:rsid w:val="00CA0A09"/>
    <w:rsid w:val="00CA3594"/>
    <w:rsid w:val="00CA7C2A"/>
    <w:rsid w:val="00CC4FD7"/>
    <w:rsid w:val="00CC7EDF"/>
    <w:rsid w:val="00CE39E3"/>
    <w:rsid w:val="00CE43B2"/>
    <w:rsid w:val="00CE77CD"/>
    <w:rsid w:val="00D053EF"/>
    <w:rsid w:val="00D22590"/>
    <w:rsid w:val="00D50201"/>
    <w:rsid w:val="00D62B3D"/>
    <w:rsid w:val="00D64952"/>
    <w:rsid w:val="00D75EA0"/>
    <w:rsid w:val="00D941D6"/>
    <w:rsid w:val="00DC499B"/>
    <w:rsid w:val="00E0704A"/>
    <w:rsid w:val="00E6113E"/>
    <w:rsid w:val="00E61456"/>
    <w:rsid w:val="00E62406"/>
    <w:rsid w:val="00E81005"/>
    <w:rsid w:val="00E905A7"/>
    <w:rsid w:val="00E95488"/>
    <w:rsid w:val="00EA2DC9"/>
    <w:rsid w:val="00EA46CB"/>
    <w:rsid w:val="00EE541E"/>
    <w:rsid w:val="00EF0DEA"/>
    <w:rsid w:val="00EF1819"/>
    <w:rsid w:val="00F25D4D"/>
    <w:rsid w:val="00F3462C"/>
    <w:rsid w:val="00F44C97"/>
    <w:rsid w:val="00F54553"/>
    <w:rsid w:val="00F654DC"/>
    <w:rsid w:val="00F65667"/>
    <w:rsid w:val="00F67823"/>
    <w:rsid w:val="00F95C12"/>
    <w:rsid w:val="00FB2535"/>
    <w:rsid w:val="00FB30D9"/>
    <w:rsid w:val="00FC49FA"/>
    <w:rsid w:val="00FC7654"/>
    <w:rsid w:val="00FC7A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7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005"/>
  </w:style>
  <w:style w:type="paragraph" w:styleId="Footer">
    <w:name w:val="footer"/>
    <w:basedOn w:val="Normal"/>
    <w:link w:val="FooterChar"/>
    <w:uiPriority w:val="99"/>
    <w:unhideWhenUsed/>
    <w:rsid w:val="00AF5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005"/>
  </w:style>
  <w:style w:type="paragraph" w:customStyle="1" w:styleId="ListParagraph1">
    <w:name w:val="List Paragraph1"/>
    <w:basedOn w:val="Normal"/>
    <w:next w:val="ListParagraph"/>
    <w:uiPriority w:val="34"/>
    <w:qFormat/>
    <w:rsid w:val="003E0FDE"/>
    <w:pPr>
      <w:spacing w:after="200" w:line="276" w:lineRule="auto"/>
      <w:ind w:left="720"/>
      <w:contextualSpacing/>
    </w:pPr>
  </w:style>
  <w:style w:type="paragraph" w:styleId="ListParagraph">
    <w:name w:val="List Paragraph"/>
    <w:basedOn w:val="Normal"/>
    <w:uiPriority w:val="34"/>
    <w:qFormat/>
    <w:rsid w:val="003E0FDE"/>
    <w:pPr>
      <w:ind w:left="720"/>
      <w:contextualSpacing/>
    </w:pPr>
  </w:style>
  <w:style w:type="paragraph" w:styleId="Title">
    <w:name w:val="Title"/>
    <w:basedOn w:val="Normal"/>
    <w:next w:val="Normal"/>
    <w:link w:val="TitleChar"/>
    <w:qFormat/>
    <w:rsid w:val="00837C9E"/>
    <w:pPr>
      <w:pBdr>
        <w:bottom w:val="single" w:sz="8" w:space="4" w:color="5B9BD5" w:themeColor="accent1"/>
      </w:pBdr>
      <w:bidi/>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837C9E"/>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837C9E"/>
    <w:pPr>
      <w:bidi/>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7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C9E"/>
    <w:rPr>
      <w:rFonts w:ascii="Tahoma" w:hAnsi="Tahoma" w:cs="Tahoma"/>
      <w:sz w:val="16"/>
      <w:szCs w:val="16"/>
    </w:rPr>
  </w:style>
  <w:style w:type="character" w:styleId="Hyperlink">
    <w:name w:val="Hyperlink"/>
    <w:basedOn w:val="DefaultParagraphFont"/>
    <w:uiPriority w:val="99"/>
    <w:unhideWhenUsed/>
    <w:rsid w:val="004D5079"/>
    <w:rPr>
      <w:color w:val="0563C1" w:themeColor="hyperlink"/>
      <w:u w:val="single"/>
    </w:rPr>
  </w:style>
  <w:style w:type="table" w:styleId="TableGrid">
    <w:name w:val="Table Grid"/>
    <w:basedOn w:val="TableNormal"/>
    <w:uiPriority w:val="59"/>
    <w:rsid w:val="00F95C12"/>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F95C12"/>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LightGrid-Accent12">
    <w:name w:val="Light Grid - Accent 12"/>
    <w:basedOn w:val="TableNormal"/>
    <w:next w:val="LightGrid-Accent1"/>
    <w:uiPriority w:val="62"/>
    <w:rsid w:val="00F95C12"/>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LightGrid-Accent14">
    <w:name w:val="Light Grid - Accent 14"/>
    <w:basedOn w:val="TableNormal"/>
    <w:next w:val="LightGrid-Accent1"/>
    <w:uiPriority w:val="62"/>
    <w:rsid w:val="00F95C12"/>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LightGrid-Accent15">
    <w:name w:val="Light Grid - Accent 15"/>
    <w:basedOn w:val="TableNormal"/>
    <w:next w:val="LightGrid-Accent1"/>
    <w:uiPriority w:val="62"/>
    <w:rsid w:val="00F95C12"/>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LightGrid-Accent16">
    <w:name w:val="Light Grid - Accent 16"/>
    <w:basedOn w:val="TableNormal"/>
    <w:next w:val="LightGrid-Accent1"/>
    <w:uiPriority w:val="62"/>
    <w:rsid w:val="00F95C12"/>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iftaher5@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nys120819.05"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1E693-F8EC-478A-8057-2F684817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6230</Words>
  <Characters>35514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ITSHOP</dc:creator>
  <cp:lastModifiedBy>Administrator</cp:lastModifiedBy>
  <cp:revision>3</cp:revision>
  <cp:lastPrinted>2018-10-29T20:32:00Z</cp:lastPrinted>
  <dcterms:created xsi:type="dcterms:W3CDTF">2019-07-29T13:22:00Z</dcterms:created>
  <dcterms:modified xsi:type="dcterms:W3CDTF">2019-07-30T02:30:00Z</dcterms:modified>
</cp:coreProperties>
</file>