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46" w:rsidRPr="00EE72F9" w:rsidRDefault="00F32A46" w:rsidP="00F32A46">
      <w:pPr>
        <w:widowControl w:val="0"/>
        <w:tabs>
          <w:tab w:val="left" w:pos="6118"/>
        </w:tabs>
        <w:bidi w:val="0"/>
        <w:snapToGrid w:val="0"/>
        <w:spacing w:after="0" w:line="240" w:lineRule="auto"/>
        <w:jc w:val="center"/>
        <w:rPr>
          <w:rFonts w:ascii="Times New Roman" w:hAnsi="Times New Roman" w:cs="Times New Roman"/>
          <w:b/>
          <w:bCs/>
          <w:sz w:val="20"/>
          <w:szCs w:val="20"/>
          <w:lang w:eastAsia="zh-CN"/>
        </w:rPr>
      </w:pPr>
    </w:p>
    <w:p w:rsidR="0046088D" w:rsidRPr="00EE72F9" w:rsidRDefault="00622EC5" w:rsidP="00F32A46">
      <w:pPr>
        <w:widowControl w:val="0"/>
        <w:tabs>
          <w:tab w:val="left" w:pos="6118"/>
        </w:tabs>
        <w:bidi w:val="0"/>
        <w:snapToGrid w:val="0"/>
        <w:spacing w:after="0" w:line="240" w:lineRule="auto"/>
        <w:jc w:val="center"/>
        <w:rPr>
          <w:rFonts w:ascii="Times New Roman" w:hAnsi="Times New Roman" w:cs="Times New Roman"/>
          <w:b/>
          <w:bCs/>
          <w:sz w:val="20"/>
          <w:szCs w:val="20"/>
        </w:rPr>
      </w:pPr>
      <w:r w:rsidRPr="00EE72F9">
        <w:rPr>
          <w:rFonts w:ascii="Times New Roman" w:hAnsi="Times New Roman" w:cs="Times New Roman"/>
          <w:b/>
          <w:bCs/>
          <w:sz w:val="20"/>
          <w:szCs w:val="20"/>
        </w:rPr>
        <w:t>Expression of toll like 3 in chronic hepatitis c virus infection</w:t>
      </w:r>
    </w:p>
    <w:p w:rsidR="0046088D" w:rsidRPr="00EE72F9" w:rsidRDefault="0046088D" w:rsidP="00F32A46">
      <w:pPr>
        <w:widowControl w:val="0"/>
        <w:tabs>
          <w:tab w:val="left" w:pos="6118"/>
        </w:tabs>
        <w:bidi w:val="0"/>
        <w:snapToGrid w:val="0"/>
        <w:spacing w:after="0" w:line="240" w:lineRule="auto"/>
        <w:jc w:val="center"/>
        <w:rPr>
          <w:rFonts w:ascii="Times New Roman" w:hAnsi="Times New Roman" w:cs="Times New Roman"/>
          <w:b/>
          <w:bCs/>
          <w:sz w:val="20"/>
          <w:szCs w:val="20"/>
        </w:rPr>
      </w:pPr>
    </w:p>
    <w:p w:rsidR="0046088D" w:rsidRPr="00EE72F9" w:rsidRDefault="00E41019" w:rsidP="00F32A46">
      <w:pPr>
        <w:widowControl w:val="0"/>
        <w:bidi w:val="0"/>
        <w:snapToGrid w:val="0"/>
        <w:spacing w:after="0" w:line="240" w:lineRule="auto"/>
        <w:jc w:val="center"/>
        <w:rPr>
          <w:rFonts w:ascii="Times New Roman" w:hAnsi="Times New Roman" w:cs="Times New Roman"/>
          <w:sz w:val="20"/>
          <w:szCs w:val="20"/>
          <w:lang w:val="it-IT" w:eastAsia="zh-CN"/>
        </w:rPr>
      </w:pPr>
      <w:bookmarkStart w:id="0" w:name="_GoBack"/>
      <w:r w:rsidRPr="00EE72F9">
        <w:rPr>
          <w:rFonts w:ascii="Times New Roman" w:hAnsi="Times New Roman" w:cs="Times New Roman"/>
          <w:sz w:val="20"/>
          <w:szCs w:val="20"/>
        </w:rPr>
        <w:t>D</w:t>
      </w:r>
      <w:r w:rsidR="00D82515" w:rsidRPr="00EE72F9">
        <w:rPr>
          <w:rFonts w:ascii="Times New Roman" w:hAnsi="Times New Roman" w:cs="Times New Roman"/>
          <w:sz w:val="20"/>
          <w:szCs w:val="20"/>
        </w:rPr>
        <w:t>alia</w:t>
      </w:r>
      <w:r w:rsidR="005154D4" w:rsidRPr="00EE72F9">
        <w:rPr>
          <w:rFonts w:ascii="Times New Roman" w:hAnsi="Times New Roman" w:cs="Times New Roman"/>
          <w:sz w:val="20"/>
          <w:szCs w:val="20"/>
        </w:rPr>
        <w:t xml:space="preserve"> </w:t>
      </w:r>
      <w:r w:rsidRPr="00EE72F9">
        <w:rPr>
          <w:rFonts w:ascii="Times New Roman" w:hAnsi="Times New Roman" w:cs="Times New Roman"/>
          <w:sz w:val="20"/>
          <w:szCs w:val="20"/>
        </w:rPr>
        <w:t>E</w:t>
      </w:r>
      <w:r w:rsidR="00D82515" w:rsidRPr="00EE72F9">
        <w:rPr>
          <w:rFonts w:ascii="Times New Roman" w:hAnsi="Times New Roman" w:cs="Times New Roman"/>
          <w:sz w:val="20"/>
          <w:szCs w:val="20"/>
        </w:rPr>
        <w:t>l Sayed</w:t>
      </w:r>
      <w:r w:rsidR="0046088D" w:rsidRPr="00EE72F9">
        <w:rPr>
          <w:rFonts w:ascii="Times New Roman" w:hAnsi="Times New Roman" w:cs="Times New Roman"/>
          <w:sz w:val="20"/>
          <w:szCs w:val="20"/>
        </w:rPr>
        <w:t xml:space="preserve"> </w:t>
      </w:r>
      <w:r w:rsidRPr="00EE72F9">
        <w:rPr>
          <w:rFonts w:ascii="Times New Roman" w:hAnsi="Times New Roman" w:cs="Times New Roman"/>
          <w:sz w:val="20"/>
          <w:szCs w:val="20"/>
        </w:rPr>
        <w:t>Sherief</w:t>
      </w:r>
      <w:bookmarkEnd w:id="0"/>
      <w:r w:rsidR="009016C5" w:rsidRPr="00EE72F9">
        <w:rPr>
          <w:rFonts w:ascii="Times New Roman" w:hAnsi="Times New Roman" w:cs="Times New Roman"/>
          <w:sz w:val="20"/>
          <w:szCs w:val="20"/>
        </w:rPr>
        <w:t xml:space="preserve">, </w:t>
      </w:r>
      <w:r w:rsidRPr="00EE72F9">
        <w:rPr>
          <w:rFonts w:ascii="Times New Roman" w:hAnsi="Times New Roman" w:cs="Times New Roman"/>
          <w:sz w:val="20"/>
          <w:szCs w:val="20"/>
        </w:rPr>
        <w:t>A</w:t>
      </w:r>
      <w:r w:rsidR="00D82515" w:rsidRPr="00EE72F9">
        <w:rPr>
          <w:rFonts w:ascii="Times New Roman" w:hAnsi="Times New Roman" w:cs="Times New Roman"/>
          <w:sz w:val="20"/>
          <w:szCs w:val="20"/>
        </w:rPr>
        <w:t>maa Emubark Hassa</w:t>
      </w:r>
      <w:r w:rsidR="00D82515" w:rsidRPr="00EE72F9">
        <w:rPr>
          <w:rFonts w:ascii="Times New Roman" w:eastAsia="Calibri" w:hAnsi="Times New Roman" w:cs="Times New Roman"/>
          <w:sz w:val="20"/>
          <w:szCs w:val="20"/>
          <w:lang w:val="it-IT"/>
        </w:rPr>
        <w:t>n</w:t>
      </w:r>
      <w:r w:rsidR="005154D4" w:rsidRPr="00EE72F9">
        <w:rPr>
          <w:rFonts w:ascii="Times New Roman" w:eastAsia="Calibri" w:hAnsi="Times New Roman" w:cs="Times New Roman"/>
          <w:sz w:val="20"/>
          <w:szCs w:val="20"/>
          <w:vertAlign w:val="subscript"/>
          <w:lang w:val="it-IT"/>
        </w:rPr>
        <w:t xml:space="preserve"> </w:t>
      </w:r>
      <w:r w:rsidR="005154D4" w:rsidRPr="00EE72F9">
        <w:rPr>
          <w:rFonts w:ascii="Times New Roman" w:eastAsia="Calibri" w:hAnsi="Times New Roman" w:cs="Times New Roman"/>
          <w:sz w:val="20"/>
          <w:szCs w:val="20"/>
          <w:lang w:val="it-IT"/>
        </w:rPr>
        <w:t xml:space="preserve">and </w:t>
      </w:r>
      <w:r w:rsidRPr="00EE72F9">
        <w:rPr>
          <w:rFonts w:ascii="Times New Roman" w:hAnsi="Times New Roman" w:cs="Times New Roman"/>
          <w:sz w:val="20"/>
          <w:szCs w:val="20"/>
        </w:rPr>
        <w:t>E</w:t>
      </w:r>
      <w:r w:rsidR="00D82515" w:rsidRPr="00EE72F9">
        <w:rPr>
          <w:rFonts w:ascii="Times New Roman" w:hAnsi="Times New Roman" w:cs="Times New Roman"/>
          <w:sz w:val="20"/>
          <w:szCs w:val="20"/>
        </w:rPr>
        <w:t xml:space="preserve">man </w:t>
      </w:r>
      <w:r w:rsidR="00696C61" w:rsidRPr="00EE72F9">
        <w:rPr>
          <w:rFonts w:ascii="Times New Roman" w:hAnsi="Times New Roman" w:cs="Times New Roman"/>
          <w:sz w:val="20"/>
          <w:szCs w:val="20"/>
        </w:rPr>
        <w:t xml:space="preserve">Mohamed </w:t>
      </w:r>
      <w:r w:rsidR="00696C61" w:rsidRPr="00EE72F9">
        <w:rPr>
          <w:rFonts w:ascii="Times New Roman" w:eastAsia="Calibri" w:hAnsi="Times New Roman" w:cs="Times New Roman"/>
          <w:sz w:val="20"/>
          <w:szCs w:val="20"/>
          <w:lang w:val="it-IT"/>
        </w:rPr>
        <w:t>Habeeb</w:t>
      </w:r>
    </w:p>
    <w:p w:rsidR="0046088D" w:rsidRPr="00EE72F9" w:rsidRDefault="0046088D" w:rsidP="00F32A46">
      <w:pPr>
        <w:widowControl w:val="0"/>
        <w:bidi w:val="0"/>
        <w:snapToGrid w:val="0"/>
        <w:spacing w:after="0" w:line="240" w:lineRule="auto"/>
        <w:jc w:val="center"/>
        <w:rPr>
          <w:rFonts w:ascii="Times New Roman" w:hAnsi="Times New Roman" w:cs="Times New Roman"/>
          <w:sz w:val="20"/>
          <w:szCs w:val="20"/>
          <w:lang w:val="it-IT" w:eastAsia="zh-CN"/>
        </w:rPr>
      </w:pPr>
    </w:p>
    <w:p w:rsidR="00696C61" w:rsidRPr="00EE72F9" w:rsidRDefault="00E41019" w:rsidP="00F32A46">
      <w:pPr>
        <w:widowControl w:val="0"/>
        <w:bidi w:val="0"/>
        <w:snapToGrid w:val="0"/>
        <w:spacing w:after="0" w:line="240" w:lineRule="auto"/>
        <w:jc w:val="center"/>
        <w:rPr>
          <w:rFonts w:ascii="Times New Roman" w:hAnsi="Times New Roman" w:cs="Times New Roman"/>
          <w:sz w:val="20"/>
          <w:szCs w:val="20"/>
        </w:rPr>
      </w:pPr>
      <w:r w:rsidRPr="00EE72F9">
        <w:rPr>
          <w:rFonts w:ascii="Times New Roman" w:hAnsi="Times New Roman" w:cs="Times New Roman"/>
          <w:sz w:val="20"/>
          <w:szCs w:val="20"/>
        </w:rPr>
        <w:t xml:space="preserve">Clinical pathology </w:t>
      </w:r>
      <w:r w:rsidR="0091589A" w:rsidRPr="00EE72F9">
        <w:rPr>
          <w:rFonts w:ascii="Times New Roman" w:eastAsia="Calibri" w:hAnsi="Times New Roman" w:cs="Times New Roman"/>
          <w:sz w:val="20"/>
          <w:szCs w:val="20"/>
        </w:rPr>
        <w:t>D</w:t>
      </w:r>
      <w:r w:rsidRPr="00EE72F9">
        <w:rPr>
          <w:rFonts w:ascii="Times New Roman" w:eastAsia="Calibri" w:hAnsi="Times New Roman" w:cs="Times New Roman"/>
          <w:sz w:val="20"/>
          <w:szCs w:val="20"/>
        </w:rPr>
        <w:t xml:space="preserve">epartment, Faculty of </w:t>
      </w:r>
      <w:r w:rsidR="009016C5" w:rsidRPr="00EE72F9">
        <w:rPr>
          <w:rFonts w:ascii="Times New Roman" w:eastAsia="Calibri" w:hAnsi="Times New Roman" w:cs="Times New Roman"/>
          <w:sz w:val="20"/>
          <w:szCs w:val="20"/>
        </w:rPr>
        <w:t>Medicine</w:t>
      </w:r>
      <w:r w:rsidRPr="00EE72F9">
        <w:rPr>
          <w:rFonts w:ascii="Times New Roman" w:eastAsia="Calibri" w:hAnsi="Times New Roman" w:cs="Times New Roman"/>
          <w:sz w:val="20"/>
          <w:szCs w:val="20"/>
        </w:rPr>
        <w:t xml:space="preserve">, </w:t>
      </w:r>
      <w:r w:rsidR="00467164" w:rsidRPr="00EE72F9">
        <w:rPr>
          <w:rFonts w:ascii="Times New Roman" w:eastAsia="Calibri" w:hAnsi="Times New Roman" w:cs="Times New Roman"/>
          <w:sz w:val="20"/>
          <w:szCs w:val="20"/>
        </w:rPr>
        <w:t>Kafr El-Sheikh University, Kafr El-Sheikh</w:t>
      </w:r>
      <w:r w:rsidR="0046088D" w:rsidRPr="00EE72F9">
        <w:rPr>
          <w:rFonts w:ascii="Times New Roman" w:eastAsia="Calibri" w:hAnsi="Times New Roman" w:cs="Times New Roman"/>
          <w:sz w:val="20"/>
          <w:szCs w:val="20"/>
        </w:rPr>
        <w:t>,</w:t>
      </w:r>
      <w:r w:rsidRPr="00EE72F9">
        <w:rPr>
          <w:rFonts w:ascii="Times New Roman" w:eastAsia="Calibri" w:hAnsi="Times New Roman" w:cs="Times New Roman"/>
          <w:sz w:val="20"/>
          <w:szCs w:val="20"/>
        </w:rPr>
        <w:t xml:space="preserve"> Egypt</w:t>
      </w:r>
    </w:p>
    <w:p w:rsidR="0046088D" w:rsidRPr="00EE72F9" w:rsidRDefault="00C74F60" w:rsidP="00F32A46">
      <w:pPr>
        <w:widowControl w:val="0"/>
        <w:bidi w:val="0"/>
        <w:snapToGrid w:val="0"/>
        <w:spacing w:after="0" w:line="240" w:lineRule="auto"/>
        <w:jc w:val="center"/>
        <w:rPr>
          <w:rFonts w:ascii="Times New Roman" w:hAnsi="Times New Roman" w:cs="Times New Roman"/>
          <w:sz w:val="20"/>
          <w:szCs w:val="20"/>
        </w:rPr>
      </w:pPr>
      <w:hyperlink r:id="rId8" w:history="1">
        <w:r w:rsidR="005154D4" w:rsidRPr="00EE72F9">
          <w:rPr>
            <w:rStyle w:val="Hyperlink"/>
            <w:rFonts w:ascii="Times New Roman" w:hAnsi="Times New Roman" w:cs="Times New Roman"/>
            <w:sz w:val="20"/>
            <w:szCs w:val="20"/>
          </w:rPr>
          <w:t>just2008@windowslive.com</w:t>
        </w:r>
      </w:hyperlink>
    </w:p>
    <w:p w:rsidR="0046088D" w:rsidRPr="00EE72F9" w:rsidRDefault="0046088D" w:rsidP="00F32A46">
      <w:pPr>
        <w:widowControl w:val="0"/>
        <w:bidi w:val="0"/>
        <w:snapToGrid w:val="0"/>
        <w:spacing w:after="0" w:line="240" w:lineRule="auto"/>
        <w:jc w:val="center"/>
        <w:rPr>
          <w:rFonts w:ascii="Times New Roman" w:hAnsi="Times New Roman" w:cs="Times New Roman"/>
          <w:sz w:val="20"/>
          <w:szCs w:val="20"/>
        </w:rPr>
      </w:pPr>
    </w:p>
    <w:p w:rsidR="00D7772F" w:rsidRPr="00EE72F9" w:rsidRDefault="00696C61" w:rsidP="00F32A46">
      <w:pPr>
        <w:bidi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b/>
          <w:bCs/>
          <w:sz w:val="20"/>
          <w:szCs w:val="20"/>
        </w:rPr>
        <w:t xml:space="preserve">Abstract: </w:t>
      </w:r>
      <w:r w:rsidR="009016C5" w:rsidRPr="00EE72F9">
        <w:rPr>
          <w:rFonts w:ascii="Times New Roman" w:hAnsi="Times New Roman" w:cs="Times New Roman"/>
          <w:b/>
          <w:bCs/>
          <w:sz w:val="20"/>
          <w:szCs w:val="20"/>
        </w:rPr>
        <w:t xml:space="preserve">Introduction: </w:t>
      </w:r>
      <w:r w:rsidR="0043656B" w:rsidRPr="00EE72F9">
        <w:rPr>
          <w:rFonts w:ascii="Times New Roman" w:hAnsi="Times New Roman" w:cs="Times New Roman"/>
          <w:sz w:val="20"/>
          <w:szCs w:val="20"/>
        </w:rPr>
        <w:t>O</w:t>
      </w:r>
      <w:r w:rsidR="00D03588" w:rsidRPr="00EE72F9">
        <w:rPr>
          <w:rFonts w:ascii="Times New Roman" w:hAnsi="Times New Roman" w:cs="Times New Roman"/>
          <w:sz w:val="20"/>
          <w:szCs w:val="20"/>
        </w:rPr>
        <w:t xml:space="preserve">f </w:t>
      </w:r>
      <w:r w:rsidRPr="00EE72F9">
        <w:rPr>
          <w:rFonts w:ascii="Times New Roman" w:hAnsi="Times New Roman" w:cs="Times New Roman"/>
          <w:sz w:val="20"/>
          <w:szCs w:val="20"/>
        </w:rPr>
        <w:t>the innate</w:t>
      </w:r>
      <w:r w:rsidR="00D03588" w:rsidRPr="00EE72F9">
        <w:rPr>
          <w:rFonts w:ascii="Times New Roman" w:hAnsi="Times New Roman" w:cs="Times New Roman"/>
          <w:sz w:val="20"/>
          <w:szCs w:val="20"/>
        </w:rPr>
        <w:t xml:space="preserve"> immune response Toll-Like Receptors (TLRs), are important components that recognize pathogen-associated molecular patterns (PAMPs) and trigger immune responses. TLRs could contribute to cirrhosis and HCC </w:t>
      </w:r>
      <w:r w:rsidR="00D542B8" w:rsidRPr="00EE72F9">
        <w:rPr>
          <w:rFonts w:ascii="Times New Roman" w:hAnsi="Times New Roman" w:cs="Times New Roman"/>
          <w:sz w:val="20"/>
          <w:szCs w:val="20"/>
        </w:rPr>
        <w:t xml:space="preserve">as TLR3 </w:t>
      </w:r>
      <w:r w:rsidRPr="00EE72F9">
        <w:rPr>
          <w:rFonts w:ascii="Times New Roman" w:hAnsi="Times New Roman" w:cs="Times New Roman"/>
          <w:sz w:val="20"/>
          <w:szCs w:val="20"/>
        </w:rPr>
        <w:t>signaling negatively</w:t>
      </w:r>
      <w:r w:rsidR="00D03588" w:rsidRPr="00EE72F9">
        <w:rPr>
          <w:rFonts w:ascii="Times New Roman" w:hAnsi="Times New Roman" w:cs="Times New Roman"/>
          <w:sz w:val="20"/>
          <w:szCs w:val="20"/>
        </w:rPr>
        <w:t xml:space="preserve"> regulates liver regeneration via stimulating NK cells to pro</w:t>
      </w:r>
      <w:r w:rsidR="00143F98" w:rsidRPr="00EE72F9">
        <w:rPr>
          <w:rFonts w:ascii="Times New Roman" w:hAnsi="Times New Roman" w:cs="Times New Roman"/>
          <w:sz w:val="20"/>
          <w:szCs w:val="20"/>
        </w:rPr>
        <w:t>duce IFN</w:t>
      </w:r>
      <w:r w:rsidR="00D03588" w:rsidRPr="00EE72F9">
        <w:rPr>
          <w:rFonts w:ascii="Times New Roman" w:hAnsi="Times New Roman" w:cs="Times New Roman"/>
          <w:sz w:val="20"/>
          <w:szCs w:val="20"/>
        </w:rPr>
        <w:t>.</w:t>
      </w:r>
      <w:r w:rsidR="005154D4" w:rsidRPr="00EE72F9">
        <w:rPr>
          <w:rFonts w:ascii="Times New Roman" w:hAnsi="Times New Roman" w:cs="Times New Roman"/>
          <w:b/>
          <w:bCs/>
          <w:sz w:val="20"/>
          <w:szCs w:val="20"/>
        </w:rPr>
        <w:t xml:space="preserve"> </w:t>
      </w:r>
      <w:r w:rsidR="00D03588" w:rsidRPr="00EE72F9">
        <w:rPr>
          <w:rFonts w:ascii="Times New Roman" w:hAnsi="Times New Roman" w:cs="Times New Roman"/>
          <w:b/>
          <w:bCs/>
          <w:sz w:val="20"/>
          <w:szCs w:val="20"/>
        </w:rPr>
        <w:t>Aim of the work</w:t>
      </w:r>
      <w:r w:rsidR="00DF1D9E" w:rsidRPr="00EE72F9">
        <w:rPr>
          <w:rFonts w:ascii="Times New Roman" w:hAnsi="Times New Roman" w:cs="Times New Roman"/>
          <w:b/>
          <w:bCs/>
          <w:sz w:val="20"/>
          <w:szCs w:val="20"/>
        </w:rPr>
        <w:t>:</w:t>
      </w:r>
      <w:r w:rsidR="0046088D" w:rsidRPr="00EE72F9">
        <w:rPr>
          <w:rFonts w:ascii="Times New Roman" w:hAnsi="Times New Roman" w:cs="Times New Roman"/>
          <w:sz w:val="20"/>
          <w:szCs w:val="20"/>
        </w:rPr>
        <w:t xml:space="preserve"> </w:t>
      </w:r>
      <w:r w:rsidR="00DF1D9E" w:rsidRPr="00EE72F9">
        <w:rPr>
          <w:rFonts w:ascii="Times New Roman" w:hAnsi="Times New Roman" w:cs="Times New Roman"/>
          <w:sz w:val="20"/>
          <w:szCs w:val="20"/>
        </w:rPr>
        <w:t>T</w:t>
      </w:r>
      <w:r w:rsidR="0070023E" w:rsidRPr="00EE72F9">
        <w:rPr>
          <w:rFonts w:ascii="Times New Roman" w:hAnsi="Times New Roman" w:cs="Times New Roman"/>
          <w:sz w:val="20"/>
          <w:szCs w:val="20"/>
        </w:rPr>
        <w:t>o detect level of TLR3 gene</w:t>
      </w:r>
      <w:r w:rsidR="0046088D" w:rsidRPr="00EE72F9">
        <w:rPr>
          <w:rFonts w:ascii="Times New Roman" w:hAnsi="Times New Roman" w:cs="Times New Roman"/>
          <w:sz w:val="20"/>
          <w:szCs w:val="20"/>
        </w:rPr>
        <w:t xml:space="preserve"> </w:t>
      </w:r>
      <w:r w:rsidR="0070023E" w:rsidRPr="00EE72F9">
        <w:rPr>
          <w:rFonts w:ascii="Times New Roman" w:hAnsi="Times New Roman" w:cs="Times New Roman"/>
          <w:sz w:val="20"/>
          <w:szCs w:val="20"/>
        </w:rPr>
        <w:t>expression in patients with hepatitis c, its correlation with INF-α and other parameter</w:t>
      </w:r>
      <w:r w:rsidR="00DF1D9E" w:rsidRPr="00EE72F9">
        <w:rPr>
          <w:rFonts w:ascii="Times New Roman" w:hAnsi="Times New Roman" w:cs="Times New Roman"/>
          <w:sz w:val="20"/>
          <w:szCs w:val="20"/>
        </w:rPr>
        <w:t>.</w:t>
      </w:r>
      <w:r w:rsidR="0091589A" w:rsidRPr="00EE72F9">
        <w:rPr>
          <w:rFonts w:ascii="Times New Roman" w:hAnsi="Times New Roman" w:cs="Times New Roman"/>
          <w:b/>
          <w:bCs/>
          <w:sz w:val="20"/>
          <w:szCs w:val="20"/>
        </w:rPr>
        <w:t xml:space="preserve"> </w:t>
      </w:r>
      <w:r w:rsidR="0070023E" w:rsidRPr="00EE72F9">
        <w:rPr>
          <w:rFonts w:ascii="Times New Roman" w:hAnsi="Times New Roman" w:cs="Times New Roman"/>
          <w:b/>
          <w:bCs/>
          <w:sz w:val="20"/>
          <w:szCs w:val="20"/>
        </w:rPr>
        <w:t xml:space="preserve">Patients and methods: </w:t>
      </w:r>
      <w:r w:rsidR="0070023E" w:rsidRPr="00EE72F9">
        <w:rPr>
          <w:rFonts w:ascii="Times New Roman" w:hAnsi="Times New Roman" w:cs="Times New Roman"/>
          <w:sz w:val="20"/>
          <w:szCs w:val="20"/>
        </w:rPr>
        <w:t xml:space="preserve">This </w:t>
      </w:r>
      <w:r w:rsidR="0070023E" w:rsidRPr="00EE72F9">
        <w:rPr>
          <w:rFonts w:ascii="Times New Roman" w:hAnsi="Times New Roman" w:cs="Times New Roman"/>
          <w:sz w:val="20"/>
          <w:szCs w:val="20"/>
          <w:lang w:bidi="ar-EG"/>
        </w:rPr>
        <w:t xml:space="preserve">study was done on sixty patients </w:t>
      </w:r>
      <w:r w:rsidR="00A041F1" w:rsidRPr="00EE72F9">
        <w:rPr>
          <w:rFonts w:ascii="Times New Roman" w:hAnsi="Times New Roman" w:cs="Times New Roman"/>
          <w:sz w:val="20"/>
          <w:szCs w:val="20"/>
          <w:lang w:bidi="ar-EG"/>
        </w:rPr>
        <w:t xml:space="preserve">with hepatitis c </w:t>
      </w:r>
      <w:r w:rsidR="00623CC7" w:rsidRPr="00EE72F9">
        <w:rPr>
          <w:rFonts w:ascii="Times New Roman" w:hAnsi="Times New Roman" w:cs="Times New Roman"/>
          <w:sz w:val="20"/>
          <w:szCs w:val="20"/>
          <w:lang w:bidi="ar-EG"/>
        </w:rPr>
        <w:t>from Kafr Elsheiekh university hospital</w:t>
      </w:r>
      <w:r w:rsidR="005154D4" w:rsidRPr="00EE72F9">
        <w:rPr>
          <w:rFonts w:ascii="Times New Roman" w:hAnsi="Times New Roman" w:cs="Times New Roman"/>
          <w:sz w:val="20"/>
          <w:szCs w:val="20"/>
          <w:lang w:bidi="ar-EG"/>
        </w:rPr>
        <w:t xml:space="preserve"> </w:t>
      </w:r>
      <w:r w:rsidR="0091654D" w:rsidRPr="00EE72F9">
        <w:rPr>
          <w:rFonts w:ascii="Times New Roman" w:hAnsi="Times New Roman" w:cs="Times New Roman"/>
          <w:sz w:val="20"/>
          <w:szCs w:val="20"/>
          <w:lang w:bidi="ar-EG"/>
        </w:rPr>
        <w:t xml:space="preserve">and sixty </w:t>
      </w:r>
      <w:r w:rsidR="00945E83" w:rsidRPr="00EE72F9">
        <w:rPr>
          <w:rFonts w:ascii="Times New Roman" w:hAnsi="Times New Roman" w:cs="Times New Roman"/>
          <w:sz w:val="20"/>
          <w:szCs w:val="20"/>
          <w:lang w:bidi="ar-EG"/>
        </w:rPr>
        <w:t>healthy</w:t>
      </w:r>
      <w:r w:rsidR="005154D4" w:rsidRPr="00EE72F9">
        <w:rPr>
          <w:rFonts w:ascii="Times New Roman" w:hAnsi="Times New Roman" w:cs="Times New Roman"/>
          <w:sz w:val="20"/>
          <w:szCs w:val="20"/>
          <w:lang w:bidi="ar-EG"/>
        </w:rPr>
        <w:t xml:space="preserve"> </w:t>
      </w:r>
      <w:r w:rsidR="00350100" w:rsidRPr="00EE72F9">
        <w:rPr>
          <w:rFonts w:ascii="Times New Roman" w:hAnsi="Times New Roman" w:cs="Times New Roman"/>
          <w:sz w:val="20"/>
          <w:szCs w:val="20"/>
          <w:lang w:bidi="ar-EG"/>
        </w:rPr>
        <w:t xml:space="preserve">control. </w:t>
      </w:r>
      <w:r w:rsidR="00350100" w:rsidRPr="00EE72F9">
        <w:rPr>
          <w:rFonts w:ascii="Times New Roman" w:hAnsi="Times New Roman" w:cs="Times New Roman"/>
          <w:b/>
          <w:bCs/>
          <w:sz w:val="20"/>
          <w:szCs w:val="20"/>
        </w:rPr>
        <w:t>Results</w:t>
      </w:r>
      <w:r w:rsidR="00350100" w:rsidRPr="00EE72F9">
        <w:rPr>
          <w:rFonts w:ascii="Times New Roman" w:hAnsi="Times New Roman" w:cs="Times New Roman"/>
          <w:b/>
          <w:bCs/>
          <w:sz w:val="20"/>
          <w:szCs w:val="20"/>
          <w:lang w:bidi="ar-EG"/>
        </w:rPr>
        <w:t>:</w:t>
      </w:r>
      <w:r w:rsidR="005154D4" w:rsidRPr="00EE72F9">
        <w:rPr>
          <w:rFonts w:ascii="Times New Roman" w:hAnsi="Times New Roman" w:cs="Times New Roman"/>
          <w:sz w:val="20"/>
          <w:szCs w:val="20"/>
        </w:rPr>
        <w:t xml:space="preserve"> </w:t>
      </w:r>
      <w:r w:rsidR="00350100" w:rsidRPr="00EE72F9">
        <w:rPr>
          <w:rFonts w:ascii="Times New Roman" w:hAnsi="Times New Roman" w:cs="Times New Roman"/>
          <w:sz w:val="20"/>
          <w:szCs w:val="20"/>
        </w:rPr>
        <w:t>There was highly significant</w:t>
      </w:r>
      <w:r w:rsidR="005154D4" w:rsidRPr="00EE72F9">
        <w:rPr>
          <w:rFonts w:ascii="Times New Roman" w:hAnsi="Times New Roman" w:cs="Times New Roman"/>
          <w:sz w:val="20"/>
          <w:szCs w:val="20"/>
        </w:rPr>
        <w:t xml:space="preserve"> </w:t>
      </w:r>
      <w:r w:rsidR="00350100" w:rsidRPr="00EE72F9">
        <w:rPr>
          <w:rFonts w:ascii="Times New Roman" w:hAnsi="Times New Roman" w:cs="Times New Roman"/>
          <w:sz w:val="20"/>
          <w:szCs w:val="20"/>
        </w:rPr>
        <w:t xml:space="preserve">increase of serum INF alpha levels in patients when compared with control group, as regard TLR 3 gene expression by comparing patients against control </w:t>
      </w:r>
      <w:r w:rsidR="00E65064" w:rsidRPr="00EE72F9">
        <w:rPr>
          <w:rFonts w:ascii="Times New Roman" w:hAnsi="Times New Roman" w:cs="Times New Roman"/>
          <w:sz w:val="20"/>
          <w:szCs w:val="20"/>
        </w:rPr>
        <w:t xml:space="preserve">there was highly significant difference. There was significant positive correlation between TLR 3 gene expression and INF alpha level in patients. </w:t>
      </w:r>
      <w:r w:rsidR="00DF1D9E" w:rsidRPr="00EE72F9">
        <w:rPr>
          <w:rFonts w:ascii="Times New Roman" w:hAnsi="Times New Roman" w:cs="Times New Roman"/>
          <w:sz w:val="20"/>
          <w:szCs w:val="20"/>
        </w:rPr>
        <w:t>T</w:t>
      </w:r>
      <w:r w:rsidR="00E65064" w:rsidRPr="00EE72F9">
        <w:rPr>
          <w:rFonts w:ascii="Times New Roman" w:hAnsi="Times New Roman" w:cs="Times New Roman"/>
          <w:sz w:val="20"/>
          <w:szCs w:val="20"/>
        </w:rPr>
        <w:t>here was no significant correlation between TLR 3 gene expression and (Age, ALT, AST, ALB, Total B</w:t>
      </w:r>
      <w:r w:rsidR="00DF1D9E" w:rsidRPr="00EE72F9">
        <w:rPr>
          <w:rFonts w:ascii="Times New Roman" w:hAnsi="Times New Roman" w:cs="Times New Roman"/>
          <w:sz w:val="20"/>
          <w:szCs w:val="20"/>
        </w:rPr>
        <w:t xml:space="preserve">ilirubin, HB, PLT, TLC </w:t>
      </w:r>
      <w:r w:rsidR="00E65064" w:rsidRPr="00EE72F9">
        <w:rPr>
          <w:rFonts w:ascii="Times New Roman" w:hAnsi="Times New Roman" w:cs="Times New Roman"/>
          <w:sz w:val="20"/>
          <w:szCs w:val="20"/>
        </w:rPr>
        <w:t>)</w:t>
      </w:r>
      <w:r w:rsidR="00DF1D9E" w:rsidRPr="00EE72F9">
        <w:rPr>
          <w:rFonts w:ascii="Times New Roman" w:hAnsi="Times New Roman" w:cs="Times New Roman"/>
          <w:sz w:val="20"/>
          <w:szCs w:val="20"/>
        </w:rPr>
        <w:t>.</w:t>
      </w:r>
      <w:r w:rsidR="005154D4" w:rsidRPr="00EE72F9">
        <w:rPr>
          <w:rFonts w:ascii="Times New Roman" w:hAnsi="Times New Roman" w:cs="Times New Roman"/>
          <w:b/>
          <w:bCs/>
          <w:sz w:val="20"/>
          <w:szCs w:val="20"/>
        </w:rPr>
        <w:t xml:space="preserve"> </w:t>
      </w:r>
      <w:r w:rsidR="00E65064" w:rsidRPr="00EE72F9">
        <w:rPr>
          <w:rFonts w:ascii="Times New Roman" w:hAnsi="Times New Roman" w:cs="Times New Roman"/>
          <w:b/>
          <w:bCs/>
          <w:sz w:val="20"/>
          <w:szCs w:val="20"/>
        </w:rPr>
        <w:t>Conclusion:</w:t>
      </w:r>
      <w:r w:rsidR="005154D4" w:rsidRPr="00EE72F9">
        <w:rPr>
          <w:rFonts w:ascii="Times New Roman" w:hAnsi="Times New Roman" w:cs="Times New Roman"/>
          <w:sz w:val="20"/>
          <w:szCs w:val="20"/>
        </w:rPr>
        <w:t xml:space="preserve"> </w:t>
      </w:r>
      <w:r w:rsidR="00E65064" w:rsidRPr="00EE72F9">
        <w:rPr>
          <w:rFonts w:ascii="Times New Roman" w:hAnsi="Times New Roman" w:cs="Times New Roman"/>
          <w:sz w:val="20"/>
          <w:szCs w:val="20"/>
        </w:rPr>
        <w:t>The results of this study suggested that Toll-like receptor</w:t>
      </w:r>
      <w:r w:rsidR="00966F4B" w:rsidRPr="00EE72F9">
        <w:rPr>
          <w:rFonts w:ascii="Times New Roman" w:hAnsi="Times New Roman" w:cs="Times New Roman"/>
          <w:sz w:val="20"/>
          <w:szCs w:val="20"/>
        </w:rPr>
        <w:t>3 has a great role in host response against HCV infection. There is</w:t>
      </w:r>
      <w:r w:rsidR="005154D4" w:rsidRPr="00EE72F9">
        <w:rPr>
          <w:rFonts w:ascii="Times New Roman" w:hAnsi="Times New Roman" w:cs="Times New Roman"/>
          <w:sz w:val="20"/>
          <w:szCs w:val="20"/>
        </w:rPr>
        <w:t xml:space="preserve"> </w:t>
      </w:r>
      <w:r w:rsidR="00966F4B" w:rsidRPr="00EE72F9">
        <w:rPr>
          <w:rFonts w:ascii="Times New Roman" w:hAnsi="Times New Roman" w:cs="Times New Roman"/>
          <w:sz w:val="20"/>
          <w:szCs w:val="20"/>
        </w:rPr>
        <w:t>significant positive correlation between TLR 3 gene expression and INF alpha level in</w:t>
      </w:r>
      <w:r w:rsidR="0046088D" w:rsidRPr="00EE72F9">
        <w:rPr>
          <w:rFonts w:ascii="Times New Roman" w:hAnsi="Times New Roman" w:cs="Times New Roman"/>
          <w:sz w:val="20"/>
          <w:szCs w:val="20"/>
        </w:rPr>
        <w:t xml:space="preserve"> </w:t>
      </w:r>
      <w:r w:rsidR="00966F4B" w:rsidRPr="00EE72F9">
        <w:rPr>
          <w:rFonts w:ascii="Times New Roman" w:hAnsi="Times New Roman" w:cs="Times New Roman"/>
          <w:sz w:val="20"/>
          <w:szCs w:val="20"/>
        </w:rPr>
        <w:t>patients. The down regulation of TLR3 expression by HCV may contribute to the decrease of IFN-α in HCV patients.</w:t>
      </w:r>
    </w:p>
    <w:p w:rsidR="00F32A46" w:rsidRPr="00EE72F9" w:rsidRDefault="00F32A46" w:rsidP="00F32A46">
      <w:pPr>
        <w:widowControl w:val="0"/>
        <w:bidi w:val="0"/>
        <w:snapToGrid w:val="0"/>
        <w:spacing w:after="0" w:line="240" w:lineRule="auto"/>
        <w:jc w:val="both"/>
        <w:rPr>
          <w:rFonts w:ascii="Times New Roman" w:hAnsi="Times New Roman" w:cs="Times New Roman"/>
          <w:sz w:val="20"/>
          <w:szCs w:val="20"/>
          <w:lang w:val="it-IT" w:eastAsia="zh-CN"/>
        </w:rPr>
      </w:pPr>
      <w:r w:rsidRPr="00EE72F9">
        <w:rPr>
          <w:rFonts w:ascii="Times New Roman" w:hAnsi="Times New Roman" w:cs="Times New Roman"/>
          <w:bCs/>
          <w:sz w:val="20"/>
          <w:szCs w:val="20"/>
        </w:rPr>
        <w:t>[</w:t>
      </w:r>
      <w:r w:rsidRPr="00EE72F9">
        <w:rPr>
          <w:rFonts w:ascii="Times New Roman" w:hAnsi="Times New Roman" w:cs="Times New Roman"/>
          <w:sz w:val="20"/>
          <w:szCs w:val="20"/>
        </w:rPr>
        <w:t>Dalia El Sayed Sherief, Amaa Emubark Hassa</w:t>
      </w:r>
      <w:r w:rsidRPr="00EE72F9">
        <w:rPr>
          <w:rFonts w:ascii="Times New Roman" w:eastAsia="Calibri" w:hAnsi="Times New Roman" w:cs="Times New Roman"/>
          <w:sz w:val="20"/>
          <w:szCs w:val="20"/>
          <w:lang w:val="it-IT"/>
        </w:rPr>
        <w:t>n</w:t>
      </w:r>
      <w:r w:rsidRPr="00EE72F9">
        <w:rPr>
          <w:rFonts w:ascii="Times New Roman" w:eastAsia="Calibri" w:hAnsi="Times New Roman" w:cs="Times New Roman"/>
          <w:sz w:val="20"/>
          <w:szCs w:val="20"/>
          <w:vertAlign w:val="subscript"/>
          <w:lang w:val="it-IT"/>
        </w:rPr>
        <w:t xml:space="preserve"> </w:t>
      </w:r>
      <w:r w:rsidRPr="00EE72F9">
        <w:rPr>
          <w:rFonts w:ascii="Times New Roman" w:eastAsia="Calibri" w:hAnsi="Times New Roman" w:cs="Times New Roman"/>
          <w:sz w:val="20"/>
          <w:szCs w:val="20"/>
          <w:lang w:val="it-IT"/>
        </w:rPr>
        <w:t xml:space="preserve">and </w:t>
      </w:r>
      <w:r w:rsidRPr="00EE72F9">
        <w:rPr>
          <w:rFonts w:ascii="Times New Roman" w:hAnsi="Times New Roman" w:cs="Times New Roman"/>
          <w:sz w:val="20"/>
          <w:szCs w:val="20"/>
        </w:rPr>
        <w:t xml:space="preserve">Eman Mohamed </w:t>
      </w:r>
      <w:r w:rsidRPr="00EE72F9">
        <w:rPr>
          <w:rFonts w:ascii="Times New Roman" w:eastAsia="Calibri" w:hAnsi="Times New Roman" w:cs="Times New Roman"/>
          <w:sz w:val="20"/>
          <w:szCs w:val="20"/>
          <w:lang w:val="it-IT"/>
        </w:rPr>
        <w:t>Habeeb</w:t>
      </w:r>
      <w:r w:rsidRPr="00EE72F9">
        <w:rPr>
          <w:rFonts w:ascii="Times New Roman" w:hAnsi="Times New Roman" w:cs="Times New Roman"/>
          <w:sz w:val="20"/>
          <w:szCs w:val="20"/>
        </w:rPr>
        <w:t>.</w:t>
      </w:r>
      <w:r w:rsidRPr="00EE72F9">
        <w:rPr>
          <w:rFonts w:ascii="Times New Roman" w:hAnsi="Times New Roman" w:cs="Times New Roman" w:hint="eastAsia"/>
          <w:b/>
          <w:bCs/>
          <w:sz w:val="20"/>
          <w:szCs w:val="20"/>
          <w:lang w:bidi="fa-IR"/>
        </w:rPr>
        <w:t xml:space="preserve"> </w:t>
      </w:r>
      <w:r w:rsidRPr="00EE72F9">
        <w:rPr>
          <w:rFonts w:ascii="Times New Roman" w:hAnsi="Times New Roman" w:cs="Times New Roman"/>
          <w:b/>
          <w:bCs/>
          <w:sz w:val="20"/>
          <w:szCs w:val="20"/>
        </w:rPr>
        <w:t>Expression of toll like 3 in chronic hepatitis c virus infection</w:t>
      </w:r>
      <w:r w:rsidRPr="00EE72F9">
        <w:rPr>
          <w:rFonts w:ascii="Times New Roman" w:eastAsia="Times New Roman" w:hAnsi="Times New Roman" w:cs="Times New Roman"/>
          <w:b/>
          <w:bCs/>
          <w:sz w:val="20"/>
          <w:szCs w:val="20"/>
          <w:lang w:bidi="fa-IR"/>
        </w:rPr>
        <w:t>.</w:t>
      </w:r>
      <w:r w:rsidRPr="00EE72F9">
        <w:rPr>
          <w:rFonts w:ascii="Times New Roman" w:hAnsi="Times New Roman" w:cs="Times New Roman"/>
          <w:bCs/>
          <w:i/>
          <w:sz w:val="20"/>
          <w:szCs w:val="20"/>
        </w:rPr>
        <w:t xml:space="preserve"> N Y Sci J</w:t>
      </w:r>
      <w:r w:rsidRPr="00EE72F9">
        <w:rPr>
          <w:rFonts w:ascii="Times New Roman" w:hAnsi="Times New Roman" w:cs="Times New Roman"/>
          <w:bCs/>
          <w:sz w:val="20"/>
          <w:szCs w:val="20"/>
        </w:rPr>
        <w:t xml:space="preserve"> </w:t>
      </w:r>
      <w:r w:rsidRPr="00EE72F9">
        <w:rPr>
          <w:rFonts w:ascii="Times New Roman" w:hAnsi="Times New Roman" w:cs="Times New Roman"/>
          <w:sz w:val="20"/>
          <w:szCs w:val="20"/>
        </w:rPr>
        <w:t>201</w:t>
      </w:r>
      <w:r w:rsidRPr="00EE72F9">
        <w:rPr>
          <w:rFonts w:ascii="Times New Roman" w:hAnsi="Times New Roman" w:cs="Times New Roman" w:hint="eastAsia"/>
          <w:sz w:val="20"/>
          <w:szCs w:val="20"/>
        </w:rPr>
        <w:t>9</w:t>
      </w:r>
      <w:r w:rsidRPr="00EE72F9">
        <w:rPr>
          <w:rFonts w:ascii="Times New Roman" w:hAnsi="Times New Roman" w:cs="Times New Roman"/>
          <w:sz w:val="20"/>
          <w:szCs w:val="20"/>
        </w:rPr>
        <w:t>;</w:t>
      </w:r>
      <w:r w:rsidRPr="00EE72F9">
        <w:rPr>
          <w:rFonts w:ascii="Times New Roman" w:hAnsi="Times New Roman" w:cs="Times New Roman" w:hint="eastAsia"/>
          <w:sz w:val="20"/>
          <w:szCs w:val="20"/>
        </w:rPr>
        <w:t>12</w:t>
      </w:r>
      <w:r w:rsidRPr="00EE72F9">
        <w:rPr>
          <w:rFonts w:ascii="Times New Roman" w:hAnsi="Times New Roman" w:cs="Times New Roman"/>
          <w:sz w:val="20"/>
          <w:szCs w:val="20"/>
        </w:rPr>
        <w:t>(</w:t>
      </w:r>
      <w:r w:rsidRPr="00EE72F9">
        <w:rPr>
          <w:rFonts w:ascii="Times New Roman" w:hAnsi="Times New Roman" w:cs="Times New Roman" w:hint="eastAsia"/>
          <w:sz w:val="20"/>
          <w:szCs w:val="20"/>
        </w:rPr>
        <w:t>9</w:t>
      </w:r>
      <w:r w:rsidRPr="00EE72F9">
        <w:rPr>
          <w:rFonts w:ascii="Times New Roman" w:hAnsi="Times New Roman" w:cs="Times New Roman"/>
          <w:sz w:val="20"/>
          <w:szCs w:val="20"/>
        </w:rPr>
        <w:t>):</w:t>
      </w:r>
      <w:r w:rsidR="00FC3064" w:rsidRPr="00EE72F9">
        <w:rPr>
          <w:rFonts w:ascii="Times New Roman" w:hAnsi="Times New Roman" w:cs="Times New Roman"/>
          <w:noProof/>
          <w:color w:val="000000"/>
          <w:sz w:val="20"/>
          <w:szCs w:val="20"/>
        </w:rPr>
        <w:t>19-23</w:t>
      </w:r>
      <w:r w:rsidRPr="00EE72F9">
        <w:rPr>
          <w:rFonts w:ascii="Times New Roman" w:hAnsi="Times New Roman" w:cs="Times New Roman"/>
          <w:sz w:val="20"/>
          <w:szCs w:val="20"/>
        </w:rPr>
        <w:t xml:space="preserve">]. </w:t>
      </w:r>
      <w:r w:rsidRPr="00EE72F9">
        <w:rPr>
          <w:rFonts w:ascii="Times New Roman" w:hAnsi="Times New Roman" w:cs="Times New Roman"/>
          <w:iCs/>
          <w:color w:val="000000"/>
          <w:sz w:val="20"/>
          <w:szCs w:val="20"/>
        </w:rPr>
        <w:t>ISSN 1554-0200 (print); ISSN 2375-723X (online)</w:t>
      </w:r>
      <w:r w:rsidRPr="00EE72F9">
        <w:rPr>
          <w:rFonts w:ascii="Times New Roman" w:hAnsi="Times New Roman" w:cs="Times New Roman"/>
          <w:sz w:val="20"/>
          <w:szCs w:val="20"/>
        </w:rPr>
        <w:t xml:space="preserve">. </w:t>
      </w:r>
      <w:hyperlink r:id="rId9" w:history="1">
        <w:r w:rsidRPr="00EE72F9">
          <w:rPr>
            <w:rStyle w:val="Hyperlink"/>
            <w:rFonts w:ascii="Times New Roman" w:hAnsi="Times New Roman" w:cs="Times New Roman"/>
            <w:color w:val="0000FF"/>
            <w:sz w:val="20"/>
            <w:szCs w:val="20"/>
          </w:rPr>
          <w:t>http://www.sciencepub.net/newyork</w:t>
        </w:r>
      </w:hyperlink>
      <w:r w:rsidRPr="00EE72F9">
        <w:rPr>
          <w:rFonts w:ascii="Times New Roman" w:hAnsi="Times New Roman" w:cs="Times New Roman"/>
          <w:sz w:val="20"/>
          <w:szCs w:val="20"/>
        </w:rPr>
        <w:t xml:space="preserve">. </w:t>
      </w:r>
      <w:r w:rsidRPr="00EE72F9">
        <w:rPr>
          <w:rFonts w:ascii="Times New Roman" w:hAnsi="Times New Roman" w:cs="Times New Roman" w:hint="eastAsia"/>
          <w:sz w:val="20"/>
          <w:szCs w:val="20"/>
          <w:lang w:eastAsia="zh-CN"/>
        </w:rPr>
        <w:t>5</w:t>
      </w:r>
      <w:r w:rsidRPr="00EE72F9">
        <w:rPr>
          <w:rFonts w:ascii="Times New Roman" w:hAnsi="Times New Roman" w:cs="Times New Roman" w:hint="eastAsia"/>
          <w:sz w:val="20"/>
          <w:szCs w:val="20"/>
        </w:rPr>
        <w:t xml:space="preserve">. </w:t>
      </w:r>
      <w:r w:rsidRPr="00EE72F9">
        <w:rPr>
          <w:rFonts w:ascii="Times New Roman" w:hAnsi="Times New Roman" w:cs="Times New Roman"/>
          <w:color w:val="000000"/>
          <w:sz w:val="20"/>
          <w:szCs w:val="20"/>
          <w:shd w:val="clear" w:color="auto" w:fill="FFFFFF"/>
        </w:rPr>
        <w:t>doi:</w:t>
      </w:r>
      <w:hyperlink r:id="rId10" w:history="1">
        <w:r w:rsidRPr="00EE72F9">
          <w:rPr>
            <w:rStyle w:val="Hyperlink"/>
            <w:rFonts w:ascii="Times New Roman" w:hAnsi="Times New Roman" w:cs="Times New Roman"/>
            <w:color w:val="0000FF"/>
            <w:sz w:val="20"/>
            <w:szCs w:val="20"/>
            <w:shd w:val="clear" w:color="auto" w:fill="FFFFFF"/>
          </w:rPr>
          <w:t>10.7537/mars</w:t>
        </w:r>
        <w:r w:rsidRPr="00EE72F9">
          <w:rPr>
            <w:rStyle w:val="Hyperlink"/>
            <w:rFonts w:ascii="Times New Roman" w:hAnsi="Times New Roman" w:cs="Times New Roman" w:hint="eastAsia"/>
            <w:color w:val="0000FF"/>
            <w:sz w:val="20"/>
            <w:szCs w:val="20"/>
            <w:shd w:val="clear" w:color="auto" w:fill="FFFFFF"/>
          </w:rPr>
          <w:t>nys120919.</w:t>
        </w:r>
        <w:r w:rsidRPr="00EE72F9">
          <w:rPr>
            <w:rStyle w:val="Hyperlink"/>
            <w:rFonts w:ascii="Times New Roman" w:hAnsi="Times New Roman" w:cs="Times New Roman"/>
            <w:color w:val="0000FF"/>
            <w:sz w:val="20"/>
            <w:szCs w:val="20"/>
            <w:shd w:val="clear" w:color="auto" w:fill="FFFFFF"/>
          </w:rPr>
          <w:t>0</w:t>
        </w:r>
        <w:r w:rsidRPr="00EE72F9">
          <w:rPr>
            <w:rStyle w:val="Hyperlink"/>
            <w:rFonts w:ascii="Times New Roman" w:hAnsi="Times New Roman" w:cs="Times New Roman" w:hint="eastAsia"/>
            <w:color w:val="0000FF"/>
            <w:sz w:val="20"/>
            <w:szCs w:val="20"/>
            <w:shd w:val="clear" w:color="auto" w:fill="FFFFFF"/>
            <w:lang w:eastAsia="zh-CN"/>
          </w:rPr>
          <w:t>5</w:t>
        </w:r>
      </w:hyperlink>
      <w:r w:rsidRPr="00EE72F9">
        <w:rPr>
          <w:rFonts w:ascii="Times New Roman" w:hAnsi="Times New Roman" w:cs="Times New Roman"/>
          <w:color w:val="000000"/>
          <w:sz w:val="20"/>
          <w:szCs w:val="20"/>
          <w:shd w:val="clear" w:color="auto" w:fill="FFFFFF"/>
        </w:rPr>
        <w:t>.</w:t>
      </w:r>
    </w:p>
    <w:p w:rsidR="00B07D10" w:rsidRPr="00EE72F9" w:rsidRDefault="00B07D10" w:rsidP="00F32A46">
      <w:pPr>
        <w:widowControl w:val="0"/>
        <w:tabs>
          <w:tab w:val="left" w:pos="6118"/>
        </w:tabs>
        <w:bidi w:val="0"/>
        <w:snapToGrid w:val="0"/>
        <w:spacing w:after="0" w:line="240" w:lineRule="auto"/>
        <w:jc w:val="both"/>
        <w:rPr>
          <w:rFonts w:ascii="Times New Roman" w:hAnsi="Times New Roman" w:cs="Times New Roman"/>
          <w:sz w:val="20"/>
          <w:szCs w:val="20"/>
          <w:lang w:bidi="ar-EG"/>
        </w:rPr>
      </w:pPr>
    </w:p>
    <w:p w:rsidR="00966F4B" w:rsidRPr="00EE72F9" w:rsidRDefault="00966F4B" w:rsidP="00F32A46">
      <w:pPr>
        <w:widowControl w:val="0"/>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b/>
          <w:bCs/>
          <w:sz w:val="20"/>
          <w:szCs w:val="20"/>
        </w:rPr>
        <w:t>Key Words</w:t>
      </w:r>
      <w:r w:rsidRPr="00EE72F9">
        <w:rPr>
          <w:rFonts w:ascii="Times New Roman" w:hAnsi="Times New Roman" w:cs="Times New Roman"/>
          <w:b/>
          <w:bCs/>
          <w:sz w:val="20"/>
          <w:szCs w:val="20"/>
          <w:lang w:bidi="ar-EG"/>
        </w:rPr>
        <w:t xml:space="preserve">: </w:t>
      </w:r>
      <w:r w:rsidR="00DF1D9E" w:rsidRPr="00EE72F9">
        <w:rPr>
          <w:rFonts w:ascii="Times New Roman" w:hAnsi="Times New Roman" w:cs="Times New Roman"/>
          <w:sz w:val="20"/>
          <w:szCs w:val="20"/>
        </w:rPr>
        <w:t>Hepatitis c</w:t>
      </w:r>
      <w:r w:rsidR="0046088D" w:rsidRPr="00EE72F9">
        <w:rPr>
          <w:rFonts w:ascii="Times New Roman" w:hAnsi="Times New Roman" w:cs="Times New Roman"/>
          <w:sz w:val="20"/>
          <w:szCs w:val="20"/>
        </w:rPr>
        <w:t>,</w:t>
      </w:r>
      <w:r w:rsidR="00DF1D9E" w:rsidRPr="00EE72F9">
        <w:rPr>
          <w:rFonts w:ascii="Times New Roman" w:hAnsi="Times New Roman" w:cs="Times New Roman"/>
          <w:sz w:val="20"/>
          <w:szCs w:val="20"/>
        </w:rPr>
        <w:t xml:space="preserve"> I</w:t>
      </w:r>
      <w:r w:rsidRPr="00EE72F9">
        <w:rPr>
          <w:rFonts w:ascii="Times New Roman" w:hAnsi="Times New Roman" w:cs="Times New Roman"/>
          <w:sz w:val="20"/>
          <w:szCs w:val="20"/>
        </w:rPr>
        <w:t>nterferon α, TLR3</w:t>
      </w:r>
      <w:r w:rsidR="00FD552F" w:rsidRPr="00EE72F9">
        <w:rPr>
          <w:rFonts w:ascii="Times New Roman" w:hAnsi="Times New Roman" w:cs="Times New Roman"/>
          <w:sz w:val="20"/>
          <w:szCs w:val="20"/>
          <w:lang w:bidi="ar-EG"/>
        </w:rPr>
        <w:t>.</w:t>
      </w:r>
    </w:p>
    <w:p w:rsidR="00696C61" w:rsidRPr="00EE72F9" w:rsidRDefault="00696C61"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p>
    <w:p w:rsidR="00F32A46" w:rsidRPr="00EE72F9" w:rsidRDefault="00F32A46"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sectPr w:rsidR="00F32A46" w:rsidRPr="00EE72F9" w:rsidSect="00FC3064">
          <w:headerReference w:type="default" r:id="rId11"/>
          <w:footerReference w:type="default" r:id="rId12"/>
          <w:type w:val="continuous"/>
          <w:pgSz w:w="12240" w:h="15840"/>
          <w:pgMar w:top="1440" w:right="1440" w:bottom="1440" w:left="1440" w:header="720" w:footer="720" w:gutter="0"/>
          <w:pgNumType w:start="19"/>
          <w:cols w:space="720"/>
          <w:rtlGutter/>
          <w:docGrid w:linePitch="360"/>
        </w:sectPr>
      </w:pPr>
    </w:p>
    <w:p w:rsidR="00FD552F" w:rsidRPr="00EE72F9" w:rsidRDefault="00696C61"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rPr>
        <w:lastRenderedPageBreak/>
        <w:t>1. Introduction</w:t>
      </w:r>
      <w:r w:rsidR="009016C5" w:rsidRPr="00EE72F9">
        <w:rPr>
          <w:rFonts w:ascii="Times New Roman" w:hAnsi="Times New Roman" w:cs="Times New Roman"/>
          <w:b/>
          <w:bCs/>
          <w:sz w:val="20"/>
          <w:szCs w:val="20"/>
          <w:lang w:bidi="ar-EG"/>
        </w:rPr>
        <w:t>:</w:t>
      </w:r>
    </w:p>
    <w:p w:rsidR="00FD552F" w:rsidRPr="00EE72F9" w:rsidRDefault="00FD552F"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rPr>
        <w:t>In Egypt hepatitis c is the most common cause of chronic liver disease (CLD). The inflammatory and wound-healing responses</w:t>
      </w:r>
      <w:r w:rsidR="009E57DA" w:rsidRPr="00EE72F9">
        <w:rPr>
          <w:rFonts w:ascii="Times New Roman" w:hAnsi="Times New Roman" w:cs="Times New Roman"/>
          <w:sz w:val="20"/>
          <w:szCs w:val="20"/>
        </w:rPr>
        <w:t xml:space="preserve"> t</w:t>
      </w:r>
      <w:r w:rsidRPr="00EE72F9">
        <w:rPr>
          <w:rFonts w:ascii="Times New Roman" w:hAnsi="Times New Roman" w:cs="Times New Roman"/>
          <w:sz w:val="20"/>
          <w:szCs w:val="20"/>
        </w:rPr>
        <w:t xml:space="preserve">hat is triggered in response to chronic liver injury in the long run promote the development of hepatic </w:t>
      </w:r>
      <w:r w:rsidR="00A520C8" w:rsidRPr="00EE72F9">
        <w:rPr>
          <w:rFonts w:ascii="Times New Roman" w:hAnsi="Times New Roman" w:cs="Times New Roman"/>
          <w:sz w:val="20"/>
          <w:szCs w:val="20"/>
        </w:rPr>
        <w:t xml:space="preserve">fibrosis and </w:t>
      </w:r>
      <w:smartTag w:uri="urn:schemas-microsoft-com:office:smarttags" w:element="stockticker">
        <w:r w:rsidR="00A520C8" w:rsidRPr="00EE72F9">
          <w:rPr>
            <w:rFonts w:ascii="Times New Roman" w:hAnsi="Times New Roman" w:cs="Times New Roman"/>
            <w:sz w:val="20"/>
            <w:szCs w:val="20"/>
          </w:rPr>
          <w:t>HCC</w:t>
        </w:r>
        <w:r w:rsidR="005154D4" w:rsidRPr="00EE72F9">
          <w:rPr>
            <w:rFonts w:ascii="Times New Roman" w:hAnsi="Times New Roman" w:cs="Times New Roman"/>
            <w:b/>
            <w:bCs/>
            <w:sz w:val="20"/>
            <w:szCs w:val="20"/>
            <w:lang w:bidi="ar-EG"/>
          </w:rPr>
          <w:t xml:space="preserve"> </w:t>
        </w:r>
      </w:smartTag>
      <w:r w:rsidR="00A520C8" w:rsidRPr="00EE72F9">
        <w:rPr>
          <w:rFonts w:ascii="Times New Roman" w:hAnsi="Times New Roman" w:cs="Times New Roman"/>
          <w:b/>
          <w:bCs/>
          <w:sz w:val="20"/>
          <w:szCs w:val="20"/>
          <w:lang w:bidi="ar-EG"/>
        </w:rPr>
        <w:t>(</w:t>
      </w:r>
      <w:r w:rsidR="00A520C8" w:rsidRPr="00EE72F9">
        <w:rPr>
          <w:rFonts w:ascii="Times New Roman" w:hAnsi="Times New Roman" w:cs="Times New Roman"/>
          <w:b/>
          <w:bCs/>
          <w:sz w:val="20"/>
          <w:szCs w:val="20"/>
        </w:rPr>
        <w:t>Mohamoud, et al., 2013</w:t>
      </w:r>
      <w:r w:rsidR="00A520C8" w:rsidRPr="00EE72F9">
        <w:rPr>
          <w:rFonts w:ascii="Times New Roman" w:hAnsi="Times New Roman" w:cs="Times New Roman"/>
          <w:b/>
          <w:bCs/>
          <w:sz w:val="20"/>
          <w:szCs w:val="20"/>
          <w:lang w:bidi="ar-EG"/>
        </w:rPr>
        <w:t>)</w:t>
      </w:r>
      <w:r w:rsidR="00A520C8" w:rsidRPr="00EE72F9">
        <w:rPr>
          <w:rFonts w:ascii="Times New Roman" w:hAnsi="Times New Roman" w:cs="Times New Roman"/>
          <w:sz w:val="20"/>
          <w:szCs w:val="20"/>
          <w:lang w:bidi="ar-EG"/>
        </w:rPr>
        <w:t>.</w:t>
      </w:r>
    </w:p>
    <w:p w:rsidR="00FD552F" w:rsidRPr="00EE72F9" w:rsidRDefault="00FD552F"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E72F9">
        <w:rPr>
          <w:rFonts w:ascii="Times New Roman" w:hAnsi="Times New Roman" w:cs="Times New Roman"/>
          <w:sz w:val="20"/>
          <w:szCs w:val="20"/>
        </w:rPr>
        <w:t>The innate immune syst</w:t>
      </w:r>
      <w:r w:rsidR="00A520C8" w:rsidRPr="00EE72F9">
        <w:rPr>
          <w:rFonts w:ascii="Times New Roman" w:hAnsi="Times New Roman" w:cs="Times New Roman"/>
          <w:sz w:val="20"/>
          <w:szCs w:val="20"/>
        </w:rPr>
        <w:t>em can responds to HCV by activation of TLRs that lead to a series of signaling events resulting in the production of IFN-α, IFN-β, IFN-γ, and other TLR-ind</w:t>
      </w:r>
      <w:r w:rsidR="000F3DCC" w:rsidRPr="00EE72F9">
        <w:rPr>
          <w:rFonts w:ascii="Times New Roman" w:hAnsi="Times New Roman" w:cs="Times New Roman"/>
          <w:sz w:val="20"/>
          <w:szCs w:val="20"/>
        </w:rPr>
        <w:t>uced inflammatory cytokines. The expression of TLR3 is dominant on parenchymal and nonparenchymal cells in the liver as well as in many types of immune cells including macrophages, dendritic cells, NK cells, NKT cells</w:t>
      </w:r>
      <w:r w:rsidR="005154D4" w:rsidRPr="00EE72F9">
        <w:rPr>
          <w:rFonts w:ascii="Times New Roman" w:hAnsi="Times New Roman" w:cs="Times New Roman"/>
          <w:b/>
          <w:bCs/>
          <w:sz w:val="20"/>
          <w:szCs w:val="20"/>
        </w:rPr>
        <w:t xml:space="preserve"> </w:t>
      </w:r>
      <w:r w:rsidR="000F3DCC" w:rsidRPr="00EE72F9">
        <w:rPr>
          <w:rFonts w:ascii="Times New Roman" w:hAnsi="Times New Roman" w:cs="Times New Roman"/>
          <w:b/>
          <w:bCs/>
          <w:sz w:val="20"/>
          <w:szCs w:val="20"/>
        </w:rPr>
        <w:t>(Yin, et al., 2010)</w:t>
      </w:r>
      <w:r w:rsidR="000F3DCC" w:rsidRPr="00EE72F9">
        <w:rPr>
          <w:rFonts w:ascii="Times New Roman" w:hAnsi="Times New Roman" w:cs="Times New Roman"/>
          <w:sz w:val="20"/>
          <w:szCs w:val="20"/>
        </w:rPr>
        <w:t>.</w:t>
      </w:r>
    </w:p>
    <w:p w:rsidR="00760BA5" w:rsidRPr="00EE72F9" w:rsidRDefault="000F3DCC"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EE72F9">
        <w:rPr>
          <w:rFonts w:ascii="Times New Roman" w:hAnsi="Times New Roman" w:cs="Times New Roman"/>
          <w:sz w:val="20"/>
          <w:szCs w:val="20"/>
        </w:rPr>
        <w:t>There is a growing evidence indicating that TLR3 plays a role in cirrhosis pathogene</w:t>
      </w:r>
      <w:r w:rsidR="009B343D" w:rsidRPr="00EE72F9">
        <w:rPr>
          <w:rFonts w:ascii="Times New Roman" w:hAnsi="Times New Roman" w:cs="Times New Roman"/>
          <w:sz w:val="20"/>
          <w:szCs w:val="20"/>
        </w:rPr>
        <w:t>sis and hepatocarcinogenesis. I</w:t>
      </w:r>
      <w:r w:rsidRPr="00EE72F9">
        <w:rPr>
          <w:rFonts w:ascii="Times New Roman" w:hAnsi="Times New Roman" w:cs="Times New Roman"/>
          <w:sz w:val="20"/>
          <w:szCs w:val="20"/>
        </w:rPr>
        <w:t>t has been documented that dsRNA activates</w:t>
      </w:r>
      <w:r w:rsidR="009B343D" w:rsidRPr="00EE72F9">
        <w:rPr>
          <w:rFonts w:ascii="Times New Roman" w:hAnsi="Times New Roman" w:cs="Times New Roman"/>
          <w:sz w:val="20"/>
          <w:szCs w:val="20"/>
        </w:rPr>
        <w:t xml:space="preserve"> TLR3 which </w:t>
      </w:r>
      <w:r w:rsidRPr="00EE72F9">
        <w:rPr>
          <w:rFonts w:ascii="Times New Roman" w:hAnsi="Times New Roman" w:cs="Times New Roman"/>
          <w:sz w:val="20"/>
          <w:szCs w:val="20"/>
        </w:rPr>
        <w:t>subsequently results in NK cell accumulation</w:t>
      </w:r>
      <w:r w:rsidR="005154D4" w:rsidRPr="00EE72F9">
        <w:rPr>
          <w:rFonts w:ascii="Times New Roman" w:hAnsi="Times New Roman" w:cs="Times New Roman"/>
          <w:sz w:val="20"/>
          <w:szCs w:val="20"/>
        </w:rPr>
        <w:t xml:space="preserve"> </w:t>
      </w:r>
      <w:r w:rsidRPr="00EE72F9">
        <w:rPr>
          <w:rFonts w:ascii="Times New Roman" w:hAnsi="Times New Roman" w:cs="Times New Roman"/>
          <w:sz w:val="20"/>
          <w:szCs w:val="20"/>
        </w:rPr>
        <w:t>and activation leading to inflammation of the liver</w:t>
      </w:r>
      <w:r w:rsidR="009B343D" w:rsidRPr="00EE72F9">
        <w:rPr>
          <w:rFonts w:ascii="Times New Roman" w:hAnsi="Times New Roman" w:cs="Times New Roman"/>
          <w:sz w:val="20"/>
          <w:szCs w:val="20"/>
        </w:rPr>
        <w:t>. Such process could contribute to cirrhosis and HCC if left untreate</w:t>
      </w:r>
      <w:r w:rsidR="0046088D" w:rsidRPr="00EE72F9">
        <w:rPr>
          <w:rFonts w:ascii="Times New Roman" w:hAnsi="Times New Roman" w:cs="Times New Roman"/>
          <w:sz w:val="20"/>
          <w:szCs w:val="20"/>
        </w:rPr>
        <w:t xml:space="preserve">d </w:t>
      </w:r>
      <w:r w:rsidR="0046088D" w:rsidRPr="00EE72F9">
        <w:rPr>
          <w:rFonts w:ascii="Times New Roman" w:hAnsi="Times New Roman" w:cs="Times New Roman"/>
          <w:b/>
          <w:bCs/>
          <w:sz w:val="20"/>
          <w:szCs w:val="20"/>
        </w:rPr>
        <w:t>(</w:t>
      </w:r>
      <w:r w:rsidR="009B343D" w:rsidRPr="00EE72F9">
        <w:rPr>
          <w:rFonts w:ascii="Times New Roman" w:hAnsi="Times New Roman" w:cs="Times New Roman"/>
          <w:b/>
          <w:bCs/>
          <w:sz w:val="20"/>
          <w:szCs w:val="20"/>
        </w:rPr>
        <w:t>Al-Anazi, et al.</w:t>
      </w:r>
      <w:r w:rsidR="00B07D10" w:rsidRPr="00EE72F9">
        <w:rPr>
          <w:rFonts w:ascii="Times New Roman" w:hAnsi="Times New Roman" w:cs="Times New Roman"/>
          <w:b/>
          <w:bCs/>
          <w:sz w:val="20"/>
          <w:szCs w:val="20"/>
        </w:rPr>
        <w:t>, 2017</w:t>
      </w:r>
      <w:r w:rsidR="009B343D" w:rsidRPr="00EE72F9">
        <w:rPr>
          <w:rFonts w:ascii="Times New Roman" w:hAnsi="Times New Roman" w:cs="Times New Roman"/>
          <w:b/>
          <w:bCs/>
          <w:sz w:val="20"/>
          <w:szCs w:val="20"/>
        </w:rPr>
        <w:t>)</w:t>
      </w:r>
      <w:r w:rsidR="008D7107" w:rsidRPr="00EE72F9">
        <w:rPr>
          <w:rFonts w:ascii="Times New Roman" w:hAnsi="Times New Roman" w:cs="Times New Roman"/>
          <w:sz w:val="20"/>
          <w:szCs w:val="20"/>
        </w:rPr>
        <w:t>.</w:t>
      </w:r>
    </w:p>
    <w:p w:rsidR="008D7107" w:rsidRPr="00EE72F9" w:rsidRDefault="00696C61"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rPr>
        <w:t>Aim of the Work</w:t>
      </w:r>
      <w:r w:rsidRPr="00EE72F9">
        <w:rPr>
          <w:rFonts w:ascii="Times New Roman" w:hAnsi="Times New Roman" w:cs="Times New Roman"/>
          <w:b/>
          <w:bCs/>
          <w:sz w:val="20"/>
          <w:szCs w:val="20"/>
          <w:lang w:bidi="ar-EG"/>
        </w:rPr>
        <w:t>:</w:t>
      </w:r>
    </w:p>
    <w:p w:rsidR="008D7107" w:rsidRPr="00EE72F9" w:rsidRDefault="008D7107"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E72F9">
        <w:rPr>
          <w:rFonts w:ascii="Times New Roman" w:hAnsi="Times New Roman" w:cs="Times New Roman"/>
          <w:sz w:val="20"/>
          <w:szCs w:val="20"/>
        </w:rPr>
        <w:t xml:space="preserve">The aim of the work is to determine the relative level of interferon α and TLR3 expression in patients </w:t>
      </w:r>
      <w:r w:rsidRPr="00EE72F9">
        <w:rPr>
          <w:rFonts w:ascii="Times New Roman" w:hAnsi="Times New Roman" w:cs="Times New Roman"/>
          <w:sz w:val="20"/>
          <w:szCs w:val="20"/>
        </w:rPr>
        <w:lastRenderedPageBreak/>
        <w:t xml:space="preserve">with </w:t>
      </w:r>
      <w:r w:rsidR="00B07D10" w:rsidRPr="00EE72F9">
        <w:rPr>
          <w:rFonts w:ascii="Times New Roman" w:hAnsi="Times New Roman" w:cs="Times New Roman"/>
          <w:sz w:val="20"/>
          <w:szCs w:val="20"/>
        </w:rPr>
        <w:t>chronic HCV</w:t>
      </w:r>
      <w:r w:rsidRPr="00EE72F9">
        <w:rPr>
          <w:rFonts w:ascii="Times New Roman" w:hAnsi="Times New Roman" w:cs="Times New Roman"/>
          <w:sz w:val="20"/>
          <w:szCs w:val="20"/>
        </w:rPr>
        <w:t xml:space="preserve"> infection.</w:t>
      </w:r>
    </w:p>
    <w:p w:rsidR="00696C61" w:rsidRPr="00EE72F9" w:rsidRDefault="00696C61"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p>
    <w:p w:rsidR="008D7107" w:rsidRPr="00EE72F9" w:rsidRDefault="00696C61"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rPr>
        <w:t>2. Patients, Materials and Methods</w:t>
      </w:r>
      <w:r w:rsidRPr="00EE72F9">
        <w:rPr>
          <w:rFonts w:ascii="Times New Roman" w:hAnsi="Times New Roman" w:cs="Times New Roman"/>
          <w:b/>
          <w:bCs/>
          <w:sz w:val="20"/>
          <w:szCs w:val="20"/>
          <w:lang w:bidi="ar-EG"/>
        </w:rPr>
        <w:t>:</w:t>
      </w:r>
    </w:p>
    <w:p w:rsidR="002974C0" w:rsidRPr="00EE72F9" w:rsidRDefault="008D7107"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xml:space="preserve">This study included 60 patients together with 60 healthy control referred to Tropical Medicine Department, Kafr </w:t>
      </w:r>
      <w:r w:rsidR="00B07D10" w:rsidRPr="00EE72F9">
        <w:rPr>
          <w:rFonts w:ascii="Times New Roman" w:hAnsi="Times New Roman" w:cs="Times New Roman"/>
          <w:sz w:val="20"/>
          <w:szCs w:val="20"/>
          <w:lang w:bidi="ar-EG"/>
        </w:rPr>
        <w:t>E</w:t>
      </w:r>
      <w:r w:rsidR="00EE72F9">
        <w:rPr>
          <w:rFonts w:ascii="Times New Roman" w:hAnsi="Times New Roman" w:cs="Times New Roman" w:hint="eastAsia"/>
          <w:sz w:val="20"/>
          <w:szCs w:val="20"/>
          <w:lang w:eastAsia="zh-CN" w:bidi="ar-EG"/>
        </w:rPr>
        <w:t xml:space="preserve"> </w:t>
      </w:r>
      <w:r w:rsidR="00B07D10" w:rsidRPr="00EE72F9">
        <w:rPr>
          <w:rFonts w:ascii="Times New Roman" w:hAnsi="Times New Roman" w:cs="Times New Roman"/>
          <w:sz w:val="20"/>
          <w:szCs w:val="20"/>
          <w:lang w:bidi="ar-EG"/>
        </w:rPr>
        <w:t>Lsheikh University</w:t>
      </w:r>
      <w:r w:rsidR="009E57DA" w:rsidRPr="00EE72F9">
        <w:rPr>
          <w:rFonts w:ascii="Times New Roman" w:hAnsi="Times New Roman" w:cs="Times New Roman"/>
          <w:sz w:val="20"/>
          <w:szCs w:val="20"/>
          <w:lang w:bidi="ar-EG"/>
        </w:rPr>
        <w:t xml:space="preserve"> Hospital</w:t>
      </w:r>
      <w:r w:rsidR="00F32A46" w:rsidRPr="00EE72F9">
        <w:rPr>
          <w:rFonts w:ascii="Times New Roman" w:hAnsi="Times New Roman" w:cs="Times New Roman"/>
          <w:sz w:val="20"/>
          <w:szCs w:val="20"/>
          <w:lang w:bidi="ar-EG"/>
        </w:rPr>
        <w:t>, i</w:t>
      </w:r>
      <w:r w:rsidR="002974C0" w:rsidRPr="00EE72F9">
        <w:rPr>
          <w:rFonts w:ascii="Times New Roman" w:hAnsi="Times New Roman" w:cs="Times New Roman"/>
          <w:sz w:val="20"/>
          <w:szCs w:val="20"/>
          <w:lang w:bidi="ar-EG"/>
        </w:rPr>
        <w:t xml:space="preserve">nformed consents was obtained from all the patients and controls. The diagnosis was established on the basis of history, clinical, laboratory, abdominal </w:t>
      </w:r>
      <w:r w:rsidR="009E57DA" w:rsidRPr="00EE72F9">
        <w:rPr>
          <w:rFonts w:ascii="Times New Roman" w:hAnsi="Times New Roman" w:cs="Times New Roman"/>
          <w:sz w:val="20"/>
          <w:szCs w:val="20"/>
          <w:lang w:bidi="ar-EG"/>
        </w:rPr>
        <w:t xml:space="preserve">ultrasound. CBC, liver </w:t>
      </w:r>
      <w:r w:rsidR="002974C0" w:rsidRPr="00EE72F9">
        <w:rPr>
          <w:rFonts w:ascii="Times New Roman" w:hAnsi="Times New Roman" w:cs="Times New Roman"/>
          <w:sz w:val="20"/>
          <w:szCs w:val="20"/>
          <w:lang w:bidi="ar-EG"/>
        </w:rPr>
        <w:t>function tests, HBS antigen</w:t>
      </w:r>
      <w:r w:rsidR="0046088D" w:rsidRPr="00EE72F9">
        <w:rPr>
          <w:rFonts w:ascii="Times New Roman" w:hAnsi="Times New Roman" w:cs="Times New Roman"/>
          <w:sz w:val="20"/>
          <w:szCs w:val="20"/>
          <w:lang w:bidi="ar-EG"/>
        </w:rPr>
        <w:t xml:space="preserve"> &amp; </w:t>
      </w:r>
      <w:r w:rsidR="002974C0" w:rsidRPr="00EE72F9">
        <w:rPr>
          <w:rFonts w:ascii="Times New Roman" w:hAnsi="Times New Roman" w:cs="Times New Roman"/>
          <w:sz w:val="20"/>
          <w:szCs w:val="20"/>
          <w:lang w:bidi="ar-EG"/>
        </w:rPr>
        <w:t>anti-HCV antibody, interferon α and TLR3expression were also done.</w:t>
      </w:r>
    </w:p>
    <w:p w:rsidR="00696C61" w:rsidRPr="00EE72F9" w:rsidRDefault="002974C0" w:rsidP="00F32A46">
      <w:pPr>
        <w:widowControl w:val="0"/>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b/>
          <w:bCs/>
          <w:sz w:val="20"/>
          <w:szCs w:val="20"/>
          <w:lang w:bidi="ar-EG"/>
        </w:rPr>
        <w:t>Inclusion Criteria</w:t>
      </w:r>
      <w:r w:rsidRPr="00EE72F9">
        <w:rPr>
          <w:rFonts w:ascii="Times New Roman" w:hAnsi="Times New Roman" w:cs="Times New Roman"/>
          <w:sz w:val="20"/>
          <w:szCs w:val="20"/>
          <w:lang w:bidi="ar-EG"/>
        </w:rPr>
        <w:t xml:space="preserve">: </w:t>
      </w:r>
    </w:p>
    <w:p w:rsidR="009016C5" w:rsidRPr="00EE72F9" w:rsidRDefault="002974C0"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Adult patients (&gt;18 years), both sexe</w:t>
      </w:r>
      <w:r w:rsidR="0046088D" w:rsidRPr="00EE72F9">
        <w:rPr>
          <w:rFonts w:ascii="Times New Roman" w:hAnsi="Times New Roman" w:cs="Times New Roman"/>
          <w:sz w:val="20"/>
          <w:szCs w:val="20"/>
          <w:lang w:bidi="ar-EG"/>
        </w:rPr>
        <w:t>s (</w:t>
      </w:r>
      <w:r w:rsidRPr="00EE72F9">
        <w:rPr>
          <w:rFonts w:ascii="Times New Roman" w:hAnsi="Times New Roman" w:cs="Times New Roman"/>
          <w:sz w:val="20"/>
          <w:szCs w:val="20"/>
          <w:lang w:bidi="ar-EG"/>
        </w:rPr>
        <w:t>males or females) and patients with CHCV infection.</w:t>
      </w:r>
    </w:p>
    <w:p w:rsidR="00696C61" w:rsidRPr="00EE72F9" w:rsidRDefault="002974C0"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lang w:bidi="ar-EG"/>
        </w:rPr>
        <w:t>Exclusion Criteria</w:t>
      </w:r>
      <w:r w:rsidRPr="00EE72F9">
        <w:rPr>
          <w:rFonts w:ascii="Times New Roman" w:hAnsi="Times New Roman" w:cs="Times New Roman"/>
          <w:b/>
          <w:bCs/>
          <w:sz w:val="20"/>
          <w:szCs w:val="20"/>
        </w:rPr>
        <w:t>:</w:t>
      </w:r>
    </w:p>
    <w:p w:rsidR="009016C5" w:rsidRPr="00EE72F9" w:rsidRDefault="002974C0"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xml:space="preserve">Patients who had received </w:t>
      </w:r>
      <w:r w:rsidR="00EE72F9" w:rsidRPr="00EE72F9">
        <w:rPr>
          <w:rFonts w:ascii="Times New Roman" w:hAnsi="Times New Roman" w:cs="Times New Roman"/>
          <w:sz w:val="20"/>
          <w:szCs w:val="20"/>
          <w:lang w:bidi="ar-EG"/>
        </w:rPr>
        <w:t>antiviral treatment</w:t>
      </w:r>
      <w:r w:rsidRPr="00EE72F9">
        <w:rPr>
          <w:rFonts w:ascii="Times New Roman" w:hAnsi="Times New Roman" w:cs="Times New Roman"/>
          <w:sz w:val="20"/>
          <w:szCs w:val="20"/>
          <w:lang w:bidi="ar-EG"/>
        </w:rPr>
        <w:t xml:space="preserve">, patients with HIV or HBV co-infections </w:t>
      </w:r>
      <w:r w:rsidR="00EE72F9" w:rsidRPr="00EE72F9">
        <w:rPr>
          <w:rFonts w:ascii="Times New Roman" w:hAnsi="Times New Roman" w:cs="Times New Roman"/>
          <w:sz w:val="20"/>
          <w:szCs w:val="20"/>
          <w:lang w:bidi="ar-EG"/>
        </w:rPr>
        <w:t>and patients</w:t>
      </w:r>
      <w:r w:rsidR="009E57DA" w:rsidRPr="00EE72F9">
        <w:rPr>
          <w:rFonts w:ascii="Times New Roman" w:hAnsi="Times New Roman" w:cs="Times New Roman"/>
          <w:sz w:val="20"/>
          <w:szCs w:val="20"/>
          <w:lang w:bidi="ar-EG"/>
        </w:rPr>
        <w:t xml:space="preserve"> with HCC.</w:t>
      </w:r>
    </w:p>
    <w:p w:rsidR="00696C61" w:rsidRPr="00EE72F9" w:rsidRDefault="002974C0" w:rsidP="00F32A46">
      <w:pPr>
        <w:widowControl w:val="0"/>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b/>
          <w:bCs/>
          <w:sz w:val="20"/>
          <w:szCs w:val="20"/>
          <w:lang w:bidi="ar-EG"/>
        </w:rPr>
        <w:t>Laboratory investigations</w:t>
      </w:r>
      <w:r w:rsidRPr="00EE72F9">
        <w:rPr>
          <w:rFonts w:ascii="Times New Roman" w:hAnsi="Times New Roman" w:cs="Times New Roman"/>
          <w:sz w:val="20"/>
          <w:szCs w:val="20"/>
          <w:lang w:bidi="ar-EG"/>
        </w:rPr>
        <w:t xml:space="preserve">: </w:t>
      </w:r>
    </w:p>
    <w:p w:rsidR="009016C5" w:rsidRPr="00EE72F9" w:rsidRDefault="002974C0"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Blood samples were</w:t>
      </w:r>
      <w:r w:rsidR="00EE72F9" w:rsidRPr="00EE72F9">
        <w:rPr>
          <w:rFonts w:ascii="Times New Roman" w:hAnsi="Times New Roman" w:cs="Times New Roman" w:hint="eastAsia"/>
          <w:sz w:val="20"/>
          <w:szCs w:val="20"/>
          <w:lang w:eastAsia="zh-CN" w:bidi="ar-EG"/>
        </w:rPr>
        <w:t xml:space="preserve"> </w:t>
      </w:r>
      <w:r w:rsidRPr="00EE72F9">
        <w:rPr>
          <w:rFonts w:ascii="Times New Roman" w:hAnsi="Times New Roman" w:cs="Times New Roman"/>
          <w:sz w:val="20"/>
          <w:szCs w:val="20"/>
          <w:lang w:bidi="ar-EG"/>
        </w:rPr>
        <w:t>collected from the patients at the time of diagnosis, before</w:t>
      </w:r>
      <w:r w:rsidR="00EE72F9" w:rsidRPr="00EE72F9">
        <w:rPr>
          <w:rFonts w:ascii="Times New Roman" w:hAnsi="Times New Roman" w:cs="Times New Roman" w:hint="eastAsia"/>
          <w:sz w:val="20"/>
          <w:szCs w:val="20"/>
          <w:lang w:eastAsia="zh-CN" w:bidi="ar-EG"/>
        </w:rPr>
        <w:t xml:space="preserve"> </w:t>
      </w:r>
      <w:r w:rsidRPr="00EE72F9">
        <w:rPr>
          <w:rFonts w:ascii="Times New Roman" w:hAnsi="Times New Roman" w:cs="Times New Roman"/>
          <w:sz w:val="20"/>
          <w:szCs w:val="20"/>
          <w:lang w:bidi="ar-EG"/>
        </w:rPr>
        <w:t>any kind of treatment (surgery, radiation, or chemotherapy</w:t>
      </w:r>
      <w:r w:rsidR="00F32A46" w:rsidRPr="00EE72F9">
        <w:rPr>
          <w:rFonts w:ascii="Times New Roman" w:hAnsi="Times New Roman" w:cs="Times New Roman"/>
          <w:sz w:val="20"/>
          <w:szCs w:val="20"/>
          <w:lang w:bidi="ar-EG"/>
        </w:rPr>
        <w:t>) a</w:t>
      </w:r>
      <w:r w:rsidRPr="00EE72F9">
        <w:rPr>
          <w:rFonts w:ascii="Times New Roman" w:hAnsi="Times New Roman" w:cs="Times New Roman"/>
          <w:sz w:val="20"/>
          <w:szCs w:val="20"/>
          <w:lang w:bidi="ar-EG"/>
        </w:rPr>
        <w:t>s well as from the control group. Each blood sample was</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divided into three portions as follows:</w:t>
      </w:r>
    </w:p>
    <w:p w:rsidR="00FC3064" w:rsidRPr="00EE72F9" w:rsidRDefault="002974C0"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sectPr w:rsidR="00FC3064" w:rsidRPr="00EE72F9" w:rsidSect="00F32A46">
          <w:type w:val="continuous"/>
          <w:pgSz w:w="12240" w:h="15840"/>
          <w:pgMar w:top="1440" w:right="1440" w:bottom="1440" w:left="1440" w:header="720" w:footer="720" w:gutter="0"/>
          <w:cols w:num="2" w:space="550"/>
          <w:rtlGutter/>
          <w:docGrid w:linePitch="360"/>
        </w:sectPr>
      </w:pPr>
      <w:r w:rsidRPr="00EE72F9">
        <w:rPr>
          <w:rFonts w:ascii="Times New Roman" w:hAnsi="Times New Roman" w:cs="Times New Roman"/>
          <w:sz w:val="20"/>
          <w:szCs w:val="20"/>
          <w:lang w:bidi="ar-EG"/>
        </w:rPr>
        <w:t>First portion was collected into Na citrate-containing</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 xml:space="preserve">tube, and used for estimation of </w:t>
      </w:r>
    </w:p>
    <w:p w:rsidR="009016C5" w:rsidRPr="00EE72F9" w:rsidRDefault="002974C0" w:rsidP="00FC3064">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lang w:bidi="ar-EG"/>
        </w:rPr>
        <w:lastRenderedPageBreak/>
        <w:t>prothrombin time (PT</w:t>
      </w:r>
      <w:r w:rsidR="00F32A46" w:rsidRPr="00EE72F9">
        <w:rPr>
          <w:rFonts w:ascii="Times New Roman" w:hAnsi="Times New Roman" w:cs="Times New Roman"/>
          <w:sz w:val="20"/>
          <w:szCs w:val="20"/>
          <w:lang w:bidi="ar-EG"/>
        </w:rPr>
        <w:t>) i</w:t>
      </w:r>
      <w:r w:rsidRPr="00EE72F9">
        <w:rPr>
          <w:rFonts w:ascii="Times New Roman" w:hAnsi="Times New Roman" w:cs="Times New Roman"/>
          <w:sz w:val="20"/>
          <w:szCs w:val="20"/>
          <w:lang w:bidi="ar-EG"/>
        </w:rPr>
        <w:t>mmediately on automated blood coagulation analyser</w:t>
      </w:r>
      <w:r w:rsidR="005154D4" w:rsidRPr="00EE72F9">
        <w:rPr>
          <w:rFonts w:ascii="Times New Roman" w:hAnsi="Times New Roman" w:cs="Times New Roman"/>
          <w:sz w:val="20"/>
          <w:szCs w:val="20"/>
          <w:lang w:bidi="ar-EG"/>
        </w:rPr>
        <w:t xml:space="preserve"> </w:t>
      </w:r>
      <w:r w:rsidR="00945E83" w:rsidRPr="00EE72F9">
        <w:rPr>
          <w:rFonts w:ascii="Times New Roman" w:hAnsi="Times New Roman" w:cs="Times New Roman"/>
          <w:sz w:val="20"/>
          <w:szCs w:val="20"/>
          <w:lang w:bidi="ar-EG"/>
        </w:rPr>
        <w:t>(stago)</w:t>
      </w:r>
      <w:r w:rsidRPr="00EE72F9">
        <w:rPr>
          <w:rFonts w:ascii="Times New Roman" w:hAnsi="Times New Roman" w:cs="Times New Roman"/>
          <w:sz w:val="20"/>
          <w:szCs w:val="20"/>
          <w:lang w:bidi="ar-EG"/>
        </w:rPr>
        <w:t>.</w:t>
      </w:r>
    </w:p>
    <w:p w:rsidR="009016C5" w:rsidRPr="00EE72F9" w:rsidRDefault="002974C0"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The secon</w:t>
      </w:r>
      <w:r w:rsidR="005D60F2" w:rsidRPr="00EE72F9">
        <w:rPr>
          <w:rFonts w:ascii="Times New Roman" w:hAnsi="Times New Roman" w:cs="Times New Roman"/>
          <w:sz w:val="20"/>
          <w:szCs w:val="20"/>
          <w:lang w:bidi="ar-EG"/>
        </w:rPr>
        <w:t>d portion was collected into ED</w:t>
      </w:r>
      <w:r w:rsidRPr="00EE72F9">
        <w:rPr>
          <w:rFonts w:ascii="Times New Roman" w:hAnsi="Times New Roman" w:cs="Times New Roman"/>
          <w:sz w:val="20"/>
          <w:szCs w:val="20"/>
          <w:lang w:bidi="ar-EG"/>
        </w:rPr>
        <w:t>TA</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containing tube for CBC estimation using Coulter</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Counter T890 (Coulter LH 750 analyzer, Berlin</w:t>
      </w:r>
      <w:r w:rsidR="00F32A46" w:rsidRPr="00EE72F9">
        <w:rPr>
          <w:rFonts w:ascii="Times New Roman" w:hAnsi="Times New Roman" w:cs="Times New Roman"/>
          <w:sz w:val="20"/>
          <w:szCs w:val="20"/>
          <w:lang w:bidi="ar-EG"/>
        </w:rPr>
        <w:t>, G</w:t>
      </w:r>
      <w:r w:rsidRPr="00EE72F9">
        <w:rPr>
          <w:rFonts w:ascii="Times New Roman" w:hAnsi="Times New Roman" w:cs="Times New Roman"/>
          <w:sz w:val="20"/>
          <w:szCs w:val="20"/>
          <w:lang w:bidi="ar-EG"/>
        </w:rPr>
        <w:t>ermany).</w:t>
      </w:r>
    </w:p>
    <w:p w:rsidR="009016C5" w:rsidRPr="00EE72F9" w:rsidRDefault="002974C0"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The third portion was put in a plain tube, left to clot then</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centrifuged at 1600 rpm for 20</w:t>
      </w:r>
      <w:r w:rsidR="00EE72F9">
        <w:rPr>
          <w:rFonts w:ascii="Times New Roman" w:hAnsi="Times New Roman" w:cs="Times New Roman" w:hint="eastAsia"/>
          <w:sz w:val="20"/>
          <w:szCs w:val="20"/>
          <w:lang w:eastAsia="zh-CN" w:bidi="ar-EG"/>
        </w:rPr>
        <w:t xml:space="preserve"> </w:t>
      </w:r>
      <w:r w:rsidRPr="00EE72F9">
        <w:rPr>
          <w:rFonts w:ascii="Times New Roman" w:hAnsi="Times New Roman" w:cs="Times New Roman"/>
          <w:sz w:val="20"/>
          <w:szCs w:val="20"/>
          <w:lang w:bidi="ar-EG"/>
        </w:rPr>
        <w:t>minutes and serum</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was separated and used for estimation of:</w:t>
      </w:r>
    </w:p>
    <w:p w:rsidR="0091589A" w:rsidRPr="00EE72F9" w:rsidRDefault="002974C0" w:rsidP="00F32A46">
      <w:pPr>
        <w:pStyle w:val="ListParagraph"/>
        <w:widowControl w:val="0"/>
        <w:numPr>
          <w:ilvl w:val="0"/>
          <w:numId w:val="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Liver and kidney function tests were done on Hitachi911 auto-analyzer (Roche-Hitachi, Japan).</w:t>
      </w:r>
    </w:p>
    <w:p w:rsidR="0091589A" w:rsidRPr="00EE72F9" w:rsidRDefault="002974C0" w:rsidP="00F32A46">
      <w:pPr>
        <w:pStyle w:val="ListParagraph"/>
        <w:widowControl w:val="0"/>
        <w:numPr>
          <w:ilvl w:val="0"/>
          <w:numId w:val="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Detection of HBS antigen</w:t>
      </w:r>
      <w:r w:rsidR="0046088D" w:rsidRPr="00EE72F9">
        <w:rPr>
          <w:rFonts w:ascii="Times New Roman" w:hAnsi="Times New Roman" w:cs="Times New Roman"/>
          <w:sz w:val="20"/>
          <w:szCs w:val="20"/>
          <w:lang w:bidi="ar-EG"/>
        </w:rPr>
        <w:t xml:space="preserve"> &amp; </w:t>
      </w:r>
      <w:r w:rsidRPr="00EE72F9">
        <w:rPr>
          <w:rFonts w:ascii="Times New Roman" w:hAnsi="Times New Roman" w:cs="Times New Roman"/>
          <w:sz w:val="20"/>
          <w:szCs w:val="20"/>
          <w:lang w:bidi="ar-EG"/>
        </w:rPr>
        <w:t>anti-HCV antibody by</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enzyme-linked immunosorbent assay (ELISA)</w:t>
      </w:r>
      <w:r w:rsidR="009016C5" w:rsidRPr="00EE72F9">
        <w:rPr>
          <w:rFonts w:ascii="Times New Roman" w:hAnsi="Times New Roman" w:cs="Times New Roman"/>
          <w:sz w:val="20"/>
          <w:szCs w:val="20"/>
          <w:lang w:bidi="ar-EG"/>
        </w:rPr>
        <w:t>.</w:t>
      </w:r>
    </w:p>
    <w:p w:rsidR="0091589A" w:rsidRPr="00EE72F9" w:rsidRDefault="002974C0" w:rsidP="00F32A46">
      <w:pPr>
        <w:pStyle w:val="ListParagraph"/>
        <w:widowControl w:val="0"/>
        <w:numPr>
          <w:ilvl w:val="0"/>
          <w:numId w:val="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The presence of HCV RNA</w:t>
      </w:r>
      <w:r w:rsidR="00EE72F9">
        <w:rPr>
          <w:rFonts w:ascii="Times New Roman" w:hAnsi="Times New Roman" w:cs="Times New Roman" w:hint="eastAsia"/>
          <w:sz w:val="20"/>
          <w:szCs w:val="20"/>
          <w:lang w:eastAsia="zh-CN" w:bidi="ar-EG"/>
        </w:rPr>
        <w:t xml:space="preserve"> </w:t>
      </w:r>
      <w:r w:rsidRPr="00EE72F9">
        <w:rPr>
          <w:rFonts w:ascii="Times New Roman" w:hAnsi="Times New Roman" w:cs="Times New Roman"/>
          <w:sz w:val="20"/>
          <w:szCs w:val="20"/>
          <w:lang w:bidi="ar-EG"/>
        </w:rPr>
        <w:t>by reverse transcription-polymerase chain reaction (RT-PCR).</w:t>
      </w:r>
    </w:p>
    <w:p w:rsidR="0091589A" w:rsidRPr="00EE72F9" w:rsidRDefault="002974C0" w:rsidP="00F32A46">
      <w:pPr>
        <w:pStyle w:val="ListParagraph"/>
        <w:widowControl w:val="0"/>
        <w:numPr>
          <w:ilvl w:val="0"/>
          <w:numId w:val="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Serum Alpha fetoprotein (AFP) was detected by</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COBAS e411 chemiluminescence auto analyzer using</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Roche reagents (Roche Diagnostics GmbH, D-68289Mannheim, Germany).</w:t>
      </w:r>
    </w:p>
    <w:p w:rsidR="0091589A" w:rsidRPr="00EE72F9" w:rsidRDefault="002974C0" w:rsidP="00F32A46">
      <w:pPr>
        <w:pStyle w:val="ListParagraph"/>
        <w:widowControl w:val="0"/>
        <w:numPr>
          <w:ilvl w:val="0"/>
          <w:numId w:val="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Estimation of interferon α by ELISA kit (Verikine</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Human IFN Alpha supplied from</w:t>
      </w:r>
      <w:r w:rsidR="00EE72F9">
        <w:rPr>
          <w:rFonts w:ascii="Times New Roman" w:hAnsi="Times New Roman" w:cs="Times New Roman" w:hint="eastAsia"/>
          <w:sz w:val="20"/>
          <w:szCs w:val="20"/>
          <w:lang w:eastAsia="zh-CN" w:bidi="ar-EG"/>
        </w:rPr>
        <w:t xml:space="preserve"> </w:t>
      </w:r>
      <w:r w:rsidRPr="00EE72F9">
        <w:rPr>
          <w:rFonts w:ascii="Times New Roman" w:hAnsi="Times New Roman" w:cs="Times New Roman"/>
          <w:sz w:val="20"/>
          <w:szCs w:val="20"/>
          <w:lang w:bidi="ar-EG"/>
        </w:rPr>
        <w:t>pbl assay Science</w:t>
      </w:r>
      <w:r w:rsidR="00EE72F9">
        <w:rPr>
          <w:rFonts w:ascii="Times New Roman" w:hAnsi="Times New Roman" w:cs="Times New Roman" w:hint="eastAsia"/>
          <w:sz w:val="20"/>
          <w:szCs w:val="20"/>
          <w:lang w:eastAsia="zh-CN" w:bidi="ar-EG"/>
        </w:rPr>
        <w:t xml:space="preserve"> </w:t>
      </w:r>
      <w:r w:rsidRPr="00EE72F9">
        <w:rPr>
          <w:rFonts w:ascii="Times New Roman" w:hAnsi="Times New Roman" w:cs="Times New Roman"/>
          <w:sz w:val="20"/>
          <w:szCs w:val="20"/>
          <w:lang w:bidi="ar-EG"/>
        </w:rPr>
        <w:t>catalog NO4110) with extended range 156-5000</w:t>
      </w:r>
      <w:r w:rsidR="00C342AD" w:rsidRPr="00EE72F9">
        <w:rPr>
          <w:rFonts w:ascii="Times New Roman" w:hAnsi="Times New Roman" w:cs="Times New Roman"/>
          <w:sz w:val="20"/>
          <w:szCs w:val="20"/>
          <w:lang w:bidi="ar-EG"/>
        </w:rPr>
        <w:t>pg/ml</w:t>
      </w:r>
      <w:r w:rsidR="00F32A46" w:rsidRPr="00EE72F9">
        <w:rPr>
          <w:rFonts w:ascii="Times New Roman" w:hAnsi="Times New Roman" w:cs="Times New Roman"/>
          <w:sz w:val="20"/>
          <w:szCs w:val="20"/>
          <w:lang w:bidi="ar-EG"/>
        </w:rPr>
        <w:t>. T</w:t>
      </w:r>
      <w:r w:rsidRPr="00EE72F9">
        <w:rPr>
          <w:rFonts w:ascii="Times New Roman" w:hAnsi="Times New Roman" w:cs="Times New Roman"/>
          <w:sz w:val="20"/>
          <w:szCs w:val="20"/>
          <w:lang w:bidi="ar-EG"/>
        </w:rPr>
        <w:t xml:space="preserve">his kit </w:t>
      </w:r>
      <w:r w:rsidR="00EE72F9" w:rsidRPr="00EE72F9">
        <w:rPr>
          <w:rFonts w:ascii="Times New Roman" w:hAnsi="Times New Roman" w:cs="Times New Roman"/>
          <w:sz w:val="20"/>
          <w:szCs w:val="20"/>
          <w:lang w:bidi="ar-EG"/>
        </w:rPr>
        <w:t>quantities</w:t>
      </w:r>
      <w:r w:rsidRPr="00EE72F9">
        <w:rPr>
          <w:rFonts w:ascii="Times New Roman" w:hAnsi="Times New Roman" w:cs="Times New Roman"/>
          <w:sz w:val="20"/>
          <w:szCs w:val="20"/>
          <w:lang w:bidi="ar-EG"/>
        </w:rPr>
        <w:t xml:space="preserve"> the human interferon alpha in</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the media using a sandwich immunoassay. The kit is</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based on ELISA with anti detection antibody</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 xml:space="preserve">conjugated to horseradish peroxidase (HRP). Tetramethyl-benzidine (TMB) is substrate. The assay </w:t>
      </w:r>
      <w:r w:rsidR="00EE72F9" w:rsidRPr="00EE72F9">
        <w:rPr>
          <w:rFonts w:ascii="Times New Roman" w:hAnsi="Times New Roman" w:cs="Times New Roman"/>
          <w:sz w:val="20"/>
          <w:szCs w:val="20"/>
          <w:lang w:bidi="ar-EG"/>
        </w:rPr>
        <w:t>is based</w:t>
      </w:r>
      <w:r w:rsidRPr="00EE72F9">
        <w:rPr>
          <w:rFonts w:ascii="Times New Roman" w:hAnsi="Times New Roman" w:cs="Times New Roman"/>
          <w:sz w:val="20"/>
          <w:szCs w:val="20"/>
          <w:lang w:bidi="ar-EG"/>
        </w:rPr>
        <w:t xml:space="preserve"> on international reference standard for </w:t>
      </w:r>
      <w:r w:rsidR="00EE72F9" w:rsidRPr="00EE72F9">
        <w:rPr>
          <w:rFonts w:ascii="Times New Roman" w:hAnsi="Times New Roman" w:cs="Times New Roman"/>
          <w:sz w:val="20"/>
          <w:szCs w:val="20"/>
          <w:lang w:bidi="ar-EG"/>
        </w:rPr>
        <w:t>human interferon</w:t>
      </w:r>
      <w:r w:rsidRPr="00EE72F9">
        <w:rPr>
          <w:rFonts w:ascii="Times New Roman" w:hAnsi="Times New Roman" w:cs="Times New Roman"/>
          <w:sz w:val="20"/>
          <w:szCs w:val="20"/>
          <w:lang w:bidi="ar-EG"/>
        </w:rPr>
        <w:t xml:space="preserve"> alpha provided by national institute of health</w:t>
      </w:r>
      <w:r w:rsidR="00C342AD" w:rsidRPr="00EE72F9">
        <w:rPr>
          <w:rFonts w:ascii="Times New Roman" w:hAnsi="Times New Roman" w:cs="Times New Roman"/>
          <w:sz w:val="20"/>
          <w:szCs w:val="20"/>
          <w:lang w:bidi="ar-EG"/>
        </w:rPr>
        <w:t>.</w:t>
      </w:r>
    </w:p>
    <w:p w:rsidR="0091589A" w:rsidRPr="00EE72F9" w:rsidRDefault="002974C0" w:rsidP="00F32A46">
      <w:pPr>
        <w:pStyle w:val="ListParagraph"/>
        <w:widowControl w:val="0"/>
        <w:numPr>
          <w:ilvl w:val="0"/>
          <w:numId w:val="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Determination of relative level of TLR3expression by</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real time PCR. Gene Expression Analysis Real time</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PCR amplification was done by Rotor - Gene Q Real</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Time PCR instruments from QIAGEN USA. Using</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real-time PCR kit (Lot Number 1091352 Rev.</w:t>
      </w:r>
      <w:r w:rsidR="00DF35EB" w:rsidRPr="00EE72F9">
        <w:rPr>
          <w:rFonts w:ascii="Times New Roman" w:hAnsi="Times New Roman" w:cs="Times New Roman"/>
          <w:sz w:val="20"/>
          <w:szCs w:val="20"/>
          <w:lang w:bidi="ar-EG"/>
        </w:rPr>
        <w:t xml:space="preserve"> APPLIED BIOSYSTEMS. 03/2017). Total RNA was extracted from peripheral venous blood of each individual using RNA extraction and purification kit</w:t>
      </w:r>
      <w:r w:rsidR="0046088D" w:rsidRPr="00EE72F9">
        <w:rPr>
          <w:rFonts w:ascii="Times New Roman" w:hAnsi="Times New Roman" w:cs="Times New Roman"/>
          <w:sz w:val="20"/>
          <w:szCs w:val="20"/>
          <w:lang w:bidi="ar-EG"/>
        </w:rPr>
        <w:t xml:space="preserve"> </w:t>
      </w:r>
      <w:r w:rsidR="00DF35EB" w:rsidRPr="00EE72F9">
        <w:rPr>
          <w:rFonts w:ascii="Times New Roman" w:hAnsi="Times New Roman" w:cs="Times New Roman"/>
          <w:sz w:val="20"/>
          <w:szCs w:val="20"/>
          <w:lang w:bidi="ar-EG"/>
        </w:rPr>
        <w:t xml:space="preserve">(QIAamp RNA Blood Mini Kit, Qiagen, Germany) in fully automated on the QIAcube (Germany). </w:t>
      </w:r>
    </w:p>
    <w:p w:rsidR="0091589A" w:rsidRPr="00EE72F9" w:rsidRDefault="00DF35EB" w:rsidP="00F32A46">
      <w:pPr>
        <w:pStyle w:val="ListParagraph"/>
        <w:widowControl w:val="0"/>
        <w:numPr>
          <w:ilvl w:val="0"/>
          <w:numId w:val="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xml:space="preserve">Isolated total RNA was quantified photo spectrometrically at 260 nm. Purity of total RNA was assessed by the 260/280 nm ratio which was between </w:t>
      </w:r>
      <w:r w:rsidRPr="00EE72F9">
        <w:rPr>
          <w:rFonts w:ascii="Times New Roman" w:hAnsi="Times New Roman" w:cs="Times New Roman"/>
          <w:sz w:val="20"/>
          <w:szCs w:val="20"/>
          <w:lang w:bidi="ar-EG"/>
        </w:rPr>
        <w:lastRenderedPageBreak/>
        <w:t xml:space="preserve">1.8 and 2.1. The RNA </w:t>
      </w:r>
      <w:r w:rsidR="00EE72F9" w:rsidRPr="00EE72F9">
        <w:rPr>
          <w:rFonts w:ascii="Times New Roman" w:hAnsi="Times New Roman" w:cs="Times New Roman"/>
          <w:sz w:val="20"/>
          <w:szCs w:val="20"/>
          <w:lang w:bidi="ar-EG"/>
        </w:rPr>
        <w:t>integrity was</w:t>
      </w:r>
      <w:r w:rsidRPr="00EE72F9">
        <w:rPr>
          <w:rFonts w:ascii="Times New Roman" w:hAnsi="Times New Roman" w:cs="Times New Roman"/>
          <w:sz w:val="20"/>
          <w:szCs w:val="20"/>
          <w:lang w:bidi="ar-EG"/>
        </w:rPr>
        <w:t xml:space="preserve"> tested on the Nano drop ND-1000 spectrophotometer (Germany) which is a full spectrum</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(220 -750nm) spectrophotometer that measures 1 μl samples with high accuracy and reproducibility.</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Immediately after blood drawing with the RNEASY Blood RNA system (Quiagen, Dusseldorf, Germany).</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The mRNA was transcribed into cDNA, using the Omniscript reverse transcription kit (Quiagen,</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 xml:space="preserve">Dusseldorf, Germany). </w:t>
      </w:r>
    </w:p>
    <w:p w:rsidR="008D7107" w:rsidRPr="00EE72F9" w:rsidRDefault="00DF35EB" w:rsidP="00F32A46">
      <w:pPr>
        <w:pStyle w:val="ListParagraph"/>
        <w:widowControl w:val="0"/>
        <w:numPr>
          <w:ilvl w:val="0"/>
          <w:numId w:val="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QIAGEN's real-time PCR cycler (Rotor-Gene Q, USA)</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was used to determine the cortex</w:t>
      </w:r>
      <w:r w:rsidR="00624B57" w:rsidRPr="00EE72F9">
        <w:rPr>
          <w:rFonts w:ascii="Times New Roman" w:hAnsi="Times New Roman" w:cs="Times New Roman"/>
          <w:sz w:val="20"/>
          <w:szCs w:val="20"/>
          <w:lang w:bidi="ar-EG"/>
        </w:rPr>
        <w:t xml:space="preserve"> DNA copy number.</w:t>
      </w:r>
      <w:r w:rsidR="0046088D" w:rsidRPr="00EE72F9">
        <w:rPr>
          <w:rFonts w:ascii="Times New Roman" w:hAnsi="Times New Roman" w:cs="Times New Roman"/>
          <w:sz w:val="20"/>
          <w:szCs w:val="20"/>
          <w:lang w:bidi="ar-EG"/>
        </w:rPr>
        <w:t xml:space="preserve"> </w:t>
      </w:r>
      <w:r w:rsidR="00624B57" w:rsidRPr="00EE72F9">
        <w:rPr>
          <w:rFonts w:ascii="Times New Roman" w:hAnsi="Times New Roman" w:cs="Times New Roman"/>
          <w:sz w:val="20"/>
          <w:szCs w:val="20"/>
          <w:lang w:bidi="ar-EG"/>
        </w:rPr>
        <w:t>PCR reactions were set up in 25 μL reaction mixtures containing 12.5 μL 1× SYBR® Premix ExTaqTM</w:t>
      </w:r>
      <w:r w:rsidR="0046088D" w:rsidRPr="00EE72F9">
        <w:rPr>
          <w:rFonts w:ascii="Times New Roman" w:hAnsi="Times New Roman" w:cs="Times New Roman"/>
          <w:sz w:val="20"/>
          <w:szCs w:val="20"/>
          <w:lang w:bidi="ar-EG"/>
        </w:rPr>
        <w:t xml:space="preserve"> </w:t>
      </w:r>
      <w:r w:rsidR="00624B57" w:rsidRPr="00EE72F9">
        <w:rPr>
          <w:rFonts w:ascii="Times New Roman" w:hAnsi="Times New Roman" w:cs="Times New Roman"/>
          <w:sz w:val="20"/>
          <w:szCs w:val="20"/>
          <w:lang w:bidi="ar-EG"/>
        </w:rPr>
        <w:t>(TaKaRa, B</w:t>
      </w:r>
      <w:r w:rsidR="00965950" w:rsidRPr="00EE72F9">
        <w:rPr>
          <w:rFonts w:ascii="Times New Roman" w:hAnsi="Times New Roman" w:cs="Times New Roman"/>
          <w:sz w:val="20"/>
          <w:szCs w:val="20"/>
          <w:lang w:bidi="ar-EG"/>
        </w:rPr>
        <w:t>iotech. Co. Ltd.), 0.5 μL 0.2 μL</w:t>
      </w:r>
      <w:r w:rsidR="00624B57" w:rsidRPr="00EE72F9">
        <w:rPr>
          <w:rFonts w:ascii="Times New Roman" w:hAnsi="Times New Roman" w:cs="Times New Roman"/>
          <w:sz w:val="20"/>
          <w:szCs w:val="20"/>
          <w:lang w:bidi="ar-EG"/>
        </w:rPr>
        <w:t xml:space="preserve"> sense primer, 0.5 μL 0.2 μM antisense primer, 6.5 μL distilled water, and 5 μL of cDNA template. The reaction program was allocated to 3 steps. First </w:t>
      </w:r>
      <w:r w:rsidR="00EE72F9" w:rsidRPr="00EE72F9">
        <w:rPr>
          <w:rFonts w:ascii="Times New Roman" w:hAnsi="Times New Roman" w:cs="Times New Roman"/>
          <w:sz w:val="20"/>
          <w:szCs w:val="20"/>
          <w:lang w:bidi="ar-EG"/>
        </w:rPr>
        <w:t>step was</w:t>
      </w:r>
      <w:r w:rsidR="00624B57" w:rsidRPr="00EE72F9">
        <w:rPr>
          <w:rFonts w:ascii="Times New Roman" w:hAnsi="Times New Roman" w:cs="Times New Roman"/>
          <w:sz w:val="20"/>
          <w:szCs w:val="20"/>
          <w:lang w:bidi="ar-EG"/>
        </w:rPr>
        <w:t xml:space="preserve"> at 95.0°C for 3 min. Second step consisted of 40 cycles in which each cycle divided to 3 steps: (a) at 95.0°C for 15 sec; (b) at 55.0°C for 30 sec; and (c) at 72.0°C for 30 sec. The third step consisted of 71 cycles which started at 60.0°C and then increased about 0.5°C every 10 sec up to 95.0°C. The fluorescence products were differentiated by ABI sequencer 377(Applied Biosystems). The sequences of specific primer of the TLR 3 are forward primer TGGTTGGGCCACCTAGAAGTA and reverse primer:</w:t>
      </w:r>
      <w:r w:rsidR="0046088D" w:rsidRPr="00EE72F9">
        <w:rPr>
          <w:rFonts w:ascii="Times New Roman" w:hAnsi="Times New Roman" w:cs="Times New Roman"/>
          <w:sz w:val="20"/>
          <w:szCs w:val="20"/>
          <w:lang w:bidi="ar-EG"/>
        </w:rPr>
        <w:t xml:space="preserve"> </w:t>
      </w:r>
      <w:r w:rsidR="00624B57" w:rsidRPr="00EE72F9">
        <w:rPr>
          <w:rFonts w:ascii="Times New Roman" w:hAnsi="Times New Roman" w:cs="Times New Roman"/>
          <w:sz w:val="20"/>
          <w:szCs w:val="20"/>
          <w:lang w:bidi="ar-EG"/>
        </w:rPr>
        <w:t>TCTCCATTCCTGGCCTGTG.</w:t>
      </w:r>
    </w:p>
    <w:p w:rsidR="00696C61" w:rsidRPr="00EE72F9" w:rsidRDefault="00696C61" w:rsidP="00F32A46">
      <w:pPr>
        <w:widowControl w:val="0"/>
        <w:bidi w:val="0"/>
        <w:snapToGrid w:val="0"/>
        <w:spacing w:after="0" w:line="240" w:lineRule="auto"/>
        <w:jc w:val="both"/>
        <w:rPr>
          <w:rFonts w:ascii="Times New Roman" w:hAnsi="Times New Roman" w:cs="Times New Roman"/>
          <w:b/>
          <w:bCs/>
          <w:sz w:val="20"/>
          <w:szCs w:val="20"/>
        </w:rPr>
      </w:pPr>
    </w:p>
    <w:p w:rsidR="0045349A" w:rsidRPr="00EE72F9" w:rsidRDefault="00696C61" w:rsidP="00F32A46">
      <w:pPr>
        <w:widowControl w:val="0"/>
        <w:bidi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rPr>
        <w:t>3. Results:</w:t>
      </w:r>
    </w:p>
    <w:p w:rsidR="0045349A" w:rsidRPr="00EE72F9" w:rsidRDefault="0045349A"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E72F9">
        <w:rPr>
          <w:rFonts w:ascii="Times New Roman" w:hAnsi="Times New Roman" w:cs="Times New Roman"/>
          <w:sz w:val="20"/>
          <w:szCs w:val="20"/>
        </w:rPr>
        <w:t>The curre</w:t>
      </w:r>
      <w:r w:rsidR="0066096A" w:rsidRPr="00EE72F9">
        <w:rPr>
          <w:rFonts w:ascii="Times New Roman" w:hAnsi="Times New Roman" w:cs="Times New Roman"/>
          <w:sz w:val="20"/>
          <w:szCs w:val="20"/>
        </w:rPr>
        <w:t xml:space="preserve">nt study included 120 subjects </w:t>
      </w:r>
      <w:r w:rsidRPr="00EE72F9">
        <w:rPr>
          <w:rFonts w:ascii="Times New Roman" w:hAnsi="Times New Roman" w:cs="Times New Roman"/>
          <w:sz w:val="20"/>
          <w:szCs w:val="20"/>
        </w:rPr>
        <w:t>60 patients 32(53.3%) males</w:t>
      </w:r>
      <w:r w:rsidR="0046088D" w:rsidRPr="00EE72F9">
        <w:rPr>
          <w:rFonts w:ascii="Times New Roman" w:hAnsi="Times New Roman" w:cs="Times New Roman"/>
          <w:sz w:val="20"/>
          <w:szCs w:val="20"/>
        </w:rPr>
        <w:t xml:space="preserve"> &amp; </w:t>
      </w:r>
      <w:r w:rsidRPr="00EE72F9">
        <w:rPr>
          <w:rFonts w:ascii="Times New Roman" w:hAnsi="Times New Roman" w:cs="Times New Roman"/>
          <w:sz w:val="20"/>
          <w:szCs w:val="20"/>
        </w:rPr>
        <w:t>28 (46.7%) females, their ages ranged from 34 to 67 years and 60 healthy subjects as a control group</w:t>
      </w:r>
      <w:r w:rsidR="0066096A" w:rsidRPr="00EE72F9">
        <w:rPr>
          <w:rFonts w:ascii="Times New Roman" w:hAnsi="Times New Roman" w:cs="Times New Roman"/>
          <w:sz w:val="20"/>
          <w:szCs w:val="20"/>
        </w:rPr>
        <w:t>. The results and data were collected and analyzed in</w:t>
      </w:r>
      <w:r w:rsidR="005154D4" w:rsidRPr="00EE72F9">
        <w:rPr>
          <w:rFonts w:ascii="Times New Roman" w:hAnsi="Times New Roman" w:cs="Times New Roman"/>
          <w:sz w:val="20"/>
          <w:szCs w:val="20"/>
        </w:rPr>
        <w:t xml:space="preserve"> </w:t>
      </w:r>
      <w:r w:rsidR="0066096A" w:rsidRPr="00EE72F9">
        <w:rPr>
          <w:rFonts w:ascii="Times New Roman" w:hAnsi="Times New Roman" w:cs="Times New Roman"/>
          <w:sz w:val="20"/>
          <w:szCs w:val="20"/>
        </w:rPr>
        <w:t>tables 1-6 and figures 1-3.</w:t>
      </w:r>
    </w:p>
    <w:p w:rsidR="0066096A" w:rsidRPr="00EE72F9" w:rsidRDefault="0066096A"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E72F9">
        <w:rPr>
          <w:rFonts w:ascii="Times New Roman" w:hAnsi="Times New Roman" w:cs="Times New Roman"/>
          <w:sz w:val="20"/>
          <w:szCs w:val="20"/>
        </w:rPr>
        <w:t>As regard serum INF alpha there was significant increase in patients</w:t>
      </w:r>
      <w:r w:rsidR="0046088D" w:rsidRPr="00EE72F9">
        <w:rPr>
          <w:rFonts w:ascii="Times New Roman" w:hAnsi="Times New Roman" w:cs="Times New Roman"/>
          <w:sz w:val="20"/>
          <w:szCs w:val="20"/>
        </w:rPr>
        <w:t xml:space="preserve"> </w:t>
      </w:r>
      <w:r w:rsidRPr="00EE72F9">
        <w:rPr>
          <w:rFonts w:ascii="Times New Roman" w:hAnsi="Times New Roman" w:cs="Times New Roman"/>
          <w:sz w:val="20"/>
          <w:szCs w:val="20"/>
        </w:rPr>
        <w:t>(mean=39.90 ± 67.83) (P&lt;0.05) as compared to controls (mean= 10.20 ± 1.20). There was significant difference as regard TLR 3 gene expression by comparing patients against controls {Table (5) and Fig. (2)}.</w:t>
      </w:r>
      <w:r w:rsidR="0046088D" w:rsidRPr="00EE72F9">
        <w:rPr>
          <w:rFonts w:ascii="Times New Roman" w:hAnsi="Times New Roman" w:cs="Times New Roman"/>
          <w:sz w:val="20"/>
          <w:szCs w:val="20"/>
        </w:rPr>
        <w:t>,</w:t>
      </w:r>
      <w:r w:rsidRPr="00EE72F9">
        <w:rPr>
          <w:rFonts w:ascii="Times New Roman" w:hAnsi="Times New Roman" w:cs="Times New Roman"/>
          <w:sz w:val="20"/>
          <w:szCs w:val="20"/>
        </w:rPr>
        <w:t xml:space="preserve"> There was significant positive correlation between TL 3 gene expression and INF alpha level in patients, while there was no significant correlation between TL 3 gene expression and </w:t>
      </w:r>
      <w:r w:rsidRPr="00EE72F9">
        <w:rPr>
          <w:rFonts w:ascii="Times New Roman" w:hAnsi="Times New Roman" w:cs="Times New Roman"/>
          <w:b/>
          <w:bCs/>
          <w:sz w:val="20"/>
          <w:szCs w:val="20"/>
        </w:rPr>
        <w:t>(Age, ALT, AST, ALB, Total Bilirubin, HB,</w:t>
      </w:r>
      <w:r w:rsidR="0046088D" w:rsidRPr="00EE72F9">
        <w:rPr>
          <w:rFonts w:ascii="Times New Roman" w:hAnsi="Times New Roman" w:cs="Times New Roman"/>
          <w:b/>
          <w:bCs/>
          <w:sz w:val="20"/>
          <w:szCs w:val="20"/>
        </w:rPr>
        <w:t xml:space="preserve"> </w:t>
      </w:r>
      <w:r w:rsidRPr="00EE72F9">
        <w:rPr>
          <w:rFonts w:ascii="Times New Roman" w:hAnsi="Times New Roman" w:cs="Times New Roman"/>
          <w:b/>
          <w:bCs/>
          <w:sz w:val="20"/>
          <w:szCs w:val="20"/>
        </w:rPr>
        <w:t>PLT</w:t>
      </w:r>
      <w:r w:rsidR="00E754D4" w:rsidRPr="00EE72F9">
        <w:rPr>
          <w:rFonts w:ascii="Times New Roman" w:hAnsi="Times New Roman" w:cs="Times New Roman"/>
          <w:b/>
          <w:bCs/>
          <w:sz w:val="20"/>
          <w:szCs w:val="20"/>
        </w:rPr>
        <w:t xml:space="preserve"> and TLC</w:t>
      </w:r>
      <w:r w:rsidRPr="00EE72F9">
        <w:rPr>
          <w:rFonts w:ascii="Times New Roman" w:hAnsi="Times New Roman" w:cs="Times New Roman"/>
          <w:b/>
          <w:bCs/>
          <w:sz w:val="20"/>
          <w:szCs w:val="20"/>
        </w:rPr>
        <w:t>)</w:t>
      </w:r>
      <w:r w:rsidR="00760BA5" w:rsidRPr="00EE72F9">
        <w:rPr>
          <w:rFonts w:ascii="Times New Roman" w:hAnsi="Times New Roman" w:cs="Times New Roman"/>
          <w:sz w:val="20"/>
          <w:szCs w:val="20"/>
        </w:rPr>
        <w:t>.</w:t>
      </w:r>
    </w:p>
    <w:p w:rsidR="00F32A46" w:rsidRPr="00EE72F9" w:rsidRDefault="00F32A46" w:rsidP="00F32A46">
      <w:pPr>
        <w:widowControl w:val="0"/>
        <w:bidi w:val="0"/>
        <w:snapToGrid w:val="0"/>
        <w:spacing w:after="0" w:line="240" w:lineRule="auto"/>
        <w:jc w:val="center"/>
        <w:rPr>
          <w:rFonts w:ascii="Times New Roman" w:hAnsi="Times New Roman" w:cs="Times New Roman"/>
          <w:b/>
          <w:bCs/>
          <w:sz w:val="20"/>
          <w:szCs w:val="20"/>
        </w:rPr>
        <w:sectPr w:rsidR="00F32A46" w:rsidRPr="00EE72F9" w:rsidSect="00FC3064">
          <w:headerReference w:type="default" r:id="rId13"/>
          <w:pgSz w:w="12240" w:h="15840"/>
          <w:pgMar w:top="1440" w:right="1440" w:bottom="1440" w:left="1440" w:header="720" w:footer="720" w:gutter="0"/>
          <w:cols w:num="2" w:space="550"/>
          <w:rtlGutter/>
          <w:docGrid w:linePitch="360"/>
        </w:sectPr>
      </w:pPr>
    </w:p>
    <w:p w:rsidR="00696C61" w:rsidRPr="00EE72F9" w:rsidRDefault="00696C61" w:rsidP="00F32A46">
      <w:pPr>
        <w:widowControl w:val="0"/>
        <w:bidi w:val="0"/>
        <w:snapToGrid w:val="0"/>
        <w:spacing w:after="0" w:line="240" w:lineRule="auto"/>
        <w:jc w:val="center"/>
        <w:rPr>
          <w:rFonts w:ascii="Times New Roman" w:hAnsi="Times New Roman" w:cs="Times New Roman"/>
          <w:b/>
          <w:bCs/>
          <w:sz w:val="20"/>
          <w:szCs w:val="20"/>
        </w:rPr>
      </w:pPr>
    </w:p>
    <w:p w:rsidR="00760BA5" w:rsidRPr="00EE72F9" w:rsidRDefault="00BB7D63" w:rsidP="00F32A46">
      <w:pPr>
        <w:widowControl w:val="0"/>
        <w:bidi w:val="0"/>
        <w:snapToGrid w:val="0"/>
        <w:spacing w:after="0" w:line="240" w:lineRule="auto"/>
        <w:jc w:val="center"/>
        <w:rPr>
          <w:rFonts w:ascii="Times New Roman" w:hAnsi="Times New Roman" w:cs="Times New Roman"/>
          <w:b/>
          <w:bCs/>
          <w:sz w:val="20"/>
          <w:szCs w:val="20"/>
        </w:rPr>
      </w:pPr>
      <w:r w:rsidRPr="00EE72F9">
        <w:rPr>
          <w:rFonts w:ascii="Times New Roman" w:hAnsi="Times New Roman" w:cs="Times New Roman"/>
          <w:b/>
          <w:bCs/>
          <w:sz w:val="20"/>
          <w:szCs w:val="20"/>
        </w:rPr>
        <w:t>Table (1):</w:t>
      </w:r>
      <w:r w:rsidR="00760BA5" w:rsidRPr="00EE72F9">
        <w:rPr>
          <w:rFonts w:ascii="Times New Roman" w:hAnsi="Times New Roman" w:cs="Times New Roman"/>
          <w:b/>
          <w:bCs/>
          <w:sz w:val="20"/>
          <w:szCs w:val="20"/>
        </w:rPr>
        <w:t xml:space="preserve"> Age and sex distribution of the studied groups</w:t>
      </w:r>
    </w:p>
    <w:tbl>
      <w:tblPr>
        <w:tblStyle w:val="TableGrid"/>
        <w:tblW w:w="5000" w:type="pct"/>
        <w:jc w:val="center"/>
        <w:tblCellMar>
          <w:left w:w="57" w:type="dxa"/>
          <w:right w:w="57" w:type="dxa"/>
        </w:tblCellMar>
        <w:tblLook w:val="04A0"/>
      </w:tblPr>
      <w:tblGrid>
        <w:gridCol w:w="963"/>
        <w:gridCol w:w="1679"/>
        <w:gridCol w:w="976"/>
        <w:gridCol w:w="2096"/>
        <w:gridCol w:w="2202"/>
        <w:gridCol w:w="1558"/>
      </w:tblGrid>
      <w:tr w:rsidR="002D1D7A" w:rsidRPr="00EE72F9" w:rsidTr="00F32A46">
        <w:trPr>
          <w:jc w:val="center"/>
        </w:trPr>
        <w:tc>
          <w:tcPr>
            <w:tcW w:w="509"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c>
          <w:tcPr>
            <w:tcW w:w="1401" w:type="pct"/>
            <w:gridSpan w:val="2"/>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c>
          <w:tcPr>
            <w:tcW w:w="1106"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Patients</w:t>
            </w:r>
          </w:p>
        </w:tc>
        <w:tc>
          <w:tcPr>
            <w:tcW w:w="1162"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Control</w:t>
            </w:r>
          </w:p>
        </w:tc>
        <w:tc>
          <w:tcPr>
            <w:tcW w:w="823"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P-value</w:t>
            </w:r>
          </w:p>
        </w:tc>
      </w:tr>
      <w:tr w:rsidR="002D1D7A" w:rsidRPr="00EE72F9" w:rsidTr="00F32A46">
        <w:trPr>
          <w:jc w:val="center"/>
        </w:trPr>
        <w:tc>
          <w:tcPr>
            <w:tcW w:w="509"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Age</w:t>
            </w:r>
          </w:p>
        </w:tc>
        <w:tc>
          <w:tcPr>
            <w:tcW w:w="1401" w:type="pct"/>
            <w:gridSpan w:val="2"/>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Mean ± SD</w:t>
            </w:r>
          </w:p>
        </w:tc>
        <w:tc>
          <w:tcPr>
            <w:tcW w:w="1106"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49.37± 8.4</w:t>
            </w:r>
          </w:p>
        </w:tc>
        <w:tc>
          <w:tcPr>
            <w:tcW w:w="1162"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49.70±9.26</w:t>
            </w:r>
          </w:p>
        </w:tc>
        <w:tc>
          <w:tcPr>
            <w:tcW w:w="823"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0.304</w:t>
            </w:r>
          </w:p>
        </w:tc>
      </w:tr>
      <w:tr w:rsidR="002D1D7A" w:rsidRPr="00EE72F9" w:rsidTr="00F32A46">
        <w:trPr>
          <w:jc w:val="center"/>
        </w:trPr>
        <w:tc>
          <w:tcPr>
            <w:tcW w:w="509" w:type="pct"/>
            <w:vMerge w:val="restar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sex</w:t>
            </w:r>
          </w:p>
        </w:tc>
        <w:tc>
          <w:tcPr>
            <w:tcW w:w="886" w:type="pct"/>
            <w:vMerge w:val="restar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Males</w:t>
            </w:r>
          </w:p>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c>
          <w:tcPr>
            <w:tcW w:w="514"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No.</w:t>
            </w:r>
          </w:p>
        </w:tc>
        <w:tc>
          <w:tcPr>
            <w:tcW w:w="1106"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32</w:t>
            </w:r>
          </w:p>
        </w:tc>
        <w:tc>
          <w:tcPr>
            <w:tcW w:w="1162"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24</w:t>
            </w:r>
          </w:p>
        </w:tc>
        <w:tc>
          <w:tcPr>
            <w:tcW w:w="823" w:type="pct"/>
            <w:vMerge w:val="restar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r>
      <w:tr w:rsidR="002D1D7A" w:rsidRPr="00EE72F9" w:rsidTr="00F32A46">
        <w:trPr>
          <w:jc w:val="center"/>
        </w:trPr>
        <w:tc>
          <w:tcPr>
            <w:tcW w:w="509" w:type="pct"/>
            <w:vMerge/>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c>
          <w:tcPr>
            <w:tcW w:w="886" w:type="pct"/>
            <w:vMerge/>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c>
          <w:tcPr>
            <w:tcW w:w="514"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w:t>
            </w:r>
          </w:p>
        </w:tc>
        <w:tc>
          <w:tcPr>
            <w:tcW w:w="1106"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53.3%</w:t>
            </w:r>
          </w:p>
        </w:tc>
        <w:tc>
          <w:tcPr>
            <w:tcW w:w="1162"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40.0%</w:t>
            </w:r>
          </w:p>
        </w:tc>
        <w:tc>
          <w:tcPr>
            <w:tcW w:w="823" w:type="pct"/>
            <w:vMerge/>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r>
      <w:tr w:rsidR="002D1D7A" w:rsidRPr="00EE72F9" w:rsidTr="00F32A46">
        <w:tblPrEx>
          <w:tblLook w:val="0000"/>
        </w:tblPrEx>
        <w:trPr>
          <w:jc w:val="center"/>
        </w:trPr>
        <w:tc>
          <w:tcPr>
            <w:tcW w:w="509" w:type="pct"/>
            <w:vMerge/>
            <w:vAlign w:val="center"/>
          </w:tcPr>
          <w:p w:rsidR="00760BA5" w:rsidRPr="00EE72F9" w:rsidRDefault="00760BA5" w:rsidP="00F32A46">
            <w:pPr>
              <w:bidi w:val="0"/>
              <w:snapToGrid w:val="0"/>
              <w:jc w:val="both"/>
              <w:rPr>
                <w:rFonts w:ascii="Times New Roman" w:hAnsi="Times New Roman" w:cs="Times New Roman"/>
                <w:sz w:val="20"/>
                <w:szCs w:val="20"/>
              </w:rPr>
            </w:pPr>
          </w:p>
        </w:tc>
        <w:tc>
          <w:tcPr>
            <w:tcW w:w="886" w:type="pct"/>
            <w:vMerge w:val="restart"/>
            <w:shd w:val="clear" w:color="auto" w:fill="auto"/>
            <w:vAlign w:val="center"/>
          </w:tcPr>
          <w:p w:rsidR="00760BA5" w:rsidRPr="00EE72F9" w:rsidRDefault="00760BA5" w:rsidP="00F32A46">
            <w:pPr>
              <w:bidi w:val="0"/>
              <w:snapToGrid w:val="0"/>
              <w:jc w:val="both"/>
              <w:rPr>
                <w:rFonts w:ascii="Times New Roman" w:hAnsi="Times New Roman" w:cs="Times New Roman"/>
                <w:sz w:val="20"/>
                <w:szCs w:val="20"/>
              </w:rPr>
            </w:pPr>
            <w:r w:rsidRPr="00EE72F9">
              <w:rPr>
                <w:rFonts w:ascii="Times New Roman" w:hAnsi="Times New Roman" w:cs="Times New Roman"/>
                <w:sz w:val="20"/>
                <w:szCs w:val="20"/>
              </w:rPr>
              <w:t>Females</w:t>
            </w:r>
          </w:p>
        </w:tc>
        <w:tc>
          <w:tcPr>
            <w:tcW w:w="514" w:type="pct"/>
            <w:shd w:val="clear" w:color="auto" w:fill="auto"/>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NO.</w:t>
            </w:r>
          </w:p>
        </w:tc>
        <w:tc>
          <w:tcPr>
            <w:tcW w:w="1106" w:type="pct"/>
            <w:shd w:val="clear" w:color="auto" w:fill="auto"/>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28</w:t>
            </w:r>
          </w:p>
        </w:tc>
        <w:tc>
          <w:tcPr>
            <w:tcW w:w="1162" w:type="pct"/>
            <w:shd w:val="clear" w:color="auto" w:fill="auto"/>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36</w:t>
            </w:r>
          </w:p>
        </w:tc>
        <w:tc>
          <w:tcPr>
            <w:tcW w:w="823" w:type="pct"/>
            <w:vMerge w:val="restart"/>
            <w:shd w:val="clear" w:color="auto" w:fill="auto"/>
            <w:vAlign w:val="center"/>
          </w:tcPr>
          <w:p w:rsidR="00760BA5" w:rsidRPr="00EE72F9" w:rsidRDefault="00760BA5" w:rsidP="00F32A46">
            <w:pPr>
              <w:bidi w:val="0"/>
              <w:snapToGrid w:val="0"/>
              <w:jc w:val="both"/>
              <w:rPr>
                <w:rFonts w:ascii="Times New Roman" w:hAnsi="Times New Roman" w:cs="Times New Roman"/>
                <w:sz w:val="20"/>
                <w:szCs w:val="20"/>
              </w:rPr>
            </w:pPr>
            <w:r w:rsidRPr="00EE72F9">
              <w:rPr>
                <w:rFonts w:ascii="Times New Roman" w:hAnsi="Times New Roman" w:cs="Times New Roman"/>
                <w:sz w:val="20"/>
                <w:szCs w:val="20"/>
              </w:rPr>
              <w:t>0.143</w:t>
            </w:r>
          </w:p>
        </w:tc>
      </w:tr>
      <w:tr w:rsidR="002D1D7A" w:rsidRPr="00EE72F9" w:rsidTr="00F32A46">
        <w:tblPrEx>
          <w:tblLook w:val="0000"/>
        </w:tblPrEx>
        <w:trPr>
          <w:jc w:val="center"/>
        </w:trPr>
        <w:tc>
          <w:tcPr>
            <w:tcW w:w="509" w:type="pct"/>
            <w:vMerge/>
            <w:vAlign w:val="center"/>
          </w:tcPr>
          <w:p w:rsidR="00760BA5" w:rsidRPr="00EE72F9" w:rsidRDefault="00760BA5" w:rsidP="00F32A46">
            <w:pPr>
              <w:bidi w:val="0"/>
              <w:snapToGrid w:val="0"/>
              <w:jc w:val="both"/>
              <w:rPr>
                <w:rFonts w:ascii="Times New Roman" w:hAnsi="Times New Roman" w:cs="Times New Roman"/>
                <w:sz w:val="20"/>
                <w:szCs w:val="20"/>
              </w:rPr>
            </w:pPr>
          </w:p>
        </w:tc>
        <w:tc>
          <w:tcPr>
            <w:tcW w:w="886" w:type="pct"/>
            <w:vMerge/>
            <w:shd w:val="clear" w:color="auto" w:fill="auto"/>
            <w:vAlign w:val="center"/>
          </w:tcPr>
          <w:p w:rsidR="00760BA5" w:rsidRPr="00EE72F9" w:rsidRDefault="00760BA5" w:rsidP="00F32A46">
            <w:pPr>
              <w:bidi w:val="0"/>
              <w:snapToGrid w:val="0"/>
              <w:jc w:val="both"/>
              <w:rPr>
                <w:rFonts w:ascii="Times New Roman" w:hAnsi="Times New Roman" w:cs="Times New Roman"/>
                <w:sz w:val="20"/>
                <w:szCs w:val="20"/>
              </w:rPr>
            </w:pPr>
          </w:p>
        </w:tc>
        <w:tc>
          <w:tcPr>
            <w:tcW w:w="514" w:type="pct"/>
            <w:shd w:val="clear" w:color="auto" w:fill="auto"/>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w:t>
            </w:r>
          </w:p>
        </w:tc>
        <w:tc>
          <w:tcPr>
            <w:tcW w:w="1106" w:type="pct"/>
            <w:shd w:val="clear" w:color="auto" w:fill="auto"/>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46.7%</w:t>
            </w:r>
          </w:p>
        </w:tc>
        <w:tc>
          <w:tcPr>
            <w:tcW w:w="1162" w:type="pct"/>
            <w:shd w:val="clear" w:color="auto" w:fill="auto"/>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60.0%</w:t>
            </w:r>
          </w:p>
        </w:tc>
        <w:tc>
          <w:tcPr>
            <w:tcW w:w="823" w:type="pct"/>
            <w:vMerge/>
            <w:shd w:val="clear" w:color="auto" w:fill="auto"/>
            <w:vAlign w:val="center"/>
          </w:tcPr>
          <w:p w:rsidR="00760BA5" w:rsidRPr="00EE72F9" w:rsidRDefault="00760BA5" w:rsidP="00F32A46">
            <w:pPr>
              <w:bidi w:val="0"/>
              <w:snapToGrid w:val="0"/>
              <w:jc w:val="both"/>
              <w:rPr>
                <w:rFonts w:ascii="Times New Roman" w:hAnsi="Times New Roman" w:cs="Times New Roman"/>
                <w:sz w:val="20"/>
                <w:szCs w:val="20"/>
              </w:rPr>
            </w:pPr>
          </w:p>
        </w:tc>
      </w:tr>
      <w:tr w:rsidR="002D1D7A" w:rsidRPr="00EE72F9" w:rsidTr="00F32A46">
        <w:tblPrEx>
          <w:tblLook w:val="0000"/>
        </w:tblPrEx>
        <w:trPr>
          <w:jc w:val="center"/>
        </w:trPr>
        <w:tc>
          <w:tcPr>
            <w:tcW w:w="509" w:type="pct"/>
            <w:vMerge/>
            <w:vAlign w:val="center"/>
          </w:tcPr>
          <w:p w:rsidR="00760BA5" w:rsidRPr="00EE72F9" w:rsidRDefault="00760BA5" w:rsidP="00F32A46">
            <w:pPr>
              <w:bidi w:val="0"/>
              <w:snapToGrid w:val="0"/>
              <w:jc w:val="both"/>
              <w:rPr>
                <w:rFonts w:ascii="Times New Roman" w:hAnsi="Times New Roman" w:cs="Times New Roman"/>
                <w:sz w:val="20"/>
                <w:szCs w:val="20"/>
              </w:rPr>
            </w:pPr>
          </w:p>
        </w:tc>
        <w:tc>
          <w:tcPr>
            <w:tcW w:w="886" w:type="pct"/>
            <w:shd w:val="clear" w:color="auto" w:fill="auto"/>
            <w:vAlign w:val="center"/>
          </w:tcPr>
          <w:p w:rsidR="00760BA5" w:rsidRPr="00EE72F9" w:rsidRDefault="00760BA5" w:rsidP="00F32A46">
            <w:pPr>
              <w:bidi w:val="0"/>
              <w:snapToGrid w:val="0"/>
              <w:jc w:val="both"/>
              <w:rPr>
                <w:rFonts w:ascii="Times New Roman" w:hAnsi="Times New Roman" w:cs="Times New Roman"/>
                <w:sz w:val="20"/>
                <w:szCs w:val="20"/>
              </w:rPr>
            </w:pPr>
            <w:r w:rsidRPr="00EE72F9">
              <w:rPr>
                <w:rFonts w:ascii="Times New Roman" w:hAnsi="Times New Roman" w:cs="Times New Roman"/>
                <w:sz w:val="20"/>
                <w:szCs w:val="20"/>
              </w:rPr>
              <w:t>Total</w:t>
            </w:r>
          </w:p>
        </w:tc>
        <w:tc>
          <w:tcPr>
            <w:tcW w:w="514" w:type="pct"/>
            <w:shd w:val="clear" w:color="auto" w:fill="auto"/>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c>
          <w:tcPr>
            <w:tcW w:w="1106" w:type="pct"/>
            <w:shd w:val="clear" w:color="auto" w:fill="auto"/>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60</w:t>
            </w:r>
          </w:p>
        </w:tc>
        <w:tc>
          <w:tcPr>
            <w:tcW w:w="1162" w:type="pct"/>
            <w:shd w:val="clear" w:color="auto" w:fill="auto"/>
            <w:vAlign w:val="center"/>
          </w:tcPr>
          <w:p w:rsidR="00760BA5" w:rsidRPr="00EE72F9" w:rsidRDefault="00760BA5" w:rsidP="00F32A46">
            <w:pPr>
              <w:bidi w:val="0"/>
              <w:snapToGrid w:val="0"/>
              <w:jc w:val="both"/>
              <w:rPr>
                <w:rFonts w:ascii="Times New Roman" w:hAnsi="Times New Roman" w:cs="Times New Roman"/>
                <w:sz w:val="20"/>
                <w:szCs w:val="20"/>
              </w:rPr>
            </w:pPr>
            <w:r w:rsidRPr="00EE72F9">
              <w:rPr>
                <w:rFonts w:ascii="Times New Roman" w:hAnsi="Times New Roman" w:cs="Times New Roman"/>
                <w:sz w:val="20"/>
                <w:szCs w:val="20"/>
              </w:rPr>
              <w:t>60</w:t>
            </w:r>
          </w:p>
        </w:tc>
        <w:tc>
          <w:tcPr>
            <w:tcW w:w="823" w:type="pct"/>
            <w:vMerge/>
            <w:shd w:val="clear" w:color="auto" w:fill="auto"/>
            <w:vAlign w:val="center"/>
          </w:tcPr>
          <w:p w:rsidR="00760BA5" w:rsidRPr="00EE72F9" w:rsidRDefault="00760BA5" w:rsidP="00F32A46">
            <w:pPr>
              <w:bidi w:val="0"/>
              <w:snapToGrid w:val="0"/>
              <w:jc w:val="both"/>
              <w:rPr>
                <w:rFonts w:ascii="Times New Roman" w:hAnsi="Times New Roman" w:cs="Times New Roman"/>
                <w:sz w:val="20"/>
                <w:szCs w:val="20"/>
              </w:rPr>
            </w:pPr>
          </w:p>
        </w:tc>
      </w:tr>
    </w:tbl>
    <w:p w:rsidR="00B07D10" w:rsidRPr="00EE72F9" w:rsidRDefault="00B07D10" w:rsidP="00F32A4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F32A46" w:rsidRPr="00EE72F9" w:rsidRDefault="00F32A46" w:rsidP="00F32A4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760BA5" w:rsidRPr="00EE72F9" w:rsidRDefault="00BB7D63" w:rsidP="00F32A46">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EE72F9">
        <w:rPr>
          <w:rFonts w:ascii="Times New Roman" w:hAnsi="Times New Roman" w:cs="Times New Roman"/>
          <w:b/>
          <w:bCs/>
          <w:sz w:val="20"/>
          <w:szCs w:val="20"/>
        </w:rPr>
        <w:lastRenderedPageBreak/>
        <w:t>Table (2):</w:t>
      </w:r>
      <w:r w:rsidR="00760BA5" w:rsidRPr="00EE72F9">
        <w:rPr>
          <w:rFonts w:ascii="Times New Roman" w:hAnsi="Times New Roman" w:cs="Times New Roman"/>
          <w:b/>
          <w:bCs/>
          <w:sz w:val="20"/>
          <w:szCs w:val="20"/>
        </w:rPr>
        <w:t xml:space="preserve"> Comparison of complete blood picture between the studied groups:</w:t>
      </w:r>
    </w:p>
    <w:tbl>
      <w:tblPr>
        <w:tblStyle w:val="TableGrid"/>
        <w:tblW w:w="5000" w:type="pct"/>
        <w:jc w:val="center"/>
        <w:tblCellMar>
          <w:left w:w="57" w:type="dxa"/>
          <w:right w:w="57" w:type="dxa"/>
        </w:tblCellMar>
        <w:tblLook w:val="04A0"/>
      </w:tblPr>
      <w:tblGrid>
        <w:gridCol w:w="3616"/>
        <w:gridCol w:w="2190"/>
        <w:gridCol w:w="2370"/>
        <w:gridCol w:w="1298"/>
      </w:tblGrid>
      <w:tr w:rsidR="002D1D7A" w:rsidRPr="00EE72F9" w:rsidTr="00F32A46">
        <w:trPr>
          <w:jc w:val="center"/>
        </w:trPr>
        <w:tc>
          <w:tcPr>
            <w:tcW w:w="1908" w:type="pct"/>
            <w:vAlign w:val="center"/>
          </w:tcPr>
          <w:p w:rsidR="00760BA5"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ab/>
            </w:r>
          </w:p>
        </w:tc>
        <w:tc>
          <w:tcPr>
            <w:tcW w:w="2407" w:type="pct"/>
            <w:gridSpan w:val="2"/>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Mean ± SD</w:t>
            </w:r>
          </w:p>
        </w:tc>
        <w:tc>
          <w:tcPr>
            <w:tcW w:w="685" w:type="pct"/>
            <w:vMerge w:val="restar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P-value</w:t>
            </w:r>
          </w:p>
        </w:tc>
      </w:tr>
      <w:tr w:rsidR="002D1D7A" w:rsidRPr="00EE72F9" w:rsidTr="00F32A46">
        <w:trPr>
          <w:jc w:val="center"/>
        </w:trPr>
        <w:tc>
          <w:tcPr>
            <w:tcW w:w="1908"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c>
          <w:tcPr>
            <w:tcW w:w="1156"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Patients</w:t>
            </w:r>
          </w:p>
        </w:tc>
        <w:tc>
          <w:tcPr>
            <w:tcW w:w="1251"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Controls</w:t>
            </w:r>
          </w:p>
        </w:tc>
        <w:tc>
          <w:tcPr>
            <w:tcW w:w="685" w:type="pct"/>
            <w:vMerge/>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r>
      <w:tr w:rsidR="002D1D7A" w:rsidRPr="00EE72F9" w:rsidTr="00F32A46">
        <w:trPr>
          <w:jc w:val="center"/>
        </w:trPr>
        <w:tc>
          <w:tcPr>
            <w:tcW w:w="1908"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WBCs Thousands/cmm</w:t>
            </w:r>
          </w:p>
        </w:tc>
        <w:tc>
          <w:tcPr>
            <w:tcW w:w="1156"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3.0</w:t>
            </w:r>
            <w:r w:rsidR="0046088D" w:rsidRPr="00EE72F9">
              <w:rPr>
                <w:rFonts w:ascii="Times New Roman" w:hAnsi="Times New Roman" w:cs="Times New Roman"/>
                <w:sz w:val="20"/>
                <w:szCs w:val="20"/>
              </w:rPr>
              <w:t xml:space="preserve"> </w:t>
            </w:r>
            <w:r w:rsidRPr="00EE72F9">
              <w:rPr>
                <w:rFonts w:ascii="Times New Roman" w:hAnsi="Times New Roman" w:cs="Times New Roman"/>
                <w:sz w:val="20"/>
                <w:szCs w:val="20"/>
              </w:rPr>
              <w:t>± 0.87</w:t>
            </w:r>
          </w:p>
        </w:tc>
        <w:tc>
          <w:tcPr>
            <w:tcW w:w="1251"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7.65 ± 1.81</w:t>
            </w:r>
          </w:p>
        </w:tc>
        <w:tc>
          <w:tcPr>
            <w:tcW w:w="685"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0.001*</w:t>
            </w:r>
          </w:p>
        </w:tc>
      </w:tr>
      <w:tr w:rsidR="002D1D7A" w:rsidRPr="00EE72F9" w:rsidTr="00F32A46">
        <w:trPr>
          <w:jc w:val="center"/>
        </w:trPr>
        <w:tc>
          <w:tcPr>
            <w:tcW w:w="1908"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Hg gm/dl</w:t>
            </w:r>
          </w:p>
        </w:tc>
        <w:tc>
          <w:tcPr>
            <w:tcW w:w="1156"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9.00 ± 1.02</w:t>
            </w:r>
          </w:p>
        </w:tc>
        <w:tc>
          <w:tcPr>
            <w:tcW w:w="1251"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13.21 ± 0.65</w:t>
            </w:r>
          </w:p>
        </w:tc>
        <w:tc>
          <w:tcPr>
            <w:tcW w:w="685"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0.001*</w:t>
            </w:r>
          </w:p>
        </w:tc>
      </w:tr>
      <w:tr w:rsidR="002D1D7A" w:rsidRPr="00EE72F9" w:rsidTr="00F32A46">
        <w:trPr>
          <w:jc w:val="center"/>
        </w:trPr>
        <w:tc>
          <w:tcPr>
            <w:tcW w:w="1908"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PLT Thousands/cmm</w:t>
            </w:r>
          </w:p>
        </w:tc>
        <w:tc>
          <w:tcPr>
            <w:tcW w:w="1156"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87.50 ± 17.08</w:t>
            </w:r>
          </w:p>
        </w:tc>
        <w:tc>
          <w:tcPr>
            <w:tcW w:w="1251"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244.40 ± 74.28</w:t>
            </w:r>
          </w:p>
        </w:tc>
        <w:tc>
          <w:tcPr>
            <w:tcW w:w="685"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0.001*</w:t>
            </w:r>
          </w:p>
        </w:tc>
      </w:tr>
    </w:tbl>
    <w:p w:rsidR="0046088D" w:rsidRPr="00EE72F9" w:rsidRDefault="0046088D" w:rsidP="00F32A4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760BA5" w:rsidRPr="00EE72F9" w:rsidRDefault="00760BA5" w:rsidP="00F32A46">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EE72F9">
        <w:rPr>
          <w:rFonts w:ascii="Times New Roman" w:hAnsi="Times New Roman" w:cs="Times New Roman"/>
          <w:b/>
          <w:bCs/>
          <w:sz w:val="20"/>
          <w:szCs w:val="20"/>
        </w:rPr>
        <w:t>Table (3)</w:t>
      </w:r>
      <w:r w:rsidR="00BB7D63" w:rsidRPr="00EE72F9">
        <w:rPr>
          <w:rFonts w:ascii="Times New Roman" w:hAnsi="Times New Roman" w:cs="Times New Roman"/>
          <w:b/>
          <w:bCs/>
          <w:sz w:val="20"/>
          <w:szCs w:val="20"/>
        </w:rPr>
        <w:t>:</w:t>
      </w:r>
      <w:r w:rsidRPr="00EE72F9">
        <w:rPr>
          <w:rFonts w:ascii="Times New Roman" w:hAnsi="Times New Roman" w:cs="Times New Roman"/>
          <w:b/>
          <w:bCs/>
          <w:sz w:val="20"/>
          <w:szCs w:val="20"/>
        </w:rPr>
        <w:t xml:space="preserve"> Comparison of biochemical characteristics among the studied groups</w:t>
      </w:r>
    </w:p>
    <w:tbl>
      <w:tblPr>
        <w:tblStyle w:val="TableGrid"/>
        <w:tblW w:w="5000" w:type="pct"/>
        <w:jc w:val="center"/>
        <w:tblCellMar>
          <w:left w:w="57" w:type="dxa"/>
          <w:right w:w="57" w:type="dxa"/>
        </w:tblCellMar>
        <w:tblLook w:val="04A0"/>
      </w:tblPr>
      <w:tblGrid>
        <w:gridCol w:w="2326"/>
        <w:gridCol w:w="1824"/>
        <w:gridCol w:w="1980"/>
        <w:gridCol w:w="2067"/>
        <w:gridCol w:w="1277"/>
      </w:tblGrid>
      <w:tr w:rsidR="002D1D7A" w:rsidRPr="00EE72F9" w:rsidTr="00F32A46">
        <w:trPr>
          <w:jc w:val="center"/>
        </w:trPr>
        <w:tc>
          <w:tcPr>
            <w:tcW w:w="2189" w:type="pct"/>
            <w:gridSpan w:val="2"/>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p>
        </w:tc>
        <w:tc>
          <w:tcPr>
            <w:tcW w:w="1045" w:type="pct"/>
            <w:vAlign w:val="center"/>
          </w:tcPr>
          <w:p w:rsidR="00760BA5"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Patients</w:t>
            </w:r>
          </w:p>
        </w:tc>
        <w:tc>
          <w:tcPr>
            <w:tcW w:w="1091"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Controls</w:t>
            </w:r>
          </w:p>
        </w:tc>
        <w:tc>
          <w:tcPr>
            <w:tcW w:w="674" w:type="pct"/>
            <w:vAlign w:val="center"/>
          </w:tcPr>
          <w:p w:rsidR="00760BA5" w:rsidRPr="00EE72F9" w:rsidRDefault="00760BA5"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P-value</w:t>
            </w:r>
          </w:p>
        </w:tc>
      </w:tr>
      <w:tr w:rsidR="002D1D7A" w:rsidRPr="00EE72F9" w:rsidTr="00F32A46">
        <w:trPr>
          <w:jc w:val="center"/>
        </w:trPr>
        <w:tc>
          <w:tcPr>
            <w:tcW w:w="1227"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ALT (U/L)</w:t>
            </w:r>
          </w:p>
        </w:tc>
        <w:tc>
          <w:tcPr>
            <w:tcW w:w="962"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Mean ± SD</w:t>
            </w:r>
          </w:p>
        </w:tc>
        <w:tc>
          <w:tcPr>
            <w:tcW w:w="1045"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51.65± 2.68</w:t>
            </w:r>
          </w:p>
        </w:tc>
        <w:tc>
          <w:tcPr>
            <w:tcW w:w="1091"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28.335± 2.11</w:t>
            </w:r>
          </w:p>
        </w:tc>
        <w:tc>
          <w:tcPr>
            <w:tcW w:w="674"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0.001*</w:t>
            </w:r>
          </w:p>
        </w:tc>
      </w:tr>
      <w:tr w:rsidR="002D1D7A" w:rsidRPr="00EE72F9" w:rsidTr="00F32A46">
        <w:trPr>
          <w:jc w:val="center"/>
        </w:trPr>
        <w:tc>
          <w:tcPr>
            <w:tcW w:w="1227"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AST (U/L)</w:t>
            </w:r>
          </w:p>
        </w:tc>
        <w:tc>
          <w:tcPr>
            <w:tcW w:w="962" w:type="pct"/>
            <w:vAlign w:val="center"/>
          </w:tcPr>
          <w:p w:rsidR="00BB7D63" w:rsidRPr="00EE72F9" w:rsidRDefault="00BB7D63" w:rsidP="00F32A46">
            <w:pPr>
              <w:bidi w:val="0"/>
              <w:snapToGrid w:val="0"/>
              <w:jc w:val="both"/>
              <w:rPr>
                <w:rFonts w:ascii="Times New Roman" w:hAnsi="Times New Roman" w:cs="Times New Roman"/>
                <w:sz w:val="20"/>
                <w:szCs w:val="20"/>
              </w:rPr>
            </w:pPr>
            <w:r w:rsidRPr="00EE72F9">
              <w:rPr>
                <w:rFonts w:ascii="Times New Roman" w:hAnsi="Times New Roman" w:cs="Times New Roman"/>
                <w:sz w:val="20"/>
                <w:szCs w:val="20"/>
              </w:rPr>
              <w:t>Mean±SD</w:t>
            </w:r>
          </w:p>
        </w:tc>
        <w:tc>
          <w:tcPr>
            <w:tcW w:w="1045"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58.22 ± 1.99</w:t>
            </w:r>
          </w:p>
        </w:tc>
        <w:tc>
          <w:tcPr>
            <w:tcW w:w="1091"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30.2 ±</w:t>
            </w:r>
            <w:r w:rsidR="0046088D" w:rsidRPr="00EE72F9">
              <w:rPr>
                <w:rFonts w:ascii="Times New Roman" w:hAnsi="Times New Roman" w:cs="Times New Roman"/>
                <w:sz w:val="20"/>
                <w:szCs w:val="20"/>
              </w:rPr>
              <w:t xml:space="preserve"> </w:t>
            </w:r>
            <w:r w:rsidRPr="00EE72F9">
              <w:rPr>
                <w:rFonts w:ascii="Times New Roman" w:hAnsi="Times New Roman" w:cs="Times New Roman"/>
                <w:sz w:val="20"/>
                <w:szCs w:val="20"/>
              </w:rPr>
              <w:t>3.75</w:t>
            </w:r>
          </w:p>
        </w:tc>
        <w:tc>
          <w:tcPr>
            <w:tcW w:w="674"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0.001*</w:t>
            </w:r>
          </w:p>
        </w:tc>
      </w:tr>
      <w:tr w:rsidR="002D1D7A" w:rsidRPr="00EE72F9" w:rsidTr="00F32A46">
        <w:trPr>
          <w:jc w:val="center"/>
        </w:trPr>
        <w:tc>
          <w:tcPr>
            <w:tcW w:w="1227"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Albumin (g/dl)</w:t>
            </w:r>
          </w:p>
        </w:tc>
        <w:tc>
          <w:tcPr>
            <w:tcW w:w="962"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Mean±SD</w:t>
            </w:r>
          </w:p>
        </w:tc>
        <w:tc>
          <w:tcPr>
            <w:tcW w:w="1045"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2.50 ± 0.49</w:t>
            </w:r>
          </w:p>
        </w:tc>
        <w:tc>
          <w:tcPr>
            <w:tcW w:w="1091"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4.45 ± 0.29</w:t>
            </w:r>
          </w:p>
        </w:tc>
        <w:tc>
          <w:tcPr>
            <w:tcW w:w="674"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0.001*</w:t>
            </w:r>
          </w:p>
        </w:tc>
      </w:tr>
      <w:tr w:rsidR="002D1D7A" w:rsidRPr="00EE72F9" w:rsidTr="00F32A46">
        <w:trPr>
          <w:jc w:val="center"/>
        </w:trPr>
        <w:tc>
          <w:tcPr>
            <w:tcW w:w="1227"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T.B (mg/dl)</w:t>
            </w:r>
          </w:p>
        </w:tc>
        <w:tc>
          <w:tcPr>
            <w:tcW w:w="962"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Mean ±SD</w:t>
            </w:r>
          </w:p>
        </w:tc>
        <w:tc>
          <w:tcPr>
            <w:tcW w:w="1045"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1.12 ±</w:t>
            </w:r>
            <w:r w:rsidR="0046088D" w:rsidRPr="00EE72F9">
              <w:rPr>
                <w:rFonts w:ascii="Times New Roman" w:hAnsi="Times New Roman" w:cs="Times New Roman"/>
                <w:sz w:val="20"/>
                <w:szCs w:val="20"/>
              </w:rPr>
              <w:t xml:space="preserve"> </w:t>
            </w:r>
            <w:r w:rsidRPr="00EE72F9">
              <w:rPr>
                <w:rFonts w:ascii="Times New Roman" w:hAnsi="Times New Roman" w:cs="Times New Roman"/>
                <w:sz w:val="20"/>
                <w:szCs w:val="20"/>
              </w:rPr>
              <w:t>0.19</w:t>
            </w:r>
          </w:p>
        </w:tc>
        <w:tc>
          <w:tcPr>
            <w:tcW w:w="1091"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0.77 ± 0.16</w:t>
            </w:r>
          </w:p>
        </w:tc>
        <w:tc>
          <w:tcPr>
            <w:tcW w:w="674" w:type="pct"/>
            <w:vAlign w:val="center"/>
          </w:tcPr>
          <w:p w:rsidR="00BB7D63" w:rsidRPr="00EE72F9" w:rsidRDefault="00BB7D63" w:rsidP="00F32A46">
            <w:pPr>
              <w:autoSpaceDE w:val="0"/>
              <w:autoSpaceDN w:val="0"/>
              <w:bidi w:val="0"/>
              <w:adjustRightInd w:val="0"/>
              <w:snapToGrid w:val="0"/>
              <w:jc w:val="both"/>
              <w:rPr>
                <w:rFonts w:ascii="Times New Roman" w:hAnsi="Times New Roman" w:cs="Times New Roman"/>
                <w:sz w:val="20"/>
                <w:szCs w:val="20"/>
              </w:rPr>
            </w:pPr>
            <w:r w:rsidRPr="00EE72F9">
              <w:rPr>
                <w:rFonts w:ascii="Times New Roman" w:hAnsi="Times New Roman" w:cs="Times New Roman"/>
                <w:sz w:val="20"/>
                <w:szCs w:val="20"/>
              </w:rPr>
              <w:t>0.001*</w:t>
            </w:r>
          </w:p>
        </w:tc>
      </w:tr>
    </w:tbl>
    <w:p w:rsidR="00696C61" w:rsidRPr="00EE72F9" w:rsidRDefault="00696C61" w:rsidP="00F32A46">
      <w:pPr>
        <w:bidi w:val="0"/>
        <w:snapToGrid w:val="0"/>
        <w:spacing w:after="0" w:line="240" w:lineRule="auto"/>
        <w:jc w:val="both"/>
        <w:rPr>
          <w:rFonts w:ascii="Times New Roman" w:hAnsi="Times New Roman" w:cs="Times New Roman"/>
          <w:b/>
          <w:bCs/>
          <w:sz w:val="20"/>
          <w:szCs w:val="20"/>
          <w:lang w:bidi="ar-EG"/>
        </w:rPr>
      </w:pPr>
    </w:p>
    <w:p w:rsidR="0046088D" w:rsidRPr="00EE72F9" w:rsidRDefault="0046088D" w:rsidP="00F32A46">
      <w:pPr>
        <w:bidi w:val="0"/>
        <w:snapToGrid w:val="0"/>
        <w:spacing w:after="0" w:line="240" w:lineRule="auto"/>
        <w:jc w:val="center"/>
        <w:rPr>
          <w:rFonts w:ascii="Times New Roman" w:hAnsi="Times New Roman" w:cs="Times New Roman"/>
          <w:b/>
          <w:bCs/>
          <w:sz w:val="20"/>
          <w:szCs w:val="20"/>
          <w:lang w:eastAsia="zh-CN" w:bidi="ar-EG"/>
        </w:rPr>
      </w:pPr>
    </w:p>
    <w:p w:rsidR="00760BA5" w:rsidRPr="00EE72F9" w:rsidRDefault="00760BA5" w:rsidP="00F32A46">
      <w:pPr>
        <w:bidi w:val="0"/>
        <w:snapToGrid w:val="0"/>
        <w:spacing w:after="0" w:line="240" w:lineRule="auto"/>
        <w:jc w:val="center"/>
        <w:rPr>
          <w:rFonts w:ascii="Times New Roman" w:hAnsi="Times New Roman" w:cs="Times New Roman"/>
          <w:sz w:val="20"/>
          <w:szCs w:val="20"/>
        </w:rPr>
      </w:pPr>
      <w:r w:rsidRPr="00EE72F9">
        <w:rPr>
          <w:rFonts w:ascii="Times New Roman" w:hAnsi="Times New Roman" w:cs="Times New Roman"/>
          <w:b/>
          <w:bCs/>
          <w:sz w:val="20"/>
          <w:szCs w:val="20"/>
          <w:lang w:bidi="ar-EG"/>
        </w:rPr>
        <w:t>Table (4): Comparison of serum INF alpha between patients and controls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816"/>
        <w:gridCol w:w="3602"/>
        <w:gridCol w:w="3056"/>
      </w:tblGrid>
      <w:tr w:rsidR="002D1D7A" w:rsidRPr="00EE72F9" w:rsidTr="00F32A46">
        <w:trPr>
          <w:jc w:val="center"/>
        </w:trPr>
        <w:tc>
          <w:tcPr>
            <w:tcW w:w="1486"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rPr>
              <w:t>INF alpha</w:t>
            </w:r>
          </w:p>
        </w:tc>
        <w:tc>
          <w:tcPr>
            <w:tcW w:w="1901"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Cases</w:t>
            </w:r>
            <w:r w:rsidR="0046088D" w:rsidRPr="00EE72F9">
              <w:rPr>
                <w:rFonts w:ascii="Times New Roman" w:hAnsi="Times New Roman" w:cs="Times New Roman"/>
                <w:sz w:val="20"/>
                <w:szCs w:val="20"/>
              </w:rPr>
              <w:t xml:space="preserve"> </w:t>
            </w:r>
          </w:p>
        </w:tc>
        <w:tc>
          <w:tcPr>
            <w:tcW w:w="1614"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 xml:space="preserve">Control </w:t>
            </w:r>
          </w:p>
        </w:tc>
      </w:tr>
      <w:tr w:rsidR="002D1D7A" w:rsidRPr="00EE72F9" w:rsidTr="00F32A46">
        <w:trPr>
          <w:jc w:val="center"/>
        </w:trPr>
        <w:tc>
          <w:tcPr>
            <w:tcW w:w="1486"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Range</w:t>
            </w:r>
          </w:p>
        </w:tc>
        <w:tc>
          <w:tcPr>
            <w:tcW w:w="1901"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49.9 – 297.6</w:t>
            </w:r>
          </w:p>
        </w:tc>
        <w:tc>
          <w:tcPr>
            <w:tcW w:w="1614"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7.93 – 12</w:t>
            </w:r>
          </w:p>
        </w:tc>
      </w:tr>
      <w:tr w:rsidR="002D1D7A" w:rsidRPr="00EE72F9" w:rsidTr="00F32A46">
        <w:trPr>
          <w:jc w:val="center"/>
        </w:trPr>
        <w:tc>
          <w:tcPr>
            <w:tcW w:w="1486"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Mean ± SD</w:t>
            </w:r>
          </w:p>
        </w:tc>
        <w:tc>
          <w:tcPr>
            <w:tcW w:w="1901"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106.90 ± 48.51</w:t>
            </w:r>
          </w:p>
        </w:tc>
        <w:tc>
          <w:tcPr>
            <w:tcW w:w="1614"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10.20 ± 1.20</w:t>
            </w:r>
          </w:p>
        </w:tc>
      </w:tr>
      <w:tr w:rsidR="002D1D7A" w:rsidRPr="00EE72F9" w:rsidTr="00F32A46">
        <w:trPr>
          <w:jc w:val="center"/>
        </w:trPr>
        <w:tc>
          <w:tcPr>
            <w:tcW w:w="1486"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T. test</w:t>
            </w:r>
          </w:p>
        </w:tc>
        <w:tc>
          <w:tcPr>
            <w:tcW w:w="3514" w:type="pct"/>
            <w:gridSpan w:val="2"/>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238.288</w:t>
            </w:r>
          </w:p>
        </w:tc>
      </w:tr>
      <w:tr w:rsidR="002D1D7A" w:rsidRPr="00EE72F9" w:rsidTr="00F32A46">
        <w:trPr>
          <w:jc w:val="center"/>
        </w:trPr>
        <w:tc>
          <w:tcPr>
            <w:tcW w:w="1486" w:type="pct"/>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P. value</w:t>
            </w:r>
          </w:p>
        </w:tc>
        <w:tc>
          <w:tcPr>
            <w:tcW w:w="3514" w:type="pct"/>
            <w:gridSpan w:val="2"/>
            <w:vAlign w:val="center"/>
          </w:tcPr>
          <w:p w:rsidR="00760BA5" w:rsidRPr="00EE72F9" w:rsidRDefault="00760BA5"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0.001*</w:t>
            </w:r>
          </w:p>
        </w:tc>
      </w:tr>
    </w:tbl>
    <w:p w:rsidR="00760BA5" w:rsidRPr="00EE72F9" w:rsidRDefault="00760BA5" w:rsidP="00F32A4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760BA5" w:rsidRPr="00EE72F9" w:rsidRDefault="00760BA5" w:rsidP="00F32A46">
      <w:pPr>
        <w:autoSpaceDE w:val="0"/>
        <w:autoSpaceDN w:val="0"/>
        <w:bidi w:val="0"/>
        <w:adjustRightInd w:val="0"/>
        <w:snapToGrid w:val="0"/>
        <w:spacing w:after="0" w:line="240" w:lineRule="auto"/>
        <w:jc w:val="center"/>
        <w:rPr>
          <w:rFonts w:ascii="Times New Roman" w:hAnsi="Times New Roman" w:cs="Times New Roman"/>
          <w:sz w:val="20"/>
          <w:szCs w:val="20"/>
        </w:rPr>
      </w:pPr>
      <w:r w:rsidRPr="00EE72F9">
        <w:rPr>
          <w:rFonts w:ascii="Times New Roman" w:hAnsi="Times New Roman" w:cs="Times New Roman"/>
          <w:noProof/>
          <w:sz w:val="20"/>
          <w:szCs w:val="20"/>
          <w:lang w:eastAsia="zh-CN"/>
        </w:rPr>
        <w:drawing>
          <wp:inline distT="0" distB="0" distL="0" distR="0">
            <wp:extent cx="4544999" cy="3022462"/>
            <wp:effectExtent l="19050" t="0" r="27001" b="6488"/>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0BA5" w:rsidRPr="00EE72F9" w:rsidRDefault="00760BA5" w:rsidP="00F32A4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r w:rsidRPr="00EE72F9">
        <w:rPr>
          <w:rFonts w:ascii="Times New Roman" w:hAnsi="Times New Roman" w:cs="Times New Roman"/>
          <w:b/>
          <w:bCs/>
          <w:sz w:val="20"/>
          <w:szCs w:val="20"/>
          <w:lang w:eastAsia="ar-SA"/>
        </w:rPr>
        <w:t>Figure (1): Comparison of serum INF alpha between patients and controls.</w:t>
      </w:r>
    </w:p>
    <w:p w:rsidR="0046088D" w:rsidRPr="00EE72F9" w:rsidRDefault="0046088D" w:rsidP="00F32A46">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760BA5" w:rsidRPr="00EE72F9" w:rsidRDefault="00760BA5" w:rsidP="00F32A46">
      <w:pPr>
        <w:bidi w:val="0"/>
        <w:snapToGrid w:val="0"/>
        <w:spacing w:after="0" w:line="240" w:lineRule="auto"/>
        <w:jc w:val="center"/>
        <w:rPr>
          <w:rFonts w:ascii="Times New Roman" w:hAnsi="Times New Roman" w:cs="Times New Roman"/>
          <w:b/>
          <w:bCs/>
          <w:sz w:val="20"/>
          <w:szCs w:val="20"/>
          <w:lang w:bidi="ar-EG"/>
        </w:rPr>
      </w:pPr>
      <w:r w:rsidRPr="00EE72F9">
        <w:rPr>
          <w:rFonts w:ascii="Times New Roman" w:hAnsi="Times New Roman" w:cs="Times New Roman"/>
          <w:b/>
          <w:bCs/>
          <w:sz w:val="20"/>
          <w:szCs w:val="20"/>
          <w:lang w:bidi="ar-EG"/>
        </w:rPr>
        <w:t>Table (5): Comparison of TL 3 gene expression between patients and controls.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376"/>
        <w:gridCol w:w="2766"/>
        <w:gridCol w:w="2332"/>
      </w:tblGrid>
      <w:tr w:rsidR="0091589A" w:rsidRPr="00EE72F9" w:rsidTr="00F32A46">
        <w:trPr>
          <w:jc w:val="center"/>
        </w:trPr>
        <w:tc>
          <w:tcPr>
            <w:tcW w:w="2309"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rPr>
              <w:t>TL 3 gene expression</w:t>
            </w:r>
          </w:p>
        </w:tc>
        <w:tc>
          <w:tcPr>
            <w:tcW w:w="1460"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Cases</w:t>
            </w:r>
            <w:r w:rsidR="0046088D" w:rsidRPr="00EE72F9">
              <w:rPr>
                <w:rFonts w:ascii="Times New Roman" w:hAnsi="Times New Roman" w:cs="Times New Roman"/>
                <w:b/>
                <w:bCs/>
                <w:sz w:val="20"/>
                <w:szCs w:val="20"/>
              </w:rPr>
              <w:t xml:space="preserve"> </w:t>
            </w:r>
          </w:p>
        </w:tc>
        <w:tc>
          <w:tcPr>
            <w:tcW w:w="1231"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 xml:space="preserve">Control </w:t>
            </w:r>
          </w:p>
        </w:tc>
      </w:tr>
      <w:tr w:rsidR="0091589A" w:rsidRPr="00EE72F9" w:rsidTr="00F32A46">
        <w:trPr>
          <w:jc w:val="center"/>
        </w:trPr>
        <w:tc>
          <w:tcPr>
            <w:tcW w:w="2309"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Range</w:t>
            </w:r>
          </w:p>
        </w:tc>
        <w:tc>
          <w:tcPr>
            <w:tcW w:w="1460"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0.005 – 1.585</w:t>
            </w:r>
          </w:p>
        </w:tc>
        <w:tc>
          <w:tcPr>
            <w:tcW w:w="1231"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1 – 1</w:t>
            </w:r>
          </w:p>
        </w:tc>
      </w:tr>
      <w:tr w:rsidR="0091589A" w:rsidRPr="00EE72F9" w:rsidTr="00F32A46">
        <w:trPr>
          <w:jc w:val="center"/>
        </w:trPr>
        <w:tc>
          <w:tcPr>
            <w:tcW w:w="2309"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 xml:space="preserve">Mean </w:t>
            </w:r>
            <w:r w:rsidRPr="00EE72F9">
              <w:rPr>
                <w:rFonts w:ascii="Times New Roman" w:hAnsi="Times New Roman" w:cs="Times New Roman"/>
                <w:sz w:val="20"/>
                <w:szCs w:val="20"/>
              </w:rPr>
              <w:t>±</w:t>
            </w:r>
            <w:r w:rsidRPr="00EE72F9">
              <w:rPr>
                <w:rFonts w:ascii="Times New Roman" w:hAnsi="Times New Roman" w:cs="Times New Roman"/>
                <w:b/>
                <w:bCs/>
                <w:sz w:val="20"/>
                <w:szCs w:val="20"/>
              </w:rPr>
              <w:t xml:space="preserve"> SD</w:t>
            </w:r>
          </w:p>
        </w:tc>
        <w:tc>
          <w:tcPr>
            <w:tcW w:w="1460"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0.24 ± 0.32</w:t>
            </w:r>
          </w:p>
        </w:tc>
        <w:tc>
          <w:tcPr>
            <w:tcW w:w="1231"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1.00 ± 0.00</w:t>
            </w:r>
          </w:p>
        </w:tc>
      </w:tr>
      <w:tr w:rsidR="0091589A" w:rsidRPr="00EE72F9" w:rsidTr="00F32A46">
        <w:trPr>
          <w:jc w:val="center"/>
        </w:trPr>
        <w:tc>
          <w:tcPr>
            <w:tcW w:w="2309"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T. test</w:t>
            </w:r>
          </w:p>
        </w:tc>
        <w:tc>
          <w:tcPr>
            <w:tcW w:w="2691" w:type="pct"/>
            <w:gridSpan w:val="2"/>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330.204</w:t>
            </w:r>
          </w:p>
        </w:tc>
      </w:tr>
      <w:tr w:rsidR="0091589A" w:rsidRPr="00EE72F9" w:rsidTr="00F32A46">
        <w:trPr>
          <w:jc w:val="center"/>
        </w:trPr>
        <w:tc>
          <w:tcPr>
            <w:tcW w:w="2309" w:type="pct"/>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rPr>
              <w:t>P. value</w:t>
            </w:r>
          </w:p>
        </w:tc>
        <w:tc>
          <w:tcPr>
            <w:tcW w:w="2691" w:type="pct"/>
            <w:gridSpan w:val="2"/>
            <w:vAlign w:val="center"/>
          </w:tcPr>
          <w:p w:rsidR="0091589A" w:rsidRPr="00EE72F9" w:rsidRDefault="0091589A" w:rsidP="00F32A46">
            <w:pPr>
              <w:autoSpaceDE w:val="0"/>
              <w:autoSpaceDN w:val="0"/>
              <w:bidi w:val="0"/>
              <w:adjustRightInd w:val="0"/>
              <w:snapToGrid w:val="0"/>
              <w:spacing w:after="0" w:line="240" w:lineRule="auto"/>
              <w:jc w:val="both"/>
              <w:rPr>
                <w:rFonts w:ascii="Times New Roman" w:hAnsi="Times New Roman" w:cs="Times New Roman"/>
                <w:sz w:val="20"/>
                <w:szCs w:val="20"/>
              </w:rPr>
            </w:pPr>
            <w:r w:rsidRPr="00EE72F9">
              <w:rPr>
                <w:rFonts w:ascii="Times New Roman" w:hAnsi="Times New Roman" w:cs="Times New Roman"/>
                <w:sz w:val="20"/>
                <w:szCs w:val="20"/>
              </w:rPr>
              <w:t>0.001*</w:t>
            </w:r>
          </w:p>
        </w:tc>
      </w:tr>
    </w:tbl>
    <w:p w:rsidR="0091589A" w:rsidRPr="00EE72F9" w:rsidRDefault="0091589A" w:rsidP="00F32A46">
      <w:pPr>
        <w:bidi w:val="0"/>
        <w:snapToGrid w:val="0"/>
        <w:spacing w:after="0" w:line="240" w:lineRule="auto"/>
        <w:jc w:val="both"/>
        <w:rPr>
          <w:rFonts w:ascii="Times New Roman" w:hAnsi="Times New Roman" w:cs="Times New Roman"/>
          <w:b/>
          <w:bCs/>
          <w:sz w:val="20"/>
          <w:szCs w:val="20"/>
          <w:lang w:bidi="ar-EG"/>
        </w:rPr>
      </w:pPr>
    </w:p>
    <w:p w:rsidR="00760BA5" w:rsidRPr="00EE72F9" w:rsidRDefault="00760BA5" w:rsidP="00F32A46">
      <w:pPr>
        <w:autoSpaceDE w:val="0"/>
        <w:autoSpaceDN w:val="0"/>
        <w:bidi w:val="0"/>
        <w:adjustRightInd w:val="0"/>
        <w:snapToGrid w:val="0"/>
        <w:spacing w:after="0" w:line="240" w:lineRule="auto"/>
        <w:jc w:val="center"/>
        <w:rPr>
          <w:rFonts w:ascii="Times New Roman" w:hAnsi="Times New Roman" w:cs="Times New Roman"/>
          <w:sz w:val="20"/>
          <w:szCs w:val="20"/>
        </w:rPr>
      </w:pPr>
      <w:r w:rsidRPr="00EE72F9">
        <w:rPr>
          <w:rFonts w:ascii="Times New Roman" w:hAnsi="Times New Roman" w:cs="Times New Roman"/>
          <w:noProof/>
          <w:sz w:val="20"/>
          <w:szCs w:val="20"/>
          <w:lang w:eastAsia="zh-CN"/>
        </w:rPr>
        <w:lastRenderedPageBreak/>
        <w:drawing>
          <wp:inline distT="0" distB="0" distL="0" distR="0">
            <wp:extent cx="4290557" cy="2631882"/>
            <wp:effectExtent l="19050" t="0" r="14743"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7D63" w:rsidRPr="00EE72F9" w:rsidRDefault="00BB7D63" w:rsidP="00F32A4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r w:rsidRPr="00EE72F9">
        <w:rPr>
          <w:rFonts w:ascii="Times New Roman" w:hAnsi="Times New Roman" w:cs="Times New Roman"/>
          <w:b/>
          <w:bCs/>
          <w:sz w:val="20"/>
          <w:szCs w:val="20"/>
          <w:lang w:eastAsia="ar-SA"/>
        </w:rPr>
        <w:t>Figure</w:t>
      </w:r>
      <w:r w:rsidR="0046088D" w:rsidRPr="00EE72F9">
        <w:rPr>
          <w:rFonts w:ascii="Times New Roman" w:hAnsi="Times New Roman" w:cs="Times New Roman"/>
          <w:b/>
          <w:bCs/>
          <w:sz w:val="20"/>
          <w:szCs w:val="20"/>
          <w:lang w:eastAsia="ar-SA"/>
        </w:rPr>
        <w:t xml:space="preserve"> </w:t>
      </w:r>
      <w:r w:rsidRPr="00EE72F9">
        <w:rPr>
          <w:rFonts w:ascii="Times New Roman" w:hAnsi="Times New Roman" w:cs="Times New Roman"/>
          <w:b/>
          <w:bCs/>
          <w:sz w:val="20"/>
          <w:szCs w:val="20"/>
          <w:lang w:eastAsia="ar-SA"/>
        </w:rPr>
        <w:t>(2): Comparison of TL 3 gene expression between patients and controls.</w:t>
      </w:r>
    </w:p>
    <w:p w:rsidR="0046088D" w:rsidRPr="00EE72F9" w:rsidRDefault="0046088D" w:rsidP="00F32A46">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B07D10" w:rsidRPr="00EE72F9" w:rsidRDefault="00760BA5" w:rsidP="00F32A46">
      <w:pPr>
        <w:autoSpaceDE w:val="0"/>
        <w:autoSpaceDN w:val="0"/>
        <w:bidi w:val="0"/>
        <w:adjustRightInd w:val="0"/>
        <w:snapToGrid w:val="0"/>
        <w:spacing w:after="0" w:line="240" w:lineRule="auto"/>
        <w:jc w:val="center"/>
        <w:rPr>
          <w:rFonts w:ascii="Times New Roman" w:hAnsi="Times New Roman" w:cs="Times New Roman"/>
          <w:sz w:val="20"/>
          <w:szCs w:val="20"/>
        </w:rPr>
      </w:pPr>
      <w:r w:rsidRPr="00EE72F9">
        <w:rPr>
          <w:rFonts w:ascii="Times New Roman" w:hAnsi="Times New Roman" w:cs="Times New Roman"/>
          <w:b/>
          <w:bCs/>
          <w:sz w:val="20"/>
          <w:szCs w:val="20"/>
          <w:lang w:eastAsia="ar-SA"/>
        </w:rPr>
        <w:t>Table (6)</w:t>
      </w:r>
      <w:r w:rsidR="00BB7D63" w:rsidRPr="00EE72F9">
        <w:rPr>
          <w:rFonts w:ascii="Times New Roman" w:hAnsi="Times New Roman" w:cs="Times New Roman"/>
          <w:b/>
          <w:bCs/>
          <w:sz w:val="20"/>
          <w:szCs w:val="20"/>
          <w:lang w:eastAsia="ar-SA"/>
        </w:rPr>
        <w:t>:</w:t>
      </w:r>
      <w:r w:rsidRPr="00EE72F9">
        <w:rPr>
          <w:rFonts w:ascii="Times New Roman" w:hAnsi="Times New Roman" w:cs="Times New Roman"/>
          <w:b/>
          <w:bCs/>
          <w:sz w:val="20"/>
          <w:szCs w:val="20"/>
          <w:lang w:eastAsia="ar-SA"/>
        </w:rPr>
        <w:t xml:space="preserve"> Relation between TL 3 gene expression and (Age, and</w:t>
      </w:r>
      <w:r w:rsidR="005154D4" w:rsidRPr="00EE72F9">
        <w:rPr>
          <w:rFonts w:ascii="Times New Roman" w:hAnsi="Times New Roman" w:cs="Times New Roman"/>
          <w:b/>
          <w:bCs/>
          <w:sz w:val="20"/>
          <w:szCs w:val="20"/>
          <w:lang w:eastAsia="ar-SA"/>
        </w:rPr>
        <w:t xml:space="preserve"> </w:t>
      </w:r>
      <w:r w:rsidR="00B07D10" w:rsidRPr="00EE72F9">
        <w:rPr>
          <w:rFonts w:ascii="Times New Roman" w:hAnsi="Times New Roman" w:cs="Times New Roman"/>
          <w:b/>
          <w:bCs/>
          <w:sz w:val="20"/>
          <w:szCs w:val="20"/>
          <w:lang w:eastAsia="ar-SA"/>
        </w:rPr>
        <w:t>laboratory data in the studied groups</w:t>
      </w:r>
      <w:r w:rsidR="00B07D10" w:rsidRPr="00EE72F9">
        <w:rPr>
          <w:rFonts w:ascii="Times New Roman"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992"/>
        <w:gridCol w:w="2776"/>
        <w:gridCol w:w="2706"/>
      </w:tblGrid>
      <w:tr w:rsidR="00B07D10" w:rsidRPr="00EE72F9" w:rsidTr="00F32A46">
        <w:trPr>
          <w:jc w:val="center"/>
        </w:trPr>
        <w:tc>
          <w:tcPr>
            <w:tcW w:w="2107" w:type="pct"/>
            <w:vMerge w:val="restar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lang w:bidi="ar-EG"/>
              </w:rPr>
              <w:t>With</w:t>
            </w:r>
          </w:p>
        </w:tc>
        <w:tc>
          <w:tcPr>
            <w:tcW w:w="2893" w:type="pct"/>
            <w:gridSpan w:val="2"/>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TL 3 gene expression</w:t>
            </w:r>
            <w:r w:rsidR="0046088D" w:rsidRPr="00EE72F9">
              <w:rPr>
                <w:rFonts w:ascii="Times New Roman" w:hAnsi="Times New Roman" w:cs="Times New Roman"/>
                <w:b/>
                <w:bCs/>
                <w:sz w:val="20"/>
                <w:szCs w:val="20"/>
              </w:rPr>
              <w:t xml:space="preserve"> </w:t>
            </w:r>
          </w:p>
        </w:tc>
      </w:tr>
      <w:tr w:rsidR="00B07D10" w:rsidRPr="00EE72F9" w:rsidTr="00F32A46">
        <w:trPr>
          <w:jc w:val="center"/>
        </w:trPr>
        <w:tc>
          <w:tcPr>
            <w:tcW w:w="2107" w:type="pct"/>
            <w:vMerge/>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lang w:bidi="ar-EG"/>
              </w:rPr>
            </w:pP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lang w:bidi="ar-EG"/>
              </w:rPr>
              <w:t>r</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lang w:bidi="ar-EG"/>
              </w:rPr>
              <w:t>P</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 xml:space="preserve">Age </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xml:space="preserve">- 0.150 </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0.254</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ALT</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0.200</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0.125</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AST</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- 0.032</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0.807</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ALB</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0.167</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0.108</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Total Bilirubin</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- 0.207</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0.113</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HB</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0.137</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0.297</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PLT</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0.018</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0.893</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 xml:space="preserve">TLC </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0.090</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0.493</w:t>
            </w:r>
          </w:p>
        </w:tc>
      </w:tr>
      <w:tr w:rsidR="00B07D10" w:rsidRPr="00EE72F9" w:rsidTr="00F32A46">
        <w:trPr>
          <w:jc w:val="center"/>
        </w:trPr>
        <w:tc>
          <w:tcPr>
            <w:tcW w:w="2107" w:type="pct"/>
            <w:vAlign w:val="center"/>
          </w:tcPr>
          <w:p w:rsidR="00B07D10" w:rsidRPr="00EE72F9" w:rsidRDefault="00B07D10" w:rsidP="00F32A46">
            <w:pPr>
              <w:bidi w:val="0"/>
              <w:snapToGrid w:val="0"/>
              <w:spacing w:after="0" w:line="240" w:lineRule="auto"/>
              <w:jc w:val="both"/>
              <w:rPr>
                <w:rFonts w:ascii="Times New Roman" w:hAnsi="Times New Roman" w:cs="Times New Roman"/>
                <w:b/>
                <w:bCs/>
                <w:sz w:val="20"/>
                <w:szCs w:val="20"/>
              </w:rPr>
            </w:pPr>
            <w:r w:rsidRPr="00EE72F9">
              <w:rPr>
                <w:rFonts w:ascii="Times New Roman" w:hAnsi="Times New Roman" w:cs="Times New Roman"/>
                <w:b/>
                <w:bCs/>
                <w:sz w:val="20"/>
                <w:szCs w:val="20"/>
              </w:rPr>
              <w:t xml:space="preserve">INF alpha </w:t>
            </w:r>
          </w:p>
        </w:tc>
        <w:tc>
          <w:tcPr>
            <w:tcW w:w="1465"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0.902</w:t>
            </w:r>
          </w:p>
        </w:tc>
        <w:tc>
          <w:tcPr>
            <w:tcW w:w="1429" w:type="pct"/>
            <w:vAlign w:val="center"/>
          </w:tcPr>
          <w:p w:rsidR="00B07D10" w:rsidRPr="00EE72F9" w:rsidRDefault="00B07D10" w:rsidP="00F32A46">
            <w:pPr>
              <w:bidi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0.001*</w:t>
            </w:r>
          </w:p>
        </w:tc>
      </w:tr>
    </w:tbl>
    <w:p w:rsidR="00760BA5" w:rsidRPr="00EE72F9" w:rsidRDefault="00760BA5" w:rsidP="00F32A4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760BA5" w:rsidRPr="00EE72F9" w:rsidRDefault="00F32A46" w:rsidP="00F32A46">
      <w:pPr>
        <w:autoSpaceDE w:val="0"/>
        <w:autoSpaceDN w:val="0"/>
        <w:bidi w:val="0"/>
        <w:adjustRightInd w:val="0"/>
        <w:snapToGrid w:val="0"/>
        <w:spacing w:after="0" w:line="240" w:lineRule="auto"/>
        <w:jc w:val="center"/>
        <w:rPr>
          <w:rFonts w:ascii="Times New Roman" w:hAnsi="Times New Roman" w:cs="Times New Roman"/>
          <w:b/>
          <w:bCs/>
          <w:sz w:val="20"/>
          <w:szCs w:val="20"/>
          <w:lang w:eastAsia="ar-SA"/>
        </w:rPr>
      </w:pPr>
      <w:r w:rsidRPr="00EE72F9">
        <w:rPr>
          <w:rFonts w:ascii="Times New Roman" w:hAnsi="Times New Roman" w:cs="Times New Roman"/>
          <w:b/>
          <w:bCs/>
          <w:sz w:val="20"/>
          <w:szCs w:val="20"/>
          <w:lang w:eastAsia="ar-SA"/>
        </w:rPr>
        <w:object w:dxaOrig="7143" w:dyaOrig="5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25pt;height:234.8pt" o:ole="" o:bordertopcolor="this" o:borderleftcolor="this" o:borderbottomcolor="this" o:borderrightcolor="this">
            <v:imagedata r:id="rId16" o:title=""/>
            <w10:bordertop type="single" width="12"/>
            <w10:borderleft type="single" width="12"/>
            <w10:borderbottom type="single" width="12"/>
            <w10:borderright type="single" width="12"/>
          </v:shape>
          <o:OLEObject Type="Embed" ProgID="Unknown" ShapeID="_x0000_i1025" DrawAspect="Content" ObjectID="_1629749196" r:id="rId17"/>
        </w:object>
      </w:r>
    </w:p>
    <w:p w:rsidR="00760BA5" w:rsidRPr="00EE72F9" w:rsidRDefault="00A76427" w:rsidP="00F32A46">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EE72F9">
        <w:rPr>
          <w:rFonts w:ascii="Times New Roman" w:hAnsi="Times New Roman" w:cs="Times New Roman"/>
          <w:b/>
          <w:bCs/>
          <w:sz w:val="20"/>
          <w:szCs w:val="20"/>
          <w:lang w:eastAsia="ar-SA"/>
        </w:rPr>
        <w:t>Figure (3). Correlation between TLR 3 gene expression and INF alpha level</w:t>
      </w:r>
      <w:r w:rsidRPr="00EE72F9">
        <w:rPr>
          <w:rFonts w:ascii="Times New Roman" w:hAnsi="Times New Roman" w:cs="Times New Roman"/>
          <w:b/>
          <w:bCs/>
          <w:sz w:val="20"/>
          <w:szCs w:val="20"/>
        </w:rPr>
        <w:t>.</w:t>
      </w:r>
    </w:p>
    <w:p w:rsidR="00EE72F9" w:rsidRPr="00EE72F9" w:rsidRDefault="00EE72F9" w:rsidP="00EE72F9">
      <w:pPr>
        <w:widowControl w:val="0"/>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F32A46" w:rsidRPr="00EE72F9" w:rsidRDefault="00F32A46"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sectPr w:rsidR="00F32A46" w:rsidRPr="00EE72F9" w:rsidSect="0046088D">
          <w:type w:val="continuous"/>
          <w:pgSz w:w="12240" w:h="15840"/>
          <w:pgMar w:top="1440" w:right="1440" w:bottom="1440" w:left="1440" w:header="720" w:footer="720" w:gutter="0"/>
          <w:cols w:space="720"/>
          <w:rtlGutter/>
          <w:docGrid w:linePitch="360"/>
        </w:sectPr>
      </w:pPr>
    </w:p>
    <w:p w:rsidR="00A52567" w:rsidRPr="00EE72F9" w:rsidRDefault="00B07D10" w:rsidP="00F32A46">
      <w:pPr>
        <w:widowControl w:val="0"/>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EE72F9">
        <w:rPr>
          <w:rFonts w:ascii="Times New Roman" w:hAnsi="Times New Roman" w:cs="Times New Roman"/>
          <w:b/>
          <w:bCs/>
          <w:sz w:val="20"/>
          <w:szCs w:val="20"/>
        </w:rPr>
        <w:lastRenderedPageBreak/>
        <w:t>4. Discussion</w:t>
      </w:r>
      <w:r w:rsidRPr="00EE72F9">
        <w:rPr>
          <w:rFonts w:ascii="Times New Roman" w:hAnsi="Times New Roman" w:cs="Times New Roman"/>
          <w:b/>
          <w:bCs/>
          <w:sz w:val="20"/>
          <w:szCs w:val="20"/>
          <w:lang w:bidi="ar-EG"/>
        </w:rPr>
        <w:t>:</w:t>
      </w:r>
    </w:p>
    <w:p w:rsidR="0046088D" w:rsidRPr="00EE72F9" w:rsidRDefault="00A52567"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In Egypt hepatitis C is a significant public health problem</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where the prevalence is (14.7%) among clinical populations and groups at risk of exposure to infection</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 xml:space="preserve">the prevalence is even higher </w:t>
      </w:r>
      <w:r w:rsidRPr="00EE72F9">
        <w:rPr>
          <w:rFonts w:ascii="Times New Roman" w:hAnsi="Times New Roman" w:cs="Times New Roman"/>
          <w:b/>
          <w:bCs/>
          <w:sz w:val="20"/>
          <w:szCs w:val="20"/>
          <w:lang w:bidi="ar-EG"/>
        </w:rPr>
        <w:t>(Mohamoud, et al., 2013)</w:t>
      </w:r>
      <w:r w:rsidRPr="00EE72F9">
        <w:rPr>
          <w:rFonts w:ascii="Times New Roman" w:hAnsi="Times New Roman" w:cs="Times New Roman"/>
          <w:sz w:val="20"/>
          <w:szCs w:val="20"/>
          <w:lang w:bidi="ar-EG"/>
        </w:rPr>
        <w:t>.</w:t>
      </w:r>
    </w:p>
    <w:p w:rsidR="007D40CC" w:rsidRPr="00EE72F9" w:rsidRDefault="0046088D"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I</w:t>
      </w:r>
      <w:r w:rsidR="007D40CC" w:rsidRPr="00EE72F9">
        <w:rPr>
          <w:rFonts w:ascii="Times New Roman" w:hAnsi="Times New Roman" w:cs="Times New Roman"/>
          <w:sz w:val="20"/>
          <w:szCs w:val="20"/>
          <w:lang w:bidi="ar-EG"/>
        </w:rPr>
        <w:t>n</w:t>
      </w:r>
      <w:r w:rsidR="005154D4" w:rsidRPr="00EE72F9">
        <w:rPr>
          <w:rFonts w:ascii="Times New Roman" w:hAnsi="Times New Roman" w:cs="Times New Roman"/>
          <w:sz w:val="20"/>
          <w:szCs w:val="20"/>
          <w:lang w:bidi="ar-EG"/>
        </w:rPr>
        <w:t xml:space="preserve"> </w:t>
      </w:r>
      <w:r w:rsidR="007D40CC" w:rsidRPr="00EE72F9">
        <w:rPr>
          <w:rFonts w:ascii="Times New Roman" w:hAnsi="Times New Roman" w:cs="Times New Roman"/>
          <w:sz w:val="20"/>
          <w:szCs w:val="20"/>
          <w:lang w:bidi="ar-EG"/>
        </w:rPr>
        <w:t>the pathogenesis and progression of various inflammatory liver diseases as including autoimmune liver disease as fibrogenesis, and chronic HBV and HCV infection Toll-like receptors play an important</w:t>
      </w:r>
      <w:r w:rsidR="005154D4" w:rsidRPr="00EE72F9">
        <w:rPr>
          <w:rFonts w:ascii="Times New Roman" w:hAnsi="Times New Roman" w:cs="Times New Roman"/>
          <w:b/>
          <w:bCs/>
          <w:sz w:val="20"/>
          <w:szCs w:val="20"/>
          <w:lang w:bidi="ar-EG"/>
        </w:rPr>
        <w:t xml:space="preserve"> </w:t>
      </w:r>
      <w:r w:rsidR="007D40CC" w:rsidRPr="00EE72F9">
        <w:rPr>
          <w:rFonts w:ascii="Times New Roman" w:hAnsi="Times New Roman" w:cs="Times New Roman"/>
          <w:b/>
          <w:bCs/>
          <w:sz w:val="20"/>
          <w:szCs w:val="20"/>
          <w:lang w:bidi="ar-EG"/>
        </w:rPr>
        <w:t>(Broering, et al., 2013)</w:t>
      </w:r>
      <w:r w:rsidR="007D40CC" w:rsidRPr="00EE72F9">
        <w:rPr>
          <w:rFonts w:ascii="Times New Roman" w:hAnsi="Times New Roman" w:cs="Times New Roman"/>
          <w:sz w:val="20"/>
          <w:szCs w:val="20"/>
          <w:lang w:bidi="ar-EG"/>
        </w:rPr>
        <w:t>.</w:t>
      </w:r>
    </w:p>
    <w:p w:rsidR="00241901" w:rsidRPr="00EE72F9" w:rsidRDefault="00A76427"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xml:space="preserve">Viral </w:t>
      </w:r>
      <w:r w:rsidR="007D40CC" w:rsidRPr="00EE72F9">
        <w:rPr>
          <w:rFonts w:ascii="Times New Roman" w:hAnsi="Times New Roman" w:cs="Times New Roman"/>
          <w:sz w:val="20"/>
          <w:szCs w:val="20"/>
          <w:lang w:bidi="ar-EG"/>
        </w:rPr>
        <w:t>double-stranded RNA</w:t>
      </w:r>
      <w:r w:rsidR="0046088D" w:rsidRPr="00EE72F9">
        <w:rPr>
          <w:rFonts w:ascii="Times New Roman" w:hAnsi="Times New Roman" w:cs="Times New Roman"/>
          <w:sz w:val="20"/>
          <w:szCs w:val="20"/>
          <w:lang w:bidi="ar-EG"/>
        </w:rPr>
        <w:t xml:space="preserve"> </w:t>
      </w:r>
      <w:r w:rsidR="007D40CC" w:rsidRPr="00EE72F9">
        <w:rPr>
          <w:rFonts w:ascii="Times New Roman" w:hAnsi="Times New Roman" w:cs="Times New Roman"/>
          <w:sz w:val="20"/>
          <w:szCs w:val="20"/>
          <w:lang w:bidi="ar-EG"/>
        </w:rPr>
        <w:t>(dsRNA</w:t>
      </w:r>
      <w:r w:rsidR="00F32A46" w:rsidRPr="00EE72F9">
        <w:rPr>
          <w:rFonts w:ascii="Times New Roman" w:hAnsi="Times New Roman" w:cs="Times New Roman"/>
          <w:sz w:val="20"/>
          <w:szCs w:val="20"/>
          <w:lang w:bidi="ar-EG"/>
        </w:rPr>
        <w:t>) c</w:t>
      </w:r>
      <w:r w:rsidR="00241901" w:rsidRPr="00EE72F9">
        <w:rPr>
          <w:rFonts w:ascii="Times New Roman" w:hAnsi="Times New Roman" w:cs="Times New Roman"/>
          <w:sz w:val="20"/>
          <w:szCs w:val="20"/>
          <w:lang w:bidi="ar-EG"/>
        </w:rPr>
        <w:t>an be recognized by Toll-like receptor 3 (TLR3) which is a major intracellular receptor, there</w:t>
      </w:r>
      <w:r w:rsidR="005154D4" w:rsidRPr="00EE72F9">
        <w:rPr>
          <w:rFonts w:ascii="Times New Roman" w:hAnsi="Times New Roman" w:cs="Times New Roman"/>
          <w:sz w:val="20"/>
          <w:szCs w:val="20"/>
          <w:lang w:bidi="ar-EG"/>
        </w:rPr>
        <w:t xml:space="preserve"> </w:t>
      </w:r>
      <w:r w:rsidR="00241901" w:rsidRPr="00EE72F9">
        <w:rPr>
          <w:rFonts w:ascii="Times New Roman" w:hAnsi="Times New Roman" w:cs="Times New Roman"/>
          <w:sz w:val="20"/>
          <w:szCs w:val="20"/>
          <w:lang w:bidi="ar-EG"/>
        </w:rPr>
        <w:t>for might influence the chronicity of such viruses, eventually leading to liver cirrhosis and hepatocellular carcinoma. Furthermore, polymorphisms in the TLR 3 gene have been associated with susceptibility to or the clinical progression of infection</w:t>
      </w:r>
      <w:r w:rsidR="0091589A" w:rsidRPr="00EE72F9">
        <w:rPr>
          <w:rFonts w:ascii="Times New Roman" w:hAnsi="Times New Roman" w:cs="Times New Roman"/>
          <w:sz w:val="20"/>
          <w:szCs w:val="20"/>
          <w:lang w:bidi="ar-EG"/>
        </w:rPr>
        <w:t xml:space="preserve"> </w:t>
      </w:r>
      <w:r w:rsidR="00241901" w:rsidRPr="00EE72F9">
        <w:rPr>
          <w:rFonts w:ascii="Times New Roman" w:hAnsi="Times New Roman" w:cs="Times New Roman"/>
          <w:b/>
          <w:bCs/>
          <w:sz w:val="20"/>
          <w:szCs w:val="20"/>
          <w:lang w:bidi="ar-EG"/>
        </w:rPr>
        <w:t>(Wang et al., 2013)</w:t>
      </w:r>
      <w:r w:rsidR="00241901" w:rsidRPr="00EE72F9">
        <w:rPr>
          <w:rFonts w:ascii="Times New Roman" w:hAnsi="Times New Roman" w:cs="Times New Roman"/>
          <w:sz w:val="20"/>
          <w:szCs w:val="20"/>
          <w:lang w:bidi="ar-EG"/>
        </w:rPr>
        <w:t>.</w:t>
      </w:r>
    </w:p>
    <w:p w:rsidR="00AB4EB0" w:rsidRPr="00EE72F9" w:rsidRDefault="00241901"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Our work revealed that there was down regulating in the expression level of TLR3</w:t>
      </w:r>
      <w:r w:rsidR="00385312" w:rsidRPr="00EE72F9">
        <w:rPr>
          <w:rFonts w:ascii="Times New Roman" w:hAnsi="Times New Roman" w:cs="Times New Roman"/>
          <w:sz w:val="20"/>
          <w:szCs w:val="20"/>
          <w:lang w:bidi="ar-EG"/>
        </w:rPr>
        <w:t xml:space="preserve"> in patients as compared to normal healthy subjects.</w:t>
      </w:r>
      <w:r w:rsidR="005154D4" w:rsidRPr="00EE72F9">
        <w:rPr>
          <w:rFonts w:ascii="Times New Roman" w:hAnsi="Times New Roman" w:cs="Times New Roman"/>
          <w:sz w:val="20"/>
          <w:szCs w:val="20"/>
          <w:lang w:bidi="ar-EG"/>
        </w:rPr>
        <w:t xml:space="preserve"> </w:t>
      </w:r>
      <w:r w:rsidR="00385312" w:rsidRPr="00EE72F9">
        <w:rPr>
          <w:rFonts w:ascii="Times New Roman" w:hAnsi="Times New Roman" w:cs="Times New Roman"/>
          <w:sz w:val="20"/>
          <w:szCs w:val="20"/>
          <w:lang w:bidi="ar-EG"/>
        </w:rPr>
        <w:t xml:space="preserve">These results are in agreement with those of </w:t>
      </w:r>
      <w:r w:rsidR="00385312" w:rsidRPr="00EE72F9">
        <w:rPr>
          <w:rFonts w:ascii="Times New Roman" w:hAnsi="Times New Roman" w:cs="Times New Roman"/>
          <w:b/>
          <w:bCs/>
          <w:sz w:val="20"/>
          <w:szCs w:val="20"/>
          <w:lang w:bidi="ar-EG"/>
        </w:rPr>
        <w:t>Motavaf et al., (2014)</w:t>
      </w:r>
      <w:r w:rsidR="00AB4EB0" w:rsidRPr="00EE72F9">
        <w:rPr>
          <w:rFonts w:ascii="Times New Roman" w:hAnsi="Times New Roman" w:cs="Times New Roman"/>
          <w:sz w:val="20"/>
          <w:szCs w:val="20"/>
          <w:lang w:bidi="ar-EG"/>
        </w:rPr>
        <w:t xml:space="preserve">. </w:t>
      </w:r>
      <w:r w:rsidR="00AB4EB0" w:rsidRPr="00EE72F9">
        <w:rPr>
          <w:rFonts w:ascii="Times New Roman" w:hAnsi="Times New Roman" w:cs="Times New Roman"/>
          <w:b/>
          <w:bCs/>
          <w:sz w:val="20"/>
          <w:szCs w:val="20"/>
          <w:lang w:bidi="ar-EG"/>
        </w:rPr>
        <w:t>Firdaus et al., (2014)</w:t>
      </w:r>
      <w:r w:rsidR="00AB4EB0" w:rsidRPr="00EE72F9">
        <w:rPr>
          <w:rFonts w:ascii="Times New Roman" w:hAnsi="Times New Roman" w:cs="Times New Roman"/>
          <w:sz w:val="20"/>
          <w:szCs w:val="20"/>
          <w:lang w:bidi="ar-EG"/>
        </w:rPr>
        <w:t xml:space="preserve"> indicate that in HCV patients there was more significant decrease in expression level of TLR 3 mRNA than individuals who had spontaneously cleared the viral infection.</w:t>
      </w:r>
    </w:p>
    <w:p w:rsidR="00A13127" w:rsidRPr="00EE72F9" w:rsidRDefault="00AB4EB0"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xml:space="preserve">On the other hand our result weren't in agreement with </w:t>
      </w:r>
      <w:r w:rsidRPr="00EE72F9">
        <w:rPr>
          <w:rFonts w:ascii="Times New Roman" w:hAnsi="Times New Roman" w:cs="Times New Roman"/>
          <w:b/>
          <w:bCs/>
          <w:sz w:val="20"/>
          <w:szCs w:val="20"/>
          <w:lang w:bidi="ar-EG"/>
        </w:rPr>
        <w:t xml:space="preserve">Dolganiuc et al., (2006) </w:t>
      </w:r>
      <w:r w:rsidR="00A13127" w:rsidRPr="00EE72F9">
        <w:rPr>
          <w:rFonts w:ascii="Times New Roman" w:hAnsi="Times New Roman" w:cs="Times New Roman"/>
          <w:sz w:val="20"/>
          <w:szCs w:val="20"/>
          <w:lang w:bidi="ar-EG"/>
        </w:rPr>
        <w:t>who</w:t>
      </w:r>
      <w:r w:rsidR="0091589A" w:rsidRPr="00EE72F9">
        <w:rPr>
          <w:rFonts w:ascii="Times New Roman" w:hAnsi="Times New Roman" w:cs="Times New Roman"/>
          <w:sz w:val="20"/>
          <w:szCs w:val="20"/>
          <w:lang w:bidi="ar-EG"/>
        </w:rPr>
        <w:t xml:space="preserve"> </w:t>
      </w:r>
      <w:r w:rsidR="00A13127" w:rsidRPr="00EE72F9">
        <w:rPr>
          <w:rFonts w:ascii="Times New Roman" w:hAnsi="Times New Roman" w:cs="Times New Roman"/>
          <w:sz w:val="20"/>
          <w:szCs w:val="20"/>
          <w:lang w:bidi="ar-EG"/>
        </w:rPr>
        <w:t>stated that there was upregulation of almost all TLRs (including TLR3 and TLR7) in monocytes</w:t>
      </w:r>
      <w:r w:rsidR="00EE72F9">
        <w:rPr>
          <w:rFonts w:ascii="Times New Roman" w:hAnsi="Times New Roman" w:cs="Times New Roman" w:hint="eastAsia"/>
          <w:sz w:val="20"/>
          <w:szCs w:val="20"/>
          <w:lang w:eastAsia="zh-CN" w:bidi="ar-EG"/>
        </w:rPr>
        <w:t xml:space="preserve"> </w:t>
      </w:r>
      <w:r w:rsidR="00A13127" w:rsidRPr="00EE72F9">
        <w:rPr>
          <w:rFonts w:ascii="Times New Roman" w:hAnsi="Times New Roman" w:cs="Times New Roman"/>
          <w:sz w:val="20"/>
          <w:szCs w:val="20"/>
          <w:lang w:bidi="ar-EG"/>
        </w:rPr>
        <w:t>and lymphocytes of patients with chronic HCV infection.</w:t>
      </w:r>
    </w:p>
    <w:p w:rsidR="00241901" w:rsidRPr="00EE72F9" w:rsidRDefault="001502E6"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This</w:t>
      </w:r>
      <w:r w:rsidR="0046088D" w:rsidRPr="00EE72F9">
        <w:rPr>
          <w:rFonts w:ascii="Times New Roman" w:hAnsi="Times New Roman" w:cs="Times New Roman"/>
          <w:sz w:val="20"/>
          <w:szCs w:val="20"/>
          <w:lang w:bidi="ar-EG"/>
        </w:rPr>
        <w:t xml:space="preserve"> </w:t>
      </w:r>
      <w:r w:rsidR="00A13127" w:rsidRPr="00EE72F9">
        <w:rPr>
          <w:rFonts w:ascii="Times New Roman" w:hAnsi="Times New Roman" w:cs="Times New Roman"/>
          <w:sz w:val="20"/>
          <w:szCs w:val="20"/>
          <w:lang w:bidi="ar-EG"/>
        </w:rPr>
        <w:t>can be explained</w:t>
      </w:r>
      <w:r w:rsidRPr="00EE72F9">
        <w:rPr>
          <w:rFonts w:ascii="Times New Roman" w:hAnsi="Times New Roman" w:cs="Times New Roman"/>
          <w:sz w:val="20"/>
          <w:szCs w:val="20"/>
          <w:lang w:bidi="ar-EG"/>
        </w:rPr>
        <w:t xml:space="preserve"> by a number of factors including difference in methodological approaches (cellular separation vs. total blood) and differences in clinical stage.</w:t>
      </w:r>
    </w:p>
    <w:p w:rsidR="00A52567" w:rsidRPr="00EE72F9" w:rsidRDefault="001502E6"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In our study the level of INF-α was significantly hi</w:t>
      </w:r>
      <w:r w:rsidR="005154D4" w:rsidRPr="00EE72F9">
        <w:rPr>
          <w:rFonts w:ascii="Times New Roman" w:hAnsi="Times New Roman" w:cs="Times New Roman"/>
          <w:sz w:val="20"/>
          <w:szCs w:val="20"/>
          <w:lang w:bidi="ar-EG"/>
        </w:rPr>
        <w:t>gher in</w:t>
      </w:r>
      <w:r w:rsidRPr="00EE72F9">
        <w:rPr>
          <w:rFonts w:ascii="Times New Roman" w:hAnsi="Times New Roman" w:cs="Times New Roman"/>
          <w:sz w:val="20"/>
          <w:szCs w:val="20"/>
          <w:lang w:bidi="ar-EG"/>
        </w:rPr>
        <w:t xml:space="preserve"> patients as compared to control group. These results were coordinated with </w:t>
      </w:r>
      <w:r w:rsidRPr="00EE72F9">
        <w:rPr>
          <w:rFonts w:ascii="Times New Roman" w:hAnsi="Times New Roman" w:cs="Times New Roman"/>
          <w:b/>
          <w:bCs/>
          <w:sz w:val="20"/>
          <w:szCs w:val="20"/>
          <w:lang w:bidi="ar-EG"/>
        </w:rPr>
        <w:t>Abdel-Raouf et</w:t>
      </w:r>
      <w:r w:rsidR="005154D4" w:rsidRPr="00EE72F9">
        <w:rPr>
          <w:rFonts w:ascii="Times New Roman" w:hAnsi="Times New Roman" w:cs="Times New Roman"/>
          <w:b/>
          <w:bCs/>
          <w:sz w:val="20"/>
          <w:szCs w:val="20"/>
          <w:lang w:bidi="ar-EG"/>
        </w:rPr>
        <w:t xml:space="preserve"> </w:t>
      </w:r>
      <w:r w:rsidRPr="00EE72F9">
        <w:rPr>
          <w:rFonts w:ascii="Times New Roman" w:hAnsi="Times New Roman" w:cs="Times New Roman"/>
          <w:b/>
          <w:bCs/>
          <w:sz w:val="20"/>
          <w:szCs w:val="20"/>
          <w:lang w:bidi="ar-EG"/>
        </w:rPr>
        <w:t>al.,</w:t>
      </w:r>
      <w:r w:rsidR="0046088D" w:rsidRPr="00EE72F9">
        <w:rPr>
          <w:rFonts w:ascii="Times New Roman" w:hAnsi="Times New Roman" w:cs="Times New Roman"/>
          <w:b/>
          <w:bCs/>
          <w:sz w:val="20"/>
          <w:szCs w:val="20"/>
          <w:lang w:bidi="ar-EG"/>
        </w:rPr>
        <w:t xml:space="preserve"> </w:t>
      </w:r>
      <w:r w:rsidRPr="00EE72F9">
        <w:rPr>
          <w:rFonts w:ascii="Times New Roman" w:hAnsi="Times New Roman" w:cs="Times New Roman"/>
          <w:b/>
          <w:bCs/>
          <w:sz w:val="20"/>
          <w:szCs w:val="20"/>
          <w:lang w:bidi="ar-EG"/>
        </w:rPr>
        <w:t>(2014)</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who cleared that</w:t>
      </w:r>
      <w:r w:rsidR="00B96F5A" w:rsidRPr="00EE72F9">
        <w:rPr>
          <w:rFonts w:ascii="Times New Roman" w:hAnsi="Times New Roman" w:cs="Times New Roman"/>
          <w:sz w:val="20"/>
          <w:szCs w:val="20"/>
          <w:lang w:bidi="ar-EG"/>
        </w:rPr>
        <w:t xml:space="preserve"> the signaling pathway of TLR2, TLR4, TLR7 and TLR9was inhibited by viral NS5A protein by binding to the adaptor protein MyD88 and inhibiting the recruitment of IRAK4 leading to a decrease in MyD88-dependent signals responsible for IFN-α production.</w:t>
      </w:r>
    </w:p>
    <w:p w:rsidR="000F3DCC" w:rsidRPr="00EE72F9" w:rsidRDefault="00B96F5A"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The</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result of</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our study showed that</w:t>
      </w:r>
      <w:r w:rsidR="005A6DF8" w:rsidRPr="00EE72F9">
        <w:rPr>
          <w:rFonts w:ascii="Times New Roman" w:hAnsi="Times New Roman" w:cs="Times New Roman"/>
          <w:sz w:val="20"/>
          <w:szCs w:val="20"/>
          <w:lang w:bidi="ar-EG"/>
        </w:rPr>
        <w:t xml:space="preserve"> there</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was significant correlation</w:t>
      </w:r>
      <w:r w:rsidR="005154D4"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between TL 3 gene expression and INF alpha level in patients</w:t>
      </w:r>
      <w:r w:rsidR="005A6DF8" w:rsidRPr="00EE72F9">
        <w:rPr>
          <w:rFonts w:ascii="Times New Roman" w:hAnsi="Times New Roman" w:cs="Times New Roman"/>
          <w:sz w:val="20"/>
          <w:szCs w:val="20"/>
          <w:lang w:bidi="ar-EG"/>
        </w:rPr>
        <w:t xml:space="preserve"> This goes with the result of </w:t>
      </w:r>
      <w:r w:rsidR="005A6DF8" w:rsidRPr="00EE72F9">
        <w:rPr>
          <w:rFonts w:ascii="Times New Roman" w:hAnsi="Times New Roman" w:cs="Times New Roman"/>
          <w:b/>
          <w:bCs/>
          <w:sz w:val="20"/>
          <w:szCs w:val="20"/>
          <w:lang w:bidi="ar-EG"/>
        </w:rPr>
        <w:t>Mohammed et al., (2013)</w:t>
      </w:r>
      <w:r w:rsidR="0046088D" w:rsidRPr="00EE72F9">
        <w:rPr>
          <w:rFonts w:ascii="Times New Roman" w:hAnsi="Times New Roman" w:cs="Times New Roman"/>
          <w:sz w:val="20"/>
          <w:szCs w:val="20"/>
          <w:lang w:bidi="ar-EG"/>
        </w:rPr>
        <w:t xml:space="preserve"> </w:t>
      </w:r>
      <w:r w:rsidR="005A6DF8" w:rsidRPr="00EE72F9">
        <w:rPr>
          <w:rFonts w:ascii="Times New Roman" w:hAnsi="Times New Roman" w:cs="Times New Roman"/>
          <w:sz w:val="20"/>
          <w:szCs w:val="20"/>
          <w:lang w:bidi="ar-EG"/>
        </w:rPr>
        <w:t>who explained that there is strong correlation between expression level of INF alph and TLR3 gene expression</w:t>
      </w:r>
      <w:r w:rsidR="002B3707" w:rsidRPr="00EE72F9">
        <w:rPr>
          <w:rFonts w:ascii="Times New Roman" w:hAnsi="Times New Roman" w:cs="Times New Roman"/>
          <w:sz w:val="20"/>
          <w:szCs w:val="20"/>
          <w:lang w:bidi="ar-EG"/>
        </w:rPr>
        <w:t>.</w:t>
      </w:r>
    </w:p>
    <w:p w:rsidR="002B3707" w:rsidRPr="00EE72F9" w:rsidRDefault="002B3707"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 xml:space="preserve">This is in agreement with </w:t>
      </w:r>
      <w:r w:rsidR="00387B88" w:rsidRPr="00EE72F9">
        <w:rPr>
          <w:rFonts w:ascii="Times New Roman" w:hAnsi="Times New Roman" w:cs="Times New Roman"/>
          <w:b/>
          <w:bCs/>
          <w:sz w:val="20"/>
          <w:szCs w:val="20"/>
          <w:lang w:bidi="ar-EG"/>
        </w:rPr>
        <w:t>Atencia et al., (2007)</w:t>
      </w:r>
      <w:r w:rsidR="0091589A" w:rsidRPr="00EE72F9">
        <w:rPr>
          <w:rFonts w:ascii="Times New Roman" w:hAnsi="Times New Roman" w:cs="Times New Roman"/>
          <w:sz w:val="20"/>
          <w:szCs w:val="20"/>
          <w:lang w:bidi="ar-EG"/>
        </w:rPr>
        <w:t xml:space="preserve"> who documented</w:t>
      </w:r>
      <w:r w:rsidR="00387B88" w:rsidRPr="00EE72F9">
        <w:rPr>
          <w:rFonts w:ascii="Times New Roman" w:hAnsi="Times New Roman" w:cs="Times New Roman"/>
          <w:sz w:val="20"/>
          <w:szCs w:val="20"/>
          <w:lang w:bidi="ar-EG"/>
        </w:rPr>
        <w:t xml:space="preserve"> that </w:t>
      </w:r>
      <w:r w:rsidR="0091589A" w:rsidRPr="00EE72F9">
        <w:rPr>
          <w:rFonts w:ascii="Times New Roman" w:hAnsi="Times New Roman" w:cs="Times New Roman"/>
          <w:sz w:val="20"/>
          <w:szCs w:val="20"/>
          <w:lang w:bidi="ar-EG"/>
        </w:rPr>
        <w:t xml:space="preserve">there is strong correlation in </w:t>
      </w:r>
      <w:r w:rsidR="00387B88" w:rsidRPr="00EE72F9">
        <w:rPr>
          <w:rFonts w:ascii="Times New Roman" w:hAnsi="Times New Roman" w:cs="Times New Roman"/>
          <w:sz w:val="20"/>
          <w:szCs w:val="20"/>
          <w:lang w:bidi="ar-EG"/>
        </w:rPr>
        <w:lastRenderedPageBreak/>
        <w:t>expression levels of TLR3 and TLR7with the expression level of IFN</w:t>
      </w:r>
      <w:r w:rsidR="00387B88" w:rsidRPr="00EE72F9">
        <w:rPr>
          <w:rFonts w:ascii="Times New Roman" w:hAnsi="Times New Roman" w:cs="Times New Roman"/>
          <w:sz w:val="20"/>
          <w:szCs w:val="20"/>
        </w:rPr>
        <w:t>-</w:t>
      </w:r>
      <w:r w:rsidR="00D12090" w:rsidRPr="00EE72F9">
        <w:rPr>
          <w:rFonts w:ascii="Times New Roman" w:hAnsi="Times New Roman" w:cs="Times New Roman"/>
          <w:sz w:val="20"/>
          <w:szCs w:val="20"/>
          <w:lang w:bidi="ar-EG"/>
        </w:rPr>
        <w:t>α.</w:t>
      </w:r>
    </w:p>
    <w:p w:rsidR="00D12090" w:rsidRPr="00EE72F9" w:rsidRDefault="00D12090"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Our study showed that there was no significant correlation between TLR 3 gene expression and (Age, ALT, AST, ALB, Total B</w:t>
      </w:r>
      <w:r w:rsidR="00E754D4" w:rsidRPr="00EE72F9">
        <w:rPr>
          <w:rFonts w:ascii="Times New Roman" w:hAnsi="Times New Roman" w:cs="Times New Roman"/>
          <w:sz w:val="20"/>
          <w:szCs w:val="20"/>
          <w:lang w:bidi="ar-EG"/>
        </w:rPr>
        <w:t>ilirubin, HB, PLT and TLC</w:t>
      </w:r>
      <w:r w:rsidRPr="00EE72F9">
        <w:rPr>
          <w:rFonts w:ascii="Times New Roman" w:hAnsi="Times New Roman" w:cs="Times New Roman"/>
          <w:sz w:val="20"/>
          <w:szCs w:val="20"/>
          <w:lang w:bidi="ar-EG"/>
        </w:rPr>
        <w:t xml:space="preserve">) this is in agreement with </w:t>
      </w:r>
      <w:r w:rsidRPr="00EE72F9">
        <w:rPr>
          <w:rFonts w:ascii="Times New Roman" w:hAnsi="Times New Roman" w:cs="Times New Roman"/>
          <w:b/>
          <w:bCs/>
          <w:sz w:val="20"/>
          <w:szCs w:val="20"/>
          <w:lang w:bidi="ar-EG"/>
        </w:rPr>
        <w:t>Mohammed et al.</w:t>
      </w:r>
      <w:r w:rsidR="0046088D" w:rsidRPr="00EE72F9">
        <w:rPr>
          <w:rFonts w:ascii="Times New Roman" w:hAnsi="Times New Roman" w:cs="Times New Roman"/>
          <w:b/>
          <w:bCs/>
          <w:sz w:val="20"/>
          <w:szCs w:val="20"/>
          <w:lang w:bidi="ar-EG"/>
        </w:rPr>
        <w:t>, (</w:t>
      </w:r>
      <w:r w:rsidRPr="00EE72F9">
        <w:rPr>
          <w:rFonts w:ascii="Times New Roman" w:hAnsi="Times New Roman" w:cs="Times New Roman"/>
          <w:b/>
          <w:bCs/>
          <w:sz w:val="20"/>
          <w:szCs w:val="20"/>
          <w:lang w:bidi="ar-EG"/>
        </w:rPr>
        <w:t>2013)</w:t>
      </w:r>
      <w:r w:rsidRPr="00EE72F9">
        <w:rPr>
          <w:rFonts w:ascii="Times New Roman" w:hAnsi="Times New Roman" w:cs="Times New Roman"/>
          <w:sz w:val="20"/>
          <w:szCs w:val="20"/>
          <w:lang w:bidi="ar-EG"/>
        </w:rPr>
        <w:t>.</w:t>
      </w:r>
    </w:p>
    <w:p w:rsidR="00D7655C" w:rsidRPr="00EE72F9" w:rsidRDefault="00D7655C" w:rsidP="00F32A46">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Different IFN subtypes play an important role in hepatitis c therapy as they</w:t>
      </w:r>
      <w:r w:rsidR="0046088D"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have different antiviral potencies against HCV, and some subtypes have synergistic activities in combination</w:t>
      </w:r>
      <w:r w:rsidR="0091589A" w:rsidRPr="00EE72F9">
        <w:rPr>
          <w:rFonts w:ascii="Times New Roman" w:hAnsi="Times New Roman" w:cs="Times New Roman"/>
          <w:sz w:val="20"/>
          <w:szCs w:val="20"/>
          <w:lang w:bidi="ar-EG"/>
        </w:rPr>
        <w:t xml:space="preserve"> </w:t>
      </w:r>
      <w:r w:rsidRPr="00EE72F9">
        <w:rPr>
          <w:rFonts w:ascii="Times New Roman" w:hAnsi="Times New Roman" w:cs="Times New Roman"/>
          <w:sz w:val="20"/>
          <w:szCs w:val="20"/>
          <w:lang w:bidi="ar-EG"/>
        </w:rPr>
        <w:t>with others, TLR activation induces a range of different IFN subtypes. For example, the TLR7 agonist imiquimod has been shown to induce IFN- 1, - 2, - 5, - 6, and – 8</w:t>
      </w:r>
      <w:r w:rsidR="00AF1DE1" w:rsidRPr="00EE72F9">
        <w:rPr>
          <w:rFonts w:ascii="Times New Roman" w:hAnsi="Times New Roman" w:cs="Times New Roman"/>
          <w:sz w:val="20"/>
          <w:szCs w:val="20"/>
          <w:lang w:bidi="ar-EG"/>
        </w:rPr>
        <w:t xml:space="preserve"> </w:t>
      </w:r>
      <w:r w:rsidRPr="00EE72F9">
        <w:rPr>
          <w:rFonts w:ascii="Times New Roman" w:hAnsi="Times New Roman" w:cs="Times New Roman"/>
          <w:b/>
          <w:bCs/>
          <w:sz w:val="20"/>
          <w:szCs w:val="20"/>
          <w:lang w:bidi="ar-EG"/>
        </w:rPr>
        <w:t>(Puig et al., 2012)</w:t>
      </w:r>
      <w:r w:rsidRPr="00EE72F9">
        <w:rPr>
          <w:rFonts w:ascii="Times New Roman" w:hAnsi="Times New Roman" w:cs="Times New Roman"/>
          <w:sz w:val="20"/>
          <w:szCs w:val="20"/>
          <w:lang w:bidi="ar-EG"/>
        </w:rPr>
        <w:t>.</w:t>
      </w:r>
    </w:p>
    <w:p w:rsidR="00B07D10" w:rsidRPr="00EE72F9" w:rsidRDefault="00B07D10" w:rsidP="00F32A46">
      <w:pPr>
        <w:widowControl w:val="0"/>
        <w:tabs>
          <w:tab w:val="left" w:pos="1725"/>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9C49CE" w:rsidRPr="00EE72F9" w:rsidRDefault="00B07D10" w:rsidP="00F32A46">
      <w:pPr>
        <w:widowControl w:val="0"/>
        <w:tabs>
          <w:tab w:val="left" w:pos="1725"/>
        </w:tabs>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bidi="ar-EG"/>
        </w:rPr>
      </w:pPr>
      <w:r w:rsidRPr="00EE72F9">
        <w:rPr>
          <w:rFonts w:ascii="Times New Roman" w:hAnsi="Times New Roman" w:cs="Times New Roman"/>
          <w:b/>
          <w:bCs/>
          <w:sz w:val="20"/>
          <w:szCs w:val="20"/>
          <w:lang w:bidi="ar-EG"/>
        </w:rPr>
        <w:t>References:</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EE72F9">
        <w:rPr>
          <w:rFonts w:ascii="Times New Roman" w:hAnsi="Times New Roman" w:cs="Times New Roman"/>
          <w:bCs/>
          <w:sz w:val="18"/>
          <w:szCs w:val="18"/>
        </w:rPr>
        <w:t>Al-Anazi</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M,</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Nasri</w:t>
      </w:r>
      <w:r w:rsidR="00F32A46" w:rsidRPr="00EE72F9">
        <w:rPr>
          <w:rFonts w:ascii="Times New Roman" w:hAnsi="Times New Roman" w:cs="Times New Roman"/>
          <w:bCs/>
          <w:sz w:val="18"/>
          <w:szCs w:val="18"/>
        </w:rPr>
        <w:t>. S</w:t>
      </w:r>
      <w:r w:rsidRPr="00EE72F9">
        <w:rPr>
          <w:rFonts w:ascii="Times New Roman" w:hAnsi="Times New Roman" w:cs="Times New Roman"/>
          <w:bCs/>
          <w:sz w:val="18"/>
          <w:szCs w:val="18"/>
        </w:rPr>
        <w:t>,</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Ayman</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Abdo.</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Sanai</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F</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et</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(2017):</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Association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of</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Toll-Like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Receptor</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Single-Nucleotide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Polymorphisms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Hepatitis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Virus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Infection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J</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Immunol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2017:</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1590653Article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1590653,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1:6.</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EE72F9">
        <w:rPr>
          <w:rFonts w:ascii="Times New Roman" w:hAnsi="Times New Roman" w:cs="Times New Roman"/>
          <w:bCs/>
          <w:sz w:val="18"/>
          <w:szCs w:val="18"/>
        </w:rPr>
        <w:t>Atencia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R,</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Bustamante</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F</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J,</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Valdivieso</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Arrieta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et</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(2007):</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Differential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expression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of</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viral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PAMP</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receptors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mRNA</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peripheral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blood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of</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patients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with</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chronic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hepatitis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infection.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BMC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Infectious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Diseases,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7(9),</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136-143.</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rPr>
      </w:pPr>
      <w:r w:rsidRPr="00EE72F9">
        <w:rPr>
          <w:rFonts w:ascii="Times New Roman" w:hAnsi="Times New Roman" w:cs="Times New Roman"/>
          <w:bCs/>
          <w:sz w:val="18"/>
          <w:szCs w:val="18"/>
        </w:rPr>
        <w:t>Broering</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R,</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Lu</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M,</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Schlaak</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JF</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(2011):</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Role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of</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Toll-like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receptors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liver</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health</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disease,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Clin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Sci</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(Lond),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121(10),</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415-26.</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EE72F9">
        <w:rPr>
          <w:rFonts w:ascii="Times New Roman" w:hAnsi="Times New Roman" w:cs="Times New Roman"/>
          <w:bCs/>
          <w:sz w:val="18"/>
          <w:szCs w:val="18"/>
        </w:rPr>
        <w:t>Firdaus</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R,</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Biswas</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Saha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K,</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Mukherjee</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et</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(2014):</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Modulation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of</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TLR</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7</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8</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Expressions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HCV</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Genotype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Infected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Individuals: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Potential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Correlations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of</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Pathogenesis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Spontaneous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Clearance].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BioMed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Research</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International,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2014,</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1-7.</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EE72F9">
        <w:rPr>
          <w:rFonts w:ascii="Times New Roman" w:hAnsi="Times New Roman" w:cs="Times New Roman"/>
          <w:bCs/>
          <w:sz w:val="18"/>
          <w:szCs w:val="18"/>
        </w:rPr>
        <w:t>Mohamoud</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Y,</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Mumtaz</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G,</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Riome</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S,</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Miller</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D</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and</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Abu-Raddad</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(2013):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The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epidemiology</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of</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hepatitis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virus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Egypt,</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systematic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review</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data</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synthesis.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BMC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Infectious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Diseases,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288.</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rPr>
      </w:pPr>
      <w:r w:rsidRPr="00EE72F9">
        <w:rPr>
          <w:rFonts w:ascii="Times New Roman" w:hAnsi="Times New Roman" w:cs="Times New Roman"/>
          <w:bCs/>
          <w:sz w:val="18"/>
          <w:szCs w:val="18"/>
        </w:rPr>
        <w:t>Motavaf</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M,</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Noorbakhsh</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F,</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Alavian</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S,</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and</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Sharifi</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Z,</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(2014):</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Distinct</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Toll-like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Receptor</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7</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Expression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Peripheral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Blood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Mononuclear</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Cells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From</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Patients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with</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Chronic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Hepatitis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Infection,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Hepat</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Mon,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14(4),</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e16421.</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EE72F9">
        <w:rPr>
          <w:rFonts w:ascii="Times New Roman" w:hAnsi="Times New Roman" w:cs="Times New Roman"/>
          <w:bCs/>
          <w:sz w:val="18"/>
          <w:szCs w:val="18"/>
        </w:rPr>
        <w:t>Puig</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M,</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Tosh</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K</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W,</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Schramm</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M,</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Grajkowska</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T,</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et</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(2012):</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TLR9</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TLR7</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agonists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mediate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distinct</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type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IFN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responses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humans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nonhuman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primates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vitro</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vivo.</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J.</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Leuk.</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Biol.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91(1):</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147-158.</w:t>
      </w:r>
      <w:r w:rsidR="0046088D" w:rsidRPr="00EE72F9">
        <w:rPr>
          <w:rFonts w:ascii="Times New Roman" w:hAnsi="Times New Roman" w:cs="Times New Roman"/>
          <w:sz w:val="18"/>
          <w:szCs w:val="18"/>
          <w:lang w:bidi="ar-EG"/>
        </w:rPr>
        <w:t xml:space="preserve"> </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rPr>
      </w:pPr>
      <w:r w:rsidRPr="00EE72F9">
        <w:rPr>
          <w:rFonts w:ascii="Times New Roman" w:hAnsi="Times New Roman" w:cs="Times New Roman"/>
          <w:bCs/>
          <w:sz w:val="18"/>
          <w:szCs w:val="18"/>
        </w:rPr>
        <w:t>Wang</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Y,</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Li</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J,</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Wang</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X,</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Ye</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et</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al.</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(2014):</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Hepatitis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virus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impairs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TLR3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signaling</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inhibits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IFN-lambda</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expression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human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hepatoma</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cell</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line,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Innate</w:t>
      </w:r>
      <w:r w:rsidR="0046088D" w:rsidRPr="00EE72F9">
        <w:rPr>
          <w:rFonts w:ascii="Times New Roman" w:hAnsi="Times New Roman" w:cs="Times New Roman"/>
          <w:sz w:val="18"/>
          <w:szCs w:val="18"/>
        </w:rPr>
        <w:t xml:space="preserve"> </w:t>
      </w:r>
      <w:r w:rsidR="00E754D4" w:rsidRPr="00EE72F9">
        <w:rPr>
          <w:rFonts w:ascii="Times New Roman" w:hAnsi="Times New Roman" w:cs="Times New Roman"/>
          <w:sz w:val="18"/>
          <w:szCs w:val="18"/>
        </w:rPr>
        <w:t>Immune</w:t>
      </w:r>
      <w:r w:rsidRPr="00EE72F9">
        <w:rPr>
          <w:rFonts w:ascii="Times New Roman" w:hAnsi="Times New Roman" w:cs="Times New Roman"/>
          <w:sz w:val="18"/>
          <w:szCs w:val="18"/>
        </w:rPr>
        <w:t>,</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20:</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3-11.</w:t>
      </w:r>
    </w:p>
    <w:p w:rsidR="001519C1" w:rsidRPr="00EE72F9" w:rsidRDefault="001519C1" w:rsidP="00F32A46">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EE72F9">
        <w:rPr>
          <w:rFonts w:ascii="Times New Roman" w:hAnsi="Times New Roman" w:cs="Times New Roman"/>
          <w:bCs/>
          <w:sz w:val="18"/>
          <w:szCs w:val="18"/>
        </w:rPr>
        <w:t>Yin</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S</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and</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Gao</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B,</w:t>
      </w:r>
      <w:r w:rsidR="0046088D" w:rsidRPr="00EE72F9">
        <w:rPr>
          <w:rFonts w:ascii="Times New Roman" w:hAnsi="Times New Roman" w:cs="Times New Roman"/>
          <w:bCs/>
          <w:sz w:val="18"/>
          <w:szCs w:val="18"/>
        </w:rPr>
        <w:t xml:space="preserve"> </w:t>
      </w:r>
      <w:r w:rsidRPr="00EE72F9">
        <w:rPr>
          <w:rFonts w:ascii="Times New Roman" w:hAnsi="Times New Roman" w:cs="Times New Roman"/>
          <w:bCs/>
          <w:sz w:val="18"/>
          <w:szCs w:val="18"/>
        </w:rPr>
        <w:t>(2010):</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Toll-Like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Receptor</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3</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in</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Liver</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Diseases</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Gastroenterology</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Research</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and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Practice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Volume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2010,</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Article</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ID</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750904,</w:t>
      </w:r>
      <w:r w:rsidR="0046088D" w:rsidRPr="00EE72F9">
        <w:rPr>
          <w:rFonts w:ascii="Times New Roman" w:hAnsi="Times New Roman" w:cs="Times New Roman"/>
          <w:sz w:val="18"/>
          <w:szCs w:val="18"/>
        </w:rPr>
        <w:t xml:space="preserve"> </w:t>
      </w:r>
      <w:r w:rsidRPr="00EE72F9">
        <w:rPr>
          <w:rFonts w:ascii="Times New Roman" w:hAnsi="Times New Roman" w:cs="Times New Roman"/>
          <w:sz w:val="18"/>
          <w:szCs w:val="18"/>
        </w:rPr>
        <w:t>1:6.</w:t>
      </w:r>
    </w:p>
    <w:p w:rsidR="00F32A46" w:rsidRPr="00EE72F9" w:rsidRDefault="00F32A46" w:rsidP="00F32A46">
      <w:pPr>
        <w:autoSpaceDE w:val="0"/>
        <w:autoSpaceDN w:val="0"/>
        <w:bidi w:val="0"/>
        <w:adjustRightInd w:val="0"/>
        <w:snapToGrid w:val="0"/>
        <w:spacing w:after="0" w:line="240" w:lineRule="auto"/>
        <w:ind w:firstLine="425"/>
        <w:jc w:val="both"/>
        <w:rPr>
          <w:rFonts w:ascii="Times New Roman" w:hAnsi="Times New Roman" w:cs="Times New Roman"/>
          <w:sz w:val="19"/>
          <w:szCs w:val="19"/>
          <w:lang w:bidi="ar-EG"/>
        </w:rPr>
        <w:sectPr w:rsidR="00F32A46" w:rsidRPr="00EE72F9" w:rsidSect="00F32A46">
          <w:type w:val="continuous"/>
          <w:pgSz w:w="12240" w:h="15840"/>
          <w:pgMar w:top="1440" w:right="1440" w:bottom="1440" w:left="1440" w:header="720" w:footer="720" w:gutter="0"/>
          <w:cols w:num="2" w:space="550"/>
          <w:rtlGutter/>
          <w:docGrid w:linePitch="360"/>
        </w:sectPr>
      </w:pPr>
    </w:p>
    <w:p w:rsidR="0046088D" w:rsidRPr="00EE72F9" w:rsidRDefault="00F32A46" w:rsidP="00F32A46">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r w:rsidRPr="00EE72F9">
        <w:rPr>
          <w:rFonts w:ascii="Times New Roman" w:hAnsi="Times New Roman" w:cs="Times New Roman" w:hint="eastAsia"/>
          <w:sz w:val="20"/>
          <w:szCs w:val="20"/>
          <w:lang w:eastAsia="zh-CN" w:bidi="ar-EG"/>
        </w:rPr>
        <w:lastRenderedPageBreak/>
        <w:t xml:space="preserve"> </w:t>
      </w:r>
    </w:p>
    <w:p w:rsidR="005154D4" w:rsidRPr="00EE72F9" w:rsidRDefault="0046088D" w:rsidP="00F32A4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EE72F9">
        <w:rPr>
          <w:rFonts w:ascii="Times New Roman" w:hAnsi="Times New Roman" w:cs="Times New Roman"/>
          <w:sz w:val="20"/>
          <w:szCs w:val="20"/>
          <w:lang w:bidi="ar-EG"/>
        </w:rPr>
        <w:t>9/8/2019</w:t>
      </w:r>
    </w:p>
    <w:sectPr w:rsidR="005154D4" w:rsidRPr="00EE72F9" w:rsidSect="0046088D">
      <w:type w:val="continuous"/>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B74" w:rsidRDefault="00906B74" w:rsidP="00D12090">
      <w:pPr>
        <w:spacing w:after="0" w:line="240" w:lineRule="auto"/>
      </w:pPr>
      <w:r>
        <w:separator/>
      </w:r>
    </w:p>
  </w:endnote>
  <w:endnote w:type="continuationSeparator" w:id="0">
    <w:p w:rsidR="00906B74" w:rsidRDefault="00906B74" w:rsidP="00D12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BA5" w:rsidRPr="003B1CD4" w:rsidRDefault="00C74F60" w:rsidP="003B1CD4">
    <w:pPr>
      <w:bidi w:val="0"/>
      <w:spacing w:after="0" w:line="240" w:lineRule="auto"/>
      <w:jc w:val="center"/>
      <w:rPr>
        <w:rFonts w:ascii="Times New Roman" w:hAnsi="Times New Roman" w:cs="Times New Roman"/>
        <w:sz w:val="20"/>
      </w:rPr>
    </w:pPr>
    <w:r w:rsidRPr="003B1CD4">
      <w:rPr>
        <w:rFonts w:ascii="Times New Roman" w:hAnsi="Times New Roman" w:cs="Times New Roman"/>
        <w:sz w:val="20"/>
      </w:rPr>
      <w:fldChar w:fldCharType="begin"/>
    </w:r>
    <w:r w:rsidR="003B1CD4" w:rsidRPr="003B1CD4">
      <w:rPr>
        <w:rFonts w:ascii="Times New Roman" w:hAnsi="Times New Roman" w:cs="Times New Roman"/>
        <w:sz w:val="20"/>
      </w:rPr>
      <w:instrText xml:space="preserve"> page </w:instrText>
    </w:r>
    <w:r w:rsidRPr="003B1CD4">
      <w:rPr>
        <w:rFonts w:ascii="Times New Roman" w:hAnsi="Times New Roman" w:cs="Times New Roman"/>
        <w:sz w:val="20"/>
      </w:rPr>
      <w:fldChar w:fldCharType="separate"/>
    </w:r>
    <w:r w:rsidR="00EE72F9">
      <w:rPr>
        <w:rFonts w:ascii="Times New Roman" w:hAnsi="Times New Roman" w:cs="Times New Roman"/>
        <w:noProof/>
        <w:sz w:val="20"/>
      </w:rPr>
      <w:t>23</w:t>
    </w:r>
    <w:r w:rsidRPr="003B1CD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B74" w:rsidRDefault="00906B74" w:rsidP="00D12090">
      <w:pPr>
        <w:spacing w:after="0" w:line="240" w:lineRule="auto"/>
      </w:pPr>
      <w:r>
        <w:separator/>
      </w:r>
    </w:p>
  </w:footnote>
  <w:footnote w:type="continuationSeparator" w:id="0">
    <w:p w:rsidR="00906B74" w:rsidRDefault="00906B74" w:rsidP="00D120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CD4" w:rsidRPr="00FC3064" w:rsidRDefault="00FC3064" w:rsidP="00FC3064">
    <w:pPr>
      <w:pStyle w:val="Header"/>
      <w:rPr>
        <w:szCs w:val="20"/>
      </w:rPr>
    </w:pPr>
    <w:r>
      <w:rPr>
        <w:noProof/>
        <w:szCs w:val="20"/>
        <w:lang w:eastAsia="zh-CN"/>
      </w:rPr>
      <w:drawing>
        <wp:inline distT="0" distB="0" distL="0" distR="0">
          <wp:extent cx="5943600" cy="78676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4" w:rsidRPr="003B1CD4" w:rsidRDefault="00FC3064" w:rsidP="003B1CD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B1CD4">
      <w:rPr>
        <w:rFonts w:ascii="Times New Roman" w:hAnsi="Times New Roman" w:cs="Times New Roman" w:hint="eastAsia"/>
        <w:sz w:val="20"/>
        <w:szCs w:val="20"/>
      </w:rPr>
      <w:tab/>
    </w:r>
    <w:r w:rsidRPr="003B1CD4">
      <w:rPr>
        <w:rFonts w:ascii="Times New Roman" w:hAnsi="Times New Roman" w:cs="Times New Roman"/>
        <w:sz w:val="20"/>
        <w:szCs w:val="20"/>
      </w:rPr>
      <w:t>New York Science Journal 201</w:t>
    </w:r>
    <w:r w:rsidRPr="003B1CD4">
      <w:rPr>
        <w:rFonts w:ascii="Times New Roman" w:hAnsi="Times New Roman" w:cs="Times New Roman" w:hint="eastAsia"/>
        <w:sz w:val="20"/>
        <w:szCs w:val="20"/>
      </w:rPr>
      <w:t>9</w:t>
    </w:r>
    <w:r w:rsidRPr="003B1CD4">
      <w:rPr>
        <w:rFonts w:ascii="Times New Roman" w:hAnsi="Times New Roman" w:cs="Times New Roman"/>
        <w:sz w:val="20"/>
        <w:szCs w:val="20"/>
      </w:rPr>
      <w:t>;</w:t>
    </w:r>
    <w:r w:rsidRPr="003B1CD4">
      <w:rPr>
        <w:rFonts w:ascii="Times New Roman" w:hAnsi="Times New Roman" w:cs="Times New Roman" w:hint="eastAsia"/>
        <w:sz w:val="20"/>
        <w:szCs w:val="20"/>
      </w:rPr>
      <w:t>12</w:t>
    </w:r>
    <w:r w:rsidRPr="003B1CD4">
      <w:rPr>
        <w:rFonts w:ascii="Times New Roman" w:hAnsi="Times New Roman" w:cs="Times New Roman"/>
        <w:sz w:val="20"/>
        <w:szCs w:val="20"/>
      </w:rPr>
      <w:t>(</w:t>
    </w:r>
    <w:r w:rsidRPr="003B1CD4">
      <w:rPr>
        <w:rFonts w:ascii="Times New Roman" w:hAnsi="Times New Roman" w:cs="Times New Roman" w:hint="eastAsia"/>
        <w:sz w:val="20"/>
        <w:szCs w:val="20"/>
      </w:rPr>
      <w:t>9</w:t>
    </w:r>
    <w:r w:rsidRPr="003B1CD4">
      <w:rPr>
        <w:rFonts w:ascii="Times New Roman" w:hAnsi="Times New Roman" w:cs="Times New Roman"/>
        <w:sz w:val="20"/>
        <w:szCs w:val="20"/>
      </w:rPr>
      <w:t>)</w:t>
    </w:r>
    <w:r w:rsidRPr="003B1CD4">
      <w:rPr>
        <w:rFonts w:ascii="Times New Roman" w:hAnsi="Times New Roman" w:cs="Times New Roman"/>
        <w:iCs/>
        <w:sz w:val="20"/>
        <w:szCs w:val="20"/>
      </w:rPr>
      <w:t xml:space="preserve"> </w:t>
    </w:r>
    <w:r w:rsidRPr="003B1CD4">
      <w:rPr>
        <w:rFonts w:ascii="Times New Roman" w:hAnsi="Times New Roman" w:cs="Times New Roman" w:hint="eastAsia"/>
        <w:iCs/>
        <w:sz w:val="20"/>
        <w:szCs w:val="20"/>
      </w:rPr>
      <w:tab/>
    </w:r>
    <w:r w:rsidRPr="003B1CD4">
      <w:rPr>
        <w:rFonts w:ascii="Times New Roman" w:hAnsi="Times New Roman" w:cs="Times New Roman"/>
        <w:iCs/>
        <w:sz w:val="20"/>
        <w:szCs w:val="20"/>
      </w:rPr>
      <w:t xml:space="preserve">  </w:t>
    </w:r>
    <w:hyperlink r:id="rId1" w:history="1">
      <w:r w:rsidRPr="003B1CD4">
        <w:rPr>
          <w:rStyle w:val="Hyperlink"/>
          <w:rFonts w:ascii="Times New Roman" w:hAnsi="Times New Roman" w:cs="Times New Roman"/>
          <w:color w:val="0000FF"/>
          <w:sz w:val="20"/>
          <w:szCs w:val="20"/>
        </w:rPr>
        <w:t>http://www.sciencepub.net/newyork</w:t>
      </w:r>
    </w:hyperlink>
    <w:r w:rsidRPr="003B1CD4">
      <w:rPr>
        <w:rFonts w:ascii="Times New Roman" w:hAnsi="Times New Roman" w:cs="Times New Roman" w:hint="eastAsia"/>
        <w:sz w:val="20"/>
      </w:rPr>
      <w:t xml:space="preserve">   </w:t>
    </w:r>
    <w:r w:rsidRPr="003B1CD4">
      <w:rPr>
        <w:rFonts w:ascii="Times New Roman" w:hAnsi="Times New Roman" w:cs="Times New Roman" w:hint="eastAsia"/>
        <w:b/>
        <w:i/>
        <w:color w:val="FF0000"/>
        <w:sz w:val="20"/>
        <w:szCs w:val="20"/>
        <w:bdr w:val="single" w:sz="4" w:space="0" w:color="FF0000"/>
      </w:rPr>
      <w:t>NYJ</w:t>
    </w:r>
  </w:p>
  <w:p w:rsidR="00FC3064" w:rsidRPr="003B1CD4" w:rsidRDefault="00FC3064" w:rsidP="003B1CD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0B12"/>
    <w:multiLevelType w:val="hybridMultilevel"/>
    <w:tmpl w:val="17043F3C"/>
    <w:lvl w:ilvl="0" w:tplc="686EDEA0">
      <w:start w:val="911"/>
      <w:numFmt w:val="bullet"/>
      <w:lvlText w:val="–"/>
      <w:lvlJc w:val="left"/>
      <w:pPr>
        <w:ind w:left="495" w:hanging="360"/>
      </w:pPr>
      <w:rPr>
        <w:rFonts w:ascii="Calibri" w:eastAsiaTheme="minorHAnsi" w:hAnsi="Calibri"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26234358"/>
    <w:multiLevelType w:val="hybridMultilevel"/>
    <w:tmpl w:val="98B84F16"/>
    <w:lvl w:ilvl="0" w:tplc="F0CC55D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9373A"/>
    <w:multiLevelType w:val="hybridMultilevel"/>
    <w:tmpl w:val="F420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9C5E84"/>
    <w:multiLevelType w:val="hybridMultilevel"/>
    <w:tmpl w:val="81BEE2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007B70"/>
    <w:multiLevelType w:val="hybridMultilevel"/>
    <w:tmpl w:val="B518F270"/>
    <w:lvl w:ilvl="0" w:tplc="43D0CFBA">
      <w:start w:val="1"/>
      <w:numFmt w:val="decimal"/>
      <w:lvlText w:val="%1."/>
      <w:lvlJc w:val="left"/>
      <w:pPr>
        <w:ind w:left="720" w:hanging="360"/>
      </w:pPr>
      <w:rPr>
        <w:rFonts w:ascii="TimesNewRomanPS-BoldMT" w:hAnsi="TimesNewRomanPS-BoldMT" w:cs="TimesNewRomanPS-BoldMT"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4C059C"/>
    <w:multiLevelType w:val="hybridMultilevel"/>
    <w:tmpl w:val="DEEA5A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CA59AE"/>
    <w:multiLevelType w:val="hybridMultilevel"/>
    <w:tmpl w:val="F5AA1A0E"/>
    <w:lvl w:ilvl="0" w:tplc="06B842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D03588"/>
    <w:rsid w:val="000D5C8B"/>
    <w:rsid w:val="000F3DCC"/>
    <w:rsid w:val="001025C6"/>
    <w:rsid w:val="00143F98"/>
    <w:rsid w:val="001502E6"/>
    <w:rsid w:val="001519C1"/>
    <w:rsid w:val="001F1586"/>
    <w:rsid w:val="00202ADD"/>
    <w:rsid w:val="00241901"/>
    <w:rsid w:val="00254DE8"/>
    <w:rsid w:val="002974C0"/>
    <w:rsid w:val="002B3707"/>
    <w:rsid w:val="002D1D7A"/>
    <w:rsid w:val="00344108"/>
    <w:rsid w:val="00350100"/>
    <w:rsid w:val="00357541"/>
    <w:rsid w:val="00380533"/>
    <w:rsid w:val="00381183"/>
    <w:rsid w:val="00385312"/>
    <w:rsid w:val="00387B88"/>
    <w:rsid w:val="003B1CD4"/>
    <w:rsid w:val="003D2846"/>
    <w:rsid w:val="003F2050"/>
    <w:rsid w:val="0043656B"/>
    <w:rsid w:val="00444401"/>
    <w:rsid w:val="0045349A"/>
    <w:rsid w:val="0046088D"/>
    <w:rsid w:val="00467164"/>
    <w:rsid w:val="00481AE8"/>
    <w:rsid w:val="00494860"/>
    <w:rsid w:val="004B4ECD"/>
    <w:rsid w:val="005154D4"/>
    <w:rsid w:val="005564DC"/>
    <w:rsid w:val="00565BB9"/>
    <w:rsid w:val="00574775"/>
    <w:rsid w:val="005778C9"/>
    <w:rsid w:val="005A6DF8"/>
    <w:rsid w:val="005B35BF"/>
    <w:rsid w:val="005D60F2"/>
    <w:rsid w:val="005F0825"/>
    <w:rsid w:val="00622EC5"/>
    <w:rsid w:val="00623CC7"/>
    <w:rsid w:val="00624B57"/>
    <w:rsid w:val="0066096A"/>
    <w:rsid w:val="00696C61"/>
    <w:rsid w:val="0070023E"/>
    <w:rsid w:val="00701225"/>
    <w:rsid w:val="00705D3E"/>
    <w:rsid w:val="00760BA5"/>
    <w:rsid w:val="007D40CC"/>
    <w:rsid w:val="008D7107"/>
    <w:rsid w:val="008E1E0B"/>
    <w:rsid w:val="009016C5"/>
    <w:rsid w:val="00906B74"/>
    <w:rsid w:val="0091589A"/>
    <w:rsid w:val="0091654D"/>
    <w:rsid w:val="00945E83"/>
    <w:rsid w:val="00965950"/>
    <w:rsid w:val="00966F4B"/>
    <w:rsid w:val="009B343D"/>
    <w:rsid w:val="009B3589"/>
    <w:rsid w:val="009C49CE"/>
    <w:rsid w:val="009C6CB9"/>
    <w:rsid w:val="009E57DA"/>
    <w:rsid w:val="00A041F1"/>
    <w:rsid w:val="00A13127"/>
    <w:rsid w:val="00A23004"/>
    <w:rsid w:val="00A33084"/>
    <w:rsid w:val="00A520C8"/>
    <w:rsid w:val="00A52567"/>
    <w:rsid w:val="00A76427"/>
    <w:rsid w:val="00AB4EB0"/>
    <w:rsid w:val="00AF1DE1"/>
    <w:rsid w:val="00B069FA"/>
    <w:rsid w:val="00B07D10"/>
    <w:rsid w:val="00B96F5A"/>
    <w:rsid w:val="00BB5F6D"/>
    <w:rsid w:val="00BB7D63"/>
    <w:rsid w:val="00BE0060"/>
    <w:rsid w:val="00C042DB"/>
    <w:rsid w:val="00C16909"/>
    <w:rsid w:val="00C26F5F"/>
    <w:rsid w:val="00C342AD"/>
    <w:rsid w:val="00C374AE"/>
    <w:rsid w:val="00C64523"/>
    <w:rsid w:val="00C74F60"/>
    <w:rsid w:val="00C7548F"/>
    <w:rsid w:val="00D03588"/>
    <w:rsid w:val="00D05045"/>
    <w:rsid w:val="00D12090"/>
    <w:rsid w:val="00D542B8"/>
    <w:rsid w:val="00D7655C"/>
    <w:rsid w:val="00D7772F"/>
    <w:rsid w:val="00D82515"/>
    <w:rsid w:val="00DF1D9E"/>
    <w:rsid w:val="00DF35EB"/>
    <w:rsid w:val="00E248E9"/>
    <w:rsid w:val="00E41019"/>
    <w:rsid w:val="00E617AE"/>
    <w:rsid w:val="00E65064"/>
    <w:rsid w:val="00E754D4"/>
    <w:rsid w:val="00E825CE"/>
    <w:rsid w:val="00EB7B97"/>
    <w:rsid w:val="00ED030A"/>
    <w:rsid w:val="00EE72F9"/>
    <w:rsid w:val="00F32A46"/>
    <w:rsid w:val="00F340FC"/>
    <w:rsid w:val="00FB3060"/>
    <w:rsid w:val="00FC3064"/>
    <w:rsid w:val="00FD552F"/>
    <w:rsid w:val="00FE4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52F"/>
    <w:pPr>
      <w:ind w:left="720"/>
      <w:contextualSpacing/>
    </w:pPr>
  </w:style>
  <w:style w:type="paragraph" w:styleId="Header">
    <w:name w:val="header"/>
    <w:basedOn w:val="Normal"/>
    <w:link w:val="HeaderChar"/>
    <w:uiPriority w:val="99"/>
    <w:unhideWhenUsed/>
    <w:rsid w:val="00D120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2090"/>
  </w:style>
  <w:style w:type="paragraph" w:styleId="Footer">
    <w:name w:val="footer"/>
    <w:basedOn w:val="Normal"/>
    <w:link w:val="FooterChar"/>
    <w:uiPriority w:val="99"/>
    <w:unhideWhenUsed/>
    <w:rsid w:val="00D120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2090"/>
  </w:style>
  <w:style w:type="character" w:styleId="Hyperlink">
    <w:name w:val="Hyperlink"/>
    <w:basedOn w:val="DefaultParagraphFont"/>
    <w:uiPriority w:val="99"/>
    <w:unhideWhenUsed/>
    <w:rsid w:val="0043656B"/>
    <w:rPr>
      <w:color w:val="0000FF" w:themeColor="hyperlink"/>
      <w:u w:val="single"/>
    </w:rPr>
  </w:style>
  <w:style w:type="table" w:styleId="TableGrid">
    <w:name w:val="Table Grid"/>
    <w:basedOn w:val="TableNormal"/>
    <w:uiPriority w:val="59"/>
    <w:rsid w:val="00760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5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52F"/>
    <w:pPr>
      <w:ind w:left="720"/>
      <w:contextualSpacing/>
    </w:pPr>
  </w:style>
  <w:style w:type="paragraph" w:styleId="Header">
    <w:name w:val="header"/>
    <w:basedOn w:val="Normal"/>
    <w:link w:val="HeaderChar"/>
    <w:uiPriority w:val="99"/>
    <w:unhideWhenUsed/>
    <w:rsid w:val="00D120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2090"/>
  </w:style>
  <w:style w:type="paragraph" w:styleId="Footer">
    <w:name w:val="footer"/>
    <w:basedOn w:val="Normal"/>
    <w:link w:val="FooterChar"/>
    <w:uiPriority w:val="99"/>
    <w:unhideWhenUsed/>
    <w:rsid w:val="00D120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2090"/>
  </w:style>
  <w:style w:type="character" w:styleId="Hyperlink">
    <w:name w:val="Hyperlink"/>
    <w:basedOn w:val="DefaultParagraphFont"/>
    <w:uiPriority w:val="99"/>
    <w:unhideWhenUsed/>
    <w:rsid w:val="0043656B"/>
    <w:rPr>
      <w:color w:val="0000FF" w:themeColor="hyperlink"/>
      <w:u w:val="single"/>
    </w:rPr>
  </w:style>
  <w:style w:type="table" w:styleId="TableGrid">
    <w:name w:val="Table Grid"/>
    <w:basedOn w:val="TableNormal"/>
    <w:uiPriority w:val="59"/>
    <w:rsid w:val="00760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5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2008@windowsliv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stylesWithEffects" Target="stylesWithEffects.xml"/><Relationship Id="rId10" Type="http://schemas.openxmlformats.org/officeDocument/2006/relationships/hyperlink" Target="http://www.dx.doi.org/10.7537/marsnys120919.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___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44510978043912175"/>
          <c:y val="1.9607843137254902E-2"/>
        </c:manualLayout>
      </c:layout>
      <c:spPr>
        <a:noFill/>
        <a:ln w="25353">
          <a:noFill/>
        </a:ln>
      </c:spPr>
      <c:txPr>
        <a:bodyPr/>
        <a:lstStyle/>
        <a:p>
          <a:pPr>
            <a:defRPr lang="en-US" sz="898" b="1" i="0" u="none" strike="noStrike" baseline="0">
              <a:solidFill>
                <a:srgbClr val="000000"/>
              </a:solidFill>
              <a:latin typeface="Arial"/>
              <a:ea typeface="Arial"/>
              <a:cs typeface="Arial"/>
            </a:defRPr>
          </a:pPr>
          <a:endParaRPr lang="en-US"/>
        </a:p>
      </c:txPr>
    </c:title>
    <c:view3D>
      <c:hPercent val="48"/>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5.5888223552894425E-2"/>
          <c:y val="0.10784313725490199"/>
          <c:w val="0.94411177644710575"/>
          <c:h val="0.69281045751634074"/>
        </c:manualLayout>
      </c:layout>
      <c:bar3DChart>
        <c:barDir val="col"/>
        <c:grouping val="clustered"/>
        <c:ser>
          <c:idx val="0"/>
          <c:order val="0"/>
          <c:tx>
            <c:strRef>
              <c:f>Sheet1!$D$7</c:f>
              <c:strCache>
                <c:ptCount val="1"/>
                <c:pt idx="0">
                  <c:v>INF alpha</c:v>
                </c:pt>
              </c:strCache>
            </c:strRef>
          </c:tx>
          <c:spPr>
            <a:solidFill>
              <a:srgbClr val="9999FF"/>
            </a:solidFill>
            <a:ln w="12676">
              <a:solidFill>
                <a:srgbClr val="000000"/>
              </a:solidFill>
              <a:prstDash val="solid"/>
            </a:ln>
          </c:spPr>
          <c:dPt>
            <c:idx val="0"/>
            <c:spPr>
              <a:pattFill prst="wdDnDiag">
                <a:fgClr>
                  <a:srgbClr val="FF0000"/>
                </a:fgClr>
                <a:bgClr>
                  <a:srgbClr val="FFFFFF"/>
                </a:bgClr>
              </a:pattFill>
              <a:ln w="12676">
                <a:solidFill>
                  <a:srgbClr val="000000"/>
                </a:solidFill>
                <a:prstDash val="solid"/>
              </a:ln>
            </c:spPr>
          </c:dPt>
          <c:dPt>
            <c:idx val="1"/>
            <c:spPr>
              <a:pattFill prst="shingle">
                <a:fgClr>
                  <a:srgbClr val="0000FF"/>
                </a:fgClr>
                <a:bgClr>
                  <a:srgbClr val="FFFFFF"/>
                </a:bgClr>
              </a:pattFill>
              <a:ln w="12676">
                <a:solidFill>
                  <a:srgbClr val="000000"/>
                </a:solidFill>
                <a:prstDash val="solid"/>
              </a:ln>
            </c:spPr>
          </c:dPt>
          <c:cat>
            <c:strRef>
              <c:f>Sheet1!$E$6:$F$6</c:f>
              <c:strCache>
                <c:ptCount val="2"/>
                <c:pt idx="0">
                  <c:v>Cases</c:v>
                </c:pt>
                <c:pt idx="1">
                  <c:v>Control </c:v>
                </c:pt>
              </c:strCache>
            </c:strRef>
          </c:cat>
          <c:val>
            <c:numRef>
              <c:f>Sheet1!$E$7:$F$7</c:f>
              <c:numCache>
                <c:formatCode>General</c:formatCode>
                <c:ptCount val="2"/>
                <c:pt idx="0">
                  <c:v>39.9</c:v>
                </c:pt>
                <c:pt idx="1">
                  <c:v>10.200000000000001</c:v>
                </c:pt>
              </c:numCache>
            </c:numRef>
          </c:val>
        </c:ser>
        <c:shape val="box"/>
        <c:axId val="69035904"/>
        <c:axId val="69037440"/>
        <c:axId val="0"/>
      </c:bar3DChart>
      <c:catAx>
        <c:axId val="69035904"/>
        <c:scaling>
          <c:orientation val="minMax"/>
        </c:scaling>
        <c:axPos val="b"/>
        <c:numFmt formatCode="General" sourceLinked="1"/>
        <c:tickLblPos val="low"/>
        <c:spPr>
          <a:ln w="3169">
            <a:solidFill>
              <a:srgbClr val="000000"/>
            </a:solidFill>
            <a:prstDash val="solid"/>
          </a:ln>
        </c:spPr>
        <c:txPr>
          <a:bodyPr rot="0" vert="horz"/>
          <a:lstStyle/>
          <a:p>
            <a:pPr>
              <a:defRPr lang="en-US" sz="799" b="1" i="0" u="none" strike="noStrike" baseline="0">
                <a:solidFill>
                  <a:srgbClr val="000000"/>
                </a:solidFill>
                <a:latin typeface="Arial"/>
                <a:ea typeface="Arial"/>
                <a:cs typeface="Arial"/>
              </a:defRPr>
            </a:pPr>
            <a:endParaRPr lang="en-US"/>
          </a:p>
        </c:txPr>
        <c:crossAx val="69037440"/>
        <c:crosses val="autoZero"/>
        <c:auto val="1"/>
        <c:lblAlgn val="ctr"/>
        <c:lblOffset val="100"/>
        <c:tickLblSkip val="1"/>
        <c:tickMarkSkip val="1"/>
      </c:catAx>
      <c:valAx>
        <c:axId val="69037440"/>
        <c:scaling>
          <c:orientation val="minMax"/>
          <c:min val="0"/>
        </c:scaling>
        <c:axPos val="l"/>
        <c:numFmt formatCode="General" sourceLinked="1"/>
        <c:tickLblPos val="nextTo"/>
        <c:spPr>
          <a:ln w="3169">
            <a:solidFill>
              <a:srgbClr val="000000"/>
            </a:solidFill>
            <a:prstDash val="solid"/>
          </a:ln>
        </c:spPr>
        <c:txPr>
          <a:bodyPr rot="0" vert="horz"/>
          <a:lstStyle/>
          <a:p>
            <a:pPr>
              <a:defRPr lang="en-US" sz="799" b="0" i="0" u="none" strike="noStrike" baseline="0">
                <a:solidFill>
                  <a:srgbClr val="000000"/>
                </a:solidFill>
                <a:latin typeface="Arial"/>
                <a:ea typeface="Arial"/>
                <a:cs typeface="Arial"/>
              </a:defRPr>
            </a:pPr>
            <a:endParaRPr lang="en-US"/>
          </a:p>
        </c:txPr>
        <c:crossAx val="69035904"/>
        <c:crosses val="autoZero"/>
        <c:crossBetween val="between"/>
      </c:valAx>
      <c:spPr>
        <a:noFill/>
        <a:ln w="25353">
          <a:noFill/>
        </a:ln>
      </c:spPr>
    </c:plotArea>
    <c:legend>
      <c:legendPos val="b"/>
      <c:layout>
        <c:manualLayout>
          <c:xMode val="edge"/>
          <c:yMode val="edge"/>
          <c:x val="0.11576846307385255"/>
          <c:y val="0.91503267973856206"/>
          <c:w val="0.79840319361277445"/>
          <c:h val="7.8431372549019662E-2"/>
        </c:manualLayout>
      </c:layout>
      <c:spPr>
        <a:solidFill>
          <a:srgbClr val="FFFFFF"/>
        </a:solidFill>
        <a:ln w="3169">
          <a:solidFill>
            <a:srgbClr val="000000"/>
          </a:solidFill>
          <a:prstDash val="solid"/>
        </a:ln>
      </c:spPr>
      <c:txPr>
        <a:bodyPr/>
        <a:lstStyle/>
        <a:p>
          <a:pPr>
            <a:defRPr lang="en-US" sz="918"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69">
      <a:solidFill>
        <a:srgbClr val="000000"/>
      </a:solidFill>
      <a:prstDash val="solid"/>
    </a:ln>
  </c:spPr>
  <c:txPr>
    <a:bodyPr/>
    <a:lstStyle/>
    <a:p>
      <a:pPr algn="ctr">
        <a:defRPr sz="799"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37325349301397232"/>
          <c:y val="1.9607843137254902E-2"/>
        </c:manualLayout>
      </c:layout>
      <c:spPr>
        <a:noFill/>
        <a:ln w="25353">
          <a:noFill/>
        </a:ln>
      </c:spPr>
      <c:txPr>
        <a:bodyPr/>
        <a:lstStyle/>
        <a:p>
          <a:pPr>
            <a:defRPr lang="en-US" sz="898" b="1" i="0" u="none" strike="noStrike" baseline="0">
              <a:solidFill>
                <a:srgbClr val="000000"/>
              </a:solidFill>
              <a:latin typeface="Arial"/>
              <a:ea typeface="Arial"/>
              <a:cs typeface="Arial"/>
            </a:defRPr>
          </a:pPr>
          <a:endParaRPr lang="en-US"/>
        </a:p>
      </c:txPr>
    </c:title>
    <c:view3D>
      <c:hPercent val="48"/>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1876247504990017E-2"/>
          <c:y val="0.10784313725490199"/>
          <c:w val="0.93812375249501256"/>
          <c:h val="0.69281045751633985"/>
        </c:manualLayout>
      </c:layout>
      <c:bar3DChart>
        <c:barDir val="col"/>
        <c:grouping val="clustered"/>
        <c:ser>
          <c:idx val="0"/>
          <c:order val="0"/>
          <c:tx>
            <c:strRef>
              <c:f>Sheet1!$D$7</c:f>
              <c:strCache>
                <c:ptCount val="1"/>
                <c:pt idx="0">
                  <c:v>TL 3 gene expression</c:v>
                </c:pt>
              </c:strCache>
            </c:strRef>
          </c:tx>
          <c:spPr>
            <a:solidFill>
              <a:srgbClr val="9999FF"/>
            </a:solidFill>
            <a:ln w="12676">
              <a:solidFill>
                <a:srgbClr val="000000"/>
              </a:solidFill>
              <a:prstDash val="solid"/>
            </a:ln>
          </c:spPr>
          <c:dPt>
            <c:idx val="0"/>
            <c:spPr>
              <a:pattFill prst="wdDnDiag">
                <a:fgClr>
                  <a:srgbClr val="FF0000"/>
                </a:fgClr>
                <a:bgClr>
                  <a:srgbClr val="FFFFFF"/>
                </a:bgClr>
              </a:pattFill>
              <a:ln w="12676">
                <a:solidFill>
                  <a:srgbClr val="000000"/>
                </a:solidFill>
                <a:prstDash val="solid"/>
              </a:ln>
            </c:spPr>
          </c:dPt>
          <c:dPt>
            <c:idx val="1"/>
            <c:spPr>
              <a:pattFill prst="shingle">
                <a:fgClr>
                  <a:srgbClr val="0000FF"/>
                </a:fgClr>
                <a:bgClr>
                  <a:srgbClr val="FFFFFF"/>
                </a:bgClr>
              </a:pattFill>
              <a:ln w="12676">
                <a:solidFill>
                  <a:srgbClr val="000000"/>
                </a:solidFill>
                <a:prstDash val="solid"/>
              </a:ln>
            </c:spPr>
          </c:dPt>
          <c:cat>
            <c:strRef>
              <c:f>Sheet1!$E$6:$F$6</c:f>
              <c:strCache>
                <c:ptCount val="2"/>
                <c:pt idx="0">
                  <c:v>Cases</c:v>
                </c:pt>
                <c:pt idx="1">
                  <c:v>Control </c:v>
                </c:pt>
              </c:strCache>
            </c:strRef>
          </c:cat>
          <c:val>
            <c:numRef>
              <c:f>Sheet1!$E$7:$F$7</c:f>
              <c:numCache>
                <c:formatCode>General</c:formatCode>
                <c:ptCount val="2"/>
                <c:pt idx="0">
                  <c:v>0.24000000000000021</c:v>
                </c:pt>
                <c:pt idx="1">
                  <c:v>1</c:v>
                </c:pt>
              </c:numCache>
            </c:numRef>
          </c:val>
        </c:ser>
        <c:shape val="box"/>
        <c:axId val="165593856"/>
        <c:axId val="165595392"/>
        <c:axId val="0"/>
      </c:bar3DChart>
      <c:catAx>
        <c:axId val="165593856"/>
        <c:scaling>
          <c:orientation val="minMax"/>
        </c:scaling>
        <c:axPos val="b"/>
        <c:numFmt formatCode="General" sourceLinked="1"/>
        <c:tickLblPos val="low"/>
        <c:spPr>
          <a:ln w="3169">
            <a:solidFill>
              <a:srgbClr val="000000"/>
            </a:solidFill>
            <a:prstDash val="solid"/>
          </a:ln>
        </c:spPr>
        <c:txPr>
          <a:bodyPr rot="0" vert="horz"/>
          <a:lstStyle/>
          <a:p>
            <a:pPr>
              <a:defRPr lang="en-US" sz="799" b="1" i="0" u="none" strike="noStrike" baseline="0">
                <a:solidFill>
                  <a:srgbClr val="000000"/>
                </a:solidFill>
                <a:latin typeface="Arial"/>
                <a:ea typeface="Arial"/>
                <a:cs typeface="Arial"/>
              </a:defRPr>
            </a:pPr>
            <a:endParaRPr lang="en-US"/>
          </a:p>
        </c:txPr>
        <c:crossAx val="165595392"/>
        <c:crosses val="autoZero"/>
        <c:auto val="1"/>
        <c:lblAlgn val="ctr"/>
        <c:lblOffset val="100"/>
        <c:tickLblSkip val="1"/>
        <c:tickMarkSkip val="1"/>
      </c:catAx>
      <c:valAx>
        <c:axId val="165595392"/>
        <c:scaling>
          <c:orientation val="minMax"/>
          <c:min val="0"/>
        </c:scaling>
        <c:axPos val="l"/>
        <c:numFmt formatCode="General" sourceLinked="1"/>
        <c:tickLblPos val="nextTo"/>
        <c:spPr>
          <a:ln w="3169">
            <a:solidFill>
              <a:srgbClr val="000000"/>
            </a:solidFill>
            <a:prstDash val="solid"/>
          </a:ln>
        </c:spPr>
        <c:txPr>
          <a:bodyPr rot="0" vert="horz"/>
          <a:lstStyle/>
          <a:p>
            <a:pPr>
              <a:defRPr lang="en-US" sz="799" b="0" i="0" u="none" strike="noStrike" baseline="0">
                <a:solidFill>
                  <a:srgbClr val="000000"/>
                </a:solidFill>
                <a:latin typeface="Arial"/>
                <a:ea typeface="Arial"/>
                <a:cs typeface="Arial"/>
              </a:defRPr>
            </a:pPr>
            <a:endParaRPr lang="en-US"/>
          </a:p>
        </c:txPr>
        <c:crossAx val="165593856"/>
        <c:crosses val="autoZero"/>
        <c:crossBetween val="between"/>
      </c:valAx>
      <c:spPr>
        <a:noFill/>
        <a:ln w="25353">
          <a:noFill/>
        </a:ln>
      </c:spPr>
    </c:plotArea>
    <c:legend>
      <c:legendPos val="b"/>
      <c:layout>
        <c:manualLayout>
          <c:xMode val="edge"/>
          <c:yMode val="edge"/>
          <c:x val="0.11576846307385252"/>
          <c:y val="0.91503267973856206"/>
          <c:w val="0.79840319361277445"/>
          <c:h val="7.8431372549019607E-2"/>
        </c:manualLayout>
      </c:layout>
      <c:spPr>
        <a:solidFill>
          <a:srgbClr val="FFFFFF"/>
        </a:solidFill>
        <a:ln w="3169">
          <a:solidFill>
            <a:srgbClr val="000000"/>
          </a:solidFill>
          <a:prstDash val="solid"/>
        </a:ln>
      </c:spPr>
      <c:txPr>
        <a:bodyPr/>
        <a:lstStyle/>
        <a:p>
          <a:pPr>
            <a:defRPr lang="en-US" sz="918"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69">
      <a:solidFill>
        <a:srgbClr val="000000"/>
      </a:solidFill>
      <a:prstDash val="solid"/>
    </a:ln>
  </c:spPr>
  <c:txPr>
    <a:bodyPr/>
    <a:lstStyle/>
    <a:p>
      <a:pPr algn="ctr">
        <a:defRPr sz="799" b="0" i="0" u="none" strike="noStrike" baseline="0">
          <a:solidFill>
            <a:srgbClr val="000000"/>
          </a:solidFill>
          <a:latin typeface="Arial"/>
          <a:ea typeface="Arial"/>
          <a:cs typeface="Arial"/>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76191" cy="300952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974783" cy="176933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79FF-9A46-4C43-92A2-45FF9E22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Administrator</cp:lastModifiedBy>
  <cp:revision>3</cp:revision>
  <dcterms:created xsi:type="dcterms:W3CDTF">2019-09-11T05:26:00Z</dcterms:created>
  <dcterms:modified xsi:type="dcterms:W3CDTF">2019-09-12T03:20:00Z</dcterms:modified>
</cp:coreProperties>
</file>