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DC" w:rsidRPr="00E256A9" w:rsidRDefault="00756ADC" w:rsidP="00756ADC">
      <w:pPr>
        <w:snapToGrid w:val="0"/>
        <w:spacing w:after="0" w:line="240" w:lineRule="auto"/>
        <w:jc w:val="center"/>
        <w:rPr>
          <w:rFonts w:ascii="Times New Roman" w:hAnsi="Times New Roman" w:cs="Times New Roman"/>
          <w:b/>
          <w:bCs/>
          <w:sz w:val="20"/>
          <w:szCs w:val="20"/>
          <w:lang w:eastAsia="zh-CN"/>
        </w:rPr>
      </w:pPr>
    </w:p>
    <w:p w:rsidR="00ED5BD8" w:rsidRPr="00E256A9" w:rsidRDefault="00324279" w:rsidP="00756ADC">
      <w:pPr>
        <w:snapToGrid w:val="0"/>
        <w:spacing w:after="0" w:line="240" w:lineRule="auto"/>
        <w:jc w:val="center"/>
        <w:rPr>
          <w:rFonts w:ascii="Times New Roman" w:hAnsi="Times New Roman" w:cs="Times New Roman"/>
          <w:b/>
          <w:bCs/>
          <w:sz w:val="20"/>
          <w:szCs w:val="20"/>
        </w:rPr>
      </w:pPr>
      <w:r w:rsidRPr="00E256A9">
        <w:rPr>
          <w:rFonts w:ascii="Times New Roman" w:hAnsi="Times New Roman" w:cs="Times New Roman"/>
          <w:b/>
          <w:bCs/>
          <w:sz w:val="20"/>
          <w:szCs w:val="20"/>
        </w:rPr>
        <w:t>Relationship between Reduced Albumin and Inflammatory Response in Critically Ill Patients</w:t>
      </w:r>
    </w:p>
    <w:p w:rsidR="00ED5BD8" w:rsidRPr="00E256A9" w:rsidRDefault="00ED5BD8" w:rsidP="00756ADC">
      <w:pPr>
        <w:snapToGrid w:val="0"/>
        <w:spacing w:after="0" w:line="240" w:lineRule="auto"/>
        <w:jc w:val="center"/>
        <w:rPr>
          <w:rFonts w:ascii="Times New Roman" w:hAnsi="Times New Roman" w:cs="Times New Roman"/>
          <w:b/>
          <w:bCs/>
          <w:sz w:val="20"/>
          <w:szCs w:val="20"/>
        </w:rPr>
      </w:pPr>
    </w:p>
    <w:p w:rsidR="00ED5BD8" w:rsidRPr="00E256A9" w:rsidRDefault="00324279" w:rsidP="00756ADC">
      <w:pPr>
        <w:snapToGrid w:val="0"/>
        <w:spacing w:after="0" w:line="240" w:lineRule="auto"/>
        <w:jc w:val="center"/>
        <w:rPr>
          <w:rFonts w:ascii="Times New Roman" w:hAnsi="Times New Roman" w:cs="Times New Roman"/>
          <w:sz w:val="20"/>
          <w:szCs w:val="20"/>
          <w:lang w:eastAsia="zh-CN"/>
        </w:rPr>
      </w:pPr>
      <w:r w:rsidRPr="00E256A9">
        <w:rPr>
          <w:rFonts w:ascii="Times New Roman" w:hAnsi="Times New Roman" w:cs="Times New Roman"/>
          <w:sz w:val="20"/>
          <w:szCs w:val="20"/>
        </w:rPr>
        <w:t xml:space="preserve">Khaled M, </w:t>
      </w:r>
      <w:r w:rsidRPr="00E256A9">
        <w:rPr>
          <w:rFonts w:ascii="Times New Roman" w:hAnsi="Times New Roman" w:cs="Times New Roman"/>
          <w:sz w:val="20"/>
          <w:szCs w:val="20"/>
          <w:lang w:bidi="en-US"/>
        </w:rPr>
        <w:t xml:space="preserve">Hany V, </w:t>
      </w:r>
      <w:r w:rsidRPr="00E256A9">
        <w:rPr>
          <w:rFonts w:ascii="Times New Roman" w:hAnsi="Times New Roman" w:cs="Times New Roman"/>
          <w:sz w:val="20"/>
          <w:szCs w:val="20"/>
        </w:rPr>
        <w:t>Amin M</w:t>
      </w:r>
      <w:r w:rsidR="000E4876" w:rsidRPr="00E256A9">
        <w:rPr>
          <w:rFonts w:ascii="Times New Roman" w:hAnsi="Times New Roman" w:cs="Times New Roman"/>
          <w:sz w:val="20"/>
          <w:szCs w:val="20"/>
        </w:rPr>
        <w:t>, Mostafa M</w:t>
      </w:r>
    </w:p>
    <w:p w:rsidR="00ED5BD8" w:rsidRPr="00E256A9" w:rsidRDefault="00ED5BD8" w:rsidP="00756ADC">
      <w:pPr>
        <w:snapToGrid w:val="0"/>
        <w:spacing w:after="0" w:line="240" w:lineRule="auto"/>
        <w:jc w:val="center"/>
        <w:rPr>
          <w:rFonts w:ascii="Times New Roman" w:hAnsi="Times New Roman" w:cs="Times New Roman"/>
          <w:sz w:val="20"/>
          <w:szCs w:val="20"/>
          <w:lang w:eastAsia="zh-CN"/>
        </w:rPr>
      </w:pPr>
    </w:p>
    <w:p w:rsidR="00324279" w:rsidRPr="00E256A9" w:rsidRDefault="00324279" w:rsidP="00756ADC">
      <w:pPr>
        <w:snapToGrid w:val="0"/>
        <w:spacing w:after="0" w:line="240" w:lineRule="auto"/>
        <w:jc w:val="center"/>
        <w:rPr>
          <w:rFonts w:ascii="Times New Roman" w:hAnsi="Times New Roman" w:cs="Times New Roman"/>
          <w:color w:val="000000"/>
          <w:sz w:val="20"/>
          <w:szCs w:val="20"/>
        </w:rPr>
      </w:pPr>
      <w:r w:rsidRPr="00E256A9">
        <w:rPr>
          <w:rFonts w:ascii="Times New Roman" w:hAnsi="Times New Roman" w:cs="Times New Roman"/>
          <w:color w:val="000000"/>
          <w:sz w:val="20"/>
          <w:szCs w:val="20"/>
        </w:rPr>
        <w:t>Department of Anesthesia,</w:t>
      </w:r>
      <w:r w:rsidR="00DB7D34" w:rsidRPr="00E256A9">
        <w:rPr>
          <w:rFonts w:ascii="Times New Roman" w:hAnsi="Times New Roman" w:cs="Times New Roman"/>
          <w:color w:val="000000"/>
          <w:sz w:val="20"/>
          <w:szCs w:val="20"/>
        </w:rPr>
        <w:t xml:space="preserve"> </w:t>
      </w:r>
      <w:r w:rsidRPr="00E256A9">
        <w:rPr>
          <w:rFonts w:ascii="Times New Roman" w:hAnsi="Times New Roman" w:cs="Times New Roman"/>
          <w:color w:val="000000"/>
          <w:sz w:val="20"/>
          <w:szCs w:val="20"/>
        </w:rPr>
        <w:t xml:space="preserve">Intensive Care and Pain </w:t>
      </w:r>
      <w:r w:rsidR="002D6C06" w:rsidRPr="00E256A9">
        <w:rPr>
          <w:rFonts w:ascii="Times New Roman" w:hAnsi="Times New Roman" w:cs="Times New Roman"/>
          <w:color w:val="000000"/>
          <w:sz w:val="20"/>
          <w:szCs w:val="20"/>
        </w:rPr>
        <w:t xml:space="preserve">Management, </w:t>
      </w:r>
      <w:r w:rsidRPr="00E256A9">
        <w:rPr>
          <w:rFonts w:ascii="Times New Roman" w:hAnsi="Times New Roman" w:cs="Times New Roman"/>
          <w:color w:val="000000"/>
          <w:sz w:val="20"/>
          <w:szCs w:val="20"/>
        </w:rPr>
        <w:t>Faculty of Medicine, Ain Shams University</w:t>
      </w:r>
      <w:r w:rsidR="002D6C06" w:rsidRPr="00E256A9">
        <w:rPr>
          <w:rFonts w:ascii="Times New Roman" w:hAnsi="Times New Roman" w:cs="Times New Roman"/>
          <w:color w:val="000000"/>
          <w:sz w:val="20"/>
          <w:szCs w:val="20"/>
        </w:rPr>
        <w:t>, Cairo, Egypt</w:t>
      </w:r>
    </w:p>
    <w:p w:rsidR="00ED5BD8" w:rsidRPr="00E256A9" w:rsidRDefault="00802A4D" w:rsidP="00756ADC">
      <w:pPr>
        <w:snapToGrid w:val="0"/>
        <w:spacing w:after="0" w:line="240" w:lineRule="auto"/>
        <w:jc w:val="center"/>
        <w:rPr>
          <w:rFonts w:ascii="Times New Roman" w:hAnsi="Times New Roman" w:cs="Times New Roman"/>
          <w:sz w:val="20"/>
          <w:szCs w:val="20"/>
          <w:lang w:bidi="ar-EG"/>
        </w:rPr>
      </w:pPr>
      <w:hyperlink r:id="rId8" w:history="1">
        <w:r w:rsidR="007D547F" w:rsidRPr="00E256A9">
          <w:rPr>
            <w:rStyle w:val="Hyperlink"/>
            <w:rFonts w:ascii="Times New Roman" w:hAnsi="Times New Roman" w:cs="Times New Roman"/>
            <w:sz w:val="20"/>
            <w:szCs w:val="20"/>
            <w:lang w:bidi="ar-EG"/>
          </w:rPr>
          <w:t>Mostafafouad633@gmail.com</w:t>
        </w:r>
      </w:hyperlink>
      <w:r w:rsidR="007D547F" w:rsidRPr="00E256A9">
        <w:rPr>
          <w:rFonts w:ascii="Times New Roman" w:hAnsi="Times New Roman" w:cs="Times New Roman"/>
          <w:sz w:val="20"/>
          <w:szCs w:val="20"/>
          <w:lang w:bidi="ar-EG"/>
        </w:rPr>
        <w:t xml:space="preserve"> </w:t>
      </w:r>
    </w:p>
    <w:p w:rsidR="00ED5BD8" w:rsidRPr="00E256A9" w:rsidRDefault="00ED5BD8" w:rsidP="00756ADC">
      <w:pPr>
        <w:snapToGrid w:val="0"/>
        <w:spacing w:after="0" w:line="240" w:lineRule="auto"/>
        <w:jc w:val="center"/>
        <w:rPr>
          <w:rFonts w:ascii="Times New Roman" w:hAnsi="Times New Roman" w:cs="Times New Roman"/>
          <w:sz w:val="20"/>
          <w:szCs w:val="20"/>
          <w:lang w:bidi="ar-EG"/>
        </w:rPr>
      </w:pPr>
    </w:p>
    <w:p w:rsidR="00324279"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 xml:space="preserve">Abstract: </w:t>
      </w:r>
      <w:r w:rsidR="009A6E4D" w:rsidRPr="00E256A9">
        <w:rPr>
          <w:rFonts w:ascii="Times New Roman" w:hAnsi="Times New Roman" w:cs="Times New Roman"/>
          <w:b/>
          <w:bCs/>
          <w:sz w:val="20"/>
          <w:szCs w:val="20"/>
          <w:lang w:bidi="ar-EG"/>
        </w:rPr>
        <w:t>Background:</w:t>
      </w:r>
      <w:r w:rsidR="009A6E4D" w:rsidRPr="00E256A9">
        <w:rPr>
          <w:rFonts w:ascii="Times New Roman" w:hAnsi="Times New Roman" w:cs="Times New Roman"/>
          <w:sz w:val="20"/>
          <w:szCs w:val="20"/>
          <w:lang w:bidi="ar-EG"/>
        </w:rPr>
        <w:t xml:space="preserve"> The inflammatory response plays an important role in the pathophysiology of sepsis, and the impact of inflammation that can worsen chronic illness, which is a major determinant of adverse, long-term outcomes. Thus, biomarkers that can be used as independent prognostic factors to evaluate the mortality of patients with severe sepsis or septic shock should be measured objectively to reflect the inflammatory processes as well as responses to therapeutic intervention. As the level of C-reactive protein increases markedly in response to infection, and the magnitude of the increase may correlate with the severity of the infection, the prognostic value of CRP levels has been investigated in many diseases</w:t>
      </w:r>
      <w:r w:rsidR="009A6E4D" w:rsidRPr="00E256A9">
        <w:rPr>
          <w:rFonts w:ascii="Times New Roman" w:hAnsi="Times New Roman" w:cs="Times New Roman"/>
          <w:b/>
          <w:bCs/>
          <w:sz w:val="20"/>
          <w:szCs w:val="20"/>
          <w:lang w:bidi="ar-EG"/>
        </w:rPr>
        <w:t>.</w:t>
      </w:r>
      <w:r w:rsidR="007719E1" w:rsidRPr="00E256A9">
        <w:rPr>
          <w:rFonts w:ascii="Times New Roman" w:hAnsi="Times New Roman" w:cs="Times New Roman" w:hint="eastAsia"/>
          <w:b/>
          <w:bCs/>
          <w:sz w:val="20"/>
          <w:szCs w:val="20"/>
          <w:lang w:eastAsia="zh-CN" w:bidi="ar-EG"/>
        </w:rPr>
        <w:t xml:space="preserve"> </w:t>
      </w:r>
      <w:r w:rsidR="009A6E4D" w:rsidRPr="00E256A9">
        <w:rPr>
          <w:rFonts w:ascii="Times New Roman" w:hAnsi="Times New Roman" w:cs="Times New Roman"/>
          <w:b/>
          <w:bCs/>
          <w:sz w:val="20"/>
          <w:szCs w:val="20"/>
          <w:lang w:bidi="ar-EG"/>
        </w:rPr>
        <w:t xml:space="preserve">Aims: </w:t>
      </w:r>
      <w:r w:rsidR="009A6E4D" w:rsidRPr="00E256A9">
        <w:rPr>
          <w:rFonts w:ascii="Times New Roman" w:hAnsi="Times New Roman" w:cs="Times New Roman"/>
          <w:sz w:val="20"/>
          <w:szCs w:val="20"/>
        </w:rPr>
        <w:t xml:space="preserve">To determine the relationship between reduced albumin and inflammatory response and its effect on morbidity and mortality in critically ill patients. </w:t>
      </w:r>
      <w:r w:rsidR="009A6E4D" w:rsidRPr="00E256A9">
        <w:rPr>
          <w:rFonts w:ascii="Times New Roman" w:hAnsi="Times New Roman" w:cs="Times New Roman"/>
          <w:b/>
          <w:sz w:val="20"/>
          <w:szCs w:val="20"/>
        </w:rPr>
        <w:t>Patients and Methods:</w:t>
      </w:r>
      <w:r w:rsidR="007719E1" w:rsidRPr="00E256A9">
        <w:rPr>
          <w:rFonts w:ascii="Times New Roman" w:hAnsi="Times New Roman" w:cs="Times New Roman" w:hint="eastAsia"/>
          <w:b/>
          <w:sz w:val="20"/>
          <w:szCs w:val="20"/>
          <w:lang w:eastAsia="zh-CN"/>
        </w:rPr>
        <w:t xml:space="preserve"> </w:t>
      </w:r>
      <w:r w:rsidR="009A6E4D" w:rsidRPr="00E256A9">
        <w:rPr>
          <w:rFonts w:ascii="Times New Roman" w:hAnsi="Times New Roman" w:cs="Times New Roman"/>
          <w:sz w:val="20"/>
          <w:szCs w:val="20"/>
          <w:lang w:bidi="ar-EG"/>
        </w:rPr>
        <w:t>This is a prospective randomized study that was conducted on patients who were admitted to ICU in Ain Shams University Hospitals. An informed written consent was obtained from patients and/or relatives.</w:t>
      </w:r>
      <w:r w:rsidR="00F725B7" w:rsidRPr="00E256A9">
        <w:rPr>
          <w:rFonts w:ascii="Times New Roman" w:hAnsi="Times New Roman" w:cs="Times New Roman"/>
          <w:sz w:val="20"/>
          <w:szCs w:val="20"/>
          <w:lang w:bidi="ar-EG"/>
        </w:rPr>
        <w:t xml:space="preserve"> All patients subjected to daily hemodynamic monitoring of the mean arterial blood pressure, heart rate and temperature. Serum albumin level, Procalcitonin, CRP, TLC, ESR, blood gases and lactate were collected in first, third, seventh. </w:t>
      </w:r>
      <w:r w:rsidR="00F725B7" w:rsidRPr="00E256A9">
        <w:rPr>
          <w:rFonts w:ascii="Times New Roman" w:hAnsi="Times New Roman" w:cs="Times New Roman"/>
          <w:b/>
          <w:bCs/>
          <w:sz w:val="20"/>
          <w:szCs w:val="20"/>
          <w:lang w:bidi="ar-EG"/>
        </w:rPr>
        <w:t xml:space="preserve">Results: </w:t>
      </w:r>
      <w:r w:rsidR="002D6DCC" w:rsidRPr="00E256A9">
        <w:rPr>
          <w:rFonts w:ascii="Times New Roman" w:hAnsi="Times New Roman" w:cs="Times New Roman"/>
          <w:sz w:val="20"/>
          <w:szCs w:val="20"/>
          <w:lang w:bidi="ar-EG"/>
        </w:rPr>
        <w:t xml:space="preserve">A sample size of 43 achieves 81% power to detect a difference of 0.30 between the correlation of 0.4 as regarding decreased albumin and increased inflammatory response measured by procalcitonin, c-reactive protein, ESR and total leucocytic count and the alternative hypothesis correlation of 0.7 using a two-sided hypothesis test with a significance level of 0.05. </w:t>
      </w:r>
      <w:r w:rsidR="002D6DCC" w:rsidRPr="00E256A9">
        <w:rPr>
          <w:rFonts w:ascii="Times New Roman" w:hAnsi="Times New Roman" w:cs="Times New Roman"/>
          <w:sz w:val="20"/>
          <w:szCs w:val="20"/>
        </w:rPr>
        <w:t xml:space="preserve">It was noticed that serum albumin had negative significant correlation with baseline inflammatory markers; CRP (r= -0.65; </w:t>
      </w:r>
      <w:r w:rsidR="002D6DCC" w:rsidRPr="00E256A9">
        <w:rPr>
          <w:rFonts w:ascii="Times New Roman" w:hAnsi="Times New Roman" w:cs="Times New Roman"/>
          <w:i/>
          <w:iCs/>
          <w:sz w:val="20"/>
          <w:szCs w:val="20"/>
        </w:rPr>
        <w:t>P</w:t>
      </w:r>
      <w:r w:rsidR="002D6DCC" w:rsidRPr="00E256A9">
        <w:rPr>
          <w:rFonts w:ascii="Times New Roman" w:hAnsi="Times New Roman" w:cs="Times New Roman"/>
          <w:sz w:val="20"/>
          <w:szCs w:val="20"/>
        </w:rPr>
        <w:t xml:space="preserve">= 0.04), ESR (r= -0.45; </w:t>
      </w:r>
      <w:r w:rsidR="002D6DCC" w:rsidRPr="00E256A9">
        <w:rPr>
          <w:rFonts w:ascii="Times New Roman" w:hAnsi="Times New Roman" w:cs="Times New Roman"/>
          <w:i/>
          <w:iCs/>
          <w:sz w:val="20"/>
          <w:szCs w:val="20"/>
        </w:rPr>
        <w:t>P</w:t>
      </w:r>
      <w:r w:rsidR="002D6DCC" w:rsidRPr="00E256A9">
        <w:rPr>
          <w:rFonts w:ascii="Times New Roman" w:hAnsi="Times New Roman" w:cs="Times New Roman"/>
          <w:sz w:val="20"/>
          <w:szCs w:val="20"/>
        </w:rPr>
        <w:t xml:space="preserve">= 0.01), TLC (r= -0.42; </w:t>
      </w:r>
      <w:r w:rsidR="002D6DCC" w:rsidRPr="00E256A9">
        <w:rPr>
          <w:rFonts w:ascii="Times New Roman" w:hAnsi="Times New Roman" w:cs="Times New Roman"/>
          <w:i/>
          <w:iCs/>
          <w:sz w:val="20"/>
          <w:szCs w:val="20"/>
        </w:rPr>
        <w:t>P</w:t>
      </w:r>
      <w:r w:rsidR="002D6DCC" w:rsidRPr="00E256A9">
        <w:rPr>
          <w:rFonts w:ascii="Times New Roman" w:hAnsi="Times New Roman" w:cs="Times New Roman"/>
          <w:sz w:val="20"/>
          <w:szCs w:val="20"/>
        </w:rPr>
        <w:t xml:space="preserve">= 0.01) and Procalcitonin (r= -0.34; </w:t>
      </w:r>
      <w:r w:rsidR="002D6DCC" w:rsidRPr="00E256A9">
        <w:rPr>
          <w:rFonts w:ascii="Times New Roman" w:hAnsi="Times New Roman" w:cs="Times New Roman"/>
          <w:i/>
          <w:iCs/>
          <w:sz w:val="20"/>
          <w:szCs w:val="20"/>
        </w:rPr>
        <w:t>P</w:t>
      </w:r>
      <w:r w:rsidR="002D6DCC" w:rsidRPr="00E256A9">
        <w:rPr>
          <w:rFonts w:ascii="Times New Roman" w:hAnsi="Times New Roman" w:cs="Times New Roman"/>
          <w:sz w:val="20"/>
          <w:szCs w:val="20"/>
        </w:rPr>
        <w:t xml:space="preserve">= 0.02). </w:t>
      </w:r>
      <w:r w:rsidR="002D6DCC" w:rsidRPr="00E256A9">
        <w:rPr>
          <w:rFonts w:ascii="Times New Roman" w:hAnsi="Times New Roman" w:cs="Times New Roman"/>
          <w:b/>
          <w:bCs/>
          <w:sz w:val="20"/>
          <w:szCs w:val="20"/>
          <w:lang w:bidi="ar-EG"/>
        </w:rPr>
        <w:t xml:space="preserve">Conclusion: </w:t>
      </w:r>
      <w:r w:rsidR="002D6DCC" w:rsidRPr="00E256A9">
        <w:rPr>
          <w:rFonts w:ascii="Times New Roman" w:eastAsia="Calibri" w:hAnsi="Times New Roman" w:cs="Times New Roman"/>
          <w:sz w:val="20"/>
          <w:szCs w:val="20"/>
        </w:rPr>
        <w:t>It was noticed that pro-calcitonin was significantly increased at 7</w:t>
      </w:r>
      <w:r w:rsidR="002D6DCC" w:rsidRPr="00E256A9">
        <w:rPr>
          <w:rFonts w:ascii="Times New Roman" w:eastAsia="Calibri" w:hAnsi="Times New Roman" w:cs="Times New Roman"/>
          <w:sz w:val="20"/>
          <w:szCs w:val="20"/>
          <w:vertAlign w:val="superscript"/>
        </w:rPr>
        <w:t>th</w:t>
      </w:r>
      <w:r w:rsidR="002D6DCC" w:rsidRPr="00E256A9">
        <w:rPr>
          <w:rFonts w:ascii="Times New Roman" w:eastAsia="Calibri" w:hAnsi="Times New Roman" w:cs="Times New Roman"/>
          <w:sz w:val="20"/>
          <w:szCs w:val="20"/>
        </w:rPr>
        <w:t xml:space="preserve"> days in comparison to 1</w:t>
      </w:r>
      <w:r w:rsidR="002D6DCC" w:rsidRPr="00E256A9">
        <w:rPr>
          <w:rFonts w:ascii="Times New Roman" w:eastAsia="Calibri" w:hAnsi="Times New Roman" w:cs="Times New Roman"/>
          <w:sz w:val="20"/>
          <w:szCs w:val="20"/>
          <w:vertAlign w:val="superscript"/>
        </w:rPr>
        <w:t>st</w:t>
      </w:r>
      <w:r w:rsidR="002D6DCC" w:rsidRPr="00E256A9">
        <w:rPr>
          <w:rFonts w:ascii="Times New Roman" w:eastAsia="Calibri" w:hAnsi="Times New Roman" w:cs="Times New Roman"/>
          <w:sz w:val="20"/>
          <w:szCs w:val="20"/>
        </w:rPr>
        <w:t xml:space="preserve"> day in case of non- survivors but in case of survivor it showed significant decrease.</w:t>
      </w:r>
      <w:r w:rsidR="002D6DCC" w:rsidRPr="00E256A9">
        <w:rPr>
          <w:rFonts w:ascii="Times New Roman" w:hAnsi="Times New Roman" w:cs="Times New Roman"/>
          <w:sz w:val="20"/>
          <w:szCs w:val="20"/>
        </w:rPr>
        <w:t xml:space="preserve"> It was noticed that serum albumin had negative significant correlation with baseline inflammatory markers.</w:t>
      </w:r>
    </w:p>
    <w:p w:rsidR="00756ADC" w:rsidRPr="00E256A9" w:rsidRDefault="00756ADC" w:rsidP="00756ADC">
      <w:pPr>
        <w:snapToGrid w:val="0"/>
        <w:spacing w:after="0" w:line="240" w:lineRule="auto"/>
        <w:jc w:val="both"/>
        <w:rPr>
          <w:rFonts w:ascii="Times New Roman" w:hAnsi="Times New Roman" w:cs="Times New Roman"/>
          <w:sz w:val="20"/>
          <w:szCs w:val="20"/>
          <w:lang w:eastAsia="zh-CN"/>
        </w:rPr>
      </w:pPr>
      <w:r w:rsidRPr="00E256A9">
        <w:rPr>
          <w:rFonts w:ascii="Times New Roman" w:hAnsi="Times New Roman" w:cs="Times New Roman"/>
          <w:bCs/>
          <w:sz w:val="20"/>
          <w:szCs w:val="20"/>
        </w:rPr>
        <w:t>[</w:t>
      </w:r>
      <w:r w:rsidRPr="00E256A9">
        <w:rPr>
          <w:rFonts w:ascii="Times New Roman" w:hAnsi="Times New Roman" w:cs="Times New Roman"/>
          <w:sz w:val="20"/>
          <w:szCs w:val="20"/>
        </w:rPr>
        <w:t xml:space="preserve">Khaled M, </w:t>
      </w:r>
      <w:r w:rsidRPr="00E256A9">
        <w:rPr>
          <w:rFonts w:ascii="Times New Roman" w:hAnsi="Times New Roman" w:cs="Times New Roman"/>
          <w:sz w:val="20"/>
          <w:szCs w:val="20"/>
          <w:lang w:bidi="en-US"/>
        </w:rPr>
        <w:t xml:space="preserve">Hany V, </w:t>
      </w:r>
      <w:r w:rsidRPr="00E256A9">
        <w:rPr>
          <w:rFonts w:ascii="Times New Roman" w:hAnsi="Times New Roman" w:cs="Times New Roman"/>
          <w:sz w:val="20"/>
          <w:szCs w:val="20"/>
        </w:rPr>
        <w:t>Amin M, Mostafa M.</w:t>
      </w:r>
      <w:r w:rsidRPr="00E256A9">
        <w:rPr>
          <w:rFonts w:ascii="Times New Roman" w:hAnsi="Times New Roman" w:cs="Times New Roman" w:hint="eastAsia"/>
          <w:b/>
          <w:bCs/>
          <w:sz w:val="20"/>
          <w:szCs w:val="20"/>
          <w:lang w:bidi="fa-IR"/>
        </w:rPr>
        <w:t xml:space="preserve"> </w:t>
      </w:r>
      <w:r w:rsidRPr="00E256A9">
        <w:rPr>
          <w:rFonts w:ascii="Times New Roman" w:hAnsi="Times New Roman" w:cs="Times New Roman"/>
          <w:b/>
          <w:bCs/>
          <w:sz w:val="20"/>
          <w:szCs w:val="20"/>
        </w:rPr>
        <w:t>Relationship between Reduced Albumin and Inflammatory Response in Critically Ill Patients</w:t>
      </w:r>
      <w:r w:rsidRPr="00E256A9">
        <w:rPr>
          <w:rFonts w:ascii="Times New Roman" w:eastAsia="Times New Roman" w:hAnsi="Times New Roman" w:cs="Times New Roman"/>
          <w:b/>
          <w:bCs/>
          <w:sz w:val="20"/>
          <w:szCs w:val="20"/>
          <w:lang w:bidi="fa-IR"/>
        </w:rPr>
        <w:t>.</w:t>
      </w:r>
      <w:r w:rsidRPr="00E256A9">
        <w:rPr>
          <w:rFonts w:ascii="Times New Roman" w:hAnsi="Times New Roman" w:cs="Times New Roman"/>
          <w:bCs/>
          <w:i/>
          <w:sz w:val="20"/>
          <w:szCs w:val="20"/>
        </w:rPr>
        <w:t xml:space="preserve"> N Y Sci J</w:t>
      </w:r>
      <w:r w:rsidRPr="00E256A9">
        <w:rPr>
          <w:rFonts w:ascii="Times New Roman" w:hAnsi="Times New Roman" w:cs="Times New Roman"/>
          <w:bCs/>
          <w:sz w:val="20"/>
          <w:szCs w:val="20"/>
        </w:rPr>
        <w:t xml:space="preserve"> </w:t>
      </w:r>
      <w:r w:rsidRPr="00E256A9">
        <w:rPr>
          <w:rFonts w:ascii="Times New Roman" w:hAnsi="Times New Roman" w:cs="Times New Roman"/>
          <w:sz w:val="20"/>
          <w:szCs w:val="20"/>
        </w:rPr>
        <w:t>201</w:t>
      </w:r>
      <w:r w:rsidRPr="00E256A9">
        <w:rPr>
          <w:rFonts w:ascii="Times New Roman" w:hAnsi="Times New Roman" w:cs="Times New Roman" w:hint="eastAsia"/>
          <w:sz w:val="20"/>
          <w:szCs w:val="20"/>
        </w:rPr>
        <w:t>9</w:t>
      </w:r>
      <w:r w:rsidRPr="00E256A9">
        <w:rPr>
          <w:rFonts w:ascii="Times New Roman" w:hAnsi="Times New Roman" w:cs="Times New Roman"/>
          <w:sz w:val="20"/>
          <w:szCs w:val="20"/>
        </w:rPr>
        <w:t>;</w:t>
      </w:r>
      <w:r w:rsidRPr="00E256A9">
        <w:rPr>
          <w:rFonts w:ascii="Times New Roman" w:hAnsi="Times New Roman" w:cs="Times New Roman" w:hint="eastAsia"/>
          <w:sz w:val="20"/>
          <w:szCs w:val="20"/>
        </w:rPr>
        <w:t>12</w:t>
      </w:r>
      <w:r w:rsidRPr="00E256A9">
        <w:rPr>
          <w:rFonts w:ascii="Times New Roman" w:hAnsi="Times New Roman" w:cs="Times New Roman"/>
          <w:sz w:val="20"/>
          <w:szCs w:val="20"/>
        </w:rPr>
        <w:t>(</w:t>
      </w:r>
      <w:r w:rsidRPr="00E256A9">
        <w:rPr>
          <w:rFonts w:ascii="Times New Roman" w:hAnsi="Times New Roman" w:cs="Times New Roman" w:hint="eastAsia"/>
          <w:sz w:val="20"/>
          <w:szCs w:val="20"/>
        </w:rPr>
        <w:t>9</w:t>
      </w:r>
      <w:r w:rsidRPr="00E256A9">
        <w:rPr>
          <w:rFonts w:ascii="Times New Roman" w:hAnsi="Times New Roman" w:cs="Times New Roman"/>
          <w:sz w:val="20"/>
          <w:szCs w:val="20"/>
        </w:rPr>
        <w:t>):</w:t>
      </w:r>
      <w:r w:rsidR="001E17AF" w:rsidRPr="00E256A9">
        <w:rPr>
          <w:rFonts w:ascii="Times New Roman" w:hAnsi="Times New Roman" w:cs="Times New Roman"/>
          <w:noProof/>
          <w:color w:val="000000"/>
          <w:sz w:val="20"/>
          <w:szCs w:val="20"/>
        </w:rPr>
        <w:t>33-4</w:t>
      </w:r>
      <w:r w:rsidR="00E256A9">
        <w:rPr>
          <w:rFonts w:ascii="Times New Roman" w:hAnsi="Times New Roman" w:cs="Times New Roman" w:hint="eastAsia"/>
          <w:noProof/>
          <w:color w:val="000000"/>
          <w:sz w:val="20"/>
          <w:szCs w:val="20"/>
          <w:lang w:eastAsia="zh-CN"/>
        </w:rPr>
        <w:t>4</w:t>
      </w:r>
      <w:r w:rsidRPr="00E256A9">
        <w:rPr>
          <w:rFonts w:ascii="Times New Roman" w:hAnsi="Times New Roman" w:cs="Times New Roman"/>
          <w:sz w:val="20"/>
          <w:szCs w:val="20"/>
        </w:rPr>
        <w:t xml:space="preserve">]. </w:t>
      </w:r>
      <w:r w:rsidRPr="00E256A9">
        <w:rPr>
          <w:rFonts w:ascii="Times New Roman" w:hAnsi="Times New Roman" w:cs="Times New Roman"/>
          <w:iCs/>
          <w:color w:val="000000"/>
          <w:sz w:val="20"/>
          <w:szCs w:val="20"/>
        </w:rPr>
        <w:t>ISSN 1554-0200 (print); ISSN 2375-723X (online)</w:t>
      </w:r>
      <w:r w:rsidRPr="00E256A9">
        <w:rPr>
          <w:rFonts w:ascii="Times New Roman" w:hAnsi="Times New Roman" w:cs="Times New Roman"/>
          <w:sz w:val="20"/>
          <w:szCs w:val="20"/>
        </w:rPr>
        <w:t xml:space="preserve">. </w:t>
      </w:r>
      <w:hyperlink r:id="rId9" w:history="1">
        <w:r w:rsidRPr="00E256A9">
          <w:rPr>
            <w:rStyle w:val="Hyperlink"/>
            <w:rFonts w:ascii="Times New Roman" w:hAnsi="Times New Roman" w:cs="Times New Roman"/>
            <w:sz w:val="20"/>
            <w:szCs w:val="20"/>
          </w:rPr>
          <w:t>http://www.sciencepub.net/newyork</w:t>
        </w:r>
      </w:hyperlink>
      <w:r w:rsidRPr="00E256A9">
        <w:rPr>
          <w:rFonts w:ascii="Times New Roman" w:hAnsi="Times New Roman" w:cs="Times New Roman"/>
          <w:sz w:val="20"/>
          <w:szCs w:val="20"/>
        </w:rPr>
        <w:t xml:space="preserve">. </w:t>
      </w:r>
      <w:r w:rsidRPr="00E256A9">
        <w:rPr>
          <w:rFonts w:ascii="Times New Roman" w:hAnsi="Times New Roman" w:cs="Times New Roman" w:hint="eastAsia"/>
          <w:sz w:val="20"/>
          <w:szCs w:val="20"/>
          <w:lang w:eastAsia="zh-CN"/>
        </w:rPr>
        <w:t>8</w:t>
      </w:r>
      <w:r w:rsidRPr="00E256A9">
        <w:rPr>
          <w:rFonts w:ascii="Times New Roman" w:hAnsi="Times New Roman" w:cs="Times New Roman" w:hint="eastAsia"/>
          <w:sz w:val="20"/>
          <w:szCs w:val="20"/>
        </w:rPr>
        <w:t xml:space="preserve">. </w:t>
      </w:r>
      <w:r w:rsidRPr="00E256A9">
        <w:rPr>
          <w:rFonts w:ascii="Times New Roman" w:hAnsi="Times New Roman" w:cs="Times New Roman"/>
          <w:color w:val="000000"/>
          <w:sz w:val="20"/>
          <w:szCs w:val="20"/>
          <w:shd w:val="clear" w:color="auto" w:fill="FFFFFF"/>
        </w:rPr>
        <w:t>doi:</w:t>
      </w:r>
      <w:hyperlink r:id="rId10" w:history="1">
        <w:r w:rsidRPr="00E256A9">
          <w:rPr>
            <w:rStyle w:val="Hyperlink"/>
            <w:rFonts w:ascii="Times New Roman" w:hAnsi="Times New Roman" w:cs="Times New Roman"/>
            <w:sz w:val="20"/>
            <w:szCs w:val="20"/>
            <w:shd w:val="clear" w:color="auto" w:fill="FFFFFF"/>
          </w:rPr>
          <w:t>10.7537/mars</w:t>
        </w:r>
        <w:r w:rsidRPr="00E256A9">
          <w:rPr>
            <w:rStyle w:val="Hyperlink"/>
            <w:rFonts w:ascii="Times New Roman" w:hAnsi="Times New Roman" w:cs="Times New Roman" w:hint="eastAsia"/>
            <w:sz w:val="20"/>
            <w:szCs w:val="20"/>
            <w:shd w:val="clear" w:color="auto" w:fill="FFFFFF"/>
          </w:rPr>
          <w:t>nys120919.</w:t>
        </w:r>
        <w:r w:rsidRPr="00E256A9">
          <w:rPr>
            <w:rStyle w:val="Hyperlink"/>
            <w:rFonts w:ascii="Times New Roman" w:hAnsi="Times New Roman" w:cs="Times New Roman"/>
            <w:sz w:val="20"/>
            <w:szCs w:val="20"/>
            <w:shd w:val="clear" w:color="auto" w:fill="FFFFFF"/>
          </w:rPr>
          <w:t>0</w:t>
        </w:r>
        <w:r w:rsidRPr="00E256A9">
          <w:rPr>
            <w:rStyle w:val="Hyperlink"/>
            <w:rFonts w:ascii="Times New Roman" w:hAnsi="Times New Roman" w:cs="Times New Roman" w:hint="eastAsia"/>
            <w:sz w:val="20"/>
            <w:szCs w:val="20"/>
            <w:shd w:val="clear" w:color="auto" w:fill="FFFFFF"/>
            <w:lang w:eastAsia="zh-CN"/>
          </w:rPr>
          <w:t>8</w:t>
        </w:r>
      </w:hyperlink>
      <w:r w:rsidRPr="00E256A9">
        <w:rPr>
          <w:rFonts w:ascii="Times New Roman" w:hAnsi="Times New Roman" w:cs="Times New Roman"/>
          <w:color w:val="000000"/>
          <w:sz w:val="20"/>
          <w:szCs w:val="20"/>
          <w:shd w:val="clear" w:color="auto" w:fill="FFFFFF"/>
        </w:rPr>
        <w:t>.</w:t>
      </w:r>
    </w:p>
    <w:p w:rsidR="002D6C06" w:rsidRPr="00E256A9" w:rsidRDefault="002D6C06" w:rsidP="00756ADC">
      <w:pPr>
        <w:snapToGrid w:val="0"/>
        <w:spacing w:after="0" w:line="240" w:lineRule="auto"/>
        <w:jc w:val="both"/>
        <w:rPr>
          <w:rFonts w:ascii="Times New Roman" w:hAnsi="Times New Roman" w:cs="Times New Roman"/>
          <w:b/>
          <w:bCs/>
          <w:sz w:val="20"/>
          <w:szCs w:val="20"/>
          <w:lang w:bidi="ar-EG"/>
        </w:rPr>
      </w:pPr>
    </w:p>
    <w:p w:rsidR="00324279" w:rsidRPr="00E256A9" w:rsidRDefault="00324279" w:rsidP="00756ADC">
      <w:pPr>
        <w:snapToGrid w:val="0"/>
        <w:spacing w:after="0" w:line="240" w:lineRule="auto"/>
        <w:jc w:val="both"/>
        <w:rPr>
          <w:rFonts w:ascii="Times New Roman" w:hAnsi="Times New Roman" w:cs="Times New Roman"/>
          <w:sz w:val="20"/>
          <w:szCs w:val="20"/>
          <w:lang w:bidi="ar-EG"/>
        </w:rPr>
      </w:pPr>
      <w:r w:rsidRPr="00E256A9">
        <w:rPr>
          <w:rFonts w:ascii="Times New Roman" w:hAnsi="Times New Roman" w:cs="Times New Roman"/>
          <w:b/>
          <w:bCs/>
          <w:sz w:val="20"/>
          <w:szCs w:val="20"/>
          <w:lang w:bidi="ar-EG"/>
        </w:rPr>
        <w:t xml:space="preserve">Key Words: </w:t>
      </w:r>
      <w:r w:rsidR="002D6DCC" w:rsidRPr="00E256A9">
        <w:rPr>
          <w:rFonts w:ascii="Times New Roman" w:hAnsi="Times New Roman" w:cs="Times New Roman"/>
          <w:sz w:val="20"/>
          <w:szCs w:val="20"/>
          <w:lang w:bidi="ar-EG"/>
        </w:rPr>
        <w:t xml:space="preserve">Albumin, Sepsis, Inflammatory markers, </w:t>
      </w:r>
      <w:r w:rsidR="00F91D83" w:rsidRPr="00E256A9">
        <w:rPr>
          <w:rFonts w:ascii="Times New Roman" w:hAnsi="Times New Roman" w:cs="Times New Roman"/>
          <w:sz w:val="20"/>
          <w:szCs w:val="20"/>
          <w:lang w:bidi="ar-EG"/>
        </w:rPr>
        <w:t>Procalcitonin.</w:t>
      </w:r>
    </w:p>
    <w:p w:rsidR="007F374E" w:rsidRPr="00E256A9" w:rsidRDefault="007F374E" w:rsidP="00756ADC">
      <w:pPr>
        <w:snapToGrid w:val="0"/>
        <w:spacing w:after="0" w:line="240" w:lineRule="auto"/>
        <w:ind w:firstLine="425"/>
        <w:jc w:val="both"/>
        <w:rPr>
          <w:rFonts w:ascii="Times New Roman" w:hAnsi="Times New Roman" w:cs="Times New Roman"/>
          <w:sz w:val="20"/>
          <w:szCs w:val="20"/>
          <w:lang w:bidi="ar-EG"/>
        </w:rPr>
      </w:pPr>
    </w:p>
    <w:p w:rsidR="00756ADC" w:rsidRPr="00E256A9" w:rsidRDefault="00756ADC" w:rsidP="00756ADC">
      <w:pPr>
        <w:snapToGrid w:val="0"/>
        <w:spacing w:after="0" w:line="240" w:lineRule="auto"/>
        <w:jc w:val="both"/>
        <w:rPr>
          <w:rFonts w:ascii="Times New Roman" w:hAnsi="Times New Roman" w:cs="Times New Roman"/>
          <w:b/>
          <w:bCs/>
          <w:sz w:val="20"/>
          <w:szCs w:val="20"/>
          <w:lang w:bidi="ar-EG"/>
        </w:rPr>
        <w:sectPr w:rsidR="00756ADC" w:rsidRPr="00E256A9" w:rsidSect="001E17AF">
          <w:headerReference w:type="default" r:id="rId11"/>
          <w:footerReference w:type="default" r:id="rId12"/>
          <w:type w:val="continuous"/>
          <w:pgSz w:w="12240" w:h="15840" w:code="9"/>
          <w:pgMar w:top="1440" w:right="1440" w:bottom="1440" w:left="1440" w:header="720" w:footer="720" w:gutter="0"/>
          <w:pgNumType w:start="33"/>
          <w:cols w:space="720"/>
          <w:docGrid w:linePitch="360"/>
        </w:sectPr>
      </w:pPr>
    </w:p>
    <w:p w:rsidR="006D6BF2"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lastRenderedPageBreak/>
        <w:t>1. Introduction</w:t>
      </w:r>
    </w:p>
    <w:p w:rsidR="006D6BF2" w:rsidRPr="00E256A9" w:rsidRDefault="006D6BF2" w:rsidP="00756ADC">
      <w:pPr>
        <w:snapToGrid w:val="0"/>
        <w:spacing w:after="0" w:line="240" w:lineRule="auto"/>
        <w:ind w:firstLine="425"/>
        <w:jc w:val="both"/>
        <w:rPr>
          <w:rFonts w:ascii="Times New Roman" w:hAnsi="Times New Roman" w:cs="Times New Roman"/>
          <w:b/>
          <w:bCs/>
          <w:sz w:val="20"/>
          <w:szCs w:val="20"/>
          <w:lang w:bidi="ar-EG"/>
        </w:rPr>
      </w:pPr>
      <w:r w:rsidRPr="00E256A9">
        <w:rPr>
          <w:rFonts w:ascii="Times New Roman" w:hAnsi="Times New Roman" w:cs="Times New Roman"/>
          <w:sz w:val="20"/>
          <w:szCs w:val="20"/>
          <w:lang w:bidi="ar-EG"/>
        </w:rPr>
        <w:t xml:space="preserve">Sepsis, including severe sepsis and septic shock, remains a major cause of morbidity and mortality worldwide. The mortality rate of severe sepsis is 20–30%, accounting for about 30-50% of hospital deaths. Even though the mortality rate of severe sepsis has decreased markedly since the introduction of early resuscitative treatments, including early goal-directed therapy (EGDT), survivors are still at increased risk of death </w:t>
      </w:r>
      <w:r w:rsidRPr="00E256A9">
        <w:rPr>
          <w:rFonts w:ascii="Times New Roman" w:hAnsi="Times New Roman" w:cs="Times New Roman"/>
          <w:b/>
          <w:bCs/>
          <w:sz w:val="20"/>
          <w:szCs w:val="20"/>
          <w:vertAlign w:val="superscript"/>
          <w:lang w:bidi="ar-EG"/>
        </w:rPr>
        <w:t>(</w:t>
      </w:r>
      <w:r w:rsidR="007F374E" w:rsidRPr="00E256A9">
        <w:rPr>
          <w:rFonts w:ascii="Times New Roman" w:hAnsi="Times New Roman" w:cs="Times New Roman"/>
          <w:b/>
          <w:bCs/>
          <w:color w:val="FF0000"/>
          <w:sz w:val="20"/>
          <w:szCs w:val="20"/>
          <w:vertAlign w:val="superscript"/>
          <w:lang w:bidi="ar-EG"/>
        </w:rPr>
        <w:t>1</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 xml:space="preserve">. </w:t>
      </w:r>
    </w:p>
    <w:p w:rsidR="006D6BF2" w:rsidRPr="00E256A9" w:rsidRDefault="006D6BF2"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The inflammatory response plays an important role in the pathophysiology of sepsis, and the impact of inflammation that can worsen chronic illness, which is a major determinant of adverse, long-term outcomes. Thus, biomarkers that can be used as independent prognostic factors to evaluate the mortality of patients with severe sepsis or septic shock should be measured objectively to reflect the inflammatory processes as well as responses to </w:t>
      </w:r>
      <w:r w:rsidRPr="00E256A9">
        <w:rPr>
          <w:rFonts w:ascii="Times New Roman" w:hAnsi="Times New Roman" w:cs="Times New Roman"/>
          <w:sz w:val="20"/>
          <w:szCs w:val="20"/>
          <w:lang w:bidi="ar-EG"/>
        </w:rPr>
        <w:lastRenderedPageBreak/>
        <w:t xml:space="preserve">therapeutic intervention. As the level of C-reactive protein increases markedly in response to infection, and the magnitude of the increase may correlate with the severity of the infection, the prognostic value of CRP levels has been investigated in many diseases </w:t>
      </w:r>
      <w:r w:rsidRPr="00E256A9">
        <w:rPr>
          <w:rFonts w:ascii="Times New Roman" w:hAnsi="Times New Roman" w:cs="Times New Roman"/>
          <w:b/>
          <w:bCs/>
          <w:sz w:val="20"/>
          <w:szCs w:val="20"/>
          <w:vertAlign w:val="superscript"/>
          <w:lang w:bidi="ar-EG"/>
        </w:rPr>
        <w:t>(</w:t>
      </w:r>
      <w:r w:rsidR="007F374E" w:rsidRPr="00E256A9">
        <w:rPr>
          <w:rFonts w:ascii="Times New Roman" w:hAnsi="Times New Roman" w:cs="Times New Roman"/>
          <w:b/>
          <w:bCs/>
          <w:color w:val="FF0000"/>
          <w:sz w:val="20"/>
          <w:szCs w:val="20"/>
          <w:vertAlign w:val="superscript"/>
          <w:lang w:bidi="ar-EG"/>
        </w:rPr>
        <w:t>2</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w:t>
      </w:r>
    </w:p>
    <w:p w:rsidR="006D6BF2" w:rsidRPr="00E256A9" w:rsidRDefault="006D6BF2" w:rsidP="00756ADC">
      <w:pPr>
        <w:snapToGrid w:val="0"/>
        <w:spacing w:after="0" w:line="240" w:lineRule="auto"/>
        <w:ind w:firstLine="425"/>
        <w:jc w:val="both"/>
        <w:rPr>
          <w:rFonts w:ascii="Times New Roman" w:eastAsia="Calibri" w:hAnsi="Times New Roman" w:cs="Times New Roman"/>
          <w:sz w:val="20"/>
          <w:szCs w:val="20"/>
          <w:shd w:val="clear" w:color="auto" w:fill="FFFFFF"/>
          <w:lang w:bidi="ar-EG"/>
        </w:rPr>
      </w:pPr>
      <w:r w:rsidRPr="00E256A9">
        <w:rPr>
          <w:rFonts w:ascii="Times New Roman" w:hAnsi="Times New Roman" w:cs="Times New Roman"/>
          <w:sz w:val="20"/>
          <w:szCs w:val="20"/>
          <w:lang w:bidi="ar-EG"/>
        </w:rPr>
        <w:t>More than 170 biomarkers have been proposed and assessed clinically, including various cytokines, cell surface markers</w:t>
      </w:r>
      <w:r w:rsidR="00D10008" w:rsidRPr="00E256A9">
        <w:rPr>
          <w:rFonts w:ascii="Times New Roman" w:hAnsi="Times New Roman" w:cs="Times New Roman"/>
          <w:sz w:val="20"/>
          <w:szCs w:val="20"/>
          <w:lang w:bidi="ar-EG"/>
        </w:rPr>
        <w:t>, r</w:t>
      </w:r>
      <w:r w:rsidRPr="00E256A9">
        <w:rPr>
          <w:rFonts w:ascii="Times New Roman" w:hAnsi="Times New Roman" w:cs="Times New Roman"/>
          <w:sz w:val="20"/>
          <w:szCs w:val="20"/>
          <w:lang w:bidi="ar-EG"/>
        </w:rPr>
        <w:t>eceptors, complement factors, coagulation factors, acute phase reactants, and many others, but none has 100% specificity for sepsis</w:t>
      </w:r>
      <w:r w:rsidRPr="00E256A9">
        <w:rPr>
          <w:rFonts w:ascii="Times New Roman" w:eastAsia="Calibri" w:hAnsi="Times New Roman" w:cs="Times New Roman"/>
          <w:sz w:val="20"/>
          <w:szCs w:val="20"/>
          <w:shd w:val="clear" w:color="auto" w:fill="FFFFFF"/>
          <w:lang w:bidi="ar-EG"/>
        </w:rPr>
        <w:t xml:space="preserve">. CRP is sensitive but not very specific, being increased in all inflammatory disorders, including after uncomplicated surgery. </w:t>
      </w:r>
      <w:r w:rsidRPr="00E256A9">
        <w:rPr>
          <w:rFonts w:ascii="Times New Roman" w:hAnsi="Times New Roman" w:cs="Times New Roman"/>
          <w:sz w:val="20"/>
          <w:szCs w:val="20"/>
          <w:lang w:bidi="ar-EG"/>
        </w:rPr>
        <w:t xml:space="preserve">Procalcitonin is a more specific marker than CRP, although it is also increased in other inflammatory conditions, such as pancreatitis or after polytrauma or major surgery </w:t>
      </w:r>
      <w:r w:rsidRPr="00E256A9">
        <w:rPr>
          <w:rFonts w:ascii="Times New Roman" w:hAnsi="Times New Roman" w:cs="Times New Roman"/>
          <w:b/>
          <w:bCs/>
          <w:sz w:val="20"/>
          <w:szCs w:val="20"/>
          <w:vertAlign w:val="superscript"/>
          <w:lang w:bidi="ar-EG"/>
        </w:rPr>
        <w:t>(</w:t>
      </w:r>
      <w:r w:rsidR="007F374E" w:rsidRPr="00E256A9">
        <w:rPr>
          <w:rFonts w:ascii="Times New Roman" w:hAnsi="Times New Roman" w:cs="Times New Roman"/>
          <w:b/>
          <w:bCs/>
          <w:color w:val="FF0000"/>
          <w:sz w:val="20"/>
          <w:szCs w:val="20"/>
          <w:vertAlign w:val="superscript"/>
          <w:lang w:bidi="ar-EG"/>
        </w:rPr>
        <w:t>3</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w:t>
      </w:r>
    </w:p>
    <w:p w:rsidR="001E17AF" w:rsidRPr="00E256A9" w:rsidRDefault="006D6BF2" w:rsidP="00756ADC">
      <w:pPr>
        <w:snapToGrid w:val="0"/>
        <w:spacing w:after="0" w:line="240" w:lineRule="auto"/>
        <w:ind w:firstLine="425"/>
        <w:jc w:val="both"/>
        <w:rPr>
          <w:rFonts w:ascii="Times New Roman" w:hAnsi="Times New Roman" w:cs="Times New Roman"/>
          <w:sz w:val="20"/>
          <w:szCs w:val="20"/>
          <w:lang w:bidi="ar-EG"/>
        </w:rPr>
        <w:sectPr w:rsidR="001E17AF" w:rsidRPr="00E256A9" w:rsidSect="00141C3D">
          <w:type w:val="continuous"/>
          <w:pgSz w:w="12240" w:h="15840" w:code="9"/>
          <w:pgMar w:top="1440" w:right="1440" w:bottom="1440" w:left="1440" w:header="720" w:footer="720" w:gutter="0"/>
          <w:cols w:num="2" w:space="550"/>
          <w:docGrid w:linePitch="360"/>
        </w:sectPr>
      </w:pPr>
      <w:r w:rsidRPr="00E256A9">
        <w:rPr>
          <w:rFonts w:ascii="Times New Roman" w:hAnsi="Times New Roman" w:cs="Times New Roman"/>
          <w:sz w:val="20"/>
          <w:szCs w:val="20"/>
          <w:lang w:bidi="ar-EG"/>
        </w:rPr>
        <w:t xml:space="preserve">Albumin is also a potent prognostic marker of outcomes in infection-related disease, as its levels </w:t>
      </w:r>
    </w:p>
    <w:p w:rsidR="006D6BF2" w:rsidRPr="00E256A9" w:rsidRDefault="006D6BF2" w:rsidP="001E17AF">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sz w:val="20"/>
          <w:szCs w:val="20"/>
          <w:lang w:bidi="ar-EG"/>
        </w:rPr>
        <w:lastRenderedPageBreak/>
        <w:t xml:space="preserve">decrease during the response to acute phase infections </w:t>
      </w:r>
      <w:r w:rsidRPr="00E256A9">
        <w:rPr>
          <w:rFonts w:ascii="Times New Roman" w:hAnsi="Times New Roman" w:cs="Times New Roman"/>
          <w:b/>
          <w:bCs/>
          <w:sz w:val="20"/>
          <w:szCs w:val="20"/>
          <w:vertAlign w:val="superscript"/>
          <w:lang w:bidi="ar-EG"/>
        </w:rPr>
        <w:t>(</w:t>
      </w:r>
      <w:r w:rsidR="00ED43CA" w:rsidRPr="00E256A9">
        <w:rPr>
          <w:rFonts w:ascii="Times New Roman" w:hAnsi="Times New Roman" w:cs="Times New Roman"/>
          <w:b/>
          <w:bCs/>
          <w:sz w:val="20"/>
          <w:szCs w:val="20"/>
          <w:vertAlign w:val="superscript"/>
          <w:lang w:bidi="ar-EG"/>
        </w:rPr>
        <w:t>4</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w:t>
      </w:r>
    </w:p>
    <w:p w:rsidR="006D6BF2" w:rsidRPr="00E256A9" w:rsidRDefault="006D6BF2"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Albumin levels are associated with the chronic nature of disease, and represent the inflammatory status. In patients with community-acquired bloodstream infections, with severe sepsis or septic shock, hypoalbuminemia is the strongest predictor of mortality </w:t>
      </w:r>
      <w:r w:rsidRPr="00E256A9">
        <w:rPr>
          <w:rFonts w:ascii="Times New Roman" w:hAnsi="Times New Roman" w:cs="Times New Roman"/>
          <w:b/>
          <w:bCs/>
          <w:sz w:val="20"/>
          <w:szCs w:val="20"/>
          <w:vertAlign w:val="superscript"/>
          <w:lang w:bidi="ar-EG"/>
        </w:rPr>
        <w:t>(</w:t>
      </w:r>
      <w:r w:rsidR="00ED43CA" w:rsidRPr="00E256A9">
        <w:rPr>
          <w:rFonts w:ascii="Times New Roman" w:hAnsi="Times New Roman" w:cs="Times New Roman"/>
          <w:b/>
          <w:bCs/>
          <w:sz w:val="20"/>
          <w:szCs w:val="20"/>
          <w:vertAlign w:val="superscript"/>
          <w:lang w:bidi="ar-EG"/>
        </w:rPr>
        <w:t>5</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 xml:space="preserve">. </w:t>
      </w:r>
    </w:p>
    <w:p w:rsidR="006D6BF2" w:rsidRPr="00E256A9" w:rsidRDefault="006D6BF2"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Albumin could be an independent reliable prognostic predictor of mortality in a wide range of clinical and research such as community-acquired pneumonia, hemodialysis and coronary heart disease. In hospitalized patients, hypoalbuminaemia is associated with increased length of stay, higher complication rates and higher mortality. Decreased serum albumin concentration correlates with increased length of stay in the intensive care unit (ICU) and with complication rates, such as ventilator dependency and the development of new infection. The daily trend of serum albumin can be a useful tool in predicting the weaning capability of patients needing mechanical ventilation </w:t>
      </w:r>
      <w:r w:rsidRPr="00E256A9">
        <w:rPr>
          <w:rFonts w:ascii="Times New Roman" w:hAnsi="Times New Roman" w:cs="Times New Roman"/>
          <w:b/>
          <w:bCs/>
          <w:sz w:val="20"/>
          <w:szCs w:val="20"/>
          <w:vertAlign w:val="superscript"/>
          <w:lang w:bidi="ar-EG"/>
        </w:rPr>
        <w:t>(</w:t>
      </w:r>
      <w:r w:rsidR="007F374E" w:rsidRPr="00E256A9">
        <w:rPr>
          <w:rFonts w:ascii="Times New Roman" w:hAnsi="Times New Roman" w:cs="Times New Roman"/>
          <w:b/>
          <w:bCs/>
          <w:color w:val="FF0000"/>
          <w:sz w:val="20"/>
          <w:szCs w:val="20"/>
          <w:vertAlign w:val="superscript"/>
          <w:lang w:bidi="ar-EG"/>
        </w:rPr>
        <w:t>3</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w:t>
      </w:r>
    </w:p>
    <w:p w:rsidR="006D6BF2"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 xml:space="preserve">Aim of the Work </w:t>
      </w:r>
    </w:p>
    <w:p w:rsidR="006D6BF2" w:rsidRPr="00E256A9" w:rsidRDefault="006D6BF2"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rPr>
        <w:t>To determine the relationship between reduced albumin and inflammatory response and its effect on morbidity and mortality in critically ill patients.</w:t>
      </w:r>
    </w:p>
    <w:p w:rsidR="00FE5586" w:rsidRPr="00E256A9" w:rsidRDefault="00756ADC"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Patients And Methods</w:t>
      </w:r>
    </w:p>
    <w:p w:rsidR="00D24BE3" w:rsidRPr="00E256A9" w:rsidRDefault="00FE558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This is a prospective randomized study that was conducted on patients who were admitted to ICU in Ain Shams University Hospitals</w:t>
      </w:r>
      <w:r w:rsidR="00445B3E" w:rsidRPr="00E256A9">
        <w:rPr>
          <w:rFonts w:ascii="Times New Roman" w:hAnsi="Times New Roman" w:cs="Times New Roman"/>
          <w:sz w:val="20"/>
          <w:szCs w:val="20"/>
          <w:lang w:bidi="ar-EG"/>
        </w:rPr>
        <w:t xml:space="preserve">. </w:t>
      </w:r>
    </w:p>
    <w:p w:rsidR="00FE5586" w:rsidRPr="00E256A9" w:rsidRDefault="00FE558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An informed written consent was obtained from patients and/or relatives. </w:t>
      </w:r>
    </w:p>
    <w:p w:rsidR="00FE5586" w:rsidRPr="00E256A9" w:rsidRDefault="00FE5586" w:rsidP="00756ADC">
      <w:pPr>
        <w:numPr>
          <w:ilvl w:val="1"/>
          <w:numId w:val="25"/>
        </w:numPr>
        <w:snapToGrid w:val="0"/>
        <w:spacing w:after="0" w:line="240" w:lineRule="auto"/>
        <w:ind w:left="0"/>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Inclusion Criteria:</w:t>
      </w:r>
      <w:r w:rsidR="00ED5BD8" w:rsidRPr="00E256A9">
        <w:rPr>
          <w:rFonts w:ascii="Times New Roman" w:hAnsi="Times New Roman" w:cs="Times New Roman"/>
          <w:b/>
          <w:bCs/>
          <w:sz w:val="20"/>
          <w:szCs w:val="20"/>
          <w:lang w:bidi="ar-EG"/>
        </w:rPr>
        <w:t xml:space="preserve"> </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All patients were adult, more than 18 years old, admitted to ICU, with critical illness that have clinical picture of inflammation.</w:t>
      </w:r>
    </w:p>
    <w:p w:rsidR="00FE5586" w:rsidRPr="00E256A9" w:rsidRDefault="00FE5586" w:rsidP="00756ADC">
      <w:pPr>
        <w:numPr>
          <w:ilvl w:val="1"/>
          <w:numId w:val="25"/>
        </w:numPr>
        <w:snapToGrid w:val="0"/>
        <w:spacing w:after="0" w:line="240" w:lineRule="auto"/>
        <w:ind w:left="0"/>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Exclusion Criteria:</w:t>
      </w:r>
      <w:r w:rsidR="00ED5BD8" w:rsidRPr="00E256A9">
        <w:rPr>
          <w:rFonts w:ascii="Times New Roman" w:hAnsi="Times New Roman" w:cs="Times New Roman"/>
          <w:b/>
          <w:bCs/>
          <w:sz w:val="20"/>
          <w:szCs w:val="20"/>
          <w:lang w:bidi="ar-EG"/>
        </w:rPr>
        <w:t xml:space="preserve"> </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Patients less than18 years old.</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Patients or relatives refused, to be included in this study.</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Nephrotic syndrome patients </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Hepatic cirrhosis patients </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Heart failure patients </w:t>
      </w:r>
    </w:p>
    <w:p w:rsidR="00FE5586" w:rsidRPr="00E256A9" w:rsidRDefault="00FE5586" w:rsidP="00756ADC">
      <w:pPr>
        <w:pStyle w:val="ListParagraph"/>
        <w:widowControl w:val="0"/>
        <w:numPr>
          <w:ilvl w:val="0"/>
          <w:numId w:val="2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Malnutrition patients</w:t>
      </w:r>
    </w:p>
    <w:p w:rsidR="00D24BE3" w:rsidRPr="00E256A9" w:rsidRDefault="00FE558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The diagnosis of sepsis was established according to the definitions of the American College of Chest Physicians Consensus Conference</w:t>
      </w:r>
      <w:r w:rsidRPr="00E256A9">
        <w:rPr>
          <w:rFonts w:ascii="Times New Roman" w:hAnsi="Times New Roman" w:cs="Times New Roman"/>
          <w:b/>
          <w:bCs/>
          <w:sz w:val="20"/>
          <w:szCs w:val="20"/>
          <w:lang w:bidi="ar-EG"/>
        </w:rPr>
        <w:t>.</w:t>
      </w:r>
      <w:r w:rsidRPr="00E256A9">
        <w:rPr>
          <w:rFonts w:ascii="Times New Roman" w:hAnsi="Times New Roman" w:cs="Times New Roman"/>
          <w:sz w:val="20"/>
          <w:szCs w:val="20"/>
          <w:lang w:bidi="ar-EG"/>
        </w:rPr>
        <w:t xml:space="preserve"> All patients received standard supportive treatment following recommendations of the Surviving Sepsis Campaign released in 2016.</w:t>
      </w:r>
    </w:p>
    <w:p w:rsidR="00FE5586" w:rsidRPr="00E256A9" w:rsidRDefault="00FE558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Sepsis diagnosis requires the presence of infection (which can be proven or suspected) and 2 or more of SOFA points.</w:t>
      </w:r>
    </w:p>
    <w:p w:rsidR="00FE5586" w:rsidRPr="00E256A9" w:rsidRDefault="00FE5586" w:rsidP="00756ADC">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 xml:space="preserve">Study design: </w:t>
      </w:r>
    </w:p>
    <w:p w:rsidR="00FE5586" w:rsidRPr="00E256A9" w:rsidRDefault="00FE558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All patients were subjected to the followings:</w:t>
      </w:r>
    </w:p>
    <w:p w:rsidR="00FE5586" w:rsidRPr="00E256A9" w:rsidRDefault="00FE5586" w:rsidP="00756ADC">
      <w:pPr>
        <w:numPr>
          <w:ilvl w:val="0"/>
          <w:numId w:val="15"/>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lastRenderedPageBreak/>
        <w:t>Full history, including personal data, special habits as smoking, and co-morbidities as diabetes, hypertension, renal impairment or cardiac disease.</w:t>
      </w:r>
    </w:p>
    <w:p w:rsidR="00FE5586" w:rsidRPr="00E256A9" w:rsidRDefault="00FE5586" w:rsidP="00756ADC">
      <w:pPr>
        <w:numPr>
          <w:ilvl w:val="0"/>
          <w:numId w:val="15"/>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Hemodynamic monitoring, daily hemodynamic monitoring of the patients:</w:t>
      </w:r>
    </w:p>
    <w:p w:rsidR="00FE5586" w:rsidRPr="00E256A9" w:rsidRDefault="00FE5586" w:rsidP="00756ADC">
      <w:pPr>
        <w:numPr>
          <w:ilvl w:val="0"/>
          <w:numId w:val="19"/>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Mean arterial blood pressure.</w:t>
      </w:r>
    </w:p>
    <w:p w:rsidR="00FE5586" w:rsidRPr="00E256A9" w:rsidRDefault="00FE5586" w:rsidP="00756ADC">
      <w:pPr>
        <w:numPr>
          <w:ilvl w:val="0"/>
          <w:numId w:val="19"/>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Heart rate.</w:t>
      </w:r>
    </w:p>
    <w:p w:rsidR="00FE5586" w:rsidRPr="00E256A9" w:rsidRDefault="00FE5586" w:rsidP="00756ADC">
      <w:pPr>
        <w:numPr>
          <w:ilvl w:val="0"/>
          <w:numId w:val="19"/>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Temperature.</w:t>
      </w:r>
    </w:p>
    <w:p w:rsidR="00FE5586" w:rsidRPr="00E256A9" w:rsidRDefault="00FE5586" w:rsidP="00756ADC">
      <w:pPr>
        <w:numPr>
          <w:ilvl w:val="0"/>
          <w:numId w:val="1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Daily clinical examination: daily full clinical examination. </w:t>
      </w:r>
    </w:p>
    <w:p w:rsidR="00FE5586" w:rsidRPr="00E256A9" w:rsidRDefault="00FE5586" w:rsidP="00756ADC">
      <w:pPr>
        <w:numPr>
          <w:ilvl w:val="0"/>
          <w:numId w:val="1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Lab profile: Routine laboratory investigations on the day of admission and during stay in ICU:</w:t>
      </w:r>
    </w:p>
    <w:p w:rsidR="00FE5586" w:rsidRPr="00E256A9" w:rsidRDefault="00FE5586" w:rsidP="00756ADC">
      <w:pPr>
        <w:numPr>
          <w:ilvl w:val="0"/>
          <w:numId w:val="14"/>
        </w:numPr>
        <w:tabs>
          <w:tab w:val="clear" w:pos="720"/>
        </w:tabs>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CBC, serum electrolytes.</w:t>
      </w:r>
    </w:p>
    <w:p w:rsidR="00FE5586" w:rsidRPr="00E256A9" w:rsidRDefault="00FE5586" w:rsidP="00756ADC">
      <w:pPr>
        <w:numPr>
          <w:ilvl w:val="0"/>
          <w:numId w:val="14"/>
        </w:numPr>
        <w:tabs>
          <w:tab w:val="clear" w:pos="720"/>
        </w:tabs>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Liver function tests.</w:t>
      </w:r>
    </w:p>
    <w:p w:rsidR="00FE5586" w:rsidRPr="00E256A9" w:rsidRDefault="00FE5586" w:rsidP="00756ADC">
      <w:pPr>
        <w:numPr>
          <w:ilvl w:val="0"/>
          <w:numId w:val="14"/>
        </w:numPr>
        <w:tabs>
          <w:tab w:val="clear" w:pos="720"/>
        </w:tabs>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Coagulation profile.</w:t>
      </w:r>
    </w:p>
    <w:p w:rsidR="00FE5586" w:rsidRPr="00E256A9" w:rsidRDefault="00FE5586" w:rsidP="00756ADC">
      <w:pPr>
        <w:numPr>
          <w:ilvl w:val="0"/>
          <w:numId w:val="14"/>
        </w:numPr>
        <w:tabs>
          <w:tab w:val="clear" w:pos="720"/>
        </w:tabs>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Kidney function tests.</w:t>
      </w:r>
    </w:p>
    <w:p w:rsidR="00FE5586" w:rsidRPr="00E256A9" w:rsidRDefault="00FE5586" w:rsidP="00756ADC">
      <w:pPr>
        <w:numPr>
          <w:ilvl w:val="0"/>
          <w:numId w:val="14"/>
        </w:numPr>
        <w:tabs>
          <w:tab w:val="clear" w:pos="720"/>
        </w:tabs>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Blood gases.</w:t>
      </w:r>
    </w:p>
    <w:p w:rsidR="00FE5586" w:rsidRPr="00E256A9" w:rsidRDefault="00FE5586" w:rsidP="00756ADC">
      <w:pPr>
        <w:numPr>
          <w:ilvl w:val="0"/>
          <w:numId w:val="14"/>
        </w:numPr>
        <w:tabs>
          <w:tab w:val="clear" w:pos="720"/>
        </w:tabs>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Cultures and sensitivity according to source of sepsis. </w:t>
      </w:r>
    </w:p>
    <w:p w:rsidR="00D10008" w:rsidRPr="00E256A9" w:rsidRDefault="00FE5586" w:rsidP="00756ADC">
      <w:pPr>
        <w:numPr>
          <w:ilvl w:val="0"/>
          <w:numId w:val="16"/>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Radiologica</w:t>
      </w:r>
      <w:r w:rsidR="00D10008" w:rsidRPr="00E256A9">
        <w:rPr>
          <w:rFonts w:ascii="Times New Roman" w:hAnsi="Times New Roman" w:cs="Times New Roman"/>
          <w:sz w:val="20"/>
          <w:szCs w:val="20"/>
          <w:lang w:bidi="ar-EG"/>
        </w:rPr>
        <w:t>l.</w:t>
      </w:r>
    </w:p>
    <w:p w:rsidR="00FE5586" w:rsidRPr="00E256A9" w:rsidRDefault="00FE5586" w:rsidP="00756ADC">
      <w:pPr>
        <w:numPr>
          <w:ilvl w:val="0"/>
          <w:numId w:val="17"/>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CXR, some patients underwent CT chest, abdominal U/S</w:t>
      </w:r>
      <w:r w:rsidR="00ED5BD8" w:rsidRPr="00E256A9">
        <w:rPr>
          <w:rFonts w:ascii="Times New Roman" w:hAnsi="Times New Roman" w:cs="Times New Roman"/>
          <w:sz w:val="20"/>
          <w:szCs w:val="20"/>
          <w:lang w:bidi="ar-EG"/>
        </w:rPr>
        <w:t xml:space="preserve"> &amp; </w:t>
      </w:r>
      <w:r w:rsidRPr="00E256A9">
        <w:rPr>
          <w:rFonts w:ascii="Times New Roman" w:hAnsi="Times New Roman" w:cs="Times New Roman"/>
          <w:sz w:val="20"/>
          <w:szCs w:val="20"/>
          <w:lang w:bidi="ar-EG"/>
        </w:rPr>
        <w:t xml:space="preserve">echo. </w:t>
      </w:r>
    </w:p>
    <w:p w:rsidR="00FE5586" w:rsidRPr="00E256A9" w:rsidRDefault="00FE5586" w:rsidP="00756ADC">
      <w:pPr>
        <w:numPr>
          <w:ilvl w:val="0"/>
          <w:numId w:val="16"/>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Early Goal directed therapy will be initiated for all patients: </w:t>
      </w:r>
    </w:p>
    <w:p w:rsidR="00FE5586" w:rsidRPr="00E256A9" w:rsidRDefault="00FE5586" w:rsidP="00756ADC">
      <w:pPr>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Early empirical broad spectrum antibiotics.</w:t>
      </w:r>
    </w:p>
    <w:p w:rsidR="00FE5586" w:rsidRPr="00E256A9" w:rsidRDefault="00FE5586" w:rsidP="00756ADC">
      <w:pPr>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Aiming mean blood pressure &gt; 65 mmHG.</w:t>
      </w:r>
    </w:p>
    <w:p w:rsidR="00FE5586" w:rsidRPr="00E256A9" w:rsidRDefault="00FE5586" w:rsidP="00756ADC">
      <w:pPr>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Aiming CVP 8-12 cm H</w:t>
      </w:r>
      <w:r w:rsidRPr="00E256A9">
        <w:rPr>
          <w:rFonts w:ascii="Times New Roman" w:hAnsi="Times New Roman" w:cs="Times New Roman"/>
          <w:sz w:val="20"/>
          <w:szCs w:val="20"/>
          <w:vertAlign w:val="subscript"/>
          <w:lang w:bidi="ar-EG"/>
        </w:rPr>
        <w:t>2</w:t>
      </w:r>
      <w:r w:rsidRPr="00E256A9">
        <w:rPr>
          <w:rFonts w:ascii="Times New Roman" w:hAnsi="Times New Roman" w:cs="Times New Roman"/>
          <w:sz w:val="20"/>
          <w:szCs w:val="20"/>
          <w:lang w:bidi="ar-EG"/>
        </w:rPr>
        <w:t>O.</w:t>
      </w:r>
    </w:p>
    <w:p w:rsidR="00FE5586" w:rsidRPr="00E256A9" w:rsidRDefault="00FE5586" w:rsidP="00756ADC">
      <w:pPr>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Aiming UOP 0.5-1 ml/kg/hour. </w:t>
      </w:r>
    </w:p>
    <w:p w:rsidR="00FE5586" w:rsidRPr="00E256A9" w:rsidRDefault="00FE5586" w:rsidP="00756ADC">
      <w:pPr>
        <w:numPr>
          <w:ilvl w:val="0"/>
          <w:numId w:val="16"/>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Patient data were collected as regard.</w:t>
      </w:r>
    </w:p>
    <w:p w:rsidR="00FE5586" w:rsidRPr="00E256A9" w:rsidRDefault="00FE5586" w:rsidP="00756ADC">
      <w:pPr>
        <w:numPr>
          <w:ilvl w:val="0"/>
          <w:numId w:val="20"/>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Causes of admission.</w:t>
      </w:r>
    </w:p>
    <w:p w:rsidR="00FE5586" w:rsidRPr="00E256A9" w:rsidRDefault="00FE5586" w:rsidP="00756ADC">
      <w:pPr>
        <w:numPr>
          <w:ilvl w:val="0"/>
          <w:numId w:val="20"/>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Infection data. </w:t>
      </w:r>
    </w:p>
    <w:p w:rsidR="00FE5586" w:rsidRPr="00E256A9" w:rsidRDefault="00FE5586" w:rsidP="00756ADC">
      <w:pPr>
        <w:numPr>
          <w:ilvl w:val="0"/>
          <w:numId w:val="20"/>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Infection site (pulmonary, genitourinary, abdomen and surgical wound). </w:t>
      </w:r>
    </w:p>
    <w:p w:rsidR="00FE5586" w:rsidRPr="00E256A9" w:rsidRDefault="00FE5586" w:rsidP="00756ADC">
      <w:pPr>
        <w:numPr>
          <w:ilvl w:val="0"/>
          <w:numId w:val="20"/>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Pathogenic bacteria (Gram +ve, -ve Bacteria and fungi) detected by cultures from (blood, urine, sputum and wound swap).</w:t>
      </w:r>
    </w:p>
    <w:p w:rsidR="00FE5586" w:rsidRPr="00E256A9" w:rsidRDefault="00FE5586" w:rsidP="00756ADC">
      <w:pPr>
        <w:numPr>
          <w:ilvl w:val="0"/>
          <w:numId w:val="20"/>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Morbidity and mortality.</w:t>
      </w:r>
    </w:p>
    <w:p w:rsidR="00FE5586" w:rsidRPr="00E256A9" w:rsidRDefault="00FE5586" w:rsidP="00756ADC">
      <w:pPr>
        <w:numPr>
          <w:ilvl w:val="0"/>
          <w:numId w:val="20"/>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Length of ICU stay.</w:t>
      </w:r>
    </w:p>
    <w:p w:rsidR="00ED5BD8" w:rsidRPr="00E256A9" w:rsidRDefault="00FE5586" w:rsidP="00756ADC">
      <w:pPr>
        <w:numPr>
          <w:ilvl w:val="0"/>
          <w:numId w:val="21"/>
        </w:numPr>
        <w:snapToGrid w:val="0"/>
        <w:spacing w:after="0" w:line="240" w:lineRule="auto"/>
        <w:ind w:left="0" w:firstLine="425"/>
        <w:contextualSpacing/>
        <w:jc w:val="both"/>
        <w:rPr>
          <w:rFonts w:ascii="Times New Roman" w:hAnsi="Times New Roman" w:cs="Times New Roman"/>
          <w:b/>
          <w:bCs/>
          <w:sz w:val="20"/>
          <w:szCs w:val="20"/>
          <w:lang w:bidi="ar-EG"/>
        </w:rPr>
      </w:pPr>
      <w:r w:rsidRPr="00E256A9">
        <w:rPr>
          <w:rFonts w:ascii="Times New Roman" w:hAnsi="Times New Roman" w:cs="Times New Roman"/>
          <w:sz w:val="20"/>
          <w:szCs w:val="20"/>
          <w:lang w:bidi="ar-EG"/>
        </w:rPr>
        <w:t>Scoring System: At ICU admission, severity of the illness was evaluated by the Acute Physiology and Chronic Health Evaluation (APACHE) II score, considering the worst data point for the first 24 hours in the ICU</w:t>
      </w:r>
      <w:r w:rsidRPr="00E256A9">
        <w:rPr>
          <w:rFonts w:ascii="Times New Roman" w:hAnsi="Times New Roman" w:cs="Times New Roman"/>
          <w:b/>
          <w:bCs/>
          <w:sz w:val="20"/>
          <w:szCs w:val="20"/>
          <w:lang w:bidi="ar-EG"/>
        </w:rPr>
        <w:t xml:space="preserve">. </w:t>
      </w:r>
      <w:r w:rsidRPr="00E256A9">
        <w:rPr>
          <w:rFonts w:ascii="Times New Roman" w:hAnsi="Times New Roman" w:cs="Times New Roman"/>
          <w:sz w:val="20"/>
          <w:szCs w:val="20"/>
          <w:lang w:bidi="ar-EG"/>
        </w:rPr>
        <w:t>Failure of organs and severity of multiple organ dysfunction syndromes was assessed by the Sequential Organ Failure Assessment (SOFA) scale</w:t>
      </w:r>
      <w:r w:rsidRPr="00E256A9">
        <w:rPr>
          <w:rFonts w:ascii="Times New Roman" w:hAnsi="Times New Roman" w:cs="Times New Roman"/>
          <w:b/>
          <w:bCs/>
          <w:sz w:val="20"/>
          <w:szCs w:val="20"/>
          <w:lang w:bidi="ar-EG"/>
        </w:rPr>
        <w:t>.</w:t>
      </w:r>
    </w:p>
    <w:p w:rsidR="00D24BE3" w:rsidRPr="00E256A9" w:rsidRDefault="00ED5BD8" w:rsidP="00756ADC">
      <w:pPr>
        <w:numPr>
          <w:ilvl w:val="0"/>
          <w:numId w:val="21"/>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A</w:t>
      </w:r>
      <w:r w:rsidR="00FE5586" w:rsidRPr="00E256A9">
        <w:rPr>
          <w:rFonts w:ascii="Times New Roman" w:hAnsi="Times New Roman" w:cs="Times New Roman"/>
          <w:sz w:val="20"/>
          <w:szCs w:val="20"/>
          <w:lang w:bidi="ar-EG"/>
        </w:rPr>
        <w:t>ll patients were managed with fluid therapy, antibiotics, and other supportive treatment according to:</w:t>
      </w:r>
    </w:p>
    <w:p w:rsidR="00FE5586" w:rsidRPr="00E256A9" w:rsidRDefault="00FE5586" w:rsidP="00756ADC">
      <w:pPr>
        <w:pStyle w:val="ListParagraph"/>
        <w:numPr>
          <w:ilvl w:val="0"/>
          <w:numId w:val="32"/>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Surviving Sepsis Campaign: International Guidelines for Management of Sepsis and Septic Shock 2016.</w:t>
      </w:r>
    </w:p>
    <w:p w:rsidR="00FE5586" w:rsidRPr="00E256A9" w:rsidRDefault="00FE5586" w:rsidP="00756ADC">
      <w:pPr>
        <w:autoSpaceDE w:val="0"/>
        <w:autoSpaceDN w:val="0"/>
        <w:adjustRightInd w:val="0"/>
        <w:snapToGrid w:val="0"/>
        <w:spacing w:after="0" w:line="240" w:lineRule="auto"/>
        <w:jc w:val="both"/>
        <w:rPr>
          <w:rFonts w:ascii="Times New Roman" w:hAnsi="Times New Roman" w:cs="Times New Roman"/>
          <w:b/>
          <w:bCs/>
          <w:sz w:val="20"/>
          <w:szCs w:val="20"/>
          <w:lang w:bidi="ar-EG"/>
        </w:rPr>
      </w:pPr>
      <w:bookmarkStart w:id="0" w:name="_Toc510618408"/>
      <w:r w:rsidRPr="00E256A9">
        <w:rPr>
          <w:rFonts w:ascii="Times New Roman" w:hAnsi="Times New Roman" w:cs="Times New Roman"/>
          <w:b/>
          <w:bCs/>
          <w:sz w:val="20"/>
          <w:szCs w:val="20"/>
          <w:lang w:bidi="ar-EG"/>
        </w:rPr>
        <w:t>Data collection:</w:t>
      </w:r>
    </w:p>
    <w:p w:rsidR="002D6C06" w:rsidRPr="00E256A9" w:rsidRDefault="00FE5586" w:rsidP="00756ADC">
      <w:pPr>
        <w:pStyle w:val="ListParagraph"/>
        <w:widowControl w:val="0"/>
        <w:numPr>
          <w:ilvl w:val="0"/>
          <w:numId w:val="24"/>
        </w:numPr>
        <w:autoSpaceDE w:val="0"/>
        <w:autoSpaceDN w:val="0"/>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Serum albumin level, </w:t>
      </w:r>
      <w:r w:rsidR="00F725B7" w:rsidRPr="00E256A9">
        <w:rPr>
          <w:rFonts w:ascii="Times New Roman" w:hAnsi="Times New Roman" w:cs="Times New Roman"/>
          <w:sz w:val="20"/>
          <w:szCs w:val="20"/>
          <w:lang w:bidi="ar-EG"/>
        </w:rPr>
        <w:t xml:space="preserve">Procalcitonin, </w:t>
      </w:r>
      <w:r w:rsidRPr="00E256A9">
        <w:rPr>
          <w:rFonts w:ascii="Times New Roman" w:hAnsi="Times New Roman" w:cs="Times New Roman"/>
          <w:sz w:val="20"/>
          <w:szCs w:val="20"/>
          <w:lang w:bidi="ar-EG"/>
        </w:rPr>
        <w:t>CRP, TLC, ESR, blood gases and lactate were collected in first, third, seventh.</w:t>
      </w:r>
    </w:p>
    <w:p w:rsidR="002D6C06" w:rsidRPr="00E256A9" w:rsidRDefault="002D6C06" w:rsidP="00756ADC">
      <w:pPr>
        <w:snapToGrid w:val="0"/>
        <w:spacing w:after="0" w:line="240" w:lineRule="auto"/>
        <w:jc w:val="both"/>
        <w:rPr>
          <w:rFonts w:ascii="Times New Roman" w:hAnsi="Times New Roman" w:cs="Times New Roman"/>
          <w:b/>
          <w:sz w:val="20"/>
          <w:szCs w:val="20"/>
        </w:rPr>
      </w:pPr>
      <w:r w:rsidRPr="00E256A9">
        <w:rPr>
          <w:rFonts w:ascii="Times New Roman" w:hAnsi="Times New Roman" w:cs="Times New Roman"/>
          <w:b/>
          <w:sz w:val="20"/>
          <w:szCs w:val="20"/>
        </w:rPr>
        <w:lastRenderedPageBreak/>
        <w:t>The statistical analysis</w:t>
      </w:r>
    </w:p>
    <w:p w:rsidR="002D6C06" w:rsidRPr="00E256A9" w:rsidRDefault="002D6C06" w:rsidP="00756ADC">
      <w:pPr>
        <w:pStyle w:val="ListParagraph"/>
        <w:numPr>
          <w:ilvl w:val="0"/>
          <w:numId w:val="36"/>
        </w:numPr>
        <w:snapToGrid w:val="0"/>
        <w:spacing w:after="0" w:line="240" w:lineRule="auto"/>
        <w:ind w:left="0"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A sample size of 43 achieves 81% power to detect a difference of 0.30 between the correlation of 0.4 as regarding decreased albumin and increased inflammatory response measured by procalcitonin, c-reactive protein, ESR and total leucocytic count and the alternative hypothesis correlation of 0.7 using a two-sided hypothesis test with a significance level of 0.05.</w:t>
      </w:r>
    </w:p>
    <w:p w:rsidR="002D6C06" w:rsidRPr="00E256A9" w:rsidRDefault="002D6C06" w:rsidP="00756ADC">
      <w:pPr>
        <w:pStyle w:val="ListParagraph"/>
        <w:widowControl w:val="0"/>
        <w:numPr>
          <w:ilvl w:val="0"/>
          <w:numId w:val="34"/>
        </w:numPr>
        <w:snapToGrid w:val="0"/>
        <w:spacing w:after="0" w:line="240" w:lineRule="auto"/>
        <w:ind w:left="0" w:firstLine="425"/>
        <w:jc w:val="both"/>
        <w:rPr>
          <w:rFonts w:ascii="Times New Roman" w:hAnsi="Times New Roman" w:cs="Times New Roman"/>
          <w:sz w:val="20"/>
          <w:szCs w:val="20"/>
        </w:rPr>
      </w:pPr>
      <w:r w:rsidRPr="00E256A9">
        <w:rPr>
          <w:rFonts w:ascii="Times New Roman" w:hAnsi="Times New Roman" w:cs="Times New Roman"/>
          <w:sz w:val="20"/>
          <w:szCs w:val="20"/>
        </w:rPr>
        <w:t>Quantitative data were expressed using mean and standard deviation, while qualitative data were expressed in frequency and percent.</w:t>
      </w:r>
    </w:p>
    <w:p w:rsidR="002D6C06" w:rsidRPr="00E256A9" w:rsidRDefault="002D6C06" w:rsidP="00756ADC">
      <w:pPr>
        <w:pStyle w:val="ListParagraph"/>
        <w:widowControl w:val="0"/>
        <w:numPr>
          <w:ilvl w:val="0"/>
          <w:numId w:val="34"/>
        </w:numPr>
        <w:snapToGrid w:val="0"/>
        <w:spacing w:after="0" w:line="240" w:lineRule="auto"/>
        <w:ind w:left="0"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The statistical analysis was performed using a </w:t>
      </w:r>
      <w:r w:rsidRPr="00E256A9">
        <w:rPr>
          <w:rFonts w:ascii="Times New Roman" w:eastAsia="Calibri" w:hAnsi="Times New Roman" w:cs="Times New Roman"/>
          <w:sz w:val="20"/>
          <w:szCs w:val="20"/>
        </w:rPr>
        <w:lastRenderedPageBreak/>
        <w:t>standard SPSS software package version 17 (Chicago, IL). Normally distributed numerical data are presented as mean</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SD and differences between groups</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 xml:space="preserve">were compared using the independent Student’s </w:t>
      </w:r>
      <w:r w:rsidRPr="00E256A9">
        <w:rPr>
          <w:rFonts w:ascii="Times New Roman" w:eastAsia="Calibri" w:hAnsi="Times New Roman" w:cs="Times New Roman"/>
          <w:i/>
          <w:iCs/>
          <w:sz w:val="20"/>
          <w:szCs w:val="20"/>
        </w:rPr>
        <w:t>t</w:t>
      </w:r>
      <w:r w:rsidRPr="00E256A9">
        <w:rPr>
          <w:rFonts w:ascii="Times New Roman" w:eastAsia="Calibri" w:hAnsi="Times New Roman" w:cs="Times New Roman"/>
          <w:sz w:val="20"/>
          <w:szCs w:val="20"/>
        </w:rPr>
        <w:t>-test</w:t>
      </w:r>
      <w:r w:rsidR="00ED5BD8" w:rsidRPr="00E256A9">
        <w:rPr>
          <w:rFonts w:ascii="Times New Roman" w:eastAsia="Calibri" w:hAnsi="Times New Roman" w:cs="Times New Roman"/>
          <w:sz w:val="20"/>
          <w:szCs w:val="20"/>
        </w:rPr>
        <w:t>,</w:t>
      </w:r>
      <w:r w:rsidRPr="00E256A9">
        <w:rPr>
          <w:rFonts w:ascii="Times New Roman" w:eastAsia="Calibri" w:hAnsi="Times New Roman" w:cs="Times New Roman"/>
          <w:sz w:val="20"/>
          <w:szCs w:val="20"/>
        </w:rPr>
        <w:t xml:space="preserve"> data not normally distributed</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were compared using Mann-Whitney test and are presented as media</w:t>
      </w:r>
      <w:r w:rsidR="00ED5BD8" w:rsidRPr="00E256A9">
        <w:rPr>
          <w:rFonts w:ascii="Times New Roman" w:eastAsia="Calibri" w:hAnsi="Times New Roman" w:cs="Times New Roman"/>
          <w:sz w:val="20"/>
          <w:szCs w:val="20"/>
        </w:rPr>
        <w:t>n (</w:t>
      </w:r>
      <w:r w:rsidRPr="00E256A9">
        <w:rPr>
          <w:rFonts w:ascii="Times New Roman" w:eastAsia="Calibri" w:hAnsi="Times New Roman" w:cs="Times New Roman"/>
          <w:sz w:val="20"/>
          <w:szCs w:val="20"/>
        </w:rPr>
        <w:t xml:space="preserve"> IQR) and categorical variables were analyzed using the χ</w:t>
      </w:r>
      <w:r w:rsidRPr="00E256A9">
        <w:rPr>
          <w:rFonts w:ascii="Times New Roman" w:eastAsia="Calibri" w:hAnsi="Times New Roman" w:cs="Times New Roman"/>
          <w:sz w:val="20"/>
          <w:szCs w:val="20"/>
          <w:vertAlign w:val="superscript"/>
        </w:rPr>
        <w:t>2</w:t>
      </w:r>
      <w:r w:rsidRPr="00E256A9">
        <w:rPr>
          <w:rFonts w:ascii="Times New Roman" w:eastAsia="Calibri" w:hAnsi="Times New Roman" w:cs="Times New Roman"/>
          <w:sz w:val="20"/>
          <w:szCs w:val="20"/>
        </w:rPr>
        <w:t xml:space="preserve"> test or fisher exact test</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and are presented as number (%).</w:t>
      </w:r>
    </w:p>
    <w:p w:rsidR="00FE5586" w:rsidRPr="00E256A9" w:rsidRDefault="002D6C06" w:rsidP="00756ADC">
      <w:pPr>
        <w:pStyle w:val="ListParagraph"/>
        <w:widowControl w:val="0"/>
        <w:numPr>
          <w:ilvl w:val="0"/>
          <w:numId w:val="24"/>
        </w:numPr>
        <w:autoSpaceDE w:val="0"/>
        <w:autoSpaceDN w:val="0"/>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E256A9">
        <w:rPr>
          <w:rFonts w:ascii="Times New Roman" w:hAnsi="Times New Roman" w:cs="Times New Roman"/>
          <w:sz w:val="20"/>
          <w:szCs w:val="20"/>
        </w:rPr>
        <w:t xml:space="preserve">Comparison of variables between the study groups and its significance was done using P value. </w:t>
      </w:r>
      <w:r w:rsidRPr="00E256A9">
        <w:rPr>
          <w:rFonts w:ascii="Times New Roman" w:eastAsia="Calibri" w:hAnsi="Times New Roman" w:cs="Times New Roman"/>
          <w:sz w:val="20"/>
          <w:szCs w:val="20"/>
        </w:rPr>
        <w:t xml:space="preserve">All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values are two-sided.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&lt;0.05 is considered statistically significant.</w:t>
      </w:r>
    </w:p>
    <w:p w:rsidR="00756ADC" w:rsidRPr="00E256A9" w:rsidRDefault="00756ADC" w:rsidP="00756ADC">
      <w:pPr>
        <w:autoSpaceDE w:val="0"/>
        <w:autoSpaceDN w:val="0"/>
        <w:adjustRightInd w:val="0"/>
        <w:snapToGrid w:val="0"/>
        <w:spacing w:after="0" w:line="240" w:lineRule="auto"/>
        <w:jc w:val="center"/>
        <w:rPr>
          <w:rFonts w:ascii="Times New Roman" w:hAnsi="Times New Roman" w:cs="Times New Roman"/>
          <w:b/>
          <w:bCs/>
          <w:sz w:val="20"/>
          <w:szCs w:val="20"/>
        </w:rPr>
        <w:sectPr w:rsidR="00756ADC" w:rsidRPr="00E256A9" w:rsidSect="001E17AF">
          <w:headerReference w:type="default" r:id="rId13"/>
          <w:pgSz w:w="12240" w:h="15840" w:code="9"/>
          <w:pgMar w:top="1440" w:right="1440" w:bottom="1440" w:left="1440" w:header="720" w:footer="720" w:gutter="0"/>
          <w:cols w:num="2" w:space="550"/>
          <w:docGrid w:linePitch="360"/>
        </w:sectPr>
      </w:pPr>
    </w:p>
    <w:p w:rsidR="002D6C06" w:rsidRPr="00E256A9" w:rsidRDefault="002D6C06" w:rsidP="00756ADC">
      <w:pPr>
        <w:autoSpaceDE w:val="0"/>
        <w:autoSpaceDN w:val="0"/>
        <w:adjustRightInd w:val="0"/>
        <w:snapToGrid w:val="0"/>
        <w:spacing w:after="0" w:line="240" w:lineRule="auto"/>
        <w:jc w:val="center"/>
        <w:rPr>
          <w:rFonts w:ascii="Times New Roman" w:hAnsi="Times New Roman" w:cs="Times New Roman"/>
          <w:b/>
          <w:bCs/>
          <w:sz w:val="20"/>
          <w:szCs w:val="20"/>
        </w:rPr>
      </w:pPr>
    </w:p>
    <w:p w:rsidR="00E256A9" w:rsidRDefault="00E256A9" w:rsidP="00756ADC">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autoSpaceDE w:val="0"/>
        <w:autoSpaceDN w:val="0"/>
        <w:adjustRightInd w:val="0"/>
        <w:snapToGrid w:val="0"/>
        <w:spacing w:after="0" w:line="240" w:lineRule="auto"/>
        <w:jc w:val="center"/>
        <w:rPr>
          <w:rFonts w:ascii="Times New Roman" w:hAnsi="Times New Roman" w:cs="Times New Roman"/>
          <w:b/>
          <w:bCs/>
          <w:sz w:val="20"/>
          <w:szCs w:val="20"/>
        </w:rPr>
      </w:pPr>
      <w:r w:rsidRPr="00E256A9">
        <w:rPr>
          <w:rFonts w:ascii="Times New Roman" w:hAnsi="Times New Roman" w:cs="Times New Roman"/>
          <w:b/>
          <w:bCs/>
          <w:sz w:val="20"/>
          <w:szCs w:val="20"/>
        </w:rPr>
        <w:t>Table (</w:t>
      </w:r>
      <w:r w:rsidR="004C1CE7" w:rsidRPr="00E256A9">
        <w:rPr>
          <w:rFonts w:ascii="Times New Roman" w:hAnsi="Times New Roman" w:cs="Times New Roman"/>
          <w:b/>
          <w:bCs/>
          <w:sz w:val="20"/>
          <w:szCs w:val="20"/>
        </w:rPr>
        <w:t>1</w:t>
      </w:r>
      <w:r w:rsidRPr="00E256A9">
        <w:rPr>
          <w:rFonts w:ascii="Times New Roman" w:hAnsi="Times New Roman" w:cs="Times New Roman"/>
          <w:b/>
          <w:bCs/>
          <w:sz w:val="20"/>
          <w:szCs w:val="20"/>
        </w:rPr>
        <w:t xml:space="preserve">): </w:t>
      </w:r>
      <w:r w:rsidRPr="00E256A9">
        <w:rPr>
          <w:rFonts w:ascii="Times New Roman" w:hAnsi="Times New Roman" w:cs="Times New Roman"/>
          <w:sz w:val="20"/>
          <w:szCs w:val="20"/>
        </w:rPr>
        <w:t>Acute Physiology and Chronic Health Evaluation II score</w:t>
      </w:r>
      <w:bookmarkEnd w:id="0"/>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57" w:type="dxa"/>
          <w:right w:w="57" w:type="dxa"/>
        </w:tblCellMar>
        <w:tblLook w:val="04A0"/>
      </w:tblPr>
      <w:tblGrid>
        <w:gridCol w:w="2892"/>
        <w:gridCol w:w="1560"/>
        <w:gridCol w:w="3997"/>
        <w:gridCol w:w="1025"/>
      </w:tblGrid>
      <w:tr w:rsidR="007F374E" w:rsidRPr="00E256A9" w:rsidTr="00E256A9">
        <w:trPr>
          <w:jc w:val="center"/>
        </w:trPr>
        <w:tc>
          <w:tcPr>
            <w:tcW w:w="1526" w:type="pct"/>
            <w:vAlign w:val="center"/>
          </w:tcPr>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b/>
                <w:sz w:val="20"/>
                <w:szCs w:val="20"/>
                <w:lang w:eastAsia="ar-SA"/>
              </w:rPr>
            </w:pPr>
            <w:r w:rsidRPr="00E256A9">
              <w:rPr>
                <w:rFonts w:ascii="Times New Roman" w:hAnsi="Times New Roman" w:cs="Times New Roman"/>
                <w:b/>
                <w:sz w:val="20"/>
                <w:szCs w:val="20"/>
                <w:lang w:eastAsia="ar-SA"/>
              </w:rPr>
              <w:t>A Glasgow Coma Scale</w:t>
            </w:r>
          </w:p>
        </w:tc>
        <w:tc>
          <w:tcPr>
            <w:tcW w:w="823" w:type="pct"/>
            <w:vAlign w:val="center"/>
          </w:tcPr>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b/>
                <w:sz w:val="20"/>
                <w:szCs w:val="20"/>
                <w:lang w:eastAsia="ar-SA"/>
              </w:rPr>
            </w:pPr>
            <w:r w:rsidRPr="00E256A9">
              <w:rPr>
                <w:rFonts w:ascii="Times New Roman" w:hAnsi="Times New Roman" w:cs="Times New Roman"/>
                <w:b/>
                <w:sz w:val="20"/>
                <w:szCs w:val="20"/>
                <w:lang w:eastAsia="ar-SA"/>
              </w:rPr>
              <w:t>B Age Points</w:t>
            </w:r>
          </w:p>
        </w:tc>
        <w:tc>
          <w:tcPr>
            <w:tcW w:w="2109" w:type="pct"/>
            <w:vAlign w:val="center"/>
          </w:tcPr>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b/>
                <w:sz w:val="20"/>
                <w:szCs w:val="20"/>
                <w:lang w:eastAsia="ar-SA"/>
              </w:rPr>
            </w:pPr>
            <w:r w:rsidRPr="00E256A9">
              <w:rPr>
                <w:rFonts w:ascii="Times New Roman" w:hAnsi="Times New Roman" w:cs="Times New Roman"/>
                <w:b/>
                <w:sz w:val="20"/>
                <w:szCs w:val="20"/>
                <w:lang w:eastAsia="ar-SA"/>
              </w:rPr>
              <w:t>C- Chronic Health Points</w:t>
            </w:r>
          </w:p>
        </w:tc>
        <w:tc>
          <w:tcPr>
            <w:tcW w:w="541" w:type="pct"/>
            <w:vMerge w:val="restart"/>
            <w:vAlign w:val="center"/>
          </w:tcPr>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bCs/>
                <w:sz w:val="20"/>
                <w:szCs w:val="20"/>
                <w:lang w:eastAsia="ar-SA"/>
              </w:rPr>
            </w:pPr>
            <w:r w:rsidRPr="00E256A9">
              <w:rPr>
                <w:rFonts w:ascii="Times New Roman" w:hAnsi="Times New Roman" w:cs="Times New Roman"/>
                <w:bCs/>
                <w:sz w:val="20"/>
                <w:szCs w:val="20"/>
                <w:lang w:eastAsia="ar-SA"/>
              </w:rPr>
              <w:t>Apache-II</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bCs/>
                <w:sz w:val="20"/>
                <w:szCs w:val="20"/>
                <w:lang w:eastAsia="ar-SA"/>
              </w:rPr>
              <w:t xml:space="preserve">Score </w:t>
            </w:r>
            <w:r w:rsidRPr="00E256A9">
              <w:rPr>
                <w:rFonts w:ascii="Times New Roman" w:hAnsi="Times New Roman" w:cs="Times New Roman"/>
                <w:sz w:val="20"/>
                <w:szCs w:val="20"/>
                <w:lang w:eastAsia="ar-SA"/>
              </w:rPr>
              <w:t>(sum</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sz w:val="20"/>
                <w:szCs w:val="20"/>
                <w:lang w:eastAsia="ar-SA"/>
              </w:rPr>
              <w:t>of A+B+C)</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bCs/>
                <w:sz w:val="20"/>
                <w:szCs w:val="20"/>
                <w:lang w:eastAsia="ar-SA"/>
              </w:rPr>
              <w:t xml:space="preserve">A </w:t>
            </w:r>
            <w:r w:rsidRPr="00E256A9">
              <w:rPr>
                <w:rFonts w:ascii="Times New Roman" w:hAnsi="Times New Roman" w:cs="Times New Roman"/>
                <w:sz w:val="20"/>
                <w:szCs w:val="20"/>
                <w:lang w:eastAsia="ar-SA"/>
              </w:rPr>
              <w:t>GCS</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sz w:val="20"/>
                <w:szCs w:val="20"/>
                <w:lang w:eastAsia="ar-SA"/>
              </w:rPr>
              <w:t>points</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bCs/>
                <w:sz w:val="20"/>
                <w:szCs w:val="20"/>
                <w:lang w:eastAsia="ar-SA"/>
              </w:rPr>
              <w:t xml:space="preserve">+ B </w:t>
            </w:r>
            <w:r w:rsidRPr="00E256A9">
              <w:rPr>
                <w:rFonts w:ascii="Times New Roman" w:hAnsi="Times New Roman" w:cs="Times New Roman"/>
                <w:sz w:val="20"/>
                <w:szCs w:val="20"/>
                <w:lang w:eastAsia="ar-SA"/>
              </w:rPr>
              <w:t>Age</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sz w:val="20"/>
                <w:szCs w:val="20"/>
                <w:lang w:eastAsia="ar-SA"/>
              </w:rPr>
              <w:t>points</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bCs/>
                <w:sz w:val="20"/>
                <w:szCs w:val="20"/>
                <w:lang w:eastAsia="ar-SA"/>
              </w:rPr>
              <w:t xml:space="preserve">+ C </w:t>
            </w:r>
            <w:r w:rsidRPr="00E256A9">
              <w:rPr>
                <w:rFonts w:ascii="Times New Roman" w:hAnsi="Times New Roman" w:cs="Times New Roman"/>
                <w:sz w:val="20"/>
                <w:szCs w:val="20"/>
                <w:lang w:eastAsia="ar-SA"/>
              </w:rPr>
              <w:t>Chronic</w:t>
            </w:r>
          </w:p>
          <w:p w:rsidR="00FE5586" w:rsidRPr="00E256A9" w:rsidRDefault="00FE5586" w:rsidP="00756ADC">
            <w:pPr>
              <w:widowControl w:val="0"/>
              <w:autoSpaceDE w:val="0"/>
              <w:autoSpaceDN w:val="0"/>
              <w:adjustRightInd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sz w:val="20"/>
                <w:szCs w:val="20"/>
                <w:lang w:eastAsia="ar-SA"/>
              </w:rPr>
              <w:t>Health</w:t>
            </w:r>
          </w:p>
          <w:p w:rsidR="00FE5586" w:rsidRPr="00E256A9" w:rsidRDefault="00FE5586" w:rsidP="00756ADC">
            <w:pPr>
              <w:widowControl w:val="0"/>
              <w:autoSpaceDE w:val="0"/>
              <w:autoSpaceDN w:val="0"/>
              <w:snapToGrid w:val="0"/>
              <w:spacing w:after="0" w:line="240" w:lineRule="auto"/>
              <w:jc w:val="both"/>
              <w:rPr>
                <w:rFonts w:ascii="Times New Roman" w:hAnsi="Times New Roman" w:cs="Times New Roman"/>
                <w:sz w:val="20"/>
                <w:szCs w:val="20"/>
                <w:lang w:eastAsia="ar-SA"/>
              </w:rPr>
            </w:pPr>
            <w:r w:rsidRPr="00E256A9">
              <w:rPr>
                <w:rFonts w:ascii="Times New Roman" w:hAnsi="Times New Roman" w:cs="Times New Roman"/>
                <w:sz w:val="20"/>
                <w:szCs w:val="20"/>
                <w:lang w:eastAsia="ar-SA"/>
              </w:rPr>
              <w:t>Points</w:t>
            </w:r>
          </w:p>
        </w:tc>
      </w:tr>
      <w:tr w:rsidR="007F374E" w:rsidRPr="00E256A9" w:rsidTr="00E256A9">
        <w:trPr>
          <w:jc w:val="center"/>
        </w:trPr>
        <w:tc>
          <w:tcPr>
            <w:tcW w:w="1526" w:type="pct"/>
            <w:vAlign w:val="center"/>
          </w:tcPr>
          <w:p w:rsidR="00FE5586" w:rsidRPr="00E256A9" w:rsidRDefault="00FE5586" w:rsidP="00E256A9">
            <w:pPr>
              <w:widowControl w:val="0"/>
              <w:tabs>
                <w:tab w:val="left" w:pos="1697"/>
              </w:tabs>
              <w:autoSpaceDE w:val="0"/>
              <w:autoSpaceDN w:val="0"/>
              <w:adjustRightInd w:val="0"/>
              <w:snapToGrid w:val="0"/>
              <w:spacing w:after="0" w:line="240" w:lineRule="auto"/>
              <w:rPr>
                <w:rFonts w:ascii="Times New Roman" w:hAnsi="Times New Roman" w:cs="Times New Roman"/>
                <w:bCs/>
                <w:sz w:val="20"/>
                <w:szCs w:val="20"/>
                <w:lang w:eastAsia="ar-SA"/>
              </w:rPr>
            </w:pPr>
            <w:r w:rsidRPr="00E256A9">
              <w:rPr>
                <w:rFonts w:ascii="Times New Roman" w:hAnsi="Times New Roman" w:cs="Times New Roman"/>
                <w:bCs/>
                <w:sz w:val="20"/>
                <w:szCs w:val="20"/>
                <w:lang w:eastAsia="ar-SA"/>
              </w:rPr>
              <w:t>Eyes open</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4- Spontaneously</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3- To verbal</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2- To painful stimul</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1- No response</w:t>
            </w:r>
            <w:r w:rsidRPr="00E256A9">
              <w:rPr>
                <w:rFonts w:ascii="Times New Roman" w:hAnsi="Times New Roman" w:cs="Times New Roman"/>
                <w:bCs/>
                <w:sz w:val="20"/>
                <w:szCs w:val="20"/>
                <w:lang w:eastAsia="ar-SA"/>
              </w:rPr>
              <w:t>verbal</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5- Oriented and controversed</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4- Disoriented and talks</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3- Inappropriate words</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2-</w:t>
            </w:r>
            <w:r w:rsidR="00ED5BD8" w:rsidRPr="00E256A9">
              <w:rPr>
                <w:rFonts w:ascii="Times New Roman" w:hAnsi="Times New Roman" w:cs="Times New Roman"/>
                <w:sz w:val="20"/>
                <w:szCs w:val="20"/>
                <w:lang w:eastAsia="ar-SA"/>
              </w:rPr>
              <w:t xml:space="preserve"> </w:t>
            </w:r>
            <w:r w:rsidRPr="00E256A9">
              <w:rPr>
                <w:rFonts w:ascii="Times New Roman" w:hAnsi="Times New Roman" w:cs="Times New Roman"/>
                <w:sz w:val="20"/>
                <w:szCs w:val="20"/>
                <w:lang w:eastAsia="ar-SA"/>
              </w:rPr>
              <w:t>Incomprehensible Sounds</w:t>
            </w:r>
          </w:p>
          <w:p w:rsidR="00FE5586" w:rsidRPr="00E256A9" w:rsidRDefault="00FE5586" w:rsidP="00E256A9">
            <w:pPr>
              <w:widowControl w:val="0"/>
              <w:autoSpaceDE w:val="0"/>
              <w:autoSpaceDN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1- No response</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bCs/>
                <w:sz w:val="20"/>
                <w:szCs w:val="20"/>
                <w:lang w:eastAsia="ar-SA"/>
              </w:rPr>
            </w:pPr>
            <w:r w:rsidRPr="00E256A9">
              <w:rPr>
                <w:rFonts w:ascii="Times New Roman" w:hAnsi="Times New Roman" w:cs="Times New Roman"/>
                <w:bCs/>
                <w:sz w:val="20"/>
                <w:szCs w:val="20"/>
                <w:lang w:eastAsia="ar-SA"/>
              </w:rPr>
              <w:t>Motor</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6-</w:t>
            </w:r>
            <w:r w:rsidR="00ED5BD8" w:rsidRPr="00E256A9">
              <w:rPr>
                <w:rFonts w:ascii="Times New Roman" w:hAnsi="Times New Roman" w:cs="Times New Roman"/>
                <w:sz w:val="20"/>
                <w:szCs w:val="20"/>
                <w:lang w:eastAsia="ar-SA"/>
              </w:rPr>
              <w:t xml:space="preserve"> </w:t>
            </w:r>
            <w:r w:rsidRPr="00E256A9">
              <w:rPr>
                <w:rFonts w:ascii="Times New Roman" w:hAnsi="Times New Roman" w:cs="Times New Roman"/>
                <w:sz w:val="20"/>
                <w:szCs w:val="20"/>
                <w:lang w:eastAsia="ar-SA"/>
              </w:rPr>
              <w:t>Response to verbal command</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5- Localizes to pain</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4- Withdraws to pain</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3- Decorticate</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2- Decerebrate</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1- No response</w:t>
            </w:r>
          </w:p>
        </w:tc>
        <w:tc>
          <w:tcPr>
            <w:tcW w:w="823" w:type="pct"/>
            <w:vAlign w:val="center"/>
          </w:tcPr>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Age</w:t>
            </w:r>
            <w:r w:rsidR="00ED5BD8" w:rsidRPr="00E256A9">
              <w:rPr>
                <w:rFonts w:ascii="Times New Roman" w:hAnsi="Times New Roman" w:cs="Times New Roman"/>
                <w:sz w:val="20"/>
                <w:szCs w:val="20"/>
                <w:lang w:eastAsia="ar-SA"/>
              </w:rPr>
              <w:tab/>
              <w:t>p</w:t>
            </w:r>
            <w:r w:rsidRPr="00E256A9">
              <w:rPr>
                <w:rFonts w:ascii="Times New Roman" w:hAnsi="Times New Roman" w:cs="Times New Roman"/>
                <w:sz w:val="20"/>
                <w:szCs w:val="20"/>
                <w:lang w:eastAsia="ar-SA"/>
              </w:rPr>
              <w:t>oints</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&lt;44</w:t>
            </w:r>
            <w:r w:rsidR="00ED5BD8" w:rsidRPr="00E256A9">
              <w:rPr>
                <w:rFonts w:ascii="Times New Roman" w:hAnsi="Times New Roman" w:cs="Times New Roman"/>
                <w:sz w:val="20"/>
                <w:szCs w:val="20"/>
                <w:lang w:eastAsia="ar-SA"/>
              </w:rPr>
              <w:t xml:space="preserve"> </w:t>
            </w:r>
            <w:r w:rsidR="00ED5BD8" w:rsidRPr="00E256A9">
              <w:rPr>
                <w:rFonts w:ascii="Times New Roman" w:hAnsi="Times New Roman" w:cs="Times New Roman"/>
                <w:sz w:val="20"/>
                <w:szCs w:val="20"/>
                <w:lang w:eastAsia="ar-SA"/>
              </w:rPr>
              <w:tab/>
              <w:t>0</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45-54</w:t>
            </w:r>
            <w:r w:rsidR="00ED5BD8" w:rsidRPr="00E256A9">
              <w:rPr>
                <w:rFonts w:ascii="Times New Roman" w:hAnsi="Times New Roman" w:cs="Times New Roman"/>
                <w:sz w:val="20"/>
                <w:szCs w:val="20"/>
                <w:lang w:eastAsia="ar-SA"/>
              </w:rPr>
              <w:t xml:space="preserve"> </w:t>
            </w:r>
            <w:r w:rsidR="00ED5BD8" w:rsidRPr="00E256A9">
              <w:rPr>
                <w:rFonts w:ascii="Times New Roman" w:hAnsi="Times New Roman" w:cs="Times New Roman"/>
                <w:sz w:val="20"/>
                <w:szCs w:val="20"/>
                <w:lang w:eastAsia="ar-SA"/>
              </w:rPr>
              <w:tab/>
              <w:t>2</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55-64</w:t>
            </w:r>
            <w:r w:rsidR="00ED5BD8" w:rsidRPr="00E256A9">
              <w:rPr>
                <w:rFonts w:ascii="Times New Roman" w:hAnsi="Times New Roman" w:cs="Times New Roman"/>
                <w:sz w:val="20"/>
                <w:szCs w:val="20"/>
                <w:lang w:eastAsia="ar-SA"/>
              </w:rPr>
              <w:t xml:space="preserve"> </w:t>
            </w:r>
            <w:r w:rsidR="00ED5BD8" w:rsidRPr="00E256A9">
              <w:rPr>
                <w:rFonts w:ascii="Times New Roman" w:hAnsi="Times New Roman" w:cs="Times New Roman"/>
                <w:sz w:val="20"/>
                <w:szCs w:val="20"/>
                <w:lang w:eastAsia="ar-SA"/>
              </w:rPr>
              <w:tab/>
              <w:t>3</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65-74</w:t>
            </w:r>
            <w:r w:rsidR="00ED5BD8" w:rsidRPr="00E256A9">
              <w:rPr>
                <w:rFonts w:ascii="Times New Roman" w:hAnsi="Times New Roman" w:cs="Times New Roman"/>
                <w:sz w:val="20"/>
                <w:szCs w:val="20"/>
                <w:lang w:eastAsia="ar-SA"/>
              </w:rPr>
              <w:t xml:space="preserve"> </w:t>
            </w:r>
            <w:r w:rsidR="00ED5BD8" w:rsidRPr="00E256A9">
              <w:rPr>
                <w:rFonts w:ascii="Times New Roman" w:hAnsi="Times New Roman" w:cs="Times New Roman"/>
                <w:sz w:val="20"/>
                <w:szCs w:val="20"/>
                <w:lang w:eastAsia="ar-SA"/>
              </w:rPr>
              <w:tab/>
              <w:t>5</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&gt;75</w:t>
            </w:r>
            <w:r w:rsidR="00ED5BD8" w:rsidRPr="00E256A9">
              <w:rPr>
                <w:rFonts w:ascii="Times New Roman" w:hAnsi="Times New Roman" w:cs="Times New Roman"/>
                <w:sz w:val="20"/>
                <w:szCs w:val="20"/>
                <w:lang w:eastAsia="ar-SA"/>
              </w:rPr>
              <w:t xml:space="preserve"> </w:t>
            </w:r>
            <w:r w:rsidR="00ED5BD8" w:rsidRPr="00E256A9">
              <w:rPr>
                <w:rFonts w:ascii="Times New Roman" w:hAnsi="Times New Roman" w:cs="Times New Roman"/>
                <w:sz w:val="20"/>
                <w:szCs w:val="20"/>
                <w:lang w:eastAsia="ar-SA"/>
              </w:rPr>
              <w:tab/>
              <w:t>6</w:t>
            </w:r>
          </w:p>
          <w:p w:rsidR="00FE5586" w:rsidRPr="00E256A9" w:rsidRDefault="00FE5586" w:rsidP="00E256A9">
            <w:pPr>
              <w:widowControl w:val="0"/>
              <w:autoSpaceDE w:val="0"/>
              <w:autoSpaceDN w:val="0"/>
              <w:snapToGrid w:val="0"/>
              <w:spacing w:after="0" w:line="240" w:lineRule="auto"/>
              <w:rPr>
                <w:rFonts w:ascii="Times New Roman" w:hAnsi="Times New Roman" w:cs="Times New Roman"/>
                <w:sz w:val="20"/>
                <w:szCs w:val="20"/>
                <w:lang w:eastAsia="ar-SA"/>
              </w:rPr>
            </w:pPr>
          </w:p>
        </w:tc>
        <w:tc>
          <w:tcPr>
            <w:tcW w:w="2109" w:type="pct"/>
            <w:vAlign w:val="center"/>
          </w:tcPr>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Liver</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Cardiovascular</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Pulmonary</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Kidney</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Immune</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r w:rsidRPr="00E256A9">
              <w:rPr>
                <w:rFonts w:ascii="Times New Roman" w:hAnsi="Times New Roman" w:cs="Times New Roman"/>
                <w:sz w:val="20"/>
                <w:szCs w:val="20"/>
                <w:lang w:eastAsia="ar-SA"/>
              </w:rPr>
              <w:t xml:space="preserve">If any of the 5 CHE categories is answered with yes give +5 points </w:t>
            </w:r>
          </w:p>
          <w:p w:rsidR="00FE5586" w:rsidRPr="00E256A9" w:rsidRDefault="00FE5586" w:rsidP="00E256A9">
            <w:pPr>
              <w:widowControl w:val="0"/>
              <w:autoSpaceDE w:val="0"/>
              <w:autoSpaceDN w:val="0"/>
              <w:adjustRightInd w:val="0"/>
              <w:snapToGrid w:val="0"/>
              <w:spacing w:after="0" w:line="240" w:lineRule="auto"/>
              <w:rPr>
                <w:rFonts w:ascii="Times New Roman" w:hAnsi="Times New Roman" w:cs="Times New Roman"/>
                <w:sz w:val="20"/>
                <w:szCs w:val="20"/>
                <w:lang w:eastAsia="ar-SA"/>
              </w:rPr>
            </w:pPr>
          </w:p>
          <w:p w:rsidR="00FE5586" w:rsidRPr="00E256A9" w:rsidRDefault="00FE5586" w:rsidP="00E256A9">
            <w:pPr>
              <w:numPr>
                <w:ilvl w:val="0"/>
                <w:numId w:val="33"/>
              </w:numPr>
              <w:autoSpaceDE w:val="0"/>
              <w:autoSpaceDN w:val="0"/>
              <w:adjustRightInd w:val="0"/>
              <w:snapToGrid w:val="0"/>
              <w:spacing w:after="0" w:line="240" w:lineRule="auto"/>
              <w:ind w:left="0" w:firstLine="0"/>
              <w:rPr>
                <w:rFonts w:ascii="Times New Roman" w:eastAsia="Calibri" w:hAnsi="Times New Roman" w:cs="Times New Roman"/>
                <w:sz w:val="20"/>
                <w:szCs w:val="20"/>
              </w:rPr>
            </w:pPr>
            <w:r w:rsidRPr="00E256A9">
              <w:rPr>
                <w:rFonts w:ascii="Times New Roman" w:eastAsia="Calibri" w:hAnsi="Times New Roman" w:cs="Times New Roman"/>
                <w:sz w:val="20"/>
                <w:szCs w:val="20"/>
              </w:rPr>
              <w:t>Cirrhosis with PHT or encephalopathy</w:t>
            </w:r>
          </w:p>
          <w:p w:rsidR="00FE5586" w:rsidRPr="00E256A9" w:rsidRDefault="00FE5586" w:rsidP="00E256A9">
            <w:pPr>
              <w:numPr>
                <w:ilvl w:val="0"/>
                <w:numId w:val="33"/>
              </w:numPr>
              <w:autoSpaceDE w:val="0"/>
              <w:autoSpaceDN w:val="0"/>
              <w:adjustRightInd w:val="0"/>
              <w:snapToGrid w:val="0"/>
              <w:spacing w:after="0" w:line="240" w:lineRule="auto"/>
              <w:ind w:left="0" w:firstLine="0"/>
              <w:rPr>
                <w:rFonts w:ascii="Times New Roman" w:eastAsia="Calibri" w:hAnsi="Times New Roman" w:cs="Times New Roman"/>
                <w:sz w:val="20"/>
                <w:szCs w:val="20"/>
              </w:rPr>
            </w:pPr>
            <w:r w:rsidRPr="00E256A9">
              <w:rPr>
                <w:rFonts w:ascii="Times New Roman" w:eastAsia="Calibri" w:hAnsi="Times New Roman" w:cs="Times New Roman"/>
                <w:sz w:val="20"/>
                <w:szCs w:val="20"/>
              </w:rPr>
              <w:t>Class IV angina or at rest or with minimal self-care activities</w:t>
            </w:r>
          </w:p>
          <w:p w:rsidR="00FE5586" w:rsidRPr="00E256A9" w:rsidRDefault="00FE5586" w:rsidP="00E256A9">
            <w:pPr>
              <w:numPr>
                <w:ilvl w:val="0"/>
                <w:numId w:val="33"/>
              </w:numPr>
              <w:autoSpaceDE w:val="0"/>
              <w:autoSpaceDN w:val="0"/>
              <w:adjustRightInd w:val="0"/>
              <w:snapToGrid w:val="0"/>
              <w:spacing w:after="0" w:line="240" w:lineRule="auto"/>
              <w:ind w:left="0" w:firstLine="0"/>
              <w:rPr>
                <w:rFonts w:ascii="Times New Roman" w:eastAsia="Calibri" w:hAnsi="Times New Roman" w:cs="Times New Roman"/>
                <w:sz w:val="20"/>
                <w:szCs w:val="20"/>
              </w:rPr>
            </w:pPr>
            <w:r w:rsidRPr="00E256A9">
              <w:rPr>
                <w:rFonts w:ascii="Times New Roman" w:eastAsia="Calibri" w:hAnsi="Times New Roman" w:cs="Times New Roman"/>
                <w:sz w:val="20"/>
                <w:szCs w:val="20"/>
              </w:rPr>
              <w:t>Chronic hypoxemia or hypercapnia or</w:t>
            </w:r>
          </w:p>
          <w:p w:rsidR="00FE5586" w:rsidRPr="00E256A9" w:rsidRDefault="00FE5586" w:rsidP="00E256A9">
            <w:pPr>
              <w:numPr>
                <w:ilvl w:val="0"/>
                <w:numId w:val="33"/>
              </w:numPr>
              <w:autoSpaceDE w:val="0"/>
              <w:autoSpaceDN w:val="0"/>
              <w:adjustRightInd w:val="0"/>
              <w:snapToGrid w:val="0"/>
              <w:spacing w:after="0" w:line="240" w:lineRule="auto"/>
              <w:ind w:left="0" w:firstLine="0"/>
              <w:rPr>
                <w:rFonts w:ascii="Times New Roman" w:eastAsia="Calibri" w:hAnsi="Times New Roman" w:cs="Times New Roman"/>
                <w:sz w:val="20"/>
                <w:szCs w:val="20"/>
              </w:rPr>
            </w:pPr>
            <w:r w:rsidRPr="00E256A9">
              <w:rPr>
                <w:rFonts w:ascii="Times New Roman" w:eastAsia="Calibri" w:hAnsi="Times New Roman" w:cs="Times New Roman"/>
                <w:sz w:val="20"/>
                <w:szCs w:val="20"/>
              </w:rPr>
              <w:t>Chronic peritoneal or hemodialysis</w:t>
            </w:r>
          </w:p>
          <w:p w:rsidR="00FE5586" w:rsidRPr="00E256A9" w:rsidRDefault="00FE5586" w:rsidP="00E256A9">
            <w:pPr>
              <w:numPr>
                <w:ilvl w:val="0"/>
                <w:numId w:val="33"/>
              </w:numPr>
              <w:autoSpaceDE w:val="0"/>
              <w:autoSpaceDN w:val="0"/>
              <w:adjustRightInd w:val="0"/>
              <w:snapToGrid w:val="0"/>
              <w:spacing w:after="0" w:line="240" w:lineRule="auto"/>
              <w:ind w:left="0" w:firstLine="0"/>
              <w:rPr>
                <w:rFonts w:ascii="Times New Roman" w:eastAsia="Calibri" w:hAnsi="Times New Roman" w:cs="Times New Roman"/>
                <w:sz w:val="20"/>
                <w:szCs w:val="20"/>
              </w:rPr>
            </w:pPr>
            <w:r w:rsidRPr="00E256A9">
              <w:rPr>
                <w:rFonts w:ascii="Times New Roman" w:eastAsia="Calibri" w:hAnsi="Times New Roman" w:cs="Times New Roman"/>
                <w:sz w:val="20"/>
                <w:szCs w:val="20"/>
              </w:rPr>
              <w:t>Immunecompromised host</w:t>
            </w:r>
          </w:p>
        </w:tc>
        <w:tc>
          <w:tcPr>
            <w:tcW w:w="541" w:type="pct"/>
            <w:vMerge/>
            <w:vAlign w:val="center"/>
          </w:tcPr>
          <w:p w:rsidR="00FE5586" w:rsidRPr="00E256A9" w:rsidRDefault="00FE5586" w:rsidP="00756ADC">
            <w:pPr>
              <w:widowControl w:val="0"/>
              <w:autoSpaceDE w:val="0"/>
              <w:autoSpaceDN w:val="0"/>
              <w:snapToGrid w:val="0"/>
              <w:spacing w:after="0" w:line="240" w:lineRule="auto"/>
              <w:jc w:val="both"/>
              <w:rPr>
                <w:rFonts w:ascii="Times New Roman" w:hAnsi="Times New Roman" w:cs="Times New Roman"/>
                <w:sz w:val="20"/>
                <w:szCs w:val="20"/>
                <w:lang w:eastAsia="ar-SA"/>
              </w:rPr>
            </w:pPr>
          </w:p>
        </w:tc>
      </w:tr>
    </w:tbl>
    <w:p w:rsidR="00F91D83" w:rsidRPr="00E256A9" w:rsidRDefault="00F91D83" w:rsidP="00756ADC">
      <w:pPr>
        <w:snapToGrid w:val="0"/>
        <w:spacing w:after="0" w:line="240" w:lineRule="auto"/>
        <w:jc w:val="center"/>
        <w:rPr>
          <w:rFonts w:ascii="Times New Roman" w:hAnsi="Times New Roman" w:cs="Times New Roman"/>
          <w:b/>
          <w:bCs/>
          <w:sz w:val="20"/>
          <w:szCs w:val="20"/>
        </w:rPr>
      </w:pPr>
      <w:bookmarkStart w:id="1" w:name="_Toc510618409"/>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snapToGrid w:val="0"/>
        <w:spacing w:after="0" w:line="240" w:lineRule="auto"/>
        <w:jc w:val="center"/>
        <w:rPr>
          <w:rFonts w:ascii="Times New Roman" w:hAnsi="Times New Roman" w:cs="Times New Roman"/>
          <w:b/>
          <w:sz w:val="20"/>
          <w:szCs w:val="20"/>
        </w:rPr>
      </w:pPr>
      <w:r w:rsidRPr="00E256A9">
        <w:rPr>
          <w:rFonts w:ascii="Times New Roman" w:hAnsi="Times New Roman" w:cs="Times New Roman"/>
          <w:b/>
          <w:bCs/>
          <w:sz w:val="20"/>
          <w:szCs w:val="20"/>
        </w:rPr>
        <w:t>Table (</w:t>
      </w:r>
      <w:r w:rsidR="004C1CE7" w:rsidRPr="00E256A9">
        <w:rPr>
          <w:rFonts w:ascii="Times New Roman" w:hAnsi="Times New Roman" w:cs="Times New Roman"/>
          <w:b/>
          <w:bCs/>
          <w:sz w:val="20"/>
          <w:szCs w:val="20"/>
        </w:rPr>
        <w:t>2</w:t>
      </w:r>
      <w:r w:rsidRPr="00E256A9">
        <w:rPr>
          <w:rFonts w:ascii="Times New Roman" w:hAnsi="Times New Roman" w:cs="Times New Roman"/>
          <w:b/>
          <w:bCs/>
          <w:sz w:val="20"/>
          <w:szCs w:val="20"/>
        </w:rPr>
        <w:t>)</w:t>
      </w:r>
      <w:r w:rsidR="00D10008" w:rsidRPr="00E256A9">
        <w:rPr>
          <w:rFonts w:ascii="Times New Roman" w:hAnsi="Times New Roman" w:cs="Times New Roman"/>
          <w:b/>
          <w:bCs/>
          <w:sz w:val="20"/>
          <w:szCs w:val="20"/>
        </w:rPr>
        <w:t xml:space="preserve">: </w:t>
      </w:r>
      <w:r w:rsidR="00D10008" w:rsidRPr="00E256A9">
        <w:rPr>
          <w:rFonts w:ascii="Times New Roman" w:hAnsi="Times New Roman" w:cs="Times New Roman"/>
          <w:bCs/>
          <w:sz w:val="20"/>
          <w:szCs w:val="20"/>
        </w:rPr>
        <w:t>S</w:t>
      </w:r>
      <w:r w:rsidRPr="00E256A9">
        <w:rPr>
          <w:rFonts w:ascii="Times New Roman" w:hAnsi="Times New Roman" w:cs="Times New Roman"/>
          <w:bCs/>
          <w:sz w:val="20"/>
          <w:szCs w:val="20"/>
        </w:rPr>
        <w:t>OFA score</w:t>
      </w:r>
      <w:r w:rsidRPr="00E256A9">
        <w:rPr>
          <w:rFonts w:ascii="Times New Roman" w:hAnsi="Times New Roman" w:cs="Times New Roman"/>
          <w:b/>
          <w:sz w:val="20"/>
          <w:szCs w:val="20"/>
        </w:rPr>
        <w:t>.</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2042"/>
        <w:gridCol w:w="709"/>
        <w:gridCol w:w="1275"/>
        <w:gridCol w:w="2314"/>
        <w:gridCol w:w="1764"/>
        <w:gridCol w:w="1370"/>
      </w:tblGrid>
      <w:tr w:rsidR="007F374E" w:rsidRPr="00E256A9" w:rsidTr="00E256A9">
        <w:trPr>
          <w:jc w:val="center"/>
        </w:trPr>
        <w:tc>
          <w:tcPr>
            <w:tcW w:w="1078" w:type="pct"/>
            <w:vAlign w:val="center"/>
          </w:tcPr>
          <w:p w:rsidR="00FE5586" w:rsidRPr="00E256A9" w:rsidRDefault="00FE5586" w:rsidP="00E256A9">
            <w:pPr>
              <w:pStyle w:val="TableParagraph"/>
              <w:snapToGrid w:val="0"/>
              <w:rPr>
                <w:b/>
                <w:bCs/>
                <w:sz w:val="20"/>
                <w:szCs w:val="20"/>
              </w:rPr>
            </w:pPr>
            <w:r w:rsidRPr="00E256A9">
              <w:rPr>
                <w:b/>
                <w:bCs/>
                <w:sz w:val="20"/>
                <w:szCs w:val="20"/>
              </w:rPr>
              <w:t>Variables</w:t>
            </w:r>
          </w:p>
        </w:tc>
        <w:tc>
          <w:tcPr>
            <w:tcW w:w="374" w:type="pct"/>
            <w:vAlign w:val="center"/>
          </w:tcPr>
          <w:p w:rsidR="00FE5586" w:rsidRPr="00E256A9" w:rsidRDefault="00FE5586" w:rsidP="00E256A9">
            <w:pPr>
              <w:pStyle w:val="TableParagraph"/>
              <w:snapToGrid w:val="0"/>
              <w:rPr>
                <w:b/>
                <w:bCs/>
                <w:sz w:val="20"/>
                <w:szCs w:val="20"/>
              </w:rPr>
            </w:pPr>
            <w:r w:rsidRPr="00E256A9">
              <w:rPr>
                <w:b/>
                <w:bCs/>
                <w:sz w:val="20"/>
                <w:szCs w:val="20"/>
              </w:rPr>
              <w:t>0</w:t>
            </w:r>
          </w:p>
        </w:tc>
        <w:tc>
          <w:tcPr>
            <w:tcW w:w="673" w:type="pct"/>
            <w:vAlign w:val="center"/>
          </w:tcPr>
          <w:p w:rsidR="00FE5586" w:rsidRPr="00E256A9" w:rsidRDefault="00FE5586" w:rsidP="00E256A9">
            <w:pPr>
              <w:pStyle w:val="TableParagraph"/>
              <w:snapToGrid w:val="0"/>
              <w:rPr>
                <w:b/>
                <w:bCs/>
                <w:sz w:val="20"/>
                <w:szCs w:val="20"/>
              </w:rPr>
            </w:pPr>
            <w:r w:rsidRPr="00E256A9">
              <w:rPr>
                <w:b/>
                <w:bCs/>
                <w:sz w:val="20"/>
                <w:szCs w:val="20"/>
              </w:rPr>
              <w:t>1</w:t>
            </w:r>
          </w:p>
        </w:tc>
        <w:tc>
          <w:tcPr>
            <w:tcW w:w="1221" w:type="pct"/>
            <w:vAlign w:val="center"/>
          </w:tcPr>
          <w:p w:rsidR="00FE5586" w:rsidRPr="00E256A9" w:rsidRDefault="00FE5586" w:rsidP="00E256A9">
            <w:pPr>
              <w:pStyle w:val="TableParagraph"/>
              <w:snapToGrid w:val="0"/>
              <w:rPr>
                <w:b/>
                <w:bCs/>
                <w:sz w:val="20"/>
                <w:szCs w:val="20"/>
              </w:rPr>
            </w:pPr>
            <w:r w:rsidRPr="00E256A9">
              <w:rPr>
                <w:b/>
                <w:bCs/>
                <w:sz w:val="20"/>
                <w:szCs w:val="20"/>
              </w:rPr>
              <w:t>2</w:t>
            </w:r>
          </w:p>
        </w:tc>
        <w:tc>
          <w:tcPr>
            <w:tcW w:w="931" w:type="pct"/>
            <w:vAlign w:val="center"/>
          </w:tcPr>
          <w:p w:rsidR="00FE5586" w:rsidRPr="00E256A9" w:rsidRDefault="00FE5586" w:rsidP="00E256A9">
            <w:pPr>
              <w:pStyle w:val="TableParagraph"/>
              <w:snapToGrid w:val="0"/>
              <w:rPr>
                <w:b/>
                <w:bCs/>
                <w:sz w:val="20"/>
                <w:szCs w:val="20"/>
              </w:rPr>
            </w:pPr>
            <w:r w:rsidRPr="00E256A9">
              <w:rPr>
                <w:b/>
                <w:bCs/>
                <w:sz w:val="20"/>
                <w:szCs w:val="20"/>
              </w:rPr>
              <w:t>3</w:t>
            </w:r>
          </w:p>
        </w:tc>
        <w:tc>
          <w:tcPr>
            <w:tcW w:w="723" w:type="pct"/>
            <w:vAlign w:val="center"/>
          </w:tcPr>
          <w:p w:rsidR="00FE5586" w:rsidRPr="00E256A9" w:rsidRDefault="00FE5586" w:rsidP="00E256A9">
            <w:pPr>
              <w:pStyle w:val="TableParagraph"/>
              <w:snapToGrid w:val="0"/>
              <w:rPr>
                <w:b/>
                <w:bCs/>
                <w:sz w:val="20"/>
                <w:szCs w:val="20"/>
              </w:rPr>
            </w:pPr>
            <w:r w:rsidRPr="00E256A9">
              <w:rPr>
                <w:b/>
                <w:bCs/>
                <w:sz w:val="20"/>
                <w:szCs w:val="20"/>
              </w:rPr>
              <w:t>4</w:t>
            </w:r>
          </w:p>
        </w:tc>
      </w:tr>
      <w:tr w:rsidR="007F374E" w:rsidRPr="00E256A9" w:rsidTr="00E256A9">
        <w:trPr>
          <w:jc w:val="center"/>
        </w:trPr>
        <w:tc>
          <w:tcPr>
            <w:tcW w:w="1078" w:type="pct"/>
            <w:vAlign w:val="center"/>
          </w:tcPr>
          <w:p w:rsidR="00FE5586" w:rsidRPr="00E256A9" w:rsidRDefault="00FE5586" w:rsidP="00E256A9">
            <w:pPr>
              <w:pStyle w:val="TableParagraph"/>
              <w:snapToGrid w:val="0"/>
              <w:rPr>
                <w:sz w:val="20"/>
                <w:szCs w:val="20"/>
              </w:rPr>
            </w:pPr>
            <w:r w:rsidRPr="00E256A9">
              <w:rPr>
                <w:sz w:val="20"/>
                <w:szCs w:val="20"/>
              </w:rPr>
              <w:t>PaO</w:t>
            </w:r>
            <w:r w:rsidRPr="00E256A9">
              <w:rPr>
                <w:sz w:val="20"/>
                <w:szCs w:val="20"/>
                <w:vertAlign w:val="subscript"/>
              </w:rPr>
              <w:t>2</w:t>
            </w:r>
            <w:r w:rsidRPr="00E256A9">
              <w:rPr>
                <w:sz w:val="20"/>
                <w:szCs w:val="20"/>
              </w:rPr>
              <w:t>/FiO</w:t>
            </w:r>
            <w:r w:rsidRPr="00E256A9">
              <w:rPr>
                <w:sz w:val="20"/>
                <w:szCs w:val="20"/>
                <w:vertAlign w:val="subscript"/>
              </w:rPr>
              <w:t>2</w:t>
            </w:r>
            <w:r w:rsidRPr="00E256A9">
              <w:rPr>
                <w:sz w:val="20"/>
                <w:szCs w:val="20"/>
              </w:rPr>
              <w:t>mm Hg</w:t>
            </w:r>
          </w:p>
        </w:tc>
        <w:tc>
          <w:tcPr>
            <w:tcW w:w="374" w:type="pct"/>
            <w:vAlign w:val="center"/>
          </w:tcPr>
          <w:p w:rsidR="00FE5586" w:rsidRPr="00E256A9" w:rsidRDefault="00FE5586" w:rsidP="00E256A9">
            <w:pPr>
              <w:pStyle w:val="TableParagraph"/>
              <w:snapToGrid w:val="0"/>
              <w:rPr>
                <w:sz w:val="20"/>
                <w:szCs w:val="20"/>
              </w:rPr>
            </w:pPr>
            <w:r w:rsidRPr="00E256A9">
              <w:rPr>
                <w:sz w:val="20"/>
                <w:szCs w:val="20"/>
              </w:rPr>
              <w:t>&gt;400</w:t>
            </w:r>
          </w:p>
        </w:tc>
        <w:tc>
          <w:tcPr>
            <w:tcW w:w="673" w:type="pct"/>
            <w:vAlign w:val="center"/>
          </w:tcPr>
          <w:p w:rsidR="00FE5586" w:rsidRPr="00E256A9" w:rsidRDefault="00FE5586" w:rsidP="00E256A9">
            <w:pPr>
              <w:pStyle w:val="TableParagraph"/>
              <w:snapToGrid w:val="0"/>
              <w:rPr>
                <w:sz w:val="20"/>
                <w:szCs w:val="20"/>
              </w:rPr>
            </w:pPr>
            <w:r w:rsidRPr="00E256A9">
              <w:rPr>
                <w:sz w:val="20"/>
                <w:szCs w:val="20"/>
              </w:rPr>
              <w:t>&lt;400</w:t>
            </w:r>
          </w:p>
        </w:tc>
        <w:tc>
          <w:tcPr>
            <w:tcW w:w="1221" w:type="pct"/>
            <w:vAlign w:val="center"/>
          </w:tcPr>
          <w:p w:rsidR="00FE5586" w:rsidRPr="00E256A9" w:rsidRDefault="00FE5586" w:rsidP="00E256A9">
            <w:pPr>
              <w:pStyle w:val="TableParagraph"/>
              <w:snapToGrid w:val="0"/>
              <w:rPr>
                <w:sz w:val="20"/>
                <w:szCs w:val="20"/>
              </w:rPr>
            </w:pPr>
            <w:r w:rsidRPr="00E256A9">
              <w:rPr>
                <w:sz w:val="20"/>
                <w:szCs w:val="20"/>
              </w:rPr>
              <w:t>&lt;300</w:t>
            </w:r>
          </w:p>
        </w:tc>
        <w:tc>
          <w:tcPr>
            <w:tcW w:w="931" w:type="pct"/>
            <w:vAlign w:val="center"/>
          </w:tcPr>
          <w:p w:rsidR="00FE5586" w:rsidRPr="00E256A9" w:rsidRDefault="00FE5586" w:rsidP="00E256A9">
            <w:pPr>
              <w:pStyle w:val="TableParagraph"/>
              <w:tabs>
                <w:tab w:val="left" w:pos="1473"/>
              </w:tabs>
              <w:snapToGrid w:val="0"/>
              <w:rPr>
                <w:sz w:val="20"/>
                <w:szCs w:val="20"/>
              </w:rPr>
            </w:pPr>
            <w:r w:rsidRPr="00E256A9">
              <w:rPr>
                <w:sz w:val="20"/>
                <w:szCs w:val="20"/>
              </w:rPr>
              <w:t>&lt;200with respiratory</w:t>
            </w:r>
          </w:p>
          <w:p w:rsidR="00FE5586" w:rsidRPr="00E256A9" w:rsidRDefault="00FE5586" w:rsidP="00E256A9">
            <w:pPr>
              <w:pStyle w:val="TableParagraph"/>
              <w:snapToGrid w:val="0"/>
              <w:rPr>
                <w:sz w:val="20"/>
                <w:szCs w:val="20"/>
              </w:rPr>
            </w:pPr>
            <w:r w:rsidRPr="00E256A9">
              <w:rPr>
                <w:sz w:val="20"/>
                <w:szCs w:val="20"/>
              </w:rPr>
              <w:t>support</w:t>
            </w:r>
          </w:p>
        </w:tc>
        <w:tc>
          <w:tcPr>
            <w:tcW w:w="723" w:type="pct"/>
            <w:vAlign w:val="center"/>
          </w:tcPr>
          <w:p w:rsidR="00FE5586" w:rsidRPr="00E256A9" w:rsidRDefault="00FE5586" w:rsidP="00E256A9">
            <w:pPr>
              <w:pStyle w:val="TableParagraph"/>
              <w:tabs>
                <w:tab w:val="left" w:pos="1509"/>
              </w:tabs>
              <w:snapToGrid w:val="0"/>
              <w:rPr>
                <w:sz w:val="20"/>
                <w:szCs w:val="20"/>
              </w:rPr>
            </w:pPr>
            <w:r w:rsidRPr="00E256A9">
              <w:rPr>
                <w:sz w:val="20"/>
                <w:szCs w:val="20"/>
              </w:rPr>
              <w:t>&lt;100 with</w:t>
            </w:r>
          </w:p>
          <w:p w:rsidR="00B746F7" w:rsidRPr="00E256A9" w:rsidRDefault="00FE5586" w:rsidP="00E256A9">
            <w:pPr>
              <w:pStyle w:val="TableParagraph"/>
              <w:tabs>
                <w:tab w:val="left" w:pos="1509"/>
              </w:tabs>
              <w:snapToGrid w:val="0"/>
              <w:rPr>
                <w:sz w:val="20"/>
                <w:szCs w:val="20"/>
              </w:rPr>
            </w:pPr>
            <w:r w:rsidRPr="00E256A9">
              <w:rPr>
                <w:sz w:val="20"/>
                <w:szCs w:val="20"/>
              </w:rPr>
              <w:t xml:space="preserve">respiratory </w:t>
            </w:r>
          </w:p>
          <w:p w:rsidR="00FE5586" w:rsidRPr="00E256A9" w:rsidRDefault="00FE5586" w:rsidP="00E256A9">
            <w:pPr>
              <w:pStyle w:val="TableParagraph"/>
              <w:tabs>
                <w:tab w:val="left" w:pos="1509"/>
              </w:tabs>
              <w:snapToGrid w:val="0"/>
              <w:rPr>
                <w:sz w:val="20"/>
                <w:szCs w:val="20"/>
              </w:rPr>
            </w:pPr>
            <w:r w:rsidRPr="00E256A9">
              <w:rPr>
                <w:sz w:val="20"/>
                <w:szCs w:val="20"/>
              </w:rPr>
              <w:t>support</w:t>
            </w:r>
          </w:p>
        </w:tc>
      </w:tr>
      <w:tr w:rsidR="007F374E" w:rsidRPr="00E256A9" w:rsidTr="00E256A9">
        <w:trPr>
          <w:jc w:val="center"/>
        </w:trPr>
        <w:tc>
          <w:tcPr>
            <w:tcW w:w="1078" w:type="pct"/>
            <w:vAlign w:val="center"/>
          </w:tcPr>
          <w:p w:rsidR="00FE5586" w:rsidRPr="00E256A9" w:rsidRDefault="00FE5586" w:rsidP="00E256A9">
            <w:pPr>
              <w:pStyle w:val="TableParagraph"/>
              <w:tabs>
                <w:tab w:val="left" w:pos="1248"/>
              </w:tabs>
              <w:snapToGrid w:val="0"/>
              <w:rPr>
                <w:sz w:val="20"/>
                <w:szCs w:val="20"/>
              </w:rPr>
            </w:pPr>
            <w:r w:rsidRPr="00E256A9">
              <w:rPr>
                <w:sz w:val="20"/>
                <w:szCs w:val="20"/>
              </w:rPr>
              <w:t>Platelets x 10</w:t>
            </w:r>
            <w:r w:rsidR="00B746F7" w:rsidRPr="00E256A9">
              <w:rPr>
                <w:sz w:val="20"/>
                <w:szCs w:val="20"/>
                <w:vertAlign w:val="superscript"/>
              </w:rPr>
              <w:t>3</w:t>
            </w:r>
            <w:r w:rsidRPr="00E256A9">
              <w:rPr>
                <w:sz w:val="20"/>
                <w:szCs w:val="20"/>
              </w:rPr>
              <w:t>cells/uL</w:t>
            </w:r>
          </w:p>
        </w:tc>
        <w:tc>
          <w:tcPr>
            <w:tcW w:w="374" w:type="pct"/>
            <w:vAlign w:val="center"/>
          </w:tcPr>
          <w:p w:rsidR="00FE5586" w:rsidRPr="00E256A9" w:rsidRDefault="00FE5586" w:rsidP="00E256A9">
            <w:pPr>
              <w:pStyle w:val="TableParagraph"/>
              <w:snapToGrid w:val="0"/>
              <w:rPr>
                <w:sz w:val="20"/>
                <w:szCs w:val="20"/>
              </w:rPr>
            </w:pPr>
            <w:r w:rsidRPr="00E256A9">
              <w:rPr>
                <w:sz w:val="20"/>
                <w:szCs w:val="20"/>
              </w:rPr>
              <w:t>&gt;150</w:t>
            </w:r>
          </w:p>
        </w:tc>
        <w:tc>
          <w:tcPr>
            <w:tcW w:w="673" w:type="pct"/>
            <w:vAlign w:val="center"/>
          </w:tcPr>
          <w:p w:rsidR="00FE5586" w:rsidRPr="00E256A9" w:rsidRDefault="00FE5586" w:rsidP="00E256A9">
            <w:pPr>
              <w:pStyle w:val="TableParagraph"/>
              <w:snapToGrid w:val="0"/>
              <w:rPr>
                <w:sz w:val="20"/>
                <w:szCs w:val="20"/>
              </w:rPr>
            </w:pPr>
            <w:r w:rsidRPr="00E256A9">
              <w:rPr>
                <w:sz w:val="20"/>
                <w:szCs w:val="20"/>
              </w:rPr>
              <w:t>&lt;150</w:t>
            </w:r>
          </w:p>
        </w:tc>
        <w:tc>
          <w:tcPr>
            <w:tcW w:w="1221" w:type="pct"/>
            <w:vAlign w:val="center"/>
          </w:tcPr>
          <w:p w:rsidR="00FE5586" w:rsidRPr="00E256A9" w:rsidRDefault="00FE5586" w:rsidP="00E256A9">
            <w:pPr>
              <w:pStyle w:val="TableParagraph"/>
              <w:snapToGrid w:val="0"/>
              <w:rPr>
                <w:sz w:val="20"/>
                <w:szCs w:val="20"/>
              </w:rPr>
            </w:pPr>
            <w:r w:rsidRPr="00E256A9">
              <w:rPr>
                <w:sz w:val="20"/>
                <w:szCs w:val="20"/>
              </w:rPr>
              <w:t>&lt;100</w:t>
            </w:r>
          </w:p>
        </w:tc>
        <w:tc>
          <w:tcPr>
            <w:tcW w:w="931" w:type="pct"/>
            <w:vAlign w:val="center"/>
          </w:tcPr>
          <w:p w:rsidR="00FE5586" w:rsidRPr="00E256A9" w:rsidRDefault="00FE5586" w:rsidP="00E256A9">
            <w:pPr>
              <w:pStyle w:val="TableParagraph"/>
              <w:snapToGrid w:val="0"/>
              <w:rPr>
                <w:sz w:val="20"/>
                <w:szCs w:val="20"/>
              </w:rPr>
            </w:pPr>
            <w:r w:rsidRPr="00E256A9">
              <w:rPr>
                <w:sz w:val="20"/>
                <w:szCs w:val="20"/>
              </w:rPr>
              <w:t>&lt;50</w:t>
            </w:r>
          </w:p>
        </w:tc>
        <w:tc>
          <w:tcPr>
            <w:tcW w:w="723" w:type="pct"/>
            <w:vAlign w:val="center"/>
          </w:tcPr>
          <w:p w:rsidR="00FE5586" w:rsidRPr="00E256A9" w:rsidRDefault="00FE5586" w:rsidP="00E256A9">
            <w:pPr>
              <w:pStyle w:val="TableParagraph"/>
              <w:snapToGrid w:val="0"/>
              <w:rPr>
                <w:sz w:val="20"/>
                <w:szCs w:val="20"/>
              </w:rPr>
            </w:pPr>
            <w:r w:rsidRPr="00E256A9">
              <w:rPr>
                <w:sz w:val="20"/>
                <w:szCs w:val="20"/>
              </w:rPr>
              <w:t>&lt;20</w:t>
            </w:r>
          </w:p>
        </w:tc>
      </w:tr>
      <w:tr w:rsidR="007F374E" w:rsidRPr="00E256A9" w:rsidTr="00E256A9">
        <w:trPr>
          <w:jc w:val="center"/>
        </w:trPr>
        <w:tc>
          <w:tcPr>
            <w:tcW w:w="1078" w:type="pct"/>
            <w:vAlign w:val="center"/>
          </w:tcPr>
          <w:p w:rsidR="00FE5586" w:rsidRPr="00E256A9" w:rsidRDefault="00FE5586" w:rsidP="00E256A9">
            <w:pPr>
              <w:pStyle w:val="TableParagraph"/>
              <w:snapToGrid w:val="0"/>
              <w:rPr>
                <w:sz w:val="20"/>
                <w:szCs w:val="20"/>
              </w:rPr>
            </w:pPr>
            <w:r w:rsidRPr="00E256A9">
              <w:rPr>
                <w:sz w:val="20"/>
                <w:szCs w:val="20"/>
              </w:rPr>
              <w:t>Billirubin mg/dl</w:t>
            </w:r>
          </w:p>
        </w:tc>
        <w:tc>
          <w:tcPr>
            <w:tcW w:w="374" w:type="pct"/>
            <w:vAlign w:val="center"/>
          </w:tcPr>
          <w:p w:rsidR="00FE5586" w:rsidRPr="00E256A9" w:rsidRDefault="00FE5586" w:rsidP="00E256A9">
            <w:pPr>
              <w:pStyle w:val="TableParagraph"/>
              <w:snapToGrid w:val="0"/>
              <w:rPr>
                <w:sz w:val="20"/>
                <w:szCs w:val="20"/>
              </w:rPr>
            </w:pPr>
            <w:r w:rsidRPr="00E256A9">
              <w:rPr>
                <w:sz w:val="20"/>
                <w:szCs w:val="20"/>
              </w:rPr>
              <w:t>&lt;1.2</w:t>
            </w:r>
          </w:p>
        </w:tc>
        <w:tc>
          <w:tcPr>
            <w:tcW w:w="673" w:type="pct"/>
            <w:vAlign w:val="center"/>
          </w:tcPr>
          <w:p w:rsidR="00FE5586" w:rsidRPr="00E256A9" w:rsidRDefault="00FE5586" w:rsidP="00E256A9">
            <w:pPr>
              <w:pStyle w:val="TableParagraph"/>
              <w:snapToGrid w:val="0"/>
              <w:rPr>
                <w:sz w:val="20"/>
                <w:szCs w:val="20"/>
              </w:rPr>
            </w:pPr>
            <w:r w:rsidRPr="00E256A9">
              <w:rPr>
                <w:sz w:val="20"/>
                <w:szCs w:val="20"/>
              </w:rPr>
              <w:t>1.2-1.9</w:t>
            </w:r>
          </w:p>
        </w:tc>
        <w:tc>
          <w:tcPr>
            <w:tcW w:w="1221" w:type="pct"/>
            <w:vAlign w:val="center"/>
          </w:tcPr>
          <w:p w:rsidR="00FE5586" w:rsidRPr="00E256A9" w:rsidRDefault="00FE5586" w:rsidP="00E256A9">
            <w:pPr>
              <w:pStyle w:val="TableParagraph"/>
              <w:snapToGrid w:val="0"/>
              <w:rPr>
                <w:sz w:val="20"/>
                <w:szCs w:val="20"/>
              </w:rPr>
            </w:pPr>
            <w:r w:rsidRPr="00E256A9">
              <w:rPr>
                <w:sz w:val="20"/>
                <w:szCs w:val="20"/>
              </w:rPr>
              <w:t>2-5.9</w:t>
            </w:r>
          </w:p>
        </w:tc>
        <w:tc>
          <w:tcPr>
            <w:tcW w:w="931" w:type="pct"/>
            <w:vAlign w:val="center"/>
          </w:tcPr>
          <w:p w:rsidR="00FE5586" w:rsidRPr="00E256A9" w:rsidRDefault="00FE5586" w:rsidP="00E256A9">
            <w:pPr>
              <w:pStyle w:val="TableParagraph"/>
              <w:snapToGrid w:val="0"/>
              <w:rPr>
                <w:sz w:val="20"/>
                <w:szCs w:val="20"/>
              </w:rPr>
            </w:pPr>
            <w:r w:rsidRPr="00E256A9">
              <w:rPr>
                <w:sz w:val="20"/>
                <w:szCs w:val="20"/>
              </w:rPr>
              <w:t>6-11.9</w:t>
            </w:r>
          </w:p>
        </w:tc>
        <w:tc>
          <w:tcPr>
            <w:tcW w:w="723" w:type="pct"/>
            <w:vAlign w:val="center"/>
          </w:tcPr>
          <w:p w:rsidR="00FE5586" w:rsidRPr="00E256A9" w:rsidRDefault="00FE5586" w:rsidP="00E256A9">
            <w:pPr>
              <w:pStyle w:val="TableParagraph"/>
              <w:snapToGrid w:val="0"/>
              <w:rPr>
                <w:sz w:val="20"/>
                <w:szCs w:val="20"/>
              </w:rPr>
            </w:pPr>
            <w:r w:rsidRPr="00E256A9">
              <w:rPr>
                <w:sz w:val="20"/>
                <w:szCs w:val="20"/>
              </w:rPr>
              <w:t>&gt;12.0</w:t>
            </w:r>
          </w:p>
        </w:tc>
      </w:tr>
      <w:tr w:rsidR="007F374E" w:rsidRPr="00E256A9" w:rsidTr="00E256A9">
        <w:trPr>
          <w:jc w:val="center"/>
        </w:trPr>
        <w:tc>
          <w:tcPr>
            <w:tcW w:w="1078" w:type="pct"/>
            <w:vAlign w:val="center"/>
          </w:tcPr>
          <w:p w:rsidR="00FE5586" w:rsidRPr="00E256A9" w:rsidRDefault="00FE5586" w:rsidP="00E256A9">
            <w:pPr>
              <w:pStyle w:val="TableParagraph"/>
              <w:snapToGrid w:val="0"/>
              <w:rPr>
                <w:sz w:val="20"/>
                <w:szCs w:val="20"/>
              </w:rPr>
            </w:pPr>
            <w:r w:rsidRPr="00E256A9">
              <w:rPr>
                <w:sz w:val="20"/>
                <w:szCs w:val="20"/>
              </w:rPr>
              <w:t>Hypotension</w:t>
            </w:r>
          </w:p>
        </w:tc>
        <w:tc>
          <w:tcPr>
            <w:tcW w:w="374" w:type="pct"/>
            <w:vAlign w:val="center"/>
          </w:tcPr>
          <w:p w:rsidR="00FE5586" w:rsidRPr="00E256A9" w:rsidRDefault="00FE5586" w:rsidP="00E256A9">
            <w:pPr>
              <w:pStyle w:val="TableParagraph"/>
              <w:snapToGrid w:val="0"/>
              <w:rPr>
                <w:sz w:val="20"/>
                <w:szCs w:val="20"/>
              </w:rPr>
            </w:pPr>
            <w:r w:rsidRPr="00E256A9">
              <w:rPr>
                <w:sz w:val="20"/>
                <w:szCs w:val="20"/>
              </w:rPr>
              <w:t>No</w:t>
            </w:r>
          </w:p>
        </w:tc>
        <w:tc>
          <w:tcPr>
            <w:tcW w:w="673" w:type="pct"/>
            <w:vAlign w:val="center"/>
          </w:tcPr>
          <w:p w:rsidR="00FE5586" w:rsidRPr="00E256A9" w:rsidRDefault="00FE5586" w:rsidP="00E256A9">
            <w:pPr>
              <w:pStyle w:val="TableParagraph"/>
              <w:snapToGrid w:val="0"/>
              <w:rPr>
                <w:sz w:val="20"/>
                <w:szCs w:val="20"/>
              </w:rPr>
            </w:pPr>
            <w:r w:rsidRPr="00E256A9">
              <w:rPr>
                <w:sz w:val="20"/>
                <w:szCs w:val="20"/>
              </w:rPr>
              <w:t>MAP</w:t>
            </w:r>
          </w:p>
          <w:p w:rsidR="00FE5586" w:rsidRPr="00E256A9" w:rsidRDefault="00FE5586" w:rsidP="00E256A9">
            <w:pPr>
              <w:pStyle w:val="TableParagraph"/>
              <w:snapToGrid w:val="0"/>
              <w:rPr>
                <w:sz w:val="20"/>
                <w:szCs w:val="20"/>
              </w:rPr>
            </w:pPr>
            <w:r w:rsidRPr="00E256A9">
              <w:rPr>
                <w:sz w:val="20"/>
                <w:szCs w:val="20"/>
              </w:rPr>
              <w:t>&lt;70mmHg</w:t>
            </w:r>
          </w:p>
        </w:tc>
        <w:tc>
          <w:tcPr>
            <w:tcW w:w="1221" w:type="pct"/>
            <w:vAlign w:val="center"/>
          </w:tcPr>
          <w:p w:rsidR="00FE5586" w:rsidRPr="00E256A9" w:rsidRDefault="00FE5586" w:rsidP="00E256A9">
            <w:pPr>
              <w:pStyle w:val="TableParagraph"/>
              <w:snapToGrid w:val="0"/>
              <w:rPr>
                <w:sz w:val="20"/>
                <w:szCs w:val="20"/>
              </w:rPr>
            </w:pPr>
            <w:r w:rsidRPr="00E256A9">
              <w:rPr>
                <w:sz w:val="20"/>
                <w:szCs w:val="20"/>
              </w:rPr>
              <w:t>Dopamine&lt;5 or dobutamine any dose</w:t>
            </w:r>
          </w:p>
        </w:tc>
        <w:tc>
          <w:tcPr>
            <w:tcW w:w="931" w:type="pct"/>
            <w:vAlign w:val="center"/>
          </w:tcPr>
          <w:p w:rsidR="00FE5586" w:rsidRPr="00E256A9" w:rsidRDefault="00FE5586" w:rsidP="00E256A9">
            <w:pPr>
              <w:pStyle w:val="TableParagraph"/>
              <w:tabs>
                <w:tab w:val="left" w:pos="1746"/>
              </w:tabs>
              <w:snapToGrid w:val="0"/>
              <w:rPr>
                <w:sz w:val="20"/>
                <w:szCs w:val="20"/>
              </w:rPr>
            </w:pPr>
            <w:r w:rsidRPr="00E256A9">
              <w:rPr>
                <w:sz w:val="20"/>
                <w:szCs w:val="20"/>
              </w:rPr>
              <w:t>Dopamine&gt;5</w:t>
            </w:r>
          </w:p>
          <w:p w:rsidR="00FE5586" w:rsidRPr="00E256A9" w:rsidRDefault="00B746F7" w:rsidP="00E256A9">
            <w:pPr>
              <w:pStyle w:val="TableParagraph"/>
              <w:tabs>
                <w:tab w:val="left" w:pos="1746"/>
              </w:tabs>
              <w:snapToGrid w:val="0"/>
              <w:rPr>
                <w:sz w:val="20"/>
                <w:szCs w:val="20"/>
              </w:rPr>
            </w:pPr>
            <w:r w:rsidRPr="00E256A9">
              <w:rPr>
                <w:sz w:val="20"/>
                <w:szCs w:val="20"/>
              </w:rPr>
              <w:t>O</w:t>
            </w:r>
            <w:r w:rsidR="00FE5586" w:rsidRPr="00E256A9">
              <w:rPr>
                <w:sz w:val="20"/>
                <w:szCs w:val="20"/>
              </w:rPr>
              <w:t>r</w:t>
            </w:r>
          </w:p>
          <w:p w:rsidR="00B746F7" w:rsidRPr="00E256A9" w:rsidRDefault="00FE5586" w:rsidP="00E256A9">
            <w:pPr>
              <w:pStyle w:val="TableParagraph"/>
              <w:tabs>
                <w:tab w:val="left" w:pos="1746"/>
              </w:tabs>
              <w:snapToGrid w:val="0"/>
              <w:rPr>
                <w:sz w:val="20"/>
                <w:szCs w:val="20"/>
              </w:rPr>
            </w:pPr>
            <w:r w:rsidRPr="00E256A9">
              <w:rPr>
                <w:sz w:val="20"/>
                <w:szCs w:val="20"/>
              </w:rPr>
              <w:t>Epinephrine</w:t>
            </w:r>
          </w:p>
          <w:p w:rsidR="00FE5586" w:rsidRPr="00E256A9" w:rsidRDefault="00FE5586" w:rsidP="00E256A9">
            <w:pPr>
              <w:pStyle w:val="TableParagraph"/>
              <w:tabs>
                <w:tab w:val="left" w:pos="1746"/>
              </w:tabs>
              <w:snapToGrid w:val="0"/>
              <w:rPr>
                <w:sz w:val="20"/>
                <w:szCs w:val="20"/>
              </w:rPr>
            </w:pPr>
            <w:r w:rsidRPr="00E256A9">
              <w:rPr>
                <w:sz w:val="20"/>
                <w:szCs w:val="20"/>
              </w:rPr>
              <w:t>&lt;0. 1</w:t>
            </w:r>
            <w:r w:rsidR="00B746F7" w:rsidRPr="00E256A9">
              <w:rPr>
                <w:sz w:val="20"/>
                <w:szCs w:val="20"/>
              </w:rPr>
              <w:t xml:space="preserve"> O</w:t>
            </w:r>
            <w:r w:rsidRPr="00E256A9">
              <w:rPr>
                <w:sz w:val="20"/>
                <w:szCs w:val="20"/>
              </w:rPr>
              <w:t>r</w:t>
            </w:r>
          </w:p>
          <w:p w:rsidR="00B746F7" w:rsidRPr="00E256A9" w:rsidRDefault="00FE5586" w:rsidP="00E256A9">
            <w:pPr>
              <w:pStyle w:val="TableParagraph"/>
              <w:snapToGrid w:val="0"/>
              <w:rPr>
                <w:sz w:val="20"/>
                <w:szCs w:val="20"/>
              </w:rPr>
            </w:pPr>
            <w:r w:rsidRPr="00E256A9">
              <w:rPr>
                <w:sz w:val="20"/>
                <w:szCs w:val="20"/>
              </w:rPr>
              <w:t>Norepiniphrine</w:t>
            </w:r>
          </w:p>
          <w:p w:rsidR="00FE5586" w:rsidRPr="00E256A9" w:rsidRDefault="00FE5586" w:rsidP="00E256A9">
            <w:pPr>
              <w:pStyle w:val="TableParagraph"/>
              <w:snapToGrid w:val="0"/>
              <w:rPr>
                <w:sz w:val="20"/>
                <w:szCs w:val="20"/>
              </w:rPr>
            </w:pPr>
            <w:r w:rsidRPr="00E256A9">
              <w:rPr>
                <w:sz w:val="20"/>
                <w:szCs w:val="20"/>
              </w:rPr>
              <w:t>&lt;0.1</w:t>
            </w:r>
          </w:p>
        </w:tc>
        <w:tc>
          <w:tcPr>
            <w:tcW w:w="723" w:type="pct"/>
            <w:vAlign w:val="center"/>
          </w:tcPr>
          <w:p w:rsidR="00B746F7" w:rsidRPr="00E256A9" w:rsidRDefault="00FE5586" w:rsidP="00E256A9">
            <w:pPr>
              <w:pStyle w:val="TableParagraph"/>
              <w:tabs>
                <w:tab w:val="left" w:pos="2061"/>
              </w:tabs>
              <w:snapToGrid w:val="0"/>
              <w:rPr>
                <w:sz w:val="20"/>
                <w:szCs w:val="20"/>
              </w:rPr>
            </w:pPr>
            <w:r w:rsidRPr="00E256A9">
              <w:rPr>
                <w:sz w:val="20"/>
                <w:szCs w:val="20"/>
              </w:rPr>
              <w:t>Dopamine</w:t>
            </w:r>
          </w:p>
          <w:p w:rsidR="00FE5586" w:rsidRPr="00E256A9" w:rsidRDefault="00FE5586" w:rsidP="00E256A9">
            <w:pPr>
              <w:pStyle w:val="TableParagraph"/>
              <w:tabs>
                <w:tab w:val="left" w:pos="2061"/>
              </w:tabs>
              <w:snapToGrid w:val="0"/>
              <w:rPr>
                <w:sz w:val="20"/>
                <w:szCs w:val="20"/>
              </w:rPr>
            </w:pPr>
            <w:r w:rsidRPr="00E256A9">
              <w:rPr>
                <w:sz w:val="20"/>
                <w:szCs w:val="20"/>
              </w:rPr>
              <w:t>&gt;15</w:t>
            </w:r>
            <w:r w:rsidR="00B746F7" w:rsidRPr="00E256A9">
              <w:rPr>
                <w:sz w:val="20"/>
                <w:szCs w:val="20"/>
              </w:rPr>
              <w:t xml:space="preserve"> O</w:t>
            </w:r>
            <w:r w:rsidRPr="00E256A9">
              <w:rPr>
                <w:sz w:val="20"/>
                <w:szCs w:val="20"/>
              </w:rPr>
              <w:t>r</w:t>
            </w:r>
          </w:p>
          <w:p w:rsidR="00B746F7" w:rsidRPr="00E256A9" w:rsidRDefault="00FE5586" w:rsidP="00E256A9">
            <w:pPr>
              <w:pStyle w:val="TableParagraph"/>
              <w:tabs>
                <w:tab w:val="left" w:pos="2061"/>
              </w:tabs>
              <w:snapToGrid w:val="0"/>
              <w:rPr>
                <w:sz w:val="20"/>
                <w:szCs w:val="20"/>
              </w:rPr>
            </w:pPr>
            <w:r w:rsidRPr="00E256A9">
              <w:rPr>
                <w:sz w:val="20"/>
                <w:szCs w:val="20"/>
              </w:rPr>
              <w:t>Epinephrine</w:t>
            </w:r>
          </w:p>
          <w:p w:rsidR="00FE5586" w:rsidRPr="00E256A9" w:rsidRDefault="00FE5586" w:rsidP="00E256A9">
            <w:pPr>
              <w:pStyle w:val="TableParagraph"/>
              <w:tabs>
                <w:tab w:val="left" w:pos="2061"/>
              </w:tabs>
              <w:snapToGrid w:val="0"/>
              <w:rPr>
                <w:sz w:val="20"/>
                <w:szCs w:val="20"/>
              </w:rPr>
            </w:pPr>
            <w:r w:rsidRPr="00E256A9">
              <w:rPr>
                <w:sz w:val="20"/>
                <w:szCs w:val="20"/>
              </w:rPr>
              <w:t>&gt;0.1Or</w:t>
            </w:r>
          </w:p>
          <w:p w:rsidR="00B746F7" w:rsidRPr="00E256A9" w:rsidRDefault="00FE5586" w:rsidP="00E256A9">
            <w:pPr>
              <w:pStyle w:val="TableParagraph"/>
              <w:tabs>
                <w:tab w:val="left" w:pos="2061"/>
              </w:tabs>
              <w:snapToGrid w:val="0"/>
              <w:rPr>
                <w:sz w:val="20"/>
                <w:szCs w:val="20"/>
              </w:rPr>
            </w:pPr>
            <w:r w:rsidRPr="00E256A9">
              <w:rPr>
                <w:sz w:val="20"/>
                <w:szCs w:val="20"/>
              </w:rPr>
              <w:t>Norepinephrine</w:t>
            </w:r>
          </w:p>
          <w:p w:rsidR="00FE5586" w:rsidRPr="00E256A9" w:rsidRDefault="00FE5586" w:rsidP="00E256A9">
            <w:pPr>
              <w:pStyle w:val="TableParagraph"/>
              <w:tabs>
                <w:tab w:val="left" w:pos="2061"/>
              </w:tabs>
              <w:snapToGrid w:val="0"/>
              <w:rPr>
                <w:sz w:val="20"/>
                <w:szCs w:val="20"/>
              </w:rPr>
            </w:pPr>
            <w:r w:rsidRPr="00E256A9">
              <w:rPr>
                <w:sz w:val="20"/>
                <w:szCs w:val="20"/>
              </w:rPr>
              <w:t>&gt;0. 1</w:t>
            </w:r>
          </w:p>
        </w:tc>
      </w:tr>
      <w:tr w:rsidR="007F374E" w:rsidRPr="00E256A9" w:rsidTr="00E256A9">
        <w:trPr>
          <w:jc w:val="center"/>
        </w:trPr>
        <w:tc>
          <w:tcPr>
            <w:tcW w:w="1078" w:type="pct"/>
            <w:vAlign w:val="center"/>
          </w:tcPr>
          <w:p w:rsidR="00FE5586" w:rsidRPr="00E256A9" w:rsidRDefault="00FE5586" w:rsidP="00E256A9">
            <w:pPr>
              <w:pStyle w:val="TableParagraph"/>
              <w:snapToGrid w:val="0"/>
              <w:rPr>
                <w:sz w:val="20"/>
                <w:szCs w:val="20"/>
              </w:rPr>
            </w:pPr>
            <w:r w:rsidRPr="00E256A9">
              <w:rPr>
                <w:sz w:val="20"/>
                <w:szCs w:val="20"/>
              </w:rPr>
              <w:t>GCS</w:t>
            </w:r>
          </w:p>
        </w:tc>
        <w:tc>
          <w:tcPr>
            <w:tcW w:w="374" w:type="pct"/>
            <w:vAlign w:val="center"/>
          </w:tcPr>
          <w:p w:rsidR="00FE5586" w:rsidRPr="00E256A9" w:rsidRDefault="00FE5586" w:rsidP="00E256A9">
            <w:pPr>
              <w:pStyle w:val="TableParagraph"/>
              <w:snapToGrid w:val="0"/>
              <w:rPr>
                <w:sz w:val="20"/>
                <w:szCs w:val="20"/>
              </w:rPr>
            </w:pPr>
            <w:r w:rsidRPr="00E256A9">
              <w:rPr>
                <w:sz w:val="20"/>
                <w:szCs w:val="20"/>
              </w:rPr>
              <w:t>15</w:t>
            </w:r>
          </w:p>
        </w:tc>
        <w:tc>
          <w:tcPr>
            <w:tcW w:w="673" w:type="pct"/>
            <w:vAlign w:val="center"/>
          </w:tcPr>
          <w:p w:rsidR="00FE5586" w:rsidRPr="00E256A9" w:rsidRDefault="00FE5586" w:rsidP="00E256A9">
            <w:pPr>
              <w:pStyle w:val="TableParagraph"/>
              <w:snapToGrid w:val="0"/>
              <w:rPr>
                <w:sz w:val="20"/>
                <w:szCs w:val="20"/>
              </w:rPr>
            </w:pPr>
            <w:r w:rsidRPr="00E256A9">
              <w:rPr>
                <w:sz w:val="20"/>
                <w:szCs w:val="20"/>
              </w:rPr>
              <w:t>13-14</w:t>
            </w:r>
          </w:p>
        </w:tc>
        <w:tc>
          <w:tcPr>
            <w:tcW w:w="1221" w:type="pct"/>
            <w:vAlign w:val="center"/>
          </w:tcPr>
          <w:p w:rsidR="00FE5586" w:rsidRPr="00E256A9" w:rsidRDefault="00FE5586" w:rsidP="00E256A9">
            <w:pPr>
              <w:pStyle w:val="TableParagraph"/>
              <w:snapToGrid w:val="0"/>
              <w:rPr>
                <w:sz w:val="20"/>
                <w:szCs w:val="20"/>
              </w:rPr>
            </w:pPr>
            <w:r w:rsidRPr="00E256A9">
              <w:rPr>
                <w:sz w:val="20"/>
                <w:szCs w:val="20"/>
              </w:rPr>
              <w:t>10-12</w:t>
            </w:r>
          </w:p>
        </w:tc>
        <w:tc>
          <w:tcPr>
            <w:tcW w:w="931" w:type="pct"/>
            <w:vAlign w:val="center"/>
          </w:tcPr>
          <w:p w:rsidR="00FE5586" w:rsidRPr="00E256A9" w:rsidRDefault="00FE5586" w:rsidP="00E256A9">
            <w:pPr>
              <w:pStyle w:val="TableParagraph"/>
              <w:snapToGrid w:val="0"/>
              <w:rPr>
                <w:sz w:val="20"/>
                <w:szCs w:val="20"/>
              </w:rPr>
            </w:pPr>
            <w:r w:rsidRPr="00E256A9">
              <w:rPr>
                <w:sz w:val="20"/>
                <w:szCs w:val="20"/>
              </w:rPr>
              <w:t>6-9</w:t>
            </w:r>
          </w:p>
        </w:tc>
        <w:tc>
          <w:tcPr>
            <w:tcW w:w="723" w:type="pct"/>
            <w:vAlign w:val="center"/>
          </w:tcPr>
          <w:p w:rsidR="00FE5586" w:rsidRPr="00E256A9" w:rsidRDefault="00FE5586" w:rsidP="00E256A9">
            <w:pPr>
              <w:pStyle w:val="TableParagraph"/>
              <w:snapToGrid w:val="0"/>
              <w:rPr>
                <w:sz w:val="20"/>
                <w:szCs w:val="20"/>
              </w:rPr>
            </w:pPr>
            <w:r w:rsidRPr="00E256A9">
              <w:rPr>
                <w:sz w:val="20"/>
                <w:szCs w:val="20"/>
              </w:rPr>
              <w:t>&lt;6</w:t>
            </w:r>
          </w:p>
        </w:tc>
      </w:tr>
      <w:tr w:rsidR="007F374E" w:rsidRPr="00E256A9" w:rsidTr="00E256A9">
        <w:trPr>
          <w:jc w:val="center"/>
        </w:trPr>
        <w:tc>
          <w:tcPr>
            <w:tcW w:w="1078" w:type="pct"/>
            <w:vAlign w:val="center"/>
          </w:tcPr>
          <w:p w:rsidR="00FE5586" w:rsidRPr="00E256A9" w:rsidRDefault="00FE5586" w:rsidP="00E256A9">
            <w:pPr>
              <w:pStyle w:val="TableParagraph"/>
              <w:snapToGrid w:val="0"/>
              <w:rPr>
                <w:sz w:val="20"/>
                <w:szCs w:val="20"/>
              </w:rPr>
            </w:pPr>
            <w:r w:rsidRPr="00E256A9">
              <w:rPr>
                <w:sz w:val="20"/>
                <w:szCs w:val="20"/>
              </w:rPr>
              <w:t>Creat. or</w:t>
            </w:r>
          </w:p>
          <w:p w:rsidR="00FE5586" w:rsidRPr="00E256A9" w:rsidRDefault="00FE5586" w:rsidP="00E256A9">
            <w:pPr>
              <w:pStyle w:val="TableParagraph"/>
              <w:snapToGrid w:val="0"/>
              <w:rPr>
                <w:sz w:val="20"/>
                <w:szCs w:val="20"/>
              </w:rPr>
            </w:pPr>
            <w:r w:rsidRPr="00E256A9">
              <w:rPr>
                <w:sz w:val="20"/>
                <w:szCs w:val="20"/>
              </w:rPr>
              <w:t>UO</w:t>
            </w:r>
            <w:r w:rsidR="00ED5BD8" w:rsidRPr="00E256A9">
              <w:rPr>
                <w:sz w:val="20"/>
                <w:szCs w:val="20"/>
              </w:rPr>
              <w:t>P (</w:t>
            </w:r>
            <w:r w:rsidRPr="00E256A9">
              <w:rPr>
                <w:sz w:val="20"/>
                <w:szCs w:val="20"/>
              </w:rPr>
              <w:t>ml)</w:t>
            </w:r>
          </w:p>
        </w:tc>
        <w:tc>
          <w:tcPr>
            <w:tcW w:w="374" w:type="pct"/>
            <w:vAlign w:val="center"/>
          </w:tcPr>
          <w:p w:rsidR="00FE5586" w:rsidRPr="00E256A9" w:rsidRDefault="00FE5586" w:rsidP="00E256A9">
            <w:pPr>
              <w:pStyle w:val="TableParagraph"/>
              <w:snapToGrid w:val="0"/>
              <w:rPr>
                <w:sz w:val="20"/>
                <w:szCs w:val="20"/>
              </w:rPr>
            </w:pPr>
            <w:r w:rsidRPr="00E256A9">
              <w:rPr>
                <w:sz w:val="20"/>
                <w:szCs w:val="20"/>
              </w:rPr>
              <w:t>&lt;1.2</w:t>
            </w:r>
          </w:p>
        </w:tc>
        <w:tc>
          <w:tcPr>
            <w:tcW w:w="673" w:type="pct"/>
            <w:vAlign w:val="center"/>
          </w:tcPr>
          <w:p w:rsidR="00FE5586" w:rsidRPr="00E256A9" w:rsidRDefault="00FE5586" w:rsidP="00E256A9">
            <w:pPr>
              <w:pStyle w:val="TableParagraph"/>
              <w:snapToGrid w:val="0"/>
              <w:rPr>
                <w:sz w:val="20"/>
                <w:szCs w:val="20"/>
              </w:rPr>
            </w:pPr>
            <w:r w:rsidRPr="00E256A9">
              <w:rPr>
                <w:sz w:val="20"/>
                <w:szCs w:val="20"/>
              </w:rPr>
              <w:t>1.2-1.9</w:t>
            </w:r>
          </w:p>
        </w:tc>
        <w:tc>
          <w:tcPr>
            <w:tcW w:w="1221" w:type="pct"/>
            <w:vAlign w:val="center"/>
          </w:tcPr>
          <w:p w:rsidR="00FE5586" w:rsidRPr="00E256A9" w:rsidRDefault="00FE5586" w:rsidP="00E256A9">
            <w:pPr>
              <w:pStyle w:val="TableParagraph"/>
              <w:snapToGrid w:val="0"/>
              <w:rPr>
                <w:sz w:val="20"/>
                <w:szCs w:val="20"/>
              </w:rPr>
            </w:pPr>
            <w:r w:rsidRPr="00E256A9">
              <w:rPr>
                <w:sz w:val="20"/>
                <w:szCs w:val="20"/>
              </w:rPr>
              <w:t>2-3.4</w:t>
            </w:r>
          </w:p>
        </w:tc>
        <w:tc>
          <w:tcPr>
            <w:tcW w:w="931" w:type="pct"/>
            <w:vAlign w:val="center"/>
          </w:tcPr>
          <w:p w:rsidR="00FE5586" w:rsidRPr="00E256A9" w:rsidRDefault="00FE5586" w:rsidP="00E256A9">
            <w:pPr>
              <w:pStyle w:val="TableParagraph"/>
              <w:snapToGrid w:val="0"/>
              <w:rPr>
                <w:sz w:val="20"/>
                <w:szCs w:val="20"/>
              </w:rPr>
            </w:pPr>
            <w:r w:rsidRPr="00E256A9">
              <w:rPr>
                <w:sz w:val="20"/>
                <w:szCs w:val="20"/>
              </w:rPr>
              <w:t>3.5-4.9 or</w:t>
            </w:r>
          </w:p>
          <w:p w:rsidR="00FE5586" w:rsidRPr="00E256A9" w:rsidRDefault="00FE5586" w:rsidP="00E256A9">
            <w:pPr>
              <w:pStyle w:val="TableParagraph"/>
              <w:snapToGrid w:val="0"/>
              <w:rPr>
                <w:sz w:val="20"/>
                <w:szCs w:val="20"/>
              </w:rPr>
            </w:pPr>
            <w:r w:rsidRPr="00E256A9">
              <w:rPr>
                <w:sz w:val="20"/>
                <w:szCs w:val="20"/>
              </w:rPr>
              <w:t>&lt;500ml</w:t>
            </w:r>
          </w:p>
        </w:tc>
        <w:tc>
          <w:tcPr>
            <w:tcW w:w="723" w:type="pct"/>
            <w:vAlign w:val="center"/>
          </w:tcPr>
          <w:p w:rsidR="00FE5586" w:rsidRPr="00E256A9" w:rsidRDefault="00FE5586" w:rsidP="00E256A9">
            <w:pPr>
              <w:pStyle w:val="TableParagraph"/>
              <w:snapToGrid w:val="0"/>
              <w:rPr>
                <w:sz w:val="20"/>
                <w:szCs w:val="20"/>
              </w:rPr>
            </w:pPr>
            <w:r w:rsidRPr="00E256A9">
              <w:rPr>
                <w:sz w:val="20"/>
                <w:szCs w:val="20"/>
              </w:rPr>
              <w:t>&gt;5.0 or &lt;200ml</w:t>
            </w:r>
          </w:p>
        </w:tc>
      </w:tr>
    </w:tbl>
    <w:p w:rsidR="00756ADC" w:rsidRDefault="00756ADC" w:rsidP="00756ADC">
      <w:pPr>
        <w:snapToGrid w:val="0"/>
        <w:spacing w:after="0" w:line="240" w:lineRule="auto"/>
        <w:jc w:val="both"/>
        <w:rPr>
          <w:rFonts w:ascii="Times New Roman" w:hAnsi="Times New Roman" w:cs="Times New Roman" w:hint="eastAsia"/>
          <w:b/>
          <w:bCs/>
          <w:sz w:val="20"/>
          <w:szCs w:val="20"/>
          <w:lang w:eastAsia="zh-CN" w:bidi="ar-EG"/>
        </w:rPr>
      </w:pPr>
    </w:p>
    <w:p w:rsidR="00E256A9" w:rsidRDefault="00E256A9" w:rsidP="00756ADC">
      <w:pPr>
        <w:snapToGrid w:val="0"/>
        <w:spacing w:after="0" w:line="240" w:lineRule="auto"/>
        <w:jc w:val="both"/>
        <w:rPr>
          <w:rFonts w:ascii="Times New Roman" w:hAnsi="Times New Roman" w:cs="Times New Roman" w:hint="eastAsia"/>
          <w:b/>
          <w:bCs/>
          <w:sz w:val="20"/>
          <w:szCs w:val="20"/>
          <w:lang w:eastAsia="zh-CN" w:bidi="ar-EG"/>
        </w:rPr>
      </w:pPr>
    </w:p>
    <w:p w:rsidR="00E256A9" w:rsidRPr="00E256A9" w:rsidRDefault="00E256A9" w:rsidP="00756ADC">
      <w:pPr>
        <w:snapToGrid w:val="0"/>
        <w:spacing w:after="0" w:line="240" w:lineRule="auto"/>
        <w:jc w:val="both"/>
        <w:rPr>
          <w:rFonts w:ascii="Times New Roman" w:hAnsi="Times New Roman" w:cs="Times New Roman" w:hint="eastAsia"/>
          <w:b/>
          <w:bCs/>
          <w:sz w:val="20"/>
          <w:szCs w:val="20"/>
          <w:lang w:eastAsia="zh-CN" w:bidi="ar-EG"/>
        </w:rPr>
      </w:pPr>
    </w:p>
    <w:p w:rsidR="00E256A9" w:rsidRPr="00E256A9" w:rsidRDefault="00E256A9" w:rsidP="00756ADC">
      <w:pPr>
        <w:snapToGrid w:val="0"/>
        <w:spacing w:after="0" w:line="240" w:lineRule="auto"/>
        <w:jc w:val="both"/>
        <w:rPr>
          <w:rFonts w:ascii="Times New Roman" w:hAnsi="Times New Roman" w:cs="Times New Roman" w:hint="eastAsia"/>
          <w:b/>
          <w:bCs/>
          <w:sz w:val="20"/>
          <w:szCs w:val="20"/>
          <w:lang w:eastAsia="zh-CN" w:bidi="ar-EG"/>
        </w:rPr>
        <w:sectPr w:rsidR="00E256A9" w:rsidRPr="00E256A9" w:rsidSect="00141C3D">
          <w:type w:val="continuous"/>
          <w:pgSz w:w="12240" w:h="15840" w:code="9"/>
          <w:pgMar w:top="1440" w:right="1440" w:bottom="1440" w:left="1440" w:header="720" w:footer="720" w:gutter="0"/>
          <w:cols w:space="720"/>
          <w:docGrid w:linePitch="360"/>
        </w:sectPr>
      </w:pPr>
    </w:p>
    <w:p w:rsidR="00FE5586"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lastRenderedPageBreak/>
        <w:t>3. Results</w:t>
      </w:r>
    </w:p>
    <w:p w:rsidR="00FE5586" w:rsidRPr="00E256A9" w:rsidRDefault="00FE5586" w:rsidP="00756ADC">
      <w:pPr>
        <w:snapToGrid w:val="0"/>
        <w:spacing w:after="0" w:line="240" w:lineRule="auto"/>
        <w:jc w:val="both"/>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Demographic Data of Studied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3</w:t>
      </w:r>
      <w:r w:rsidRPr="00E256A9">
        <w:rPr>
          <w:rFonts w:ascii="Times New Roman" w:eastAsia="Calibri" w:hAnsi="Times New Roman" w:cs="Times New Roman"/>
          <w:sz w:val="20"/>
          <w:szCs w:val="20"/>
        </w:rPr>
        <w:t xml:space="preserve"> shows the demographic data of studied patients. Mean age of survivors was 53.47 ± 14.26 years and 10 (53%) of them were males where mean </w:t>
      </w:r>
      <w:r w:rsidRPr="00E256A9">
        <w:rPr>
          <w:rFonts w:ascii="Times New Roman" w:eastAsia="Calibri" w:hAnsi="Times New Roman" w:cs="Times New Roman"/>
          <w:sz w:val="20"/>
          <w:szCs w:val="20"/>
        </w:rPr>
        <w:lastRenderedPageBreak/>
        <w:t>age of non-survivors was 56.79± 11.766 years and 13 (68%) of them were males. Both groups had no significant differences regarding age and sex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&gt; 0.05). </w:t>
      </w:r>
    </w:p>
    <w:p w:rsidR="00756ADC" w:rsidRPr="00E256A9" w:rsidRDefault="00756ADC" w:rsidP="00756ADC">
      <w:pPr>
        <w:snapToGrid w:val="0"/>
        <w:spacing w:after="0" w:line="240" w:lineRule="auto"/>
        <w:jc w:val="both"/>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F91D83" w:rsidRPr="00E256A9" w:rsidRDefault="00F91D83" w:rsidP="00756ADC">
      <w:pPr>
        <w:snapToGrid w:val="0"/>
        <w:spacing w:after="0" w:line="240" w:lineRule="auto"/>
        <w:jc w:val="both"/>
        <w:rPr>
          <w:rFonts w:ascii="Times New Roman" w:eastAsia="Calibri" w:hAnsi="Times New Roman" w:cs="Times New Roman"/>
          <w:b/>
          <w:bCs/>
          <w:sz w:val="20"/>
          <w:szCs w:val="20"/>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snapToGrid w:val="0"/>
        <w:spacing w:after="0" w:line="240" w:lineRule="auto"/>
        <w:jc w:val="center"/>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8421B1"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3</w:t>
      </w:r>
      <w:r w:rsidR="008421B1"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Demographic data of studied patients</w:t>
      </w:r>
    </w:p>
    <w:tbl>
      <w:tblPr>
        <w:tblStyle w:val="TableGrid"/>
        <w:tblW w:w="5000" w:type="pct"/>
        <w:jc w:val="center"/>
        <w:tblCellMar>
          <w:left w:w="57" w:type="dxa"/>
          <w:right w:w="57" w:type="dxa"/>
        </w:tblCellMar>
        <w:tblLook w:val="04A0"/>
      </w:tblPr>
      <w:tblGrid>
        <w:gridCol w:w="1588"/>
        <w:gridCol w:w="3098"/>
        <w:gridCol w:w="3661"/>
        <w:gridCol w:w="1127"/>
      </w:tblGrid>
      <w:tr w:rsidR="007F374E" w:rsidRPr="00E256A9" w:rsidTr="00ED5BD8">
        <w:trPr>
          <w:jc w:val="center"/>
        </w:trPr>
        <w:tc>
          <w:tcPr>
            <w:tcW w:w="838" w:type="pct"/>
            <w:vAlign w:val="center"/>
          </w:tcPr>
          <w:p w:rsidR="00FE5586" w:rsidRPr="00E256A9" w:rsidRDefault="00FE5586" w:rsidP="00756ADC">
            <w:pPr>
              <w:snapToGrid w:val="0"/>
              <w:jc w:val="both"/>
              <w:rPr>
                <w:rFonts w:ascii="Times New Roman" w:eastAsia="Calibri" w:hAnsi="Times New Roman" w:cs="Times New Roman"/>
                <w:sz w:val="20"/>
                <w:szCs w:val="20"/>
              </w:rPr>
            </w:pPr>
          </w:p>
        </w:tc>
        <w:tc>
          <w:tcPr>
            <w:tcW w:w="163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93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(n=</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24)</w:t>
            </w:r>
          </w:p>
        </w:tc>
        <w:tc>
          <w:tcPr>
            <w:tcW w:w="59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838" w:type="pct"/>
            <w:vAlign w:val="center"/>
          </w:tcPr>
          <w:p w:rsidR="00FE5586" w:rsidRPr="00E256A9" w:rsidRDefault="00FE5586" w:rsidP="00756ADC">
            <w:pPr>
              <w:snapToGrid w:val="0"/>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Age</w:t>
            </w:r>
            <w:r w:rsidRPr="00E256A9">
              <w:rPr>
                <w:rFonts w:ascii="Times New Roman" w:eastAsia="Calibri" w:hAnsi="Times New Roman" w:cs="Times New Roman"/>
                <w:sz w:val="20"/>
                <w:szCs w:val="20"/>
              </w:rPr>
              <w:t xml:space="preserve"> (years)</w:t>
            </w:r>
          </w:p>
        </w:tc>
        <w:tc>
          <w:tcPr>
            <w:tcW w:w="1635" w:type="pct"/>
            <w:vAlign w:val="center"/>
          </w:tcPr>
          <w:p w:rsidR="00FE5586" w:rsidRPr="00E256A9" w:rsidRDefault="00FE5586" w:rsidP="00756ADC">
            <w:pPr>
              <w:snapToGrid w:val="0"/>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53.47 ± 14.26</w:t>
            </w:r>
          </w:p>
        </w:tc>
        <w:tc>
          <w:tcPr>
            <w:tcW w:w="1932" w:type="pct"/>
            <w:vAlign w:val="center"/>
          </w:tcPr>
          <w:p w:rsidR="00FE5586" w:rsidRPr="00E256A9" w:rsidRDefault="00FE5586" w:rsidP="00756ADC">
            <w:pPr>
              <w:snapToGrid w:val="0"/>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56.79± 11.766</w:t>
            </w:r>
          </w:p>
        </w:tc>
        <w:tc>
          <w:tcPr>
            <w:tcW w:w="595" w:type="pct"/>
            <w:vAlign w:val="center"/>
          </w:tcPr>
          <w:p w:rsidR="00FE5586" w:rsidRPr="00E256A9" w:rsidRDefault="00FE5586" w:rsidP="00756ADC">
            <w:pPr>
              <w:snapToGrid w:val="0"/>
              <w:jc w:val="both"/>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0.45</w:t>
            </w:r>
          </w:p>
        </w:tc>
      </w:tr>
      <w:tr w:rsidR="007F374E" w:rsidRPr="00E256A9" w:rsidTr="00ED5BD8">
        <w:trPr>
          <w:jc w:val="center"/>
        </w:trPr>
        <w:tc>
          <w:tcPr>
            <w:tcW w:w="838" w:type="pct"/>
            <w:vAlign w:val="center"/>
          </w:tcPr>
          <w:p w:rsidR="00FE5586" w:rsidRPr="00E256A9" w:rsidRDefault="00FE5586" w:rsidP="00756ADC">
            <w:pPr>
              <w:snapToGrid w:val="0"/>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Sex</w:t>
            </w:r>
            <w:r w:rsidRPr="00E256A9">
              <w:rPr>
                <w:rFonts w:ascii="Times New Roman" w:eastAsia="Calibri" w:hAnsi="Times New Roman" w:cs="Times New Roman"/>
                <w:sz w:val="20"/>
                <w:szCs w:val="20"/>
              </w:rPr>
              <w:t xml:space="preserve"> (M/F)</w:t>
            </w:r>
          </w:p>
        </w:tc>
        <w:tc>
          <w:tcPr>
            <w:tcW w:w="1635"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 9</w:t>
            </w:r>
          </w:p>
        </w:tc>
        <w:tc>
          <w:tcPr>
            <w:tcW w:w="1932"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13/11</w:t>
            </w:r>
          </w:p>
        </w:tc>
        <w:tc>
          <w:tcPr>
            <w:tcW w:w="595" w:type="pct"/>
            <w:vAlign w:val="center"/>
          </w:tcPr>
          <w:p w:rsidR="00FE5586" w:rsidRPr="00E256A9" w:rsidRDefault="00FE5586" w:rsidP="00756ADC">
            <w:pPr>
              <w:snapToGrid w:val="0"/>
              <w:jc w:val="both"/>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mean (SD), frequency (percentage). </w:t>
      </w:r>
      <w:r w:rsidRPr="00E256A9">
        <w:rPr>
          <w:rFonts w:ascii="Times New Roman" w:eastAsia="Calibri" w:hAnsi="Times New Roman" w:cs="Times New Roman"/>
          <w:b/>
          <w:bCs/>
          <w:i/>
          <w:iCs/>
          <w:sz w:val="20"/>
          <w:szCs w:val="20"/>
        </w:rPr>
        <w:t>P</w:t>
      </w:r>
      <w:r w:rsidRPr="00E256A9">
        <w:rPr>
          <w:rFonts w:ascii="Times New Roman" w:eastAsia="Calibri" w:hAnsi="Times New Roman" w:cs="Times New Roman"/>
          <w:sz w:val="20"/>
          <w:szCs w:val="20"/>
        </w:rPr>
        <w:t xml:space="preserve"> value was significant if &lt; 0.05. </w:t>
      </w:r>
      <w:r w:rsidRPr="00E256A9">
        <w:rPr>
          <w:rFonts w:ascii="Times New Roman" w:eastAsia="Calibri" w:hAnsi="Times New Roman" w:cs="Times New Roman"/>
          <w:b/>
          <w:bCs/>
          <w:sz w:val="20"/>
          <w:szCs w:val="20"/>
        </w:rPr>
        <w:t>n,</w:t>
      </w:r>
      <w:r w:rsidRPr="00E256A9">
        <w:rPr>
          <w:rFonts w:ascii="Times New Roman" w:eastAsia="Calibri" w:hAnsi="Times New Roman" w:cs="Times New Roman"/>
          <w:sz w:val="20"/>
          <w:szCs w:val="20"/>
        </w:rPr>
        <w:t xml:space="preserve"> number</w:t>
      </w:r>
    </w:p>
    <w:p w:rsidR="002D6C06" w:rsidRDefault="002D6C06" w:rsidP="00756ADC">
      <w:pPr>
        <w:snapToGrid w:val="0"/>
        <w:spacing w:after="0" w:line="240" w:lineRule="auto"/>
        <w:jc w:val="both"/>
        <w:rPr>
          <w:rFonts w:ascii="Times New Roman" w:hAnsi="Times New Roman" w:cs="Times New Roman" w:hint="eastAsia"/>
          <w:b/>
          <w:bCs/>
          <w:sz w:val="20"/>
          <w:szCs w:val="20"/>
          <w:lang w:eastAsia="zh-CN"/>
        </w:rPr>
      </w:pPr>
    </w:p>
    <w:p w:rsidR="00E256A9" w:rsidRPr="00E256A9" w:rsidRDefault="00E256A9" w:rsidP="00756ADC">
      <w:pPr>
        <w:snapToGrid w:val="0"/>
        <w:spacing w:after="0" w:line="240" w:lineRule="auto"/>
        <w:jc w:val="both"/>
        <w:rPr>
          <w:rFonts w:ascii="Times New Roman" w:hAnsi="Times New Roman" w:cs="Times New Roman" w:hint="eastAsia"/>
          <w:b/>
          <w:bCs/>
          <w:sz w:val="20"/>
          <w:szCs w:val="20"/>
          <w:lang w:eastAsia="zh-CN"/>
        </w:rPr>
      </w:pPr>
    </w:p>
    <w:p w:rsidR="00756ADC" w:rsidRPr="00E256A9" w:rsidRDefault="00756ADC" w:rsidP="00756ADC">
      <w:pPr>
        <w:snapToGrid w:val="0"/>
        <w:spacing w:after="0" w:line="240" w:lineRule="auto"/>
        <w:jc w:val="center"/>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lastRenderedPageBreak/>
        <w:t>Heart Rate in Studied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4</w:t>
      </w:r>
      <w:r w:rsidRPr="00E256A9">
        <w:rPr>
          <w:rFonts w:ascii="Times New Roman" w:eastAsia="Calibri" w:hAnsi="Times New Roman" w:cs="Times New Roman"/>
          <w:sz w:val="20"/>
          <w:szCs w:val="20"/>
        </w:rPr>
        <w:t xml:space="preserve"> shows changes in heart rate in both groups over seven days where it was recorded every eight hours. It was noticed that non- survivors had </w:t>
      </w:r>
      <w:r w:rsidRPr="00E256A9">
        <w:rPr>
          <w:rFonts w:ascii="Times New Roman" w:eastAsia="Calibri" w:hAnsi="Times New Roman" w:cs="Times New Roman"/>
          <w:sz w:val="20"/>
          <w:szCs w:val="20"/>
        </w:rPr>
        <w:lastRenderedPageBreak/>
        <w:t>significantly higher heart rate in comparison to survivors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4</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5</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and 6</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but at other days both groups had no significant differences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&gt; 0.05).</w:t>
      </w:r>
    </w:p>
    <w:p w:rsidR="00756ADC" w:rsidRPr="00E256A9" w:rsidRDefault="00756ADC" w:rsidP="00756ADC">
      <w:pPr>
        <w:snapToGrid w:val="0"/>
        <w:spacing w:after="0" w:line="240" w:lineRule="auto"/>
        <w:jc w:val="center"/>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2D6C06" w:rsidRPr="00E256A9" w:rsidRDefault="002D6C06" w:rsidP="00756ADC">
      <w:pPr>
        <w:snapToGrid w:val="0"/>
        <w:spacing w:after="0" w:line="240" w:lineRule="auto"/>
        <w:jc w:val="center"/>
        <w:rPr>
          <w:rFonts w:ascii="Times New Roman" w:eastAsia="Calibri" w:hAnsi="Times New Roman" w:cs="Times New Roman"/>
          <w:b/>
          <w:bCs/>
          <w:sz w:val="20"/>
          <w:szCs w:val="20"/>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snapToGrid w:val="0"/>
        <w:spacing w:after="0" w:line="240" w:lineRule="auto"/>
        <w:jc w:val="center"/>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 xml:space="preserve">Table </w:t>
      </w:r>
      <w:r w:rsidR="00531CDA"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4</w:t>
      </w:r>
      <w:r w:rsidR="00531CDA"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Heart Rate in Studied Groups</w:t>
      </w:r>
    </w:p>
    <w:tbl>
      <w:tblPr>
        <w:tblStyle w:val="TableGrid"/>
        <w:tblW w:w="5000" w:type="pct"/>
        <w:jc w:val="center"/>
        <w:tblCellMar>
          <w:left w:w="57" w:type="dxa"/>
          <w:right w:w="57" w:type="dxa"/>
        </w:tblCellMar>
        <w:tblLook w:val="04A0"/>
      </w:tblPr>
      <w:tblGrid>
        <w:gridCol w:w="1523"/>
        <w:gridCol w:w="3106"/>
        <w:gridCol w:w="3670"/>
        <w:gridCol w:w="1175"/>
      </w:tblGrid>
      <w:tr w:rsidR="007F374E" w:rsidRPr="00E256A9" w:rsidTr="00ED5BD8">
        <w:trPr>
          <w:jc w:val="center"/>
        </w:trPr>
        <w:tc>
          <w:tcPr>
            <w:tcW w:w="804" w:type="pct"/>
            <w:vAlign w:val="center"/>
          </w:tcPr>
          <w:p w:rsidR="00FE5586" w:rsidRPr="00E256A9" w:rsidRDefault="00531CDA"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Heart rate</w:t>
            </w:r>
          </w:p>
        </w:tc>
        <w:tc>
          <w:tcPr>
            <w:tcW w:w="163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93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24)</w:t>
            </w:r>
          </w:p>
        </w:tc>
        <w:tc>
          <w:tcPr>
            <w:tcW w:w="62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002D6C06" w:rsidRPr="00E256A9">
              <w:rPr>
                <w:rFonts w:ascii="Times New Roman" w:hAnsi="Times New Roman" w:cs="Times New Roman"/>
                <w:b/>
                <w:bCs/>
                <w:sz w:val="20"/>
                <w:szCs w:val="20"/>
              </w:rPr>
              <w:t>d</w:t>
            </w:r>
            <w:r w:rsidRPr="00E256A9">
              <w:rPr>
                <w:rFonts w:ascii="Times New Roman" w:hAnsi="Times New Roman" w:cs="Times New Roman"/>
                <w:b/>
                <w:bCs/>
                <w:sz w:val="20"/>
                <w:szCs w:val="20"/>
              </w:rPr>
              <w:t xml:space="preserve">ay </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120.79± 10.96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113.5±26.39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116.68± 9.036</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115.63± 20.39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114± 19.01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11.96± 19.3</w:t>
            </w:r>
          </w:p>
        </w:tc>
        <w:tc>
          <w:tcPr>
            <w:tcW w:w="620"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0.33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0.97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0.33</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2</w:t>
            </w:r>
            <w:r w:rsidRPr="00E256A9">
              <w:rPr>
                <w:rFonts w:ascii="Times New Roman" w:hAnsi="Times New Roman" w:cs="Times New Roman"/>
                <w:b/>
                <w:bCs/>
                <w:sz w:val="20"/>
                <w:szCs w:val="20"/>
                <w:vertAlign w:val="superscript"/>
              </w:rPr>
              <w:t>nd</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112.11±10.18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111.53± 10.2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109.25± 10.23</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113.13±16.02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112. 2±15.29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113.3± 15.24</w:t>
            </w:r>
          </w:p>
        </w:tc>
        <w:tc>
          <w:tcPr>
            <w:tcW w:w="620"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0.81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0.94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0.57</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102.11±8.38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101.79±8.61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101.2± 8.39</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112.04±14.3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110.75±14.1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113.13± 16.12</w:t>
            </w:r>
          </w:p>
        </w:tc>
        <w:tc>
          <w:tcPr>
            <w:tcW w:w="620" w:type="pct"/>
            <w:vAlign w:val="center"/>
          </w:tcPr>
          <w:p w:rsidR="00FE5586" w:rsidRPr="00E256A9" w:rsidRDefault="00FE5586" w:rsidP="00756ADC">
            <w:pPr>
              <w:pStyle w:val="ListParagraph"/>
              <w:snapToGrid w:val="0"/>
              <w:ind w:left="0"/>
              <w:contextualSpacing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0.02</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4</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94.47±7.43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94.21±7.2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93.79±6.11</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111.25±13.04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111.58±11.57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110.67±12.37</w:t>
            </w:r>
          </w:p>
        </w:tc>
        <w:tc>
          <w:tcPr>
            <w:tcW w:w="620" w:type="pct"/>
            <w:vAlign w:val="center"/>
          </w:tcPr>
          <w:p w:rsidR="00FE5586" w:rsidRPr="00E256A9" w:rsidRDefault="00FE5586" w:rsidP="00756ADC">
            <w:pPr>
              <w:snapToGrid w:val="0"/>
              <w:jc w:val="both"/>
              <w:rPr>
                <w:rFonts w:ascii="Times New Roman" w:hAnsi="Times New Roman" w:cs="Times New Roman"/>
                <w:b/>
                <w:bCs/>
                <w:sz w:val="20"/>
                <w:szCs w:val="20"/>
              </w:rPr>
            </w:pPr>
          </w:p>
          <w:p w:rsidR="00D25A24"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D25A24"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5</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91.21± 5.27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89.95± 2.66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88.05±3.63</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110.83±12.04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111.4±11.39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111.75± 11.27</w:t>
            </w:r>
          </w:p>
        </w:tc>
        <w:tc>
          <w:tcPr>
            <w:tcW w:w="620" w:type="pct"/>
            <w:vAlign w:val="center"/>
          </w:tcPr>
          <w:p w:rsidR="00FE5586" w:rsidRPr="00E256A9" w:rsidRDefault="00FE5586" w:rsidP="00756ADC">
            <w:pPr>
              <w:snapToGrid w:val="0"/>
              <w:jc w:val="both"/>
              <w:rPr>
                <w:rFonts w:ascii="Times New Roman" w:hAnsi="Times New Roman" w:cs="Times New Roman"/>
                <w:b/>
                <w:bCs/>
                <w:sz w:val="20"/>
                <w:szCs w:val="20"/>
              </w:rPr>
            </w:pPr>
          </w:p>
          <w:p w:rsidR="00D25A24"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6</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84.05±4.64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83.84±4.5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83.68±4.66</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102.2± 20.01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98.96±22.34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99±23.68</w:t>
            </w:r>
          </w:p>
        </w:tc>
        <w:tc>
          <w:tcPr>
            <w:tcW w:w="620" w:type="pct"/>
            <w:vAlign w:val="center"/>
          </w:tcPr>
          <w:p w:rsidR="00FE5586" w:rsidRPr="00E256A9" w:rsidRDefault="00FE5586" w:rsidP="00756ADC">
            <w:pPr>
              <w:snapToGrid w:val="0"/>
              <w:jc w:val="both"/>
              <w:rPr>
                <w:rFonts w:ascii="Times New Roman" w:hAnsi="Times New Roman" w:cs="Times New Roman"/>
                <w:b/>
                <w:bCs/>
                <w:sz w:val="20"/>
                <w:szCs w:val="20"/>
              </w:rPr>
            </w:pPr>
          </w:p>
          <w:p w:rsidR="00D25A24"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tc>
      </w:tr>
      <w:tr w:rsidR="007F374E" w:rsidRPr="00E256A9" w:rsidTr="00ED5BD8">
        <w:trPr>
          <w:jc w:val="center"/>
        </w:trPr>
        <w:tc>
          <w:tcPr>
            <w:tcW w:w="80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63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82.63±3.86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81.68±3.34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81.58±3.35</w:t>
            </w:r>
          </w:p>
        </w:tc>
        <w:tc>
          <w:tcPr>
            <w:tcW w:w="1937"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87.38±28.77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89.21±31.66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88.2±32.67</w:t>
            </w:r>
          </w:p>
        </w:tc>
        <w:tc>
          <w:tcPr>
            <w:tcW w:w="620"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0.48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0.31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sz w:val="20"/>
                <w:szCs w:val="20"/>
              </w:rPr>
              <w:t>0.38</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w:t>
      </w:r>
    </w:p>
    <w:p w:rsidR="00D25A24" w:rsidRDefault="00D25A24" w:rsidP="00756ADC">
      <w:pPr>
        <w:snapToGrid w:val="0"/>
        <w:spacing w:after="0" w:line="240" w:lineRule="auto"/>
        <w:ind w:firstLine="425"/>
        <w:jc w:val="both"/>
        <w:rPr>
          <w:rFonts w:ascii="Times New Roman" w:hAnsi="Times New Roman" w:cs="Times New Roman" w:hint="eastAsia"/>
          <w:sz w:val="20"/>
          <w:szCs w:val="20"/>
          <w:lang w:eastAsia="zh-CN"/>
        </w:rPr>
      </w:pPr>
    </w:p>
    <w:p w:rsidR="00E256A9" w:rsidRDefault="00E256A9" w:rsidP="00756ADC">
      <w:pPr>
        <w:snapToGrid w:val="0"/>
        <w:spacing w:after="0" w:line="240" w:lineRule="auto"/>
        <w:ind w:firstLine="425"/>
        <w:jc w:val="both"/>
        <w:rPr>
          <w:rFonts w:ascii="Times New Roman" w:hAnsi="Times New Roman" w:cs="Times New Roman" w:hint="eastAsia"/>
          <w:sz w:val="20"/>
          <w:szCs w:val="20"/>
          <w:lang w:eastAsia="zh-CN"/>
        </w:rPr>
      </w:pPr>
    </w:p>
    <w:p w:rsidR="00E256A9" w:rsidRDefault="00E256A9" w:rsidP="00756ADC">
      <w:pPr>
        <w:snapToGrid w:val="0"/>
        <w:spacing w:after="0" w:line="240" w:lineRule="auto"/>
        <w:ind w:firstLine="425"/>
        <w:jc w:val="both"/>
        <w:rPr>
          <w:rFonts w:ascii="Times New Roman" w:hAnsi="Times New Roman" w:cs="Times New Roman" w:hint="eastAsia"/>
          <w:sz w:val="20"/>
          <w:szCs w:val="20"/>
          <w:lang w:eastAsia="zh-CN"/>
        </w:rPr>
      </w:pPr>
    </w:p>
    <w:p w:rsidR="00E256A9" w:rsidRDefault="00E256A9" w:rsidP="00756ADC">
      <w:pPr>
        <w:snapToGrid w:val="0"/>
        <w:spacing w:after="0" w:line="240" w:lineRule="auto"/>
        <w:ind w:firstLine="425"/>
        <w:jc w:val="both"/>
        <w:rPr>
          <w:rFonts w:ascii="Times New Roman" w:hAnsi="Times New Roman" w:cs="Times New Roman" w:hint="eastAsia"/>
          <w:sz w:val="20"/>
          <w:szCs w:val="20"/>
          <w:lang w:eastAsia="zh-CN"/>
        </w:rPr>
      </w:pPr>
    </w:p>
    <w:p w:rsidR="00E256A9" w:rsidRPr="00E256A9" w:rsidRDefault="00E256A9" w:rsidP="00756ADC">
      <w:pPr>
        <w:snapToGrid w:val="0"/>
        <w:spacing w:after="0" w:line="240" w:lineRule="auto"/>
        <w:ind w:firstLine="425"/>
        <w:jc w:val="both"/>
        <w:rPr>
          <w:rFonts w:ascii="Times New Roman" w:hAnsi="Times New Roman" w:cs="Times New Roman" w:hint="eastAsia"/>
          <w:sz w:val="20"/>
          <w:szCs w:val="20"/>
          <w:lang w:eastAsia="zh-CN"/>
        </w:rPr>
      </w:pPr>
    </w:p>
    <w:p w:rsidR="00756ADC" w:rsidRPr="00E256A9" w:rsidRDefault="00756ADC" w:rsidP="00756ADC">
      <w:pPr>
        <w:snapToGrid w:val="0"/>
        <w:spacing w:after="0" w:line="240" w:lineRule="auto"/>
        <w:jc w:val="center"/>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lastRenderedPageBreak/>
        <w:t>Mean Arterial Blood Pressure in Studied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5</w:t>
      </w:r>
      <w:r w:rsidRPr="00E256A9">
        <w:rPr>
          <w:rFonts w:ascii="Times New Roman" w:eastAsia="Calibri" w:hAnsi="Times New Roman" w:cs="Times New Roman"/>
          <w:sz w:val="20"/>
          <w:szCs w:val="20"/>
        </w:rPr>
        <w:t xml:space="preserve"> shows changes in mean arterial blood pressure in both groups over seven days where it was recorded every eight hours. It was noticed that non- survivors had significantly lower mean arterial blood pressure in comparison to survivors in all 7 days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w:t>
      </w:r>
    </w:p>
    <w:p w:rsidR="002D6C06" w:rsidRPr="00E256A9" w:rsidRDefault="002D6C06" w:rsidP="00756ADC">
      <w:pPr>
        <w:snapToGrid w:val="0"/>
        <w:spacing w:after="0" w:line="240" w:lineRule="auto"/>
        <w:jc w:val="both"/>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Body Temperature in Studied Groups:</w:t>
      </w:r>
    </w:p>
    <w:p w:rsidR="002D6C06" w:rsidRPr="00E256A9" w:rsidRDefault="002D6C0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Table 6</w:t>
      </w:r>
      <w:r w:rsidRPr="00E256A9">
        <w:rPr>
          <w:rFonts w:ascii="Times New Roman" w:eastAsia="Calibri" w:hAnsi="Times New Roman" w:cs="Times New Roman"/>
          <w:sz w:val="20"/>
          <w:szCs w:val="20"/>
        </w:rPr>
        <w:t xml:space="preserve"> shows changes in body temperature in both groups over seven days where it was recorded every eight hours. It was noticed that non- survivors had significantly higher body temperature in </w:t>
      </w:r>
      <w:r w:rsidRPr="00E256A9">
        <w:rPr>
          <w:rFonts w:ascii="Times New Roman" w:eastAsia="Calibri" w:hAnsi="Times New Roman" w:cs="Times New Roman"/>
          <w:sz w:val="20"/>
          <w:szCs w:val="20"/>
        </w:rPr>
        <w:lastRenderedPageBreak/>
        <w:t>comparison to survivors starting from the 2</w:t>
      </w:r>
      <w:r w:rsidRPr="00E256A9">
        <w:rPr>
          <w:rFonts w:ascii="Times New Roman" w:eastAsia="Calibri" w:hAnsi="Times New Roman" w:cs="Times New Roman"/>
          <w:sz w:val="20"/>
          <w:szCs w:val="20"/>
          <w:vertAlign w:val="superscript"/>
        </w:rPr>
        <w:t>nd</w:t>
      </w:r>
      <w:r w:rsidRPr="00E256A9">
        <w:rPr>
          <w:rFonts w:ascii="Times New Roman" w:eastAsia="Calibri" w:hAnsi="Times New Roman" w:cs="Times New Roman"/>
          <w:sz w:val="20"/>
          <w:szCs w:val="20"/>
        </w:rPr>
        <w:t xml:space="preserve"> day till the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w:t>
      </w:r>
    </w:p>
    <w:p w:rsidR="002D6C06" w:rsidRPr="00E256A9" w:rsidRDefault="002D6C0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t>Albumin Level in Both Groups:</w:t>
      </w:r>
    </w:p>
    <w:p w:rsidR="002D6C06" w:rsidRPr="00E256A9" w:rsidRDefault="002D6C0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Table 7</w:t>
      </w:r>
      <w:r w:rsidRPr="00E256A9">
        <w:rPr>
          <w:rFonts w:ascii="Times New Roman" w:eastAsia="Calibri" w:hAnsi="Times New Roman" w:cs="Times New Roman"/>
          <w:sz w:val="20"/>
          <w:szCs w:val="20"/>
        </w:rPr>
        <w:t xml:space="preserve"> shows changes in albumin level in both groups where it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that non- survivors had significantly lower albumin level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albumin level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survivors but in case of non- survivor it showed significant decrease.</w:t>
      </w:r>
    </w:p>
    <w:p w:rsidR="00756ADC" w:rsidRPr="00E256A9" w:rsidRDefault="00756ADC" w:rsidP="00756ADC">
      <w:pPr>
        <w:snapToGrid w:val="0"/>
        <w:spacing w:after="0" w:line="240" w:lineRule="auto"/>
        <w:jc w:val="center"/>
        <w:rPr>
          <w:rFonts w:ascii="Times New Roman" w:eastAsia="Calibri" w:hAnsi="Times New Roman" w:cs="Times New Roman"/>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2D6C06" w:rsidRPr="00E256A9" w:rsidRDefault="002D6C06" w:rsidP="00756ADC">
      <w:pPr>
        <w:snapToGrid w:val="0"/>
        <w:spacing w:after="0" w:line="240" w:lineRule="auto"/>
        <w:jc w:val="center"/>
        <w:rPr>
          <w:rFonts w:ascii="Times New Roman" w:eastAsia="Calibri" w:hAnsi="Times New Roman" w:cs="Times New Roman"/>
          <w:sz w:val="20"/>
          <w:szCs w:val="20"/>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snapToGrid w:val="0"/>
        <w:spacing w:after="0" w:line="240" w:lineRule="auto"/>
        <w:jc w:val="center"/>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D25A24"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5</w:t>
      </w:r>
      <w:r w:rsidR="00D25A24"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Mean arterial blood pressure in Studied Groups</w:t>
      </w:r>
    </w:p>
    <w:tbl>
      <w:tblPr>
        <w:tblStyle w:val="TableGrid"/>
        <w:tblW w:w="5000" w:type="pct"/>
        <w:jc w:val="center"/>
        <w:tblCellMar>
          <w:left w:w="57" w:type="dxa"/>
          <w:right w:w="57" w:type="dxa"/>
        </w:tblCellMar>
        <w:tblLook w:val="04A0"/>
      </w:tblPr>
      <w:tblGrid>
        <w:gridCol w:w="1281"/>
        <w:gridCol w:w="2488"/>
        <w:gridCol w:w="4322"/>
        <w:gridCol w:w="1383"/>
      </w:tblGrid>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MABP</w:t>
            </w:r>
          </w:p>
          <w:p w:rsidR="00FE5586" w:rsidRPr="00E256A9" w:rsidRDefault="00FE5586" w:rsidP="00756ADC">
            <w:pPr>
              <w:snapToGrid w:val="0"/>
              <w:jc w:val="both"/>
              <w:rPr>
                <w:rFonts w:ascii="Times New Roman" w:hAnsi="Times New Roman" w:cs="Times New Roman"/>
                <w:sz w:val="20"/>
                <w:szCs w:val="20"/>
              </w:rPr>
            </w:pPr>
          </w:p>
        </w:tc>
        <w:tc>
          <w:tcPr>
            <w:tcW w:w="1313" w:type="pct"/>
            <w:vAlign w:val="center"/>
          </w:tcPr>
          <w:p w:rsidR="00D25A24"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 xml:space="preserve">Survival group </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 19)</w:t>
            </w:r>
          </w:p>
        </w:tc>
        <w:tc>
          <w:tcPr>
            <w:tcW w:w="2281"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24)</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74.3±17.63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74.16±16.99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xml:space="preserve">74.47± 15.84 </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64.29±14.39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63.88±14.09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64.75±15.31</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0.04</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0.03</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0.04</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2</w:t>
            </w:r>
            <w:r w:rsidRPr="00E256A9">
              <w:rPr>
                <w:rFonts w:ascii="Times New Roman" w:hAnsi="Times New Roman" w:cs="Times New Roman"/>
                <w:b/>
                <w:bCs/>
                <w:sz w:val="20"/>
                <w:szCs w:val="20"/>
                <w:vertAlign w:val="superscript"/>
              </w:rPr>
              <w:t>nd</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77.21±11.37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77.4±11.1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77.2±10.81</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66.88± 12.21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66.96±12.42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xml:space="preserve">66.7± 12.27 </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77.74±10.14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78.42±9.37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79.37± 9.59</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65.6±11.16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65.8±11.43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xml:space="preserve">66.04±11.31 </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25A24" w:rsidRPr="00E256A9">
              <w:rPr>
                <w:rFonts w:ascii="Times New Roman" w:hAnsi="Times New Roman" w:cs="Times New Roman"/>
                <w:b/>
                <w:bCs/>
                <w:sz w:val="20"/>
                <w:szCs w:val="20"/>
              </w:rPr>
              <w:t>1*</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4</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80.58±7.58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81.26±7.9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81.74± 7.84</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65.96±10.99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65.5±11.3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64.54± 10.37</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5</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82.53±9.19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82.32±8.53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82.37±</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8.6</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62.21±10.66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61.04±11.07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60± 11.35</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6</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83.42± 8.002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84.2±8.28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84± 8.41</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58.17±10.55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57.46±10.8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56.17± 10.97</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D42BB2"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D42BB2"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r w:rsidR="007F374E" w:rsidRPr="00E256A9" w:rsidTr="00ED5BD8">
        <w:trPr>
          <w:jc w:val="center"/>
        </w:trPr>
        <w:tc>
          <w:tcPr>
            <w:tcW w:w="67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313"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85.21±9.61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85.86±10.122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85.74± 9.86</w:t>
            </w:r>
          </w:p>
        </w:tc>
        <w:tc>
          <w:tcPr>
            <w:tcW w:w="2281"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43.75±23.95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38.3±26.07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37.7± 25.75</w:t>
            </w:r>
          </w:p>
        </w:tc>
        <w:tc>
          <w:tcPr>
            <w:tcW w:w="731"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D42BB2"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r w:rsidRPr="00E256A9">
        <w:rPr>
          <w:rFonts w:ascii="Times New Roman" w:eastAsia="Calibri" w:hAnsi="Times New Roman" w:cs="Times New Roman"/>
          <w:b/>
          <w:bCs/>
          <w:sz w:val="20"/>
          <w:szCs w:val="20"/>
        </w:rPr>
        <w:t>MABP</w:t>
      </w:r>
      <w:r w:rsidRPr="00E256A9">
        <w:rPr>
          <w:rFonts w:ascii="Times New Roman" w:eastAsia="Calibri" w:hAnsi="Times New Roman" w:cs="Times New Roman"/>
          <w:sz w:val="20"/>
          <w:szCs w:val="20"/>
        </w:rPr>
        <w:t>, mean arterial blood pressure</w:t>
      </w:r>
    </w:p>
    <w:p w:rsidR="00FE5586" w:rsidRPr="00E256A9" w:rsidRDefault="00FE5586" w:rsidP="00756ADC">
      <w:pPr>
        <w:snapToGrid w:val="0"/>
        <w:spacing w:after="0" w:line="240" w:lineRule="auto"/>
        <w:jc w:val="center"/>
        <w:rPr>
          <w:rFonts w:ascii="Times New Roman" w:hAnsi="Times New Roman" w:cs="Times New Roman"/>
          <w:sz w:val="20"/>
          <w:szCs w:val="20"/>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snapToGrid w:val="0"/>
        <w:spacing w:after="0" w:line="240" w:lineRule="auto"/>
        <w:jc w:val="center"/>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D42BB2"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6</w:t>
      </w:r>
      <w:r w:rsidR="00D42BB2"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Body temperature in Studied Groups</w:t>
      </w:r>
    </w:p>
    <w:tbl>
      <w:tblPr>
        <w:tblStyle w:val="TableGrid"/>
        <w:tblW w:w="5000" w:type="pct"/>
        <w:jc w:val="center"/>
        <w:tblCellMar>
          <w:left w:w="57" w:type="dxa"/>
          <w:right w:w="57" w:type="dxa"/>
        </w:tblCellMar>
        <w:tblLook w:val="04A0"/>
      </w:tblPr>
      <w:tblGrid>
        <w:gridCol w:w="1815"/>
        <w:gridCol w:w="2992"/>
        <w:gridCol w:w="3536"/>
        <w:gridCol w:w="1131"/>
      </w:tblGrid>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hint="eastAsia"/>
                <w:b/>
                <w:bCs/>
                <w:sz w:val="20"/>
                <w:szCs w:val="20"/>
                <w:lang w:eastAsia="zh-CN"/>
              </w:rPr>
            </w:pPr>
            <w:r w:rsidRPr="00E256A9">
              <w:rPr>
                <w:rFonts w:ascii="Times New Roman" w:hAnsi="Times New Roman" w:cs="Times New Roman"/>
                <w:b/>
                <w:bCs/>
                <w:sz w:val="20"/>
                <w:szCs w:val="20"/>
              </w:rPr>
              <w:t xml:space="preserve">Temperature </w:t>
            </w:r>
          </w:p>
        </w:tc>
        <w:tc>
          <w:tcPr>
            <w:tcW w:w="157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86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24)</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38.35±0.58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38.02±0.55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37.85± 0.49</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38.3±0.57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38.07±0.54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37.99± 0.53</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0.76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0.77</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sz w:val="20"/>
                <w:szCs w:val="20"/>
              </w:rPr>
              <w:t>0.49</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2</w:t>
            </w:r>
            <w:r w:rsidRPr="00E256A9">
              <w:rPr>
                <w:rFonts w:ascii="Times New Roman" w:hAnsi="Times New Roman" w:cs="Times New Roman"/>
                <w:b/>
                <w:bCs/>
                <w:sz w:val="20"/>
                <w:szCs w:val="20"/>
                <w:vertAlign w:val="superscript"/>
              </w:rPr>
              <w:t>nd</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37.45±0.44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37.33±0.452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37.18 ±</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0.34</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37.76±0.45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37.88±0.39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37.71±0.38</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0.02</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37.03±0.12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37.04±0.23</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37.05± 0.29</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37.58± 0.51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37.67±0.51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37.65± 0.6</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D42BB2"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4</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37.13±0.57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37.2±0.57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37.06± 0.23</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37.29±0.35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37.27±0.29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37.4± 0.45</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5</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37.29±0.31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37.27±0.11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37.1± 0.45</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37.34± 0.46</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37.5± 0.48</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37.4± 0.57</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6</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37.03±0.11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37.04±0.27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37.04± 0.21</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37.51± 0.62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37.5± 0.59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37.53± 0.54</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p w:rsidR="00FE5586" w:rsidRPr="00E256A9" w:rsidRDefault="00D42BB2"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&lt;0.001*</w:t>
            </w:r>
          </w:p>
        </w:tc>
      </w:tr>
      <w:tr w:rsidR="007F374E" w:rsidRPr="00E256A9" w:rsidTr="00ED5BD8">
        <w:trPr>
          <w:jc w:val="center"/>
        </w:trPr>
        <w:tc>
          <w:tcPr>
            <w:tcW w:w="95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w:t>
            </w:r>
          </w:p>
        </w:tc>
        <w:tc>
          <w:tcPr>
            <w:tcW w:w="1579"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37.13±0.55</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37.24±0.54</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37.16± 0.23</w:t>
            </w:r>
          </w:p>
        </w:tc>
        <w:tc>
          <w:tcPr>
            <w:tcW w:w="1866" w:type="pct"/>
            <w:vAlign w:val="center"/>
          </w:tcPr>
          <w:p w:rsidR="00FE5586" w:rsidRPr="00E256A9" w:rsidRDefault="00FE5586" w:rsidP="00756ADC">
            <w:pPr>
              <w:snapToGrid w:val="0"/>
              <w:jc w:val="both"/>
              <w:rPr>
                <w:rFonts w:ascii="Times New Roman" w:hAnsi="Times New Roman" w:cs="Times New Roman"/>
                <w:sz w:val="20"/>
                <w:szCs w:val="20"/>
              </w:rPr>
            </w:pP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37.65± 0.57</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37.63± 0.49</w:t>
            </w:r>
          </w:p>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37.67± 0.51</w:t>
            </w:r>
          </w:p>
        </w:tc>
        <w:tc>
          <w:tcPr>
            <w:tcW w:w="598" w:type="pct"/>
            <w:vAlign w:val="center"/>
          </w:tcPr>
          <w:p w:rsidR="00FE5586" w:rsidRPr="00E256A9" w:rsidRDefault="00FE5586" w:rsidP="00756ADC">
            <w:pPr>
              <w:snapToGrid w:val="0"/>
              <w:jc w:val="both"/>
              <w:rPr>
                <w:rFonts w:ascii="Times New Roman" w:hAnsi="Times New Roman" w:cs="Times New Roman"/>
                <w:b/>
                <w:bCs/>
                <w:sz w:val="20"/>
                <w:szCs w:val="20"/>
              </w:rPr>
            </w:pP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0.01</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0.02</w:t>
            </w:r>
          </w:p>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0.03</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p>
    <w:p w:rsidR="00756ADC" w:rsidRPr="00E256A9" w:rsidRDefault="00756ADC" w:rsidP="00756ADC">
      <w:pPr>
        <w:snapToGrid w:val="0"/>
        <w:spacing w:after="0" w:line="240" w:lineRule="auto"/>
        <w:jc w:val="center"/>
        <w:rPr>
          <w:rFonts w:ascii="Times New Roman" w:hAnsi="Times New Roman" w:cs="Times New Roman"/>
          <w:b/>
          <w:bCs/>
          <w:sz w:val="20"/>
          <w:szCs w:val="20"/>
          <w:lang w:eastAsia="zh-CN"/>
        </w:rPr>
      </w:pPr>
    </w:p>
    <w:p w:rsidR="00FE5586" w:rsidRPr="00E256A9" w:rsidRDefault="00FE5586" w:rsidP="00756ADC">
      <w:pPr>
        <w:snapToGrid w:val="0"/>
        <w:spacing w:after="0" w:line="240" w:lineRule="auto"/>
        <w:jc w:val="center"/>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 xml:space="preserve">Table </w:t>
      </w:r>
      <w:r w:rsidR="00D42BB2"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7</w:t>
      </w:r>
      <w:r w:rsidR="00D42BB2"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Albumin level in Studied Groups</w:t>
      </w:r>
    </w:p>
    <w:tbl>
      <w:tblPr>
        <w:tblStyle w:val="TableGrid"/>
        <w:tblW w:w="5000" w:type="pct"/>
        <w:jc w:val="center"/>
        <w:tblCellMar>
          <w:left w:w="57" w:type="dxa"/>
          <w:right w:w="57" w:type="dxa"/>
        </w:tblCellMar>
        <w:tblLook w:val="04A0"/>
      </w:tblPr>
      <w:tblGrid>
        <w:gridCol w:w="2149"/>
        <w:gridCol w:w="2861"/>
        <w:gridCol w:w="3380"/>
        <w:gridCol w:w="1084"/>
      </w:tblGrid>
      <w:tr w:rsidR="007F374E" w:rsidRPr="00E256A9" w:rsidTr="00ED5BD8">
        <w:trPr>
          <w:jc w:val="center"/>
        </w:trPr>
        <w:tc>
          <w:tcPr>
            <w:tcW w:w="113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Albumin (mg/dl)</w:t>
            </w:r>
          </w:p>
        </w:tc>
        <w:tc>
          <w:tcPr>
            <w:tcW w:w="151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78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 24)</w:t>
            </w:r>
          </w:p>
        </w:tc>
        <w:tc>
          <w:tcPr>
            <w:tcW w:w="57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113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tc>
        <w:tc>
          <w:tcPr>
            <w:tcW w:w="151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3.18 ±</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0.45</w:t>
            </w:r>
          </w:p>
        </w:tc>
        <w:tc>
          <w:tcPr>
            <w:tcW w:w="178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2.83 ±</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0.49</w:t>
            </w:r>
          </w:p>
        </w:tc>
        <w:tc>
          <w:tcPr>
            <w:tcW w:w="57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0.01</w:t>
            </w:r>
          </w:p>
        </w:tc>
      </w:tr>
      <w:tr w:rsidR="007F374E" w:rsidRPr="00E256A9" w:rsidTr="00ED5BD8">
        <w:trPr>
          <w:jc w:val="center"/>
        </w:trPr>
        <w:tc>
          <w:tcPr>
            <w:tcW w:w="113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tc>
        <w:tc>
          <w:tcPr>
            <w:tcW w:w="151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2.968 ± 0.357</w:t>
            </w:r>
          </w:p>
        </w:tc>
        <w:tc>
          <w:tcPr>
            <w:tcW w:w="178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2.42± 0.357</w:t>
            </w:r>
          </w:p>
        </w:tc>
        <w:tc>
          <w:tcPr>
            <w:tcW w:w="57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w:t>
            </w:r>
          </w:p>
        </w:tc>
      </w:tr>
      <w:tr w:rsidR="007F374E" w:rsidRPr="00E256A9" w:rsidTr="00ED5BD8">
        <w:trPr>
          <w:jc w:val="center"/>
        </w:trPr>
        <w:tc>
          <w:tcPr>
            <w:tcW w:w="113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c>
          <w:tcPr>
            <w:tcW w:w="1510" w:type="pct"/>
            <w:vAlign w:val="center"/>
          </w:tcPr>
          <w:p w:rsidR="00FE5586" w:rsidRPr="00E256A9" w:rsidRDefault="00FE5586" w:rsidP="00756ADC">
            <w:pPr>
              <w:tabs>
                <w:tab w:val="center" w:pos="1136"/>
              </w:tabs>
              <w:snapToGrid w:val="0"/>
              <w:jc w:val="both"/>
              <w:rPr>
                <w:rFonts w:ascii="Times New Roman" w:hAnsi="Times New Roman" w:cs="Times New Roman"/>
                <w:sz w:val="20"/>
                <w:szCs w:val="20"/>
              </w:rPr>
            </w:pPr>
            <w:r w:rsidRPr="00E256A9">
              <w:rPr>
                <w:rFonts w:ascii="Times New Roman" w:hAnsi="Times New Roman" w:cs="Times New Roman"/>
                <w:sz w:val="20"/>
                <w:szCs w:val="20"/>
              </w:rPr>
              <w:t>3.22± 0.34</w:t>
            </w:r>
          </w:p>
        </w:tc>
        <w:tc>
          <w:tcPr>
            <w:tcW w:w="178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2.04 ± 0.26</w:t>
            </w:r>
          </w:p>
        </w:tc>
        <w:tc>
          <w:tcPr>
            <w:tcW w:w="57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p>
    <w:p w:rsidR="002D6C06" w:rsidRPr="00E256A9" w:rsidRDefault="002D6C06" w:rsidP="00756ADC">
      <w:pPr>
        <w:snapToGrid w:val="0"/>
        <w:spacing w:after="0" w:line="240" w:lineRule="auto"/>
        <w:jc w:val="both"/>
        <w:rPr>
          <w:rFonts w:ascii="Times New Roman" w:hAnsi="Times New Roman" w:cs="Times New Roman"/>
          <w:b/>
          <w:bCs/>
          <w:sz w:val="20"/>
          <w:szCs w:val="20"/>
        </w:rPr>
      </w:pPr>
    </w:p>
    <w:p w:rsidR="00756ADC" w:rsidRPr="00E256A9" w:rsidRDefault="00756ADC" w:rsidP="00756ADC">
      <w:pPr>
        <w:snapToGrid w:val="0"/>
        <w:spacing w:after="0" w:line="240" w:lineRule="auto"/>
        <w:jc w:val="center"/>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lastRenderedPageBreak/>
        <w:t>C-reactive Protein Level in Both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8</w:t>
      </w:r>
      <w:r w:rsidRPr="00E256A9">
        <w:rPr>
          <w:rFonts w:ascii="Times New Roman" w:eastAsia="Calibri" w:hAnsi="Times New Roman" w:cs="Times New Roman"/>
          <w:sz w:val="20"/>
          <w:szCs w:val="20"/>
        </w:rPr>
        <w:t xml:space="preserve"> shows changes in CRP in both groups where it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that non- survivors had significantly higher CRP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&lt; 0.05). It was </w:t>
      </w:r>
      <w:r w:rsidRPr="00E256A9">
        <w:rPr>
          <w:rFonts w:ascii="Times New Roman" w:eastAsia="Calibri" w:hAnsi="Times New Roman" w:cs="Times New Roman"/>
          <w:sz w:val="20"/>
          <w:szCs w:val="20"/>
        </w:rPr>
        <w:lastRenderedPageBreak/>
        <w:t>noticed that CRP was significantly increased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p>
    <w:p w:rsidR="00756ADC" w:rsidRPr="00E256A9" w:rsidRDefault="00756ADC" w:rsidP="00756ADC">
      <w:pPr>
        <w:snapToGrid w:val="0"/>
        <w:spacing w:after="0" w:line="240" w:lineRule="auto"/>
        <w:jc w:val="both"/>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F91D83" w:rsidRPr="00E256A9" w:rsidRDefault="00F91D83" w:rsidP="00756ADC">
      <w:pPr>
        <w:snapToGrid w:val="0"/>
        <w:spacing w:after="0" w:line="240" w:lineRule="auto"/>
        <w:jc w:val="both"/>
        <w:rPr>
          <w:rFonts w:ascii="Times New Roman" w:eastAsia="Calibri" w:hAnsi="Times New Roman" w:cs="Times New Roman"/>
          <w:b/>
          <w:bCs/>
          <w:sz w:val="20"/>
          <w:szCs w:val="20"/>
        </w:rPr>
      </w:pPr>
    </w:p>
    <w:p w:rsidR="00FE5586" w:rsidRPr="00E256A9" w:rsidRDefault="00FE5586" w:rsidP="00756ADC">
      <w:pPr>
        <w:snapToGrid w:val="0"/>
        <w:spacing w:after="0" w:line="240" w:lineRule="auto"/>
        <w:jc w:val="center"/>
        <w:rPr>
          <w:rFonts w:ascii="Times New Roman" w:eastAsia="Calibri" w:hAnsi="Times New Roman" w:cs="Times New Roman"/>
          <w:b/>
          <w:bCs/>
          <w:sz w:val="20"/>
          <w:szCs w:val="20"/>
        </w:rPr>
      </w:pPr>
      <w:r w:rsidRPr="00E256A9">
        <w:rPr>
          <w:rFonts w:ascii="Times New Roman" w:eastAsia="Calibri" w:hAnsi="Times New Roman" w:cs="Times New Roman"/>
          <w:b/>
          <w:bCs/>
          <w:sz w:val="20"/>
          <w:szCs w:val="20"/>
        </w:rPr>
        <w:t xml:space="preserve">Table </w:t>
      </w:r>
      <w:r w:rsidR="00D42BB2"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8</w:t>
      </w:r>
      <w:r w:rsidR="00D42BB2"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CRP in Studied Groups</w:t>
      </w:r>
    </w:p>
    <w:tbl>
      <w:tblPr>
        <w:tblStyle w:val="TableGrid"/>
        <w:tblW w:w="5000" w:type="pct"/>
        <w:jc w:val="center"/>
        <w:tblCellMar>
          <w:left w:w="57" w:type="dxa"/>
          <w:right w:w="57" w:type="dxa"/>
        </w:tblCellMar>
        <w:tblLook w:val="04A0"/>
      </w:tblPr>
      <w:tblGrid>
        <w:gridCol w:w="1756"/>
        <w:gridCol w:w="3015"/>
        <w:gridCol w:w="3562"/>
        <w:gridCol w:w="1141"/>
      </w:tblGrid>
      <w:tr w:rsidR="007F374E" w:rsidRPr="00E256A9" w:rsidTr="00ED5BD8">
        <w:trPr>
          <w:jc w:val="center"/>
        </w:trPr>
        <w:tc>
          <w:tcPr>
            <w:tcW w:w="92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CRP (mg/dl)</w:t>
            </w:r>
          </w:p>
        </w:tc>
        <w:tc>
          <w:tcPr>
            <w:tcW w:w="1591"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88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 24)</w:t>
            </w:r>
          </w:p>
        </w:tc>
        <w:tc>
          <w:tcPr>
            <w:tcW w:w="60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92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tc>
        <w:tc>
          <w:tcPr>
            <w:tcW w:w="1591"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139.2</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63.39</w:t>
            </w:r>
          </w:p>
        </w:tc>
        <w:tc>
          <w:tcPr>
            <w:tcW w:w="188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170.25</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78.08</w:t>
            </w:r>
          </w:p>
        </w:tc>
        <w:tc>
          <w:tcPr>
            <w:tcW w:w="602"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0.16</w:t>
            </w:r>
          </w:p>
        </w:tc>
      </w:tr>
      <w:tr w:rsidR="007F374E" w:rsidRPr="00E256A9" w:rsidTr="00ED5BD8">
        <w:trPr>
          <w:jc w:val="center"/>
        </w:trPr>
        <w:tc>
          <w:tcPr>
            <w:tcW w:w="92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tc>
        <w:tc>
          <w:tcPr>
            <w:tcW w:w="1591"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102.2±</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47.34</w:t>
            </w:r>
          </w:p>
        </w:tc>
        <w:tc>
          <w:tcPr>
            <w:tcW w:w="188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207.29</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87.45</w:t>
            </w:r>
          </w:p>
        </w:tc>
        <w:tc>
          <w:tcPr>
            <w:tcW w:w="60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r w:rsidR="007F374E" w:rsidRPr="00E256A9" w:rsidTr="00ED5BD8">
        <w:trPr>
          <w:jc w:val="center"/>
        </w:trPr>
        <w:tc>
          <w:tcPr>
            <w:tcW w:w="92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c>
          <w:tcPr>
            <w:tcW w:w="1591"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58.37 ±</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23.78</w:t>
            </w:r>
          </w:p>
        </w:tc>
        <w:tc>
          <w:tcPr>
            <w:tcW w:w="188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251.8 ±</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91.39</w:t>
            </w:r>
          </w:p>
        </w:tc>
        <w:tc>
          <w:tcPr>
            <w:tcW w:w="60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r w:rsidRPr="00E256A9">
        <w:rPr>
          <w:rFonts w:ascii="Times New Roman" w:eastAsia="Calibri" w:hAnsi="Times New Roman" w:cs="Times New Roman"/>
          <w:b/>
          <w:bCs/>
          <w:sz w:val="20"/>
          <w:szCs w:val="20"/>
        </w:rPr>
        <w:t>CRP</w:t>
      </w:r>
      <w:r w:rsidR="00D10008" w:rsidRPr="00E256A9">
        <w:rPr>
          <w:rFonts w:ascii="Times New Roman" w:eastAsia="Calibri" w:hAnsi="Times New Roman" w:cs="Times New Roman"/>
          <w:sz w:val="20"/>
          <w:szCs w:val="20"/>
        </w:rPr>
        <w:t>, C</w:t>
      </w:r>
      <w:r w:rsidRPr="00E256A9">
        <w:rPr>
          <w:rFonts w:ascii="Times New Roman" w:eastAsia="Calibri" w:hAnsi="Times New Roman" w:cs="Times New Roman"/>
          <w:sz w:val="20"/>
          <w:szCs w:val="20"/>
        </w:rPr>
        <w:t>- reactive protein</w:t>
      </w:r>
    </w:p>
    <w:p w:rsidR="00FE5586" w:rsidRDefault="00FE5586" w:rsidP="00756ADC">
      <w:pPr>
        <w:snapToGrid w:val="0"/>
        <w:spacing w:after="0" w:line="240" w:lineRule="auto"/>
        <w:ind w:firstLine="425"/>
        <w:jc w:val="both"/>
        <w:rPr>
          <w:rFonts w:ascii="Times New Roman" w:hAnsi="Times New Roman" w:cs="Times New Roman" w:hint="eastAsia"/>
          <w:sz w:val="20"/>
          <w:szCs w:val="20"/>
          <w:lang w:eastAsia="zh-CN"/>
        </w:rPr>
      </w:pPr>
    </w:p>
    <w:p w:rsidR="00E256A9" w:rsidRPr="00E256A9" w:rsidRDefault="00E256A9" w:rsidP="00756ADC">
      <w:pPr>
        <w:snapToGrid w:val="0"/>
        <w:spacing w:after="0" w:line="240" w:lineRule="auto"/>
        <w:ind w:firstLine="425"/>
        <w:jc w:val="both"/>
        <w:rPr>
          <w:rFonts w:ascii="Times New Roman" w:hAnsi="Times New Roman" w:cs="Times New Roman" w:hint="eastAsia"/>
          <w:sz w:val="20"/>
          <w:szCs w:val="20"/>
          <w:lang w:eastAsia="zh-CN"/>
        </w:rPr>
      </w:pPr>
    </w:p>
    <w:p w:rsidR="00756ADC" w:rsidRPr="00E256A9" w:rsidRDefault="00756ADC" w:rsidP="00756ADC">
      <w:pPr>
        <w:snapToGrid w:val="0"/>
        <w:spacing w:after="0" w:line="240" w:lineRule="auto"/>
        <w:jc w:val="both"/>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lastRenderedPageBreak/>
        <w:t>Total Leucocytic Count Level in Both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9</w:t>
      </w:r>
      <w:r w:rsidRPr="00E256A9">
        <w:rPr>
          <w:rFonts w:ascii="Times New Roman" w:eastAsia="Calibri" w:hAnsi="Times New Roman" w:cs="Times New Roman"/>
          <w:sz w:val="20"/>
          <w:szCs w:val="20"/>
        </w:rPr>
        <w:t xml:space="preserve"> shows changes in TLC in both groups where it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TLC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and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but at the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non- survivors had </w:t>
      </w:r>
      <w:r w:rsidRPr="00E256A9">
        <w:rPr>
          <w:rFonts w:ascii="Times New Roman" w:eastAsia="Calibri" w:hAnsi="Times New Roman" w:cs="Times New Roman"/>
          <w:sz w:val="20"/>
          <w:szCs w:val="20"/>
        </w:rPr>
        <w:lastRenderedPageBreak/>
        <w:t>significantly higher TLC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TLC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p>
    <w:p w:rsidR="00756ADC" w:rsidRPr="00E256A9" w:rsidRDefault="00756ADC" w:rsidP="00756ADC">
      <w:pPr>
        <w:snapToGrid w:val="0"/>
        <w:spacing w:after="0" w:line="240" w:lineRule="auto"/>
        <w:ind w:firstLine="425"/>
        <w:jc w:val="both"/>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756ADC" w:rsidRPr="00E256A9" w:rsidRDefault="00756ADC" w:rsidP="00756ADC">
      <w:pPr>
        <w:snapToGrid w:val="0"/>
        <w:spacing w:after="0" w:line="240" w:lineRule="auto"/>
        <w:jc w:val="center"/>
        <w:rPr>
          <w:rFonts w:ascii="Times New Roman" w:hAnsi="Times New Roman" w:cs="Times New Roman"/>
          <w:b/>
          <w:bCs/>
          <w:sz w:val="20"/>
          <w:szCs w:val="20"/>
          <w:lang w:eastAsia="zh-CN"/>
        </w:rPr>
      </w:pPr>
    </w:p>
    <w:p w:rsidR="00FE5586" w:rsidRPr="00E256A9" w:rsidRDefault="00FE5586" w:rsidP="00756ADC">
      <w:pPr>
        <w:snapToGrid w:val="0"/>
        <w:spacing w:after="0" w:line="240" w:lineRule="auto"/>
        <w:jc w:val="center"/>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D42BB2"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9</w:t>
      </w:r>
      <w:r w:rsidR="00D42BB2"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TLC in Studied Groups</w:t>
      </w:r>
    </w:p>
    <w:tbl>
      <w:tblPr>
        <w:tblStyle w:val="TableGrid"/>
        <w:tblW w:w="5000" w:type="pct"/>
        <w:jc w:val="center"/>
        <w:tblCellMar>
          <w:left w:w="57" w:type="dxa"/>
          <w:right w:w="57" w:type="dxa"/>
        </w:tblCellMar>
        <w:tblLook w:val="04A0"/>
      </w:tblPr>
      <w:tblGrid>
        <w:gridCol w:w="1886"/>
        <w:gridCol w:w="2965"/>
        <w:gridCol w:w="3503"/>
        <w:gridCol w:w="1120"/>
      </w:tblGrid>
      <w:tr w:rsidR="007F374E" w:rsidRPr="00E256A9" w:rsidTr="00ED5BD8">
        <w:trPr>
          <w:jc w:val="center"/>
        </w:trPr>
        <w:tc>
          <w:tcPr>
            <w:tcW w:w="99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TLC (X10</w:t>
            </w:r>
            <w:r w:rsidRPr="00E256A9">
              <w:rPr>
                <w:rFonts w:ascii="Times New Roman" w:hAnsi="Times New Roman" w:cs="Times New Roman"/>
                <w:b/>
                <w:bCs/>
                <w:sz w:val="20"/>
                <w:szCs w:val="20"/>
                <w:vertAlign w:val="superscript"/>
              </w:rPr>
              <w:t>9</w:t>
            </w:r>
            <w:r w:rsidRPr="00E256A9">
              <w:rPr>
                <w:rFonts w:ascii="Times New Roman" w:hAnsi="Times New Roman" w:cs="Times New Roman"/>
                <w:b/>
                <w:bCs/>
                <w:sz w:val="20"/>
                <w:szCs w:val="20"/>
              </w:rPr>
              <w:t>/L)</w:t>
            </w:r>
          </w:p>
        </w:tc>
        <w:tc>
          <w:tcPr>
            <w:tcW w:w="156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84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 24)</w:t>
            </w:r>
          </w:p>
        </w:tc>
        <w:tc>
          <w:tcPr>
            <w:tcW w:w="59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99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tc>
        <w:tc>
          <w:tcPr>
            <w:tcW w:w="1565"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20 ± 7.57</w:t>
            </w:r>
          </w:p>
        </w:tc>
        <w:tc>
          <w:tcPr>
            <w:tcW w:w="1849"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17.47 ± 5.2</w:t>
            </w:r>
          </w:p>
        </w:tc>
        <w:tc>
          <w:tcPr>
            <w:tcW w:w="592"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0.2</w:t>
            </w:r>
          </w:p>
        </w:tc>
      </w:tr>
      <w:tr w:rsidR="007F374E" w:rsidRPr="00E256A9" w:rsidTr="00ED5BD8">
        <w:trPr>
          <w:jc w:val="center"/>
        </w:trPr>
        <w:tc>
          <w:tcPr>
            <w:tcW w:w="99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tc>
        <w:tc>
          <w:tcPr>
            <w:tcW w:w="1565"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15.34 ± 4.62</w:t>
            </w:r>
          </w:p>
        </w:tc>
        <w:tc>
          <w:tcPr>
            <w:tcW w:w="1849"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18.42± 7.23</w:t>
            </w:r>
          </w:p>
        </w:tc>
        <w:tc>
          <w:tcPr>
            <w:tcW w:w="592"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0.11</w:t>
            </w:r>
          </w:p>
        </w:tc>
      </w:tr>
      <w:tr w:rsidR="007F374E" w:rsidRPr="00E256A9" w:rsidTr="00ED5BD8">
        <w:trPr>
          <w:jc w:val="center"/>
        </w:trPr>
        <w:tc>
          <w:tcPr>
            <w:tcW w:w="995"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c>
          <w:tcPr>
            <w:tcW w:w="1565"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10.26 ±1.97</w:t>
            </w:r>
          </w:p>
        </w:tc>
        <w:tc>
          <w:tcPr>
            <w:tcW w:w="1849"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22.13± 6.28</w:t>
            </w:r>
          </w:p>
        </w:tc>
        <w:tc>
          <w:tcPr>
            <w:tcW w:w="592"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r w:rsidRPr="00E256A9">
        <w:rPr>
          <w:rFonts w:ascii="Times New Roman" w:eastAsia="Calibri" w:hAnsi="Times New Roman" w:cs="Times New Roman"/>
          <w:b/>
          <w:bCs/>
          <w:sz w:val="20"/>
          <w:szCs w:val="20"/>
        </w:rPr>
        <w:t>TLC</w:t>
      </w:r>
      <w:r w:rsidRPr="00E256A9">
        <w:rPr>
          <w:rFonts w:ascii="Times New Roman" w:eastAsia="Calibri" w:hAnsi="Times New Roman" w:cs="Times New Roman"/>
          <w:sz w:val="20"/>
          <w:szCs w:val="20"/>
        </w:rPr>
        <w:t>, total leucocytic count</w:t>
      </w:r>
    </w:p>
    <w:p w:rsidR="002D6C06" w:rsidRPr="00E256A9" w:rsidRDefault="002D6C06" w:rsidP="00756ADC">
      <w:pPr>
        <w:snapToGrid w:val="0"/>
        <w:spacing w:after="0" w:line="240" w:lineRule="auto"/>
        <w:jc w:val="both"/>
        <w:rPr>
          <w:rFonts w:ascii="Times New Roman" w:hAnsi="Times New Roman" w:cs="Times New Roman"/>
          <w:b/>
          <w:bCs/>
          <w:sz w:val="20"/>
          <w:szCs w:val="20"/>
        </w:rPr>
      </w:pPr>
    </w:p>
    <w:p w:rsidR="00756ADC" w:rsidRPr="00E256A9" w:rsidRDefault="00756ADC" w:rsidP="00756ADC">
      <w:pPr>
        <w:snapToGrid w:val="0"/>
        <w:spacing w:after="0" w:line="240" w:lineRule="auto"/>
        <w:jc w:val="both"/>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lastRenderedPageBreak/>
        <w:t>Erythrocyte Sedimentation Rate Level in Both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10</w:t>
      </w:r>
      <w:r w:rsidRPr="00E256A9">
        <w:rPr>
          <w:rFonts w:ascii="Times New Roman" w:eastAsia="Calibri" w:hAnsi="Times New Roman" w:cs="Times New Roman"/>
          <w:sz w:val="20"/>
          <w:szCs w:val="20"/>
        </w:rPr>
        <w:t xml:space="preserve"> shows changes in ESR in both groups where it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ESR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but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non- survivors had </w:t>
      </w:r>
      <w:r w:rsidRPr="00E256A9">
        <w:rPr>
          <w:rFonts w:ascii="Times New Roman" w:eastAsia="Calibri" w:hAnsi="Times New Roman" w:cs="Times New Roman"/>
          <w:sz w:val="20"/>
          <w:szCs w:val="20"/>
        </w:rPr>
        <w:lastRenderedPageBreak/>
        <w:t>significantly higher ESR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ESR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p>
    <w:p w:rsidR="00756ADC" w:rsidRPr="00E256A9" w:rsidRDefault="00756ADC" w:rsidP="00756ADC">
      <w:pPr>
        <w:snapToGrid w:val="0"/>
        <w:spacing w:after="0" w:line="240" w:lineRule="auto"/>
        <w:jc w:val="both"/>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2D6C06" w:rsidRPr="00E256A9" w:rsidRDefault="002D6C06" w:rsidP="00756ADC">
      <w:pPr>
        <w:snapToGrid w:val="0"/>
        <w:spacing w:after="0" w:line="240" w:lineRule="auto"/>
        <w:jc w:val="both"/>
        <w:rPr>
          <w:rFonts w:ascii="Times New Roman" w:eastAsia="Calibri" w:hAnsi="Times New Roman" w:cs="Times New Roman"/>
          <w:b/>
          <w:bCs/>
          <w:sz w:val="20"/>
          <w:szCs w:val="20"/>
        </w:rPr>
      </w:pPr>
    </w:p>
    <w:p w:rsidR="00FE5586" w:rsidRPr="00E256A9" w:rsidRDefault="00FE5586" w:rsidP="00756ADC">
      <w:pPr>
        <w:snapToGrid w:val="0"/>
        <w:spacing w:after="0" w:line="240" w:lineRule="auto"/>
        <w:jc w:val="center"/>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D42BB2"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10</w:t>
      </w:r>
      <w:r w:rsidR="00D42BB2"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ESR in Studied Groups</w:t>
      </w:r>
    </w:p>
    <w:tbl>
      <w:tblPr>
        <w:tblStyle w:val="TableGrid"/>
        <w:tblW w:w="5000" w:type="pct"/>
        <w:jc w:val="center"/>
        <w:tblCellMar>
          <w:left w:w="57" w:type="dxa"/>
          <w:right w:w="57" w:type="dxa"/>
        </w:tblCellMar>
        <w:tblLook w:val="04A0"/>
      </w:tblPr>
      <w:tblGrid>
        <w:gridCol w:w="1964"/>
        <w:gridCol w:w="2934"/>
        <w:gridCol w:w="3466"/>
        <w:gridCol w:w="1110"/>
      </w:tblGrid>
      <w:tr w:rsidR="007F374E" w:rsidRPr="00E256A9" w:rsidTr="00ED5BD8">
        <w:trPr>
          <w:jc w:val="center"/>
        </w:trPr>
        <w:tc>
          <w:tcPr>
            <w:tcW w:w="103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ESR (ml/hour)</w:t>
            </w:r>
          </w:p>
        </w:tc>
        <w:tc>
          <w:tcPr>
            <w:tcW w:w="1548"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82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 24)</w:t>
            </w:r>
          </w:p>
        </w:tc>
        <w:tc>
          <w:tcPr>
            <w:tcW w:w="58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103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tc>
        <w:tc>
          <w:tcPr>
            <w:tcW w:w="1548"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70.26 ± 23.42</w:t>
            </w:r>
          </w:p>
        </w:tc>
        <w:tc>
          <w:tcPr>
            <w:tcW w:w="1829"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57.92 ± 22.89</w:t>
            </w:r>
          </w:p>
        </w:tc>
        <w:tc>
          <w:tcPr>
            <w:tcW w:w="58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0.09</w:t>
            </w:r>
          </w:p>
        </w:tc>
      </w:tr>
      <w:tr w:rsidR="007F374E" w:rsidRPr="00E256A9" w:rsidTr="00ED5BD8">
        <w:trPr>
          <w:jc w:val="center"/>
        </w:trPr>
        <w:tc>
          <w:tcPr>
            <w:tcW w:w="103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tc>
        <w:tc>
          <w:tcPr>
            <w:tcW w:w="1548"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53.4±14.25</w:t>
            </w:r>
          </w:p>
        </w:tc>
        <w:tc>
          <w:tcPr>
            <w:tcW w:w="1829"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73.5 ± 16.12</w:t>
            </w:r>
          </w:p>
        </w:tc>
        <w:tc>
          <w:tcPr>
            <w:tcW w:w="58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r w:rsidR="007F374E" w:rsidRPr="00E256A9" w:rsidTr="00ED5BD8">
        <w:trPr>
          <w:jc w:val="center"/>
        </w:trPr>
        <w:tc>
          <w:tcPr>
            <w:tcW w:w="103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c>
          <w:tcPr>
            <w:tcW w:w="1548"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33.16± 8.85</w:t>
            </w:r>
          </w:p>
        </w:tc>
        <w:tc>
          <w:tcPr>
            <w:tcW w:w="1829"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93.98 ± 13.91</w:t>
            </w:r>
          </w:p>
        </w:tc>
        <w:tc>
          <w:tcPr>
            <w:tcW w:w="58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r w:rsidRPr="00E256A9">
        <w:rPr>
          <w:rFonts w:ascii="Times New Roman" w:eastAsia="Calibri" w:hAnsi="Times New Roman" w:cs="Times New Roman"/>
          <w:b/>
          <w:bCs/>
          <w:sz w:val="20"/>
          <w:szCs w:val="20"/>
        </w:rPr>
        <w:t>ESR</w:t>
      </w:r>
      <w:r w:rsidRPr="00E256A9">
        <w:rPr>
          <w:rFonts w:ascii="Times New Roman" w:eastAsia="Calibri" w:hAnsi="Times New Roman" w:cs="Times New Roman"/>
          <w:sz w:val="20"/>
          <w:szCs w:val="20"/>
        </w:rPr>
        <w:t>, erythrocyte sedimentation rate</w:t>
      </w:r>
    </w:p>
    <w:p w:rsidR="002D6C06" w:rsidRPr="00E256A9" w:rsidRDefault="002D6C06" w:rsidP="00756ADC">
      <w:pPr>
        <w:snapToGrid w:val="0"/>
        <w:spacing w:after="0" w:line="240" w:lineRule="auto"/>
        <w:jc w:val="both"/>
        <w:rPr>
          <w:rFonts w:ascii="Times New Roman" w:hAnsi="Times New Roman" w:cs="Times New Roman"/>
          <w:b/>
          <w:bCs/>
          <w:sz w:val="20"/>
          <w:szCs w:val="20"/>
        </w:rPr>
      </w:pPr>
    </w:p>
    <w:p w:rsidR="00756ADC" w:rsidRPr="00E256A9" w:rsidRDefault="00756ADC" w:rsidP="00756ADC">
      <w:pPr>
        <w:snapToGrid w:val="0"/>
        <w:spacing w:after="0" w:line="240" w:lineRule="auto"/>
        <w:jc w:val="both"/>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lastRenderedPageBreak/>
        <w:t>Pro- calcitonin Level in Both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4C1CE7" w:rsidRPr="00E256A9">
        <w:rPr>
          <w:rFonts w:ascii="Times New Roman" w:eastAsia="Calibri" w:hAnsi="Times New Roman" w:cs="Times New Roman"/>
          <w:b/>
          <w:bCs/>
          <w:sz w:val="20"/>
          <w:szCs w:val="20"/>
        </w:rPr>
        <w:t>11</w:t>
      </w:r>
      <w:r w:rsidRPr="00E256A9">
        <w:rPr>
          <w:rFonts w:ascii="Times New Roman" w:eastAsia="Calibri" w:hAnsi="Times New Roman" w:cs="Times New Roman"/>
          <w:sz w:val="20"/>
          <w:szCs w:val="20"/>
        </w:rPr>
        <w:t xml:space="preserve"> shows changes in pro-calcitonin in both groups where it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pro-calcitonin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but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non- survivors </w:t>
      </w:r>
      <w:r w:rsidRPr="00E256A9">
        <w:rPr>
          <w:rFonts w:ascii="Times New Roman" w:eastAsia="Calibri" w:hAnsi="Times New Roman" w:cs="Times New Roman"/>
          <w:sz w:val="20"/>
          <w:szCs w:val="20"/>
        </w:rPr>
        <w:lastRenderedPageBreak/>
        <w:t>had significantly lower pro-calcitonin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pro-calcitonin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p>
    <w:p w:rsidR="00756ADC" w:rsidRPr="00E256A9" w:rsidRDefault="00756ADC" w:rsidP="00756ADC">
      <w:pPr>
        <w:snapToGrid w:val="0"/>
        <w:spacing w:after="0" w:line="240" w:lineRule="auto"/>
        <w:jc w:val="both"/>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2D6C06" w:rsidRPr="00E256A9" w:rsidRDefault="002D6C06" w:rsidP="00756ADC">
      <w:pPr>
        <w:snapToGrid w:val="0"/>
        <w:spacing w:after="0" w:line="240" w:lineRule="auto"/>
        <w:jc w:val="both"/>
        <w:rPr>
          <w:rFonts w:ascii="Times New Roman" w:eastAsia="Calibri" w:hAnsi="Times New Roman" w:cs="Times New Roman"/>
          <w:b/>
          <w:bCs/>
          <w:sz w:val="20"/>
          <w:szCs w:val="20"/>
        </w:rPr>
      </w:pP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D42BB2" w:rsidRPr="00E256A9">
        <w:rPr>
          <w:rFonts w:ascii="Times New Roman" w:eastAsia="Calibri" w:hAnsi="Times New Roman" w:cs="Times New Roman"/>
          <w:b/>
          <w:bCs/>
          <w:sz w:val="20"/>
          <w:szCs w:val="20"/>
        </w:rPr>
        <w:t>(</w:t>
      </w:r>
      <w:r w:rsidR="004C1CE7" w:rsidRPr="00E256A9">
        <w:rPr>
          <w:rFonts w:ascii="Times New Roman" w:eastAsia="Calibri" w:hAnsi="Times New Roman" w:cs="Times New Roman"/>
          <w:b/>
          <w:bCs/>
          <w:sz w:val="20"/>
          <w:szCs w:val="20"/>
        </w:rPr>
        <w:t>11</w:t>
      </w:r>
      <w:r w:rsidR="00D42BB2"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Pro-calcitonin in Studied Groups</w:t>
      </w:r>
    </w:p>
    <w:tbl>
      <w:tblPr>
        <w:tblStyle w:val="TableGrid"/>
        <w:tblW w:w="5000" w:type="pct"/>
        <w:jc w:val="center"/>
        <w:tblCellMar>
          <w:left w:w="57" w:type="dxa"/>
          <w:right w:w="57" w:type="dxa"/>
        </w:tblCellMar>
        <w:tblLook w:val="04A0"/>
      </w:tblPr>
      <w:tblGrid>
        <w:gridCol w:w="1906"/>
        <w:gridCol w:w="2956"/>
        <w:gridCol w:w="3494"/>
        <w:gridCol w:w="1118"/>
      </w:tblGrid>
      <w:tr w:rsidR="007F374E" w:rsidRPr="00E256A9" w:rsidTr="00ED5BD8">
        <w:trPr>
          <w:jc w:val="center"/>
        </w:trPr>
        <w:tc>
          <w:tcPr>
            <w:tcW w:w="100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eastAsia="Calibri" w:hAnsi="Times New Roman" w:cs="Times New Roman"/>
                <w:b/>
                <w:bCs/>
                <w:sz w:val="20"/>
                <w:szCs w:val="20"/>
              </w:rPr>
              <w:t>Pro-calcitonin</w:t>
            </w:r>
          </w:p>
        </w:tc>
        <w:tc>
          <w:tcPr>
            <w:tcW w:w="156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1844"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 24)</w:t>
            </w:r>
          </w:p>
        </w:tc>
        <w:tc>
          <w:tcPr>
            <w:tcW w:w="59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100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tc>
        <w:tc>
          <w:tcPr>
            <w:tcW w:w="156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4.44± 3.07</w:t>
            </w:r>
          </w:p>
        </w:tc>
        <w:tc>
          <w:tcPr>
            <w:tcW w:w="184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5.63± 4.76</w:t>
            </w:r>
          </w:p>
        </w:tc>
        <w:tc>
          <w:tcPr>
            <w:tcW w:w="59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0.36</w:t>
            </w:r>
          </w:p>
        </w:tc>
      </w:tr>
      <w:tr w:rsidR="007F374E" w:rsidRPr="00E256A9" w:rsidTr="00ED5BD8">
        <w:trPr>
          <w:jc w:val="center"/>
        </w:trPr>
        <w:tc>
          <w:tcPr>
            <w:tcW w:w="100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tc>
        <w:tc>
          <w:tcPr>
            <w:tcW w:w="156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4.21±3</w:t>
            </w:r>
          </w:p>
        </w:tc>
        <w:tc>
          <w:tcPr>
            <w:tcW w:w="184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8.67 ± 5.3</w:t>
            </w:r>
          </w:p>
        </w:tc>
        <w:tc>
          <w:tcPr>
            <w:tcW w:w="59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r w:rsidR="007F374E" w:rsidRPr="00E256A9" w:rsidTr="00ED5BD8">
        <w:trPr>
          <w:jc w:val="center"/>
        </w:trPr>
        <w:tc>
          <w:tcPr>
            <w:tcW w:w="100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c>
          <w:tcPr>
            <w:tcW w:w="156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2.26± 1.9</w:t>
            </w:r>
          </w:p>
        </w:tc>
        <w:tc>
          <w:tcPr>
            <w:tcW w:w="184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9.9 ± 6.8</w:t>
            </w:r>
          </w:p>
        </w:tc>
        <w:tc>
          <w:tcPr>
            <w:tcW w:w="59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D42BB2" w:rsidRPr="00E256A9">
              <w:rPr>
                <w:rFonts w:ascii="Times New Roman" w:hAnsi="Times New Roman" w:cs="Times New Roman"/>
                <w:b/>
                <w:bCs/>
                <w:sz w:val="20"/>
                <w:szCs w:val="20"/>
              </w:rPr>
              <w:t>1*</w:t>
            </w:r>
          </w:p>
        </w:tc>
      </w:tr>
    </w:tbl>
    <w:p w:rsidR="00FE5586" w:rsidRPr="00E256A9" w:rsidRDefault="00FE5586" w:rsidP="00D10008">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p>
    <w:p w:rsidR="003D2479" w:rsidRPr="00E256A9" w:rsidRDefault="003D2479" w:rsidP="00756ADC">
      <w:pPr>
        <w:snapToGrid w:val="0"/>
        <w:spacing w:after="0" w:line="240" w:lineRule="auto"/>
        <w:ind w:firstLine="425"/>
        <w:jc w:val="both"/>
        <w:rPr>
          <w:rFonts w:ascii="Times New Roman" w:eastAsia="Calibri" w:hAnsi="Times New Roman" w:cs="Times New Roman"/>
          <w:sz w:val="20"/>
          <w:szCs w:val="20"/>
        </w:rPr>
      </w:pPr>
    </w:p>
    <w:p w:rsidR="00756ADC" w:rsidRPr="00E256A9" w:rsidRDefault="00756ADC" w:rsidP="00756ADC">
      <w:pPr>
        <w:snapToGrid w:val="0"/>
        <w:spacing w:after="0" w:line="240" w:lineRule="auto"/>
        <w:jc w:val="both"/>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lastRenderedPageBreak/>
        <w:t xml:space="preserve">Changes in </w:t>
      </w:r>
      <w:r w:rsidRPr="00E256A9">
        <w:rPr>
          <w:rFonts w:ascii="Times New Roman" w:eastAsia="Calibri" w:hAnsi="Times New Roman" w:cs="Times New Roman"/>
          <w:b/>
          <w:bCs/>
          <w:sz w:val="20"/>
          <w:szCs w:val="20"/>
        </w:rPr>
        <w:t>Lactate</w:t>
      </w:r>
      <w:r w:rsidRPr="00E256A9">
        <w:rPr>
          <w:rFonts w:ascii="Times New Roman" w:hAnsi="Times New Roman" w:cs="Times New Roman"/>
          <w:b/>
          <w:bCs/>
          <w:sz w:val="20"/>
          <w:szCs w:val="20"/>
        </w:rPr>
        <w:t xml:space="preserve"> Level in Both Groups:</w:t>
      </w:r>
    </w:p>
    <w:p w:rsidR="00FE5586" w:rsidRPr="00E256A9" w:rsidRDefault="00FE558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F91D83" w:rsidRPr="00E256A9">
        <w:rPr>
          <w:rFonts w:ascii="Times New Roman" w:eastAsia="Calibri" w:hAnsi="Times New Roman" w:cs="Times New Roman"/>
          <w:b/>
          <w:bCs/>
          <w:sz w:val="20"/>
          <w:szCs w:val="20"/>
        </w:rPr>
        <w:t>12</w:t>
      </w:r>
      <w:r w:rsidRPr="00E256A9">
        <w:rPr>
          <w:rFonts w:ascii="Times New Roman" w:eastAsia="Calibri" w:hAnsi="Times New Roman" w:cs="Times New Roman"/>
          <w:sz w:val="20"/>
          <w:szCs w:val="20"/>
        </w:rPr>
        <w:t xml:space="preserve"> shows changes in lactate in both groups where it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lactate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&gt; 0.05) but it was significantly higher in </w:t>
      </w:r>
      <w:r w:rsidRPr="00E256A9">
        <w:rPr>
          <w:rFonts w:ascii="Times New Roman" w:eastAsia="Calibri" w:hAnsi="Times New Roman" w:cs="Times New Roman"/>
          <w:sz w:val="20"/>
          <w:szCs w:val="20"/>
        </w:rPr>
        <w:lastRenderedPageBreak/>
        <w:t>non- survivors in comparison to survivors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It showed significant increase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the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showed significant decrease in case of survivors</w:t>
      </w:r>
      <w:r w:rsidR="003D2479" w:rsidRPr="00E256A9">
        <w:rPr>
          <w:rFonts w:ascii="Times New Roman" w:eastAsia="Calibri" w:hAnsi="Times New Roman" w:cs="Times New Roman"/>
          <w:sz w:val="20"/>
          <w:szCs w:val="20"/>
        </w:rPr>
        <w:t>.</w:t>
      </w:r>
    </w:p>
    <w:p w:rsidR="00756ADC" w:rsidRPr="00E256A9" w:rsidRDefault="00756ADC" w:rsidP="00756ADC">
      <w:pPr>
        <w:snapToGrid w:val="0"/>
        <w:spacing w:after="0" w:line="240" w:lineRule="auto"/>
        <w:jc w:val="both"/>
        <w:rPr>
          <w:rFonts w:ascii="Times New Roman" w:eastAsia="Calibri"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2D6C06" w:rsidRPr="00E256A9" w:rsidRDefault="002D6C06" w:rsidP="00756ADC">
      <w:pPr>
        <w:snapToGrid w:val="0"/>
        <w:spacing w:after="0" w:line="240" w:lineRule="auto"/>
        <w:jc w:val="both"/>
        <w:rPr>
          <w:rFonts w:ascii="Times New Roman" w:eastAsia="Calibri" w:hAnsi="Times New Roman" w:cs="Times New Roman"/>
          <w:b/>
          <w:bCs/>
          <w:sz w:val="20"/>
          <w:szCs w:val="20"/>
        </w:rPr>
      </w:pPr>
    </w:p>
    <w:p w:rsidR="00FE5586" w:rsidRPr="00E256A9" w:rsidRDefault="00FE5586" w:rsidP="00756ADC">
      <w:pPr>
        <w:snapToGrid w:val="0"/>
        <w:spacing w:after="0" w:line="240" w:lineRule="auto"/>
        <w:jc w:val="center"/>
        <w:rPr>
          <w:rFonts w:ascii="Times New Roman" w:eastAsia="Calibri" w:hAnsi="Times New Roman" w:cs="Times New Roman"/>
          <w:sz w:val="20"/>
          <w:szCs w:val="20"/>
        </w:rPr>
      </w:pPr>
      <w:r w:rsidRPr="00E256A9">
        <w:rPr>
          <w:rFonts w:ascii="Times New Roman" w:eastAsia="Calibri" w:hAnsi="Times New Roman" w:cs="Times New Roman"/>
          <w:b/>
          <w:bCs/>
          <w:sz w:val="20"/>
          <w:szCs w:val="20"/>
        </w:rPr>
        <w:t xml:space="preserve">Table </w:t>
      </w:r>
      <w:r w:rsidR="003D2479" w:rsidRPr="00E256A9">
        <w:rPr>
          <w:rFonts w:ascii="Times New Roman" w:eastAsia="Calibri" w:hAnsi="Times New Roman" w:cs="Times New Roman"/>
          <w:b/>
          <w:bCs/>
          <w:sz w:val="20"/>
          <w:szCs w:val="20"/>
        </w:rPr>
        <w:t>(</w:t>
      </w:r>
      <w:r w:rsidR="00F91D83" w:rsidRPr="00E256A9">
        <w:rPr>
          <w:rFonts w:ascii="Times New Roman" w:eastAsia="Calibri" w:hAnsi="Times New Roman" w:cs="Times New Roman"/>
          <w:b/>
          <w:bCs/>
          <w:sz w:val="20"/>
          <w:szCs w:val="20"/>
        </w:rPr>
        <w:t>12</w:t>
      </w:r>
      <w:r w:rsidR="003D2479" w:rsidRPr="00E256A9">
        <w:rPr>
          <w:rFonts w:ascii="Times New Roman" w:eastAsia="Calibri" w:hAnsi="Times New Roman" w:cs="Times New Roman"/>
          <w:b/>
          <w:bCs/>
          <w:sz w:val="20"/>
          <w:szCs w:val="20"/>
        </w:rPr>
        <w:t>)</w:t>
      </w:r>
      <w:r w:rsidRPr="00E256A9">
        <w:rPr>
          <w:rFonts w:ascii="Times New Roman" w:eastAsia="Calibri" w:hAnsi="Times New Roman" w:cs="Times New Roman"/>
          <w:b/>
          <w:bCs/>
          <w:sz w:val="20"/>
          <w:szCs w:val="20"/>
        </w:rPr>
        <w:t xml:space="preserve">: </w:t>
      </w:r>
      <w:r w:rsidRPr="00E256A9">
        <w:rPr>
          <w:rFonts w:ascii="Times New Roman" w:eastAsia="Calibri" w:hAnsi="Times New Roman" w:cs="Times New Roman"/>
          <w:sz w:val="20"/>
          <w:szCs w:val="20"/>
        </w:rPr>
        <w:t>Changes in Lactate in Studied Groups</w:t>
      </w:r>
    </w:p>
    <w:tbl>
      <w:tblPr>
        <w:tblStyle w:val="TableGrid"/>
        <w:tblW w:w="5000" w:type="pct"/>
        <w:jc w:val="center"/>
        <w:tblCellMar>
          <w:left w:w="57" w:type="dxa"/>
          <w:right w:w="57" w:type="dxa"/>
        </w:tblCellMar>
        <w:tblLook w:val="04A0"/>
      </w:tblPr>
      <w:tblGrid>
        <w:gridCol w:w="1194"/>
        <w:gridCol w:w="3234"/>
        <w:gridCol w:w="3822"/>
        <w:gridCol w:w="1224"/>
      </w:tblGrid>
      <w:tr w:rsidR="007F374E" w:rsidRPr="00E256A9" w:rsidTr="00ED5BD8">
        <w:trPr>
          <w:jc w:val="center"/>
        </w:trPr>
        <w:tc>
          <w:tcPr>
            <w:tcW w:w="630"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eastAsia="Calibri" w:hAnsi="Times New Roman" w:cs="Times New Roman"/>
                <w:b/>
                <w:bCs/>
                <w:sz w:val="20"/>
                <w:szCs w:val="20"/>
              </w:rPr>
              <w:t>Lactate</w:t>
            </w:r>
          </w:p>
        </w:tc>
        <w:tc>
          <w:tcPr>
            <w:tcW w:w="170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Survival group (n= 19)</w:t>
            </w:r>
          </w:p>
        </w:tc>
        <w:tc>
          <w:tcPr>
            <w:tcW w:w="2017"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Non survival</w:t>
            </w:r>
            <w:r w:rsidR="00ED5BD8"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rPr>
              <w:t>group (n= 24)</w:t>
            </w:r>
          </w:p>
        </w:tc>
        <w:tc>
          <w:tcPr>
            <w:tcW w:w="64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p-value</w:t>
            </w:r>
          </w:p>
        </w:tc>
      </w:tr>
      <w:tr w:rsidR="007F374E" w:rsidRPr="00E256A9" w:rsidTr="00ED5BD8">
        <w:trPr>
          <w:jc w:val="center"/>
        </w:trPr>
        <w:tc>
          <w:tcPr>
            <w:tcW w:w="63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1</w:t>
            </w:r>
            <w:r w:rsidRPr="00E256A9">
              <w:rPr>
                <w:rFonts w:ascii="Times New Roman" w:hAnsi="Times New Roman" w:cs="Times New Roman"/>
                <w:b/>
                <w:bCs/>
                <w:sz w:val="20"/>
                <w:szCs w:val="20"/>
                <w:vertAlign w:val="superscript"/>
              </w:rPr>
              <w:t>st</w:t>
            </w:r>
            <w:r w:rsidRPr="00E256A9">
              <w:rPr>
                <w:rFonts w:ascii="Times New Roman" w:hAnsi="Times New Roman" w:cs="Times New Roman"/>
                <w:b/>
                <w:bCs/>
                <w:sz w:val="20"/>
                <w:szCs w:val="20"/>
              </w:rPr>
              <w:t xml:space="preserve"> day </w:t>
            </w:r>
          </w:p>
        </w:tc>
        <w:tc>
          <w:tcPr>
            <w:tcW w:w="1707"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2.28 ±0.99</w:t>
            </w:r>
          </w:p>
        </w:tc>
        <w:tc>
          <w:tcPr>
            <w:tcW w:w="2017"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3.05 ±1.61</w:t>
            </w:r>
          </w:p>
        </w:tc>
        <w:tc>
          <w:tcPr>
            <w:tcW w:w="64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0.07</w:t>
            </w:r>
          </w:p>
        </w:tc>
      </w:tr>
      <w:tr w:rsidR="007F374E" w:rsidRPr="00E256A9" w:rsidTr="00ED5BD8">
        <w:trPr>
          <w:jc w:val="center"/>
        </w:trPr>
        <w:tc>
          <w:tcPr>
            <w:tcW w:w="63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3</w:t>
            </w:r>
            <w:r w:rsidRPr="00E256A9">
              <w:rPr>
                <w:rFonts w:ascii="Times New Roman" w:hAnsi="Times New Roman" w:cs="Times New Roman"/>
                <w:b/>
                <w:bCs/>
                <w:sz w:val="20"/>
                <w:szCs w:val="20"/>
                <w:vertAlign w:val="superscript"/>
              </w:rPr>
              <w:t>rd</w:t>
            </w:r>
            <w:r w:rsidRPr="00E256A9">
              <w:rPr>
                <w:rFonts w:ascii="Times New Roman" w:hAnsi="Times New Roman" w:cs="Times New Roman"/>
                <w:b/>
                <w:bCs/>
                <w:sz w:val="20"/>
                <w:szCs w:val="20"/>
              </w:rPr>
              <w:t xml:space="preserve"> day</w:t>
            </w:r>
          </w:p>
        </w:tc>
        <w:tc>
          <w:tcPr>
            <w:tcW w:w="1707"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1.94 ±0.68</w:t>
            </w:r>
          </w:p>
        </w:tc>
        <w:tc>
          <w:tcPr>
            <w:tcW w:w="2017"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3.4 ±1.21</w:t>
            </w:r>
          </w:p>
        </w:tc>
        <w:tc>
          <w:tcPr>
            <w:tcW w:w="64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3D2479" w:rsidRPr="00E256A9">
              <w:rPr>
                <w:rFonts w:ascii="Times New Roman" w:hAnsi="Times New Roman" w:cs="Times New Roman"/>
                <w:b/>
                <w:bCs/>
                <w:sz w:val="20"/>
                <w:szCs w:val="20"/>
              </w:rPr>
              <w:t>1</w:t>
            </w:r>
          </w:p>
        </w:tc>
      </w:tr>
      <w:tr w:rsidR="007F374E" w:rsidRPr="00E256A9" w:rsidTr="00ED5BD8">
        <w:trPr>
          <w:jc w:val="center"/>
        </w:trPr>
        <w:tc>
          <w:tcPr>
            <w:tcW w:w="630"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c>
          <w:tcPr>
            <w:tcW w:w="1707"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1.4 ±0.4</w:t>
            </w:r>
          </w:p>
        </w:tc>
        <w:tc>
          <w:tcPr>
            <w:tcW w:w="2017"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5.53 ±2.31</w:t>
            </w:r>
          </w:p>
        </w:tc>
        <w:tc>
          <w:tcPr>
            <w:tcW w:w="64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&lt;0.00</w:t>
            </w:r>
            <w:r w:rsidR="003D2479" w:rsidRPr="00E256A9">
              <w:rPr>
                <w:rFonts w:ascii="Times New Roman" w:hAnsi="Times New Roman" w:cs="Times New Roman"/>
                <w:b/>
                <w:bCs/>
                <w:sz w:val="20"/>
                <w:szCs w:val="20"/>
              </w:rPr>
              <w:t>1*</w:t>
            </w:r>
          </w:p>
        </w:tc>
      </w:tr>
    </w:tbl>
    <w:p w:rsidR="00FE5586" w:rsidRPr="00E256A9" w:rsidRDefault="00FE5586" w:rsidP="00756ADC">
      <w:pPr>
        <w:snapToGrid w:val="0"/>
        <w:spacing w:after="0" w:line="240" w:lineRule="auto"/>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Data was expressed in form of mean (SD).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 value was significant if &lt; 0.05. *indicated to high significance. </w:t>
      </w:r>
    </w:p>
    <w:p w:rsidR="002D6C06" w:rsidRDefault="002D6C06" w:rsidP="00756ADC">
      <w:pPr>
        <w:snapToGrid w:val="0"/>
        <w:spacing w:after="0" w:line="240" w:lineRule="auto"/>
        <w:jc w:val="both"/>
        <w:rPr>
          <w:rFonts w:ascii="Times New Roman" w:hAnsi="Times New Roman" w:cs="Times New Roman" w:hint="eastAsia"/>
          <w:b/>
          <w:bCs/>
          <w:sz w:val="20"/>
          <w:szCs w:val="20"/>
          <w:lang w:eastAsia="zh-CN"/>
        </w:rPr>
      </w:pPr>
    </w:p>
    <w:p w:rsidR="00E256A9" w:rsidRDefault="00E256A9" w:rsidP="00756ADC">
      <w:pPr>
        <w:snapToGrid w:val="0"/>
        <w:spacing w:after="0" w:line="240" w:lineRule="auto"/>
        <w:jc w:val="both"/>
        <w:rPr>
          <w:rFonts w:ascii="Times New Roman" w:hAnsi="Times New Roman" w:cs="Times New Roman" w:hint="eastAsia"/>
          <w:b/>
          <w:bCs/>
          <w:sz w:val="20"/>
          <w:szCs w:val="20"/>
          <w:lang w:eastAsia="zh-CN"/>
        </w:rPr>
      </w:pPr>
    </w:p>
    <w:p w:rsidR="00E256A9" w:rsidRPr="00E256A9" w:rsidRDefault="00E256A9" w:rsidP="00756ADC">
      <w:pPr>
        <w:snapToGrid w:val="0"/>
        <w:spacing w:after="0" w:line="240" w:lineRule="auto"/>
        <w:jc w:val="both"/>
        <w:rPr>
          <w:rFonts w:ascii="Times New Roman" w:hAnsi="Times New Roman" w:cs="Times New Roman" w:hint="eastAsia"/>
          <w:b/>
          <w:bCs/>
          <w:sz w:val="20"/>
          <w:szCs w:val="20"/>
          <w:lang w:eastAsia="zh-CN"/>
        </w:rPr>
      </w:pPr>
    </w:p>
    <w:p w:rsidR="00756ADC" w:rsidRPr="00E256A9" w:rsidRDefault="00756ADC" w:rsidP="00756ADC">
      <w:pPr>
        <w:snapToGrid w:val="0"/>
        <w:spacing w:after="0" w:line="240" w:lineRule="auto"/>
        <w:jc w:val="both"/>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space="720"/>
          <w:docGrid w:linePitch="360"/>
        </w:sectPr>
      </w:pPr>
    </w:p>
    <w:p w:rsidR="00FE5586" w:rsidRPr="00E256A9" w:rsidRDefault="00FE5586" w:rsidP="00756ADC">
      <w:pPr>
        <w:snapToGrid w:val="0"/>
        <w:spacing w:after="0" w:line="240" w:lineRule="auto"/>
        <w:jc w:val="both"/>
        <w:rPr>
          <w:rFonts w:ascii="Times New Roman" w:hAnsi="Times New Roman" w:cs="Times New Roman"/>
          <w:b/>
          <w:bCs/>
          <w:sz w:val="20"/>
          <w:szCs w:val="20"/>
        </w:rPr>
      </w:pPr>
      <w:r w:rsidRPr="00E256A9">
        <w:rPr>
          <w:rFonts w:ascii="Times New Roman" w:hAnsi="Times New Roman" w:cs="Times New Roman"/>
          <w:b/>
          <w:bCs/>
          <w:sz w:val="20"/>
          <w:szCs w:val="20"/>
        </w:rPr>
        <w:lastRenderedPageBreak/>
        <w:t>Correlation between Albumin with Baseline Level of Inflammatory Markers:</w:t>
      </w:r>
    </w:p>
    <w:p w:rsidR="00FE5586" w:rsidRPr="00E256A9" w:rsidRDefault="00FE5586" w:rsidP="00756ADC">
      <w:pPr>
        <w:snapToGrid w:val="0"/>
        <w:spacing w:after="0" w:line="240" w:lineRule="auto"/>
        <w:ind w:firstLine="425"/>
        <w:jc w:val="both"/>
        <w:rPr>
          <w:rFonts w:ascii="Times New Roman" w:hAnsi="Times New Roman" w:cs="Times New Roman"/>
          <w:sz w:val="20"/>
          <w:szCs w:val="20"/>
        </w:rPr>
      </w:pPr>
      <w:r w:rsidRPr="00E256A9">
        <w:rPr>
          <w:rFonts w:ascii="Times New Roman" w:hAnsi="Times New Roman" w:cs="Times New Roman"/>
          <w:sz w:val="20"/>
          <w:szCs w:val="20"/>
        </w:rPr>
        <w:t xml:space="preserve">It was noticed that serum albumin had negative significant correlation with baseline inflammatory </w:t>
      </w:r>
      <w:r w:rsidRPr="00E256A9">
        <w:rPr>
          <w:rFonts w:ascii="Times New Roman" w:hAnsi="Times New Roman" w:cs="Times New Roman"/>
          <w:sz w:val="20"/>
          <w:szCs w:val="20"/>
        </w:rPr>
        <w:lastRenderedPageBreak/>
        <w:t xml:space="preserve">markers; CRP (r= -0.65;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0.04), ESR (r= -0.45;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0.01), TLC (r= -0.42;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0.01) and Procalcitonin (r= -0.34; </w:t>
      </w:r>
      <w:r w:rsidRPr="00E256A9">
        <w:rPr>
          <w:rFonts w:ascii="Times New Roman" w:hAnsi="Times New Roman" w:cs="Times New Roman"/>
          <w:i/>
          <w:iCs/>
          <w:sz w:val="20"/>
          <w:szCs w:val="20"/>
        </w:rPr>
        <w:t>P</w:t>
      </w:r>
      <w:r w:rsidRPr="00E256A9">
        <w:rPr>
          <w:rFonts w:ascii="Times New Roman" w:hAnsi="Times New Roman" w:cs="Times New Roman"/>
          <w:sz w:val="20"/>
          <w:szCs w:val="20"/>
        </w:rPr>
        <w:t>= 0.02).</w:t>
      </w:r>
    </w:p>
    <w:p w:rsidR="00756ADC" w:rsidRPr="00E256A9" w:rsidRDefault="00756ADC" w:rsidP="00756ADC">
      <w:pPr>
        <w:snapToGrid w:val="0"/>
        <w:spacing w:after="0" w:line="240" w:lineRule="auto"/>
        <w:jc w:val="both"/>
        <w:rPr>
          <w:rFonts w:ascii="Times New Roman" w:hAnsi="Times New Roman" w:cs="Times New Roman"/>
          <w:b/>
          <w:bCs/>
          <w:sz w:val="20"/>
          <w:szCs w:val="20"/>
        </w:rPr>
        <w:sectPr w:rsidR="00756ADC" w:rsidRPr="00E256A9" w:rsidSect="00141C3D">
          <w:type w:val="continuous"/>
          <w:pgSz w:w="12240" w:h="15840" w:code="9"/>
          <w:pgMar w:top="1440" w:right="1440" w:bottom="1440" w:left="1440" w:header="720" w:footer="720" w:gutter="0"/>
          <w:cols w:num="2" w:space="550"/>
          <w:docGrid w:linePitch="360"/>
        </w:sectPr>
      </w:pPr>
    </w:p>
    <w:p w:rsidR="00F91D83" w:rsidRPr="00E256A9" w:rsidRDefault="00F91D83" w:rsidP="00756ADC">
      <w:pPr>
        <w:snapToGrid w:val="0"/>
        <w:spacing w:after="0" w:line="240" w:lineRule="auto"/>
        <w:jc w:val="both"/>
        <w:rPr>
          <w:rFonts w:ascii="Times New Roman" w:hAnsi="Times New Roman" w:cs="Times New Roman"/>
          <w:b/>
          <w:bCs/>
          <w:sz w:val="20"/>
          <w:szCs w:val="20"/>
        </w:rPr>
      </w:pPr>
    </w:p>
    <w:p w:rsidR="00E256A9" w:rsidRDefault="00E256A9" w:rsidP="00756ADC">
      <w:pPr>
        <w:snapToGrid w:val="0"/>
        <w:spacing w:after="0" w:line="240" w:lineRule="auto"/>
        <w:jc w:val="center"/>
        <w:rPr>
          <w:rFonts w:ascii="Times New Roman" w:hAnsi="Times New Roman" w:cs="Times New Roman" w:hint="eastAsia"/>
          <w:b/>
          <w:bCs/>
          <w:sz w:val="20"/>
          <w:szCs w:val="20"/>
          <w:lang w:eastAsia="zh-CN"/>
        </w:rPr>
      </w:pPr>
    </w:p>
    <w:p w:rsidR="00FE5586" w:rsidRPr="00E256A9" w:rsidRDefault="00FE5586" w:rsidP="00756ADC">
      <w:pPr>
        <w:snapToGrid w:val="0"/>
        <w:spacing w:after="0" w:line="240" w:lineRule="auto"/>
        <w:jc w:val="center"/>
        <w:rPr>
          <w:rFonts w:ascii="Times New Roman" w:hAnsi="Times New Roman" w:cs="Times New Roman"/>
          <w:sz w:val="20"/>
          <w:szCs w:val="20"/>
        </w:rPr>
      </w:pPr>
      <w:r w:rsidRPr="00E256A9">
        <w:rPr>
          <w:rFonts w:ascii="Times New Roman" w:hAnsi="Times New Roman" w:cs="Times New Roman"/>
          <w:b/>
          <w:bCs/>
          <w:sz w:val="20"/>
          <w:szCs w:val="20"/>
        </w:rPr>
        <w:t xml:space="preserve">Table </w:t>
      </w:r>
      <w:r w:rsidR="003D2479" w:rsidRPr="00E256A9">
        <w:rPr>
          <w:rFonts w:ascii="Times New Roman" w:hAnsi="Times New Roman" w:cs="Times New Roman"/>
          <w:b/>
          <w:bCs/>
          <w:sz w:val="20"/>
          <w:szCs w:val="20"/>
        </w:rPr>
        <w:t>(</w:t>
      </w:r>
      <w:r w:rsidR="00F91D83" w:rsidRPr="00E256A9">
        <w:rPr>
          <w:rFonts w:ascii="Times New Roman" w:hAnsi="Times New Roman" w:cs="Times New Roman"/>
          <w:b/>
          <w:bCs/>
          <w:sz w:val="20"/>
          <w:szCs w:val="20"/>
        </w:rPr>
        <w:t>13</w:t>
      </w:r>
      <w:r w:rsidR="003D2479" w:rsidRPr="00E256A9">
        <w:rPr>
          <w:rFonts w:ascii="Times New Roman" w:hAnsi="Times New Roman" w:cs="Times New Roman"/>
          <w:b/>
          <w:bCs/>
          <w:sz w:val="20"/>
          <w:szCs w:val="20"/>
        </w:rPr>
        <w:t>)</w:t>
      </w:r>
      <w:r w:rsidRPr="00E256A9">
        <w:rPr>
          <w:rFonts w:ascii="Times New Roman" w:hAnsi="Times New Roman" w:cs="Times New Roman"/>
          <w:b/>
          <w:bCs/>
          <w:sz w:val="20"/>
          <w:szCs w:val="20"/>
        </w:rPr>
        <w:t xml:space="preserve">: </w:t>
      </w:r>
      <w:r w:rsidRPr="00E256A9">
        <w:rPr>
          <w:rFonts w:ascii="Times New Roman" w:hAnsi="Times New Roman" w:cs="Times New Roman"/>
          <w:sz w:val="20"/>
          <w:szCs w:val="20"/>
        </w:rPr>
        <w:t>Correlation between serum albumin with inflammatory markers</w:t>
      </w:r>
    </w:p>
    <w:tbl>
      <w:tblPr>
        <w:tblStyle w:val="TableGrid"/>
        <w:tblW w:w="5000" w:type="pct"/>
        <w:jc w:val="center"/>
        <w:tblCellMar>
          <w:left w:w="57" w:type="dxa"/>
          <w:right w:w="57" w:type="dxa"/>
        </w:tblCellMar>
        <w:tblLook w:val="04A0"/>
      </w:tblPr>
      <w:tblGrid>
        <w:gridCol w:w="4375"/>
        <w:gridCol w:w="2835"/>
        <w:gridCol w:w="2264"/>
      </w:tblGrid>
      <w:tr w:rsidR="007F374E" w:rsidRPr="00E256A9" w:rsidTr="00ED5BD8">
        <w:trPr>
          <w:jc w:val="center"/>
        </w:trPr>
        <w:tc>
          <w:tcPr>
            <w:tcW w:w="2309" w:type="pct"/>
            <w:vMerge w:val="restar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Inflammatory markers</w:t>
            </w:r>
          </w:p>
        </w:tc>
        <w:tc>
          <w:tcPr>
            <w:tcW w:w="2691" w:type="pct"/>
            <w:gridSpan w:val="2"/>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Reduction in albumin level at 7</w:t>
            </w:r>
            <w:r w:rsidRPr="00E256A9">
              <w:rPr>
                <w:rFonts w:ascii="Times New Roman" w:hAnsi="Times New Roman" w:cs="Times New Roman"/>
                <w:b/>
                <w:bCs/>
                <w:sz w:val="20"/>
                <w:szCs w:val="20"/>
                <w:vertAlign w:val="superscript"/>
              </w:rPr>
              <w:t>th</w:t>
            </w:r>
            <w:r w:rsidRPr="00E256A9">
              <w:rPr>
                <w:rFonts w:ascii="Times New Roman" w:hAnsi="Times New Roman" w:cs="Times New Roman"/>
                <w:b/>
                <w:bCs/>
                <w:sz w:val="20"/>
                <w:szCs w:val="20"/>
              </w:rPr>
              <w:t xml:space="preserve"> day</w:t>
            </w:r>
          </w:p>
        </w:tc>
      </w:tr>
      <w:tr w:rsidR="007F374E" w:rsidRPr="00E256A9" w:rsidTr="00ED5BD8">
        <w:trPr>
          <w:jc w:val="center"/>
        </w:trPr>
        <w:tc>
          <w:tcPr>
            <w:tcW w:w="2309" w:type="pct"/>
            <w:vMerge/>
            <w:vAlign w:val="center"/>
          </w:tcPr>
          <w:p w:rsidR="00FE5586" w:rsidRPr="00E256A9" w:rsidRDefault="00FE5586" w:rsidP="00756ADC">
            <w:pPr>
              <w:snapToGrid w:val="0"/>
              <w:jc w:val="both"/>
              <w:rPr>
                <w:rFonts w:ascii="Times New Roman" w:hAnsi="Times New Roman" w:cs="Times New Roman"/>
                <w:sz w:val="20"/>
                <w:szCs w:val="20"/>
              </w:rPr>
            </w:pPr>
          </w:p>
        </w:tc>
        <w:tc>
          <w:tcPr>
            <w:tcW w:w="1496"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r</w:t>
            </w:r>
          </w:p>
        </w:tc>
        <w:tc>
          <w:tcPr>
            <w:tcW w:w="1194" w:type="pct"/>
            <w:vAlign w:val="center"/>
          </w:tcPr>
          <w:p w:rsidR="00FE5586" w:rsidRPr="00E256A9" w:rsidRDefault="00FE5586" w:rsidP="00756ADC">
            <w:pPr>
              <w:snapToGrid w:val="0"/>
              <w:jc w:val="both"/>
              <w:rPr>
                <w:rFonts w:ascii="Times New Roman" w:hAnsi="Times New Roman" w:cs="Times New Roman"/>
                <w:b/>
                <w:bCs/>
                <w:i/>
                <w:iCs/>
                <w:sz w:val="20"/>
                <w:szCs w:val="20"/>
              </w:rPr>
            </w:pPr>
            <w:r w:rsidRPr="00E256A9">
              <w:rPr>
                <w:rFonts w:ascii="Times New Roman" w:hAnsi="Times New Roman" w:cs="Times New Roman"/>
                <w:b/>
                <w:bCs/>
                <w:i/>
                <w:iCs/>
                <w:sz w:val="20"/>
                <w:szCs w:val="20"/>
              </w:rPr>
              <w:t>P</w:t>
            </w:r>
          </w:p>
        </w:tc>
      </w:tr>
      <w:tr w:rsidR="007F374E" w:rsidRPr="00E256A9" w:rsidTr="00ED5BD8">
        <w:trPr>
          <w:jc w:val="center"/>
        </w:trPr>
        <w:tc>
          <w:tcPr>
            <w:tcW w:w="230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 xml:space="preserve">C-reactive protein </w:t>
            </w:r>
          </w:p>
        </w:tc>
        <w:tc>
          <w:tcPr>
            <w:tcW w:w="149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- 0.65</w:t>
            </w:r>
          </w:p>
        </w:tc>
        <w:tc>
          <w:tcPr>
            <w:tcW w:w="119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0.04</w:t>
            </w:r>
          </w:p>
        </w:tc>
      </w:tr>
      <w:tr w:rsidR="007F374E" w:rsidRPr="00E256A9" w:rsidTr="00ED5BD8">
        <w:trPr>
          <w:jc w:val="center"/>
        </w:trPr>
        <w:tc>
          <w:tcPr>
            <w:tcW w:w="230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Erythrocyte sedimentation rate</w:t>
            </w:r>
          </w:p>
        </w:tc>
        <w:tc>
          <w:tcPr>
            <w:tcW w:w="149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- 0.45</w:t>
            </w:r>
          </w:p>
        </w:tc>
        <w:tc>
          <w:tcPr>
            <w:tcW w:w="119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0.01</w:t>
            </w:r>
          </w:p>
        </w:tc>
      </w:tr>
      <w:tr w:rsidR="007F374E" w:rsidRPr="00E256A9" w:rsidTr="00ED5BD8">
        <w:trPr>
          <w:jc w:val="center"/>
        </w:trPr>
        <w:tc>
          <w:tcPr>
            <w:tcW w:w="230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Total leucocytic count</w:t>
            </w:r>
          </w:p>
        </w:tc>
        <w:tc>
          <w:tcPr>
            <w:tcW w:w="149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- 0.42</w:t>
            </w:r>
          </w:p>
        </w:tc>
        <w:tc>
          <w:tcPr>
            <w:tcW w:w="119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0.01</w:t>
            </w:r>
          </w:p>
        </w:tc>
      </w:tr>
      <w:tr w:rsidR="007F374E" w:rsidRPr="00E256A9" w:rsidTr="00ED5BD8">
        <w:trPr>
          <w:jc w:val="center"/>
        </w:trPr>
        <w:tc>
          <w:tcPr>
            <w:tcW w:w="2309" w:type="pct"/>
            <w:vAlign w:val="center"/>
          </w:tcPr>
          <w:p w:rsidR="00FE5586" w:rsidRPr="00E256A9" w:rsidRDefault="00FE5586" w:rsidP="00756ADC">
            <w:pPr>
              <w:snapToGrid w:val="0"/>
              <w:jc w:val="both"/>
              <w:rPr>
                <w:rFonts w:ascii="Times New Roman" w:hAnsi="Times New Roman" w:cs="Times New Roman"/>
                <w:b/>
                <w:bCs/>
                <w:sz w:val="20"/>
                <w:szCs w:val="20"/>
              </w:rPr>
            </w:pPr>
            <w:r w:rsidRPr="00E256A9">
              <w:rPr>
                <w:rFonts w:ascii="Times New Roman" w:hAnsi="Times New Roman" w:cs="Times New Roman"/>
                <w:b/>
                <w:bCs/>
                <w:sz w:val="20"/>
                <w:szCs w:val="20"/>
              </w:rPr>
              <w:t>Procalcitonin</w:t>
            </w:r>
          </w:p>
        </w:tc>
        <w:tc>
          <w:tcPr>
            <w:tcW w:w="1496"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- 0.34</w:t>
            </w:r>
          </w:p>
        </w:tc>
        <w:tc>
          <w:tcPr>
            <w:tcW w:w="1194" w:type="pct"/>
            <w:vAlign w:val="center"/>
          </w:tcPr>
          <w:p w:rsidR="00FE5586" w:rsidRPr="00E256A9" w:rsidRDefault="00FE5586" w:rsidP="00756ADC">
            <w:pPr>
              <w:snapToGrid w:val="0"/>
              <w:jc w:val="both"/>
              <w:rPr>
                <w:rFonts w:ascii="Times New Roman" w:hAnsi="Times New Roman" w:cs="Times New Roman"/>
                <w:sz w:val="20"/>
                <w:szCs w:val="20"/>
              </w:rPr>
            </w:pPr>
            <w:r w:rsidRPr="00E256A9">
              <w:rPr>
                <w:rFonts w:ascii="Times New Roman" w:hAnsi="Times New Roman" w:cs="Times New Roman"/>
                <w:sz w:val="20"/>
                <w:szCs w:val="20"/>
              </w:rPr>
              <w:t>0.02</w:t>
            </w:r>
          </w:p>
        </w:tc>
      </w:tr>
    </w:tbl>
    <w:p w:rsidR="00FE5586" w:rsidRPr="00E256A9" w:rsidRDefault="00FE5586" w:rsidP="00756ADC">
      <w:pPr>
        <w:snapToGrid w:val="0"/>
        <w:spacing w:after="0" w:line="240" w:lineRule="auto"/>
        <w:jc w:val="both"/>
        <w:rPr>
          <w:rFonts w:ascii="Times New Roman" w:hAnsi="Times New Roman" w:cs="Times New Roman"/>
          <w:sz w:val="20"/>
          <w:szCs w:val="20"/>
        </w:rPr>
      </w:pP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value indicated to the significance of correlation (if &lt; 0.05, it was significant), r indicated to the strength of correlation</w:t>
      </w:r>
    </w:p>
    <w:p w:rsidR="002D6C06" w:rsidRDefault="002D6C06" w:rsidP="00756ADC">
      <w:pPr>
        <w:snapToGrid w:val="0"/>
        <w:spacing w:after="0" w:line="240" w:lineRule="auto"/>
        <w:jc w:val="both"/>
        <w:rPr>
          <w:rFonts w:ascii="Times New Roman" w:hAnsi="Times New Roman" w:cs="Times New Roman" w:hint="eastAsia"/>
          <w:b/>
          <w:bCs/>
          <w:sz w:val="20"/>
          <w:szCs w:val="20"/>
          <w:lang w:eastAsia="zh-CN" w:bidi="ar-EG"/>
        </w:rPr>
      </w:pPr>
    </w:p>
    <w:p w:rsidR="00E256A9" w:rsidRPr="00E256A9" w:rsidRDefault="00E256A9" w:rsidP="00756ADC">
      <w:pPr>
        <w:snapToGrid w:val="0"/>
        <w:spacing w:after="0" w:line="240" w:lineRule="auto"/>
        <w:jc w:val="both"/>
        <w:rPr>
          <w:rFonts w:ascii="Times New Roman" w:hAnsi="Times New Roman" w:cs="Times New Roman" w:hint="eastAsia"/>
          <w:b/>
          <w:bCs/>
          <w:sz w:val="20"/>
          <w:szCs w:val="20"/>
          <w:lang w:eastAsia="zh-CN" w:bidi="ar-EG"/>
        </w:rPr>
      </w:pPr>
    </w:p>
    <w:p w:rsidR="00756ADC" w:rsidRPr="00E256A9" w:rsidRDefault="00756ADC" w:rsidP="00756ADC">
      <w:pPr>
        <w:pStyle w:val="ListParagraph"/>
        <w:numPr>
          <w:ilvl w:val="0"/>
          <w:numId w:val="15"/>
        </w:numPr>
        <w:snapToGrid w:val="0"/>
        <w:spacing w:after="0" w:line="240" w:lineRule="auto"/>
        <w:ind w:left="0" w:firstLine="0"/>
        <w:jc w:val="both"/>
        <w:rPr>
          <w:rFonts w:ascii="Times New Roman" w:hAnsi="Times New Roman" w:cs="Times New Roman"/>
          <w:b/>
          <w:bCs/>
          <w:sz w:val="20"/>
          <w:szCs w:val="20"/>
          <w:lang w:bidi="ar-EG"/>
        </w:rPr>
        <w:sectPr w:rsidR="00756ADC" w:rsidRPr="00E256A9" w:rsidSect="00141C3D">
          <w:type w:val="continuous"/>
          <w:pgSz w:w="12240" w:h="15840" w:code="9"/>
          <w:pgMar w:top="1440" w:right="1440" w:bottom="1440" w:left="1440" w:header="720" w:footer="720" w:gutter="0"/>
          <w:cols w:space="720"/>
          <w:docGrid w:linePitch="360"/>
        </w:sectPr>
      </w:pPr>
    </w:p>
    <w:p w:rsidR="003F5E37" w:rsidRPr="00E256A9" w:rsidRDefault="002D6C06" w:rsidP="00756ADC">
      <w:pPr>
        <w:pStyle w:val="ListParagraph"/>
        <w:numPr>
          <w:ilvl w:val="0"/>
          <w:numId w:val="15"/>
        </w:numPr>
        <w:snapToGrid w:val="0"/>
        <w:spacing w:after="0" w:line="240" w:lineRule="auto"/>
        <w:ind w:left="0" w:firstLine="0"/>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lastRenderedPageBreak/>
        <w:t>Discussion</w:t>
      </w:r>
    </w:p>
    <w:p w:rsidR="003F5E37" w:rsidRPr="00E256A9" w:rsidRDefault="003F5E37" w:rsidP="00756ADC">
      <w:pPr>
        <w:pStyle w:val="Default"/>
        <w:snapToGrid w:val="0"/>
        <w:ind w:firstLine="425"/>
        <w:jc w:val="both"/>
        <w:rPr>
          <w:rFonts w:ascii="Times New Roman" w:hAnsi="Times New Roman" w:cs="Times New Roman"/>
          <w:color w:val="auto"/>
          <w:sz w:val="20"/>
          <w:szCs w:val="20"/>
        </w:rPr>
      </w:pPr>
      <w:r w:rsidRPr="00E256A9">
        <w:rPr>
          <w:rFonts w:ascii="Times New Roman" w:hAnsi="Times New Roman" w:cs="Times New Roman"/>
          <w:color w:val="auto"/>
          <w:sz w:val="20"/>
          <w:szCs w:val="20"/>
        </w:rPr>
        <w:t>Albumin, the body's predominant serum-binding protein, has several important functions. Albumin comprises 75-80% of normal plasma colloid oncotic pressure and 50% of protein conten</w:t>
      </w:r>
      <w:r w:rsidR="00ED5BD8" w:rsidRPr="00E256A9">
        <w:rPr>
          <w:rFonts w:ascii="Times New Roman" w:hAnsi="Times New Roman" w:cs="Times New Roman"/>
          <w:color w:val="auto"/>
          <w:sz w:val="20"/>
          <w:szCs w:val="20"/>
        </w:rPr>
        <w:t xml:space="preserve">t </w:t>
      </w:r>
      <w:r w:rsidR="00ED5BD8" w:rsidRPr="00E256A9">
        <w:rPr>
          <w:rFonts w:ascii="Times New Roman" w:hAnsi="Times New Roman" w:cs="Times New Roman"/>
          <w:b/>
          <w:bCs/>
          <w:color w:val="auto"/>
          <w:sz w:val="20"/>
          <w:szCs w:val="20"/>
          <w:vertAlign w:val="superscript"/>
        </w:rPr>
        <w:t>(</w:t>
      </w:r>
      <w:r w:rsidR="003D12D1" w:rsidRPr="00E256A9">
        <w:rPr>
          <w:rFonts w:ascii="Times New Roman" w:hAnsi="Times New Roman" w:cs="Times New Roman"/>
          <w:b/>
          <w:bCs/>
          <w:color w:val="auto"/>
          <w:sz w:val="20"/>
          <w:szCs w:val="20"/>
          <w:shd w:val="clear" w:color="auto" w:fill="FFFFFF"/>
          <w:vertAlign w:val="superscript"/>
        </w:rPr>
        <w:t>6</w:t>
      </w:r>
      <w:r w:rsidRPr="00E256A9">
        <w:rPr>
          <w:rFonts w:ascii="Times New Roman" w:hAnsi="Times New Roman" w:cs="Times New Roman"/>
          <w:b/>
          <w:bCs/>
          <w:color w:val="auto"/>
          <w:sz w:val="20"/>
          <w:szCs w:val="20"/>
          <w:vertAlign w:val="superscript"/>
        </w:rPr>
        <w:t>)</w:t>
      </w:r>
      <w:r w:rsidRPr="00E256A9">
        <w:rPr>
          <w:rFonts w:ascii="Times New Roman" w:hAnsi="Times New Roman" w:cs="Times New Roman"/>
          <w:b/>
          <w:bCs/>
          <w:color w:val="auto"/>
          <w:sz w:val="20"/>
          <w:szCs w:val="20"/>
        </w:rPr>
        <w:t>.</w:t>
      </w:r>
      <w:r w:rsidRPr="00E256A9">
        <w:rPr>
          <w:rFonts w:ascii="Times New Roman" w:hAnsi="Times New Roman" w:cs="Times New Roman"/>
          <w:color w:val="auto"/>
          <w:sz w:val="20"/>
          <w:szCs w:val="20"/>
        </w:rPr>
        <w:t xml:space="preserve"> Reference serum values range from 3.5-4.5 g/dL. Synthesis occurs only in hepatic cells at a rate of approximately 15 g/d in a healthy person, but the rate can vary significantly with various types of physiologic stress. The half-life of albumin is approximately 21 days. Hypoalbuminemia is an important prognostic indicator among hospitalized patients and correlates with an increased risk of morbidity and mortalit</w:t>
      </w:r>
      <w:r w:rsidR="00ED5BD8" w:rsidRPr="00E256A9">
        <w:rPr>
          <w:rFonts w:ascii="Times New Roman" w:hAnsi="Times New Roman" w:cs="Times New Roman"/>
          <w:color w:val="auto"/>
          <w:sz w:val="20"/>
          <w:szCs w:val="20"/>
        </w:rPr>
        <w:t xml:space="preserve">y </w:t>
      </w:r>
      <w:r w:rsidR="00ED5BD8" w:rsidRPr="00E256A9">
        <w:rPr>
          <w:rFonts w:ascii="Times New Roman" w:hAnsi="Times New Roman" w:cs="Times New Roman"/>
          <w:b/>
          <w:bCs/>
          <w:color w:val="auto"/>
          <w:sz w:val="20"/>
          <w:szCs w:val="20"/>
          <w:vertAlign w:val="superscript"/>
        </w:rPr>
        <w:t>(</w:t>
      </w:r>
      <w:r w:rsidR="003D12D1" w:rsidRPr="00E256A9">
        <w:rPr>
          <w:rFonts w:ascii="Times New Roman" w:hAnsi="Times New Roman" w:cs="Times New Roman"/>
          <w:b/>
          <w:bCs/>
          <w:color w:val="auto"/>
          <w:sz w:val="20"/>
          <w:szCs w:val="20"/>
          <w:vertAlign w:val="superscript"/>
        </w:rPr>
        <w:t>7</w:t>
      </w:r>
      <w:r w:rsidRPr="00E256A9">
        <w:rPr>
          <w:rFonts w:ascii="Times New Roman" w:hAnsi="Times New Roman" w:cs="Times New Roman"/>
          <w:b/>
          <w:bCs/>
          <w:color w:val="auto"/>
          <w:sz w:val="20"/>
          <w:szCs w:val="20"/>
          <w:vertAlign w:val="superscript"/>
        </w:rPr>
        <w:t>)</w:t>
      </w:r>
      <w:r w:rsidRPr="00E256A9">
        <w:rPr>
          <w:rFonts w:ascii="Times New Roman" w:hAnsi="Times New Roman" w:cs="Times New Roman"/>
          <w:b/>
          <w:bCs/>
          <w:color w:val="auto"/>
          <w:sz w:val="20"/>
          <w:szCs w:val="20"/>
        </w:rPr>
        <w:t>.</w:t>
      </w:r>
    </w:p>
    <w:p w:rsidR="003F5E37" w:rsidRPr="00E256A9" w:rsidRDefault="003F5E37" w:rsidP="00756ADC">
      <w:pPr>
        <w:pStyle w:val="Default"/>
        <w:snapToGrid w:val="0"/>
        <w:ind w:firstLine="425"/>
        <w:jc w:val="both"/>
        <w:rPr>
          <w:rFonts w:ascii="Times New Roman" w:hAnsi="Times New Roman" w:cs="Times New Roman"/>
          <w:color w:val="auto"/>
          <w:sz w:val="20"/>
          <w:szCs w:val="20"/>
        </w:rPr>
      </w:pPr>
      <w:r w:rsidRPr="00E256A9">
        <w:rPr>
          <w:rFonts w:ascii="Times New Roman" w:hAnsi="Times New Roman" w:cs="Times New Roman"/>
          <w:color w:val="auto"/>
          <w:sz w:val="20"/>
          <w:szCs w:val="20"/>
        </w:rPr>
        <w:t>Many studies have shown the predictive power of serum albumin for clinical outcomes especially in the end stage renal disease (ESRD) population. Serum albumin levels below 2.5 g/dL have been associated with a risk of death 20 times greater as compared to the reference level of 4.0-4.5 g/dL in hemodialysis (HD). Serum albumin levels of 3.5-3.9 g/dL were associated with double the risk of death</w:t>
      </w:r>
      <w:r w:rsidRPr="00E256A9">
        <w:rPr>
          <w:rFonts w:ascii="Times New Roman" w:hAnsi="Times New Roman" w:cs="Times New Roman"/>
          <w:b/>
          <w:bCs/>
          <w:color w:val="auto"/>
          <w:sz w:val="20"/>
          <w:szCs w:val="20"/>
        </w:rPr>
        <w:t>.</w:t>
      </w:r>
    </w:p>
    <w:p w:rsidR="003F5E37" w:rsidRPr="00E256A9" w:rsidRDefault="003F5E37" w:rsidP="00756ADC">
      <w:pPr>
        <w:pStyle w:val="Default"/>
        <w:snapToGrid w:val="0"/>
        <w:ind w:firstLine="425"/>
        <w:jc w:val="both"/>
        <w:rPr>
          <w:rFonts w:ascii="Times New Roman" w:hAnsi="Times New Roman" w:cs="Times New Roman"/>
          <w:color w:val="auto"/>
          <w:sz w:val="20"/>
          <w:szCs w:val="20"/>
        </w:rPr>
      </w:pPr>
      <w:r w:rsidRPr="00E256A9">
        <w:rPr>
          <w:rFonts w:ascii="Times New Roman" w:hAnsi="Times New Roman" w:cs="Times New Roman"/>
          <w:color w:val="auto"/>
          <w:sz w:val="20"/>
          <w:szCs w:val="20"/>
        </w:rPr>
        <w:t>Inflammatory response may be defined as a complex biologic response of vascular tissues to harmful stimuli, such as pathogens, damaged cells, or irritants. Several factors including infection, co-morbidity, genetic factors and diet may contribute to a state of persistent inflammatio</w:t>
      </w:r>
      <w:r w:rsidR="00ED5BD8" w:rsidRPr="00E256A9">
        <w:rPr>
          <w:rFonts w:ascii="Times New Roman" w:hAnsi="Times New Roman" w:cs="Times New Roman"/>
          <w:color w:val="auto"/>
          <w:sz w:val="20"/>
          <w:szCs w:val="20"/>
        </w:rPr>
        <w:t xml:space="preserve">n </w:t>
      </w:r>
      <w:r w:rsidR="00ED5BD8" w:rsidRPr="00E256A9">
        <w:rPr>
          <w:rFonts w:ascii="Times New Roman" w:hAnsi="Times New Roman" w:cs="Times New Roman"/>
          <w:b/>
          <w:bCs/>
          <w:color w:val="auto"/>
          <w:sz w:val="20"/>
          <w:szCs w:val="20"/>
          <w:vertAlign w:val="superscript"/>
        </w:rPr>
        <w:t>(</w:t>
      </w:r>
      <w:r w:rsidR="003D12D1" w:rsidRPr="00E256A9">
        <w:rPr>
          <w:rFonts w:ascii="Times New Roman" w:hAnsi="Times New Roman" w:cs="Times New Roman"/>
          <w:b/>
          <w:bCs/>
          <w:color w:val="auto"/>
          <w:sz w:val="20"/>
          <w:szCs w:val="20"/>
          <w:vertAlign w:val="superscript"/>
        </w:rPr>
        <w:t>8</w:t>
      </w:r>
      <w:r w:rsidRPr="00E256A9">
        <w:rPr>
          <w:rFonts w:ascii="Times New Roman" w:hAnsi="Times New Roman" w:cs="Times New Roman"/>
          <w:b/>
          <w:bCs/>
          <w:color w:val="auto"/>
          <w:sz w:val="20"/>
          <w:szCs w:val="20"/>
          <w:vertAlign w:val="superscript"/>
        </w:rPr>
        <w:t>)</w:t>
      </w:r>
      <w:r w:rsidRPr="00E256A9">
        <w:rPr>
          <w:rFonts w:ascii="Times New Roman" w:hAnsi="Times New Roman" w:cs="Times New Roman"/>
          <w:color w:val="auto"/>
          <w:sz w:val="20"/>
          <w:szCs w:val="20"/>
        </w:rPr>
        <w:t>.</w:t>
      </w:r>
    </w:p>
    <w:p w:rsidR="003F5E37" w:rsidRPr="00E256A9" w:rsidRDefault="003F5E37" w:rsidP="00756ADC">
      <w:pPr>
        <w:pStyle w:val="Default"/>
        <w:snapToGrid w:val="0"/>
        <w:ind w:firstLine="425"/>
        <w:jc w:val="both"/>
        <w:rPr>
          <w:rFonts w:ascii="Times New Roman" w:hAnsi="Times New Roman" w:cs="Times New Roman"/>
          <w:color w:val="auto"/>
          <w:sz w:val="20"/>
          <w:szCs w:val="20"/>
        </w:rPr>
      </w:pPr>
      <w:r w:rsidRPr="00E256A9">
        <w:rPr>
          <w:rFonts w:ascii="Times New Roman" w:hAnsi="Times New Roman" w:cs="Times New Roman"/>
          <w:color w:val="auto"/>
          <w:sz w:val="20"/>
          <w:szCs w:val="20"/>
        </w:rPr>
        <w:t>Among several markers of inflammation, procalcitonin (PCT) and C-reactive protein (CRP) markers are being studied to investigate their accuracy for the diagnosis of inflammation. PCT is the prehormone of calcitonin, which is normally secreted by the C cells of the thyroid in response to hypercalcemi</w:t>
      </w:r>
      <w:r w:rsidR="00ED5BD8" w:rsidRPr="00E256A9">
        <w:rPr>
          <w:rFonts w:ascii="Times New Roman" w:hAnsi="Times New Roman" w:cs="Times New Roman"/>
          <w:color w:val="auto"/>
          <w:sz w:val="20"/>
          <w:szCs w:val="20"/>
        </w:rPr>
        <w:t xml:space="preserve">a </w:t>
      </w:r>
      <w:r w:rsidR="00ED5BD8" w:rsidRPr="00E256A9">
        <w:rPr>
          <w:rFonts w:ascii="Times New Roman" w:hAnsi="Times New Roman" w:cs="Times New Roman"/>
          <w:b/>
          <w:bCs/>
          <w:color w:val="auto"/>
          <w:sz w:val="20"/>
          <w:szCs w:val="20"/>
          <w:vertAlign w:val="superscript"/>
        </w:rPr>
        <w:t>(</w:t>
      </w:r>
      <w:r w:rsidR="003D12D1" w:rsidRPr="00E256A9">
        <w:rPr>
          <w:rFonts w:ascii="Times New Roman" w:hAnsi="Times New Roman" w:cs="Times New Roman"/>
          <w:b/>
          <w:bCs/>
          <w:color w:val="auto"/>
          <w:sz w:val="20"/>
          <w:szCs w:val="20"/>
          <w:vertAlign w:val="superscript"/>
        </w:rPr>
        <w:t>9</w:t>
      </w:r>
      <w:r w:rsidRPr="00E256A9">
        <w:rPr>
          <w:rFonts w:ascii="Times New Roman" w:hAnsi="Times New Roman" w:cs="Times New Roman"/>
          <w:b/>
          <w:bCs/>
          <w:color w:val="auto"/>
          <w:sz w:val="20"/>
          <w:szCs w:val="20"/>
          <w:vertAlign w:val="superscript"/>
        </w:rPr>
        <w:t>)</w:t>
      </w:r>
      <w:r w:rsidRPr="00E256A9">
        <w:rPr>
          <w:rFonts w:ascii="Times New Roman" w:hAnsi="Times New Roman" w:cs="Times New Roman"/>
          <w:b/>
          <w:bCs/>
          <w:color w:val="auto"/>
          <w:sz w:val="20"/>
          <w:szCs w:val="20"/>
        </w:rPr>
        <w:t>.</w:t>
      </w:r>
    </w:p>
    <w:p w:rsidR="003F5E37" w:rsidRPr="00E256A9" w:rsidRDefault="003F5E37" w:rsidP="00756ADC">
      <w:pPr>
        <w:pStyle w:val="Default"/>
        <w:snapToGrid w:val="0"/>
        <w:ind w:firstLine="425"/>
        <w:jc w:val="both"/>
        <w:rPr>
          <w:rFonts w:ascii="Times New Roman" w:hAnsi="Times New Roman" w:cs="Times New Roman"/>
          <w:color w:val="auto"/>
          <w:sz w:val="20"/>
          <w:szCs w:val="20"/>
        </w:rPr>
      </w:pPr>
      <w:r w:rsidRPr="00E256A9">
        <w:rPr>
          <w:rFonts w:ascii="Times New Roman" w:hAnsi="Times New Roman" w:cs="Times New Roman"/>
          <w:color w:val="auto"/>
          <w:sz w:val="20"/>
          <w:szCs w:val="20"/>
        </w:rPr>
        <w:t xml:space="preserve">While C-reactive protein (CRP) is an acute-phase reactant and CRP level measurements are frequently used to aid in the diagnosis of bacterial infections. </w:t>
      </w:r>
      <w:r w:rsidRPr="00E256A9">
        <w:rPr>
          <w:rFonts w:ascii="Times New Roman" w:hAnsi="Times New Roman" w:cs="Times New Roman"/>
          <w:color w:val="auto"/>
          <w:sz w:val="20"/>
          <w:szCs w:val="20"/>
        </w:rPr>
        <w:lastRenderedPageBreak/>
        <w:t>CRP is synthesized by the liver, mainly in response to IL-6, which is produced not only during infection but also in many types of inflammatio</w:t>
      </w:r>
      <w:r w:rsidR="00ED5BD8" w:rsidRPr="00E256A9">
        <w:rPr>
          <w:rFonts w:ascii="Times New Roman" w:hAnsi="Times New Roman" w:cs="Times New Roman"/>
          <w:color w:val="auto"/>
          <w:sz w:val="20"/>
          <w:szCs w:val="20"/>
        </w:rPr>
        <w:t xml:space="preserve">n </w:t>
      </w:r>
      <w:r w:rsidR="00ED5BD8" w:rsidRPr="00E256A9">
        <w:rPr>
          <w:rFonts w:ascii="Times New Roman" w:hAnsi="Times New Roman" w:cs="Times New Roman"/>
          <w:b/>
          <w:bCs/>
          <w:color w:val="auto"/>
          <w:sz w:val="20"/>
          <w:szCs w:val="20"/>
          <w:vertAlign w:val="superscript"/>
        </w:rPr>
        <w:t>(</w:t>
      </w:r>
      <w:r w:rsidR="003D12D1" w:rsidRPr="00E256A9">
        <w:rPr>
          <w:rFonts w:ascii="Times New Roman" w:hAnsi="Times New Roman" w:cs="Times New Roman"/>
          <w:b/>
          <w:bCs/>
          <w:color w:val="auto"/>
          <w:sz w:val="20"/>
          <w:szCs w:val="20"/>
          <w:vertAlign w:val="superscript"/>
        </w:rPr>
        <w:t>10</w:t>
      </w:r>
      <w:r w:rsidRPr="00E256A9">
        <w:rPr>
          <w:rFonts w:ascii="Times New Roman" w:hAnsi="Times New Roman" w:cs="Times New Roman"/>
          <w:b/>
          <w:bCs/>
          <w:color w:val="auto"/>
          <w:sz w:val="20"/>
          <w:szCs w:val="20"/>
          <w:vertAlign w:val="superscript"/>
        </w:rPr>
        <w:t>)</w:t>
      </w:r>
      <w:r w:rsidRPr="00E256A9">
        <w:rPr>
          <w:rFonts w:ascii="Times New Roman" w:hAnsi="Times New Roman" w:cs="Times New Roman"/>
          <w:color w:val="auto"/>
          <w:sz w:val="20"/>
          <w:szCs w:val="20"/>
        </w:rPr>
        <w:t>.</w:t>
      </w:r>
    </w:p>
    <w:p w:rsidR="003F5E37" w:rsidRPr="00E256A9" w:rsidRDefault="003F5E37" w:rsidP="00756ADC">
      <w:pPr>
        <w:pStyle w:val="Default"/>
        <w:snapToGrid w:val="0"/>
        <w:ind w:firstLine="425"/>
        <w:jc w:val="both"/>
        <w:rPr>
          <w:rFonts w:ascii="Times New Roman" w:eastAsia="Calibri" w:hAnsi="Times New Roman" w:cs="Times New Roman"/>
          <w:color w:val="auto"/>
          <w:sz w:val="20"/>
          <w:szCs w:val="20"/>
          <w:lang w:bidi="ar-EG"/>
        </w:rPr>
      </w:pPr>
      <w:r w:rsidRPr="00E256A9">
        <w:rPr>
          <w:rFonts w:ascii="Times New Roman" w:eastAsia="Calibri" w:hAnsi="Times New Roman" w:cs="Times New Roman"/>
          <w:color w:val="auto"/>
          <w:sz w:val="20"/>
          <w:szCs w:val="20"/>
          <w:lang w:bidi="ar-EG"/>
        </w:rPr>
        <w:t xml:space="preserve">Our study was a prospective randomized study that was conducted on patients who were admitted to ICU in Ain Shams University Hospitals. </w:t>
      </w:r>
      <w:r w:rsidR="000518C7" w:rsidRPr="00E256A9">
        <w:rPr>
          <w:rFonts w:ascii="Times New Roman" w:eastAsia="Calibri" w:hAnsi="Times New Roman" w:cs="Times New Roman"/>
          <w:color w:val="auto"/>
          <w:sz w:val="20"/>
          <w:szCs w:val="20"/>
          <w:lang w:bidi="ar-EG"/>
        </w:rPr>
        <w:t>Forty-three</w:t>
      </w:r>
      <w:r w:rsidRPr="00E256A9">
        <w:rPr>
          <w:rFonts w:ascii="Times New Roman" w:eastAsia="Calibri" w:hAnsi="Times New Roman" w:cs="Times New Roman"/>
          <w:color w:val="auto"/>
          <w:sz w:val="20"/>
          <w:szCs w:val="20"/>
          <w:lang w:bidi="ar-EG"/>
        </w:rPr>
        <w:t xml:space="preserve"> patients were included in this study and an informed written consent was obtained from patients and /or relatives. All patients were adult, more than 18 years old, admitted to ICU suffering from sepsis or had septic shock. </w:t>
      </w:r>
    </w:p>
    <w:p w:rsidR="00ED5BD8" w:rsidRPr="00E256A9" w:rsidRDefault="003F5E37" w:rsidP="00756ADC">
      <w:pPr>
        <w:pStyle w:val="Default"/>
        <w:snapToGrid w:val="0"/>
        <w:ind w:firstLine="425"/>
        <w:jc w:val="both"/>
        <w:rPr>
          <w:rFonts w:ascii="Times New Roman" w:eastAsia="Calibri" w:hAnsi="Times New Roman" w:cs="Times New Roman"/>
          <w:color w:val="auto"/>
          <w:sz w:val="20"/>
          <w:szCs w:val="20"/>
          <w:lang w:bidi="ar-EG"/>
        </w:rPr>
      </w:pPr>
      <w:r w:rsidRPr="00E256A9">
        <w:rPr>
          <w:rFonts w:ascii="Times New Roman" w:eastAsia="Calibri" w:hAnsi="Times New Roman" w:cs="Times New Roman"/>
          <w:color w:val="auto"/>
          <w:sz w:val="20"/>
          <w:szCs w:val="20"/>
          <w:lang w:bidi="ar-EG"/>
        </w:rPr>
        <w:t>Our aim was to show the relationship</w:t>
      </w:r>
      <w:r w:rsidRPr="00E256A9">
        <w:rPr>
          <w:rFonts w:ascii="Times New Roman" w:hAnsi="Times New Roman" w:cs="Times New Roman"/>
          <w:color w:val="auto"/>
          <w:sz w:val="20"/>
          <w:szCs w:val="20"/>
        </w:rPr>
        <w:t xml:space="preserve"> between reduced albumin and inflammatory response and its effect on morbidity and mortality in critically ill patients</w:t>
      </w:r>
      <w:r w:rsidRPr="00E256A9">
        <w:rPr>
          <w:rFonts w:ascii="Times New Roman" w:eastAsia="Calibri" w:hAnsi="Times New Roman" w:cs="Times New Roman"/>
          <w:color w:val="auto"/>
          <w:sz w:val="20"/>
          <w:szCs w:val="20"/>
          <w:lang w:bidi="ar-EG"/>
        </w:rPr>
        <w:t>.</w:t>
      </w:r>
    </w:p>
    <w:p w:rsidR="00ED5BD8" w:rsidRPr="00E256A9" w:rsidRDefault="00ED5BD8"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lang w:bidi="ar-EG"/>
        </w:rPr>
        <w:t>I</w:t>
      </w:r>
      <w:r w:rsidR="003F5E37" w:rsidRPr="00E256A9">
        <w:rPr>
          <w:rFonts w:ascii="Times New Roman" w:eastAsia="Calibri" w:hAnsi="Times New Roman" w:cs="Times New Roman"/>
          <w:sz w:val="20"/>
          <w:szCs w:val="20"/>
          <w:lang w:bidi="ar-EG"/>
        </w:rPr>
        <w:t xml:space="preserve">n current study, the </w:t>
      </w:r>
      <w:r w:rsidR="003F5E37" w:rsidRPr="00E256A9">
        <w:rPr>
          <w:rFonts w:ascii="Times New Roman" w:eastAsia="Calibri" w:hAnsi="Times New Roman" w:cs="Times New Roman"/>
          <w:sz w:val="20"/>
          <w:szCs w:val="20"/>
        </w:rPr>
        <w:t>mean age of survivors was 53.47 ± 14.26 years and 10 (53%) of them were males where mean age of non-survivors was 56.79± 11.766 years and 13 (68%) of them were males. Both groups had no significant differences regarding age and sex (</w:t>
      </w:r>
      <w:r w:rsidR="003F5E37" w:rsidRPr="00E256A9">
        <w:rPr>
          <w:rFonts w:ascii="Times New Roman" w:eastAsia="Calibri" w:hAnsi="Times New Roman" w:cs="Times New Roman"/>
          <w:i/>
          <w:iCs/>
          <w:sz w:val="20"/>
          <w:szCs w:val="20"/>
        </w:rPr>
        <w:t>P</w:t>
      </w:r>
      <w:r w:rsidR="003F5E37" w:rsidRPr="00E256A9">
        <w:rPr>
          <w:rFonts w:ascii="Times New Roman" w:eastAsia="Calibri" w:hAnsi="Times New Roman" w:cs="Times New Roman"/>
          <w:sz w:val="20"/>
          <w:szCs w:val="20"/>
        </w:rPr>
        <w:t>&gt; 0.05).</w:t>
      </w:r>
    </w:p>
    <w:p w:rsidR="00ED5BD8" w:rsidRPr="00E256A9" w:rsidRDefault="00ED5BD8"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R</w:t>
      </w:r>
      <w:r w:rsidR="003F5E37" w:rsidRPr="00E256A9">
        <w:rPr>
          <w:rFonts w:ascii="Times New Roman" w:eastAsia="Calibri" w:hAnsi="Times New Roman" w:cs="Times New Roman"/>
          <w:sz w:val="20"/>
          <w:szCs w:val="20"/>
        </w:rPr>
        <w:t xml:space="preserve">egarding to demographic data, </w:t>
      </w:r>
      <w:r w:rsidR="003F5E37" w:rsidRPr="00E256A9">
        <w:rPr>
          <w:rFonts w:ascii="Times New Roman" w:hAnsi="Times New Roman" w:cs="Times New Roman"/>
          <w:b/>
          <w:bCs/>
          <w:sz w:val="20"/>
          <w:szCs w:val="20"/>
          <w:lang w:bidi="ar-EG"/>
        </w:rPr>
        <w:t>Oliveira and his colleague</w:t>
      </w:r>
      <w:r w:rsidRPr="00E256A9">
        <w:rPr>
          <w:rFonts w:ascii="Times New Roman" w:hAnsi="Times New Roman" w:cs="Times New Roman"/>
          <w:b/>
          <w:bCs/>
          <w:sz w:val="20"/>
          <w:szCs w:val="20"/>
          <w:lang w:bidi="ar-EG"/>
        </w:rPr>
        <w:t xml:space="preserve">s </w:t>
      </w:r>
      <w:r w:rsidRPr="00E256A9">
        <w:rPr>
          <w:rFonts w:ascii="Times New Roman" w:eastAsia="Calibri" w:hAnsi="Times New Roman" w:cs="Times New Roman"/>
          <w:b/>
          <w:bCs/>
          <w:sz w:val="20"/>
          <w:szCs w:val="20"/>
          <w:vertAlign w:val="superscript"/>
        </w:rPr>
        <w:t>(</w:t>
      </w:r>
      <w:r w:rsidR="003D12D1" w:rsidRPr="00E256A9">
        <w:rPr>
          <w:rFonts w:ascii="Times New Roman" w:eastAsia="Calibri" w:hAnsi="Times New Roman" w:cs="Times New Roman"/>
          <w:b/>
          <w:bCs/>
          <w:sz w:val="20"/>
          <w:szCs w:val="20"/>
          <w:vertAlign w:val="superscript"/>
        </w:rPr>
        <w:t>11</w:t>
      </w:r>
      <w:r w:rsidR="003F5E37" w:rsidRPr="00E256A9">
        <w:rPr>
          <w:rFonts w:ascii="Times New Roman" w:eastAsia="Calibri" w:hAnsi="Times New Roman" w:cs="Times New Roman"/>
          <w:b/>
          <w:bCs/>
          <w:sz w:val="20"/>
          <w:szCs w:val="20"/>
          <w:vertAlign w:val="superscript"/>
        </w:rPr>
        <w:t>)</w:t>
      </w:r>
      <w:r w:rsidR="003F5E37" w:rsidRPr="00E256A9">
        <w:rPr>
          <w:rFonts w:ascii="Times New Roman" w:eastAsia="Calibri" w:hAnsi="Times New Roman" w:cs="Times New Roman"/>
          <w:sz w:val="20"/>
          <w:szCs w:val="20"/>
        </w:rPr>
        <w:t xml:space="preserve"> reported that </w:t>
      </w:r>
      <w:r w:rsidR="00B8388C" w:rsidRPr="00E256A9">
        <w:rPr>
          <w:rFonts w:ascii="Times New Roman" w:eastAsia="Calibri" w:hAnsi="Times New Roman" w:cs="Times New Roman"/>
          <w:sz w:val="20"/>
          <w:szCs w:val="20"/>
        </w:rPr>
        <w:t>in their study, t</w:t>
      </w:r>
      <w:r w:rsidR="003F5E37" w:rsidRPr="00E256A9">
        <w:rPr>
          <w:rFonts w:ascii="Times New Roman" w:eastAsia="Calibri" w:hAnsi="Times New Roman" w:cs="Times New Roman"/>
          <w:sz w:val="20"/>
          <w:szCs w:val="20"/>
        </w:rPr>
        <w:t>here were 58 (55.8</w:t>
      </w:r>
      <w:r w:rsidR="00B8388C" w:rsidRPr="00E256A9">
        <w:rPr>
          <w:rFonts w:ascii="Times New Roman" w:eastAsia="Calibri" w:hAnsi="Times New Roman" w:cs="Times New Roman"/>
          <w:sz w:val="20"/>
          <w:szCs w:val="20"/>
        </w:rPr>
        <w:t>%) men and 46 (44.2%) women and</w:t>
      </w:r>
      <w:r w:rsidR="003F5E37" w:rsidRPr="00E256A9">
        <w:rPr>
          <w:rFonts w:ascii="Times New Roman" w:eastAsia="Calibri" w:hAnsi="Times New Roman" w:cs="Times New Roman"/>
          <w:sz w:val="20"/>
          <w:szCs w:val="20"/>
        </w:rPr>
        <w:t xml:space="preserve"> overall mortality was 68.3%, consisting of 35 men (60.3% of the male population) and 36 women (78.3% of the female population) (p=0.082, chi-square test). The age (median; range) was greater for non</w:t>
      </w:r>
      <w:r w:rsidR="000518C7" w:rsidRPr="00E256A9">
        <w:rPr>
          <w:rFonts w:ascii="Times New Roman" w:eastAsia="Calibri" w:hAnsi="Times New Roman" w:cs="Times New Roman"/>
          <w:sz w:val="20"/>
          <w:szCs w:val="20"/>
        </w:rPr>
        <w:t>-</w:t>
      </w:r>
      <w:r w:rsidR="003F5E37" w:rsidRPr="00E256A9">
        <w:rPr>
          <w:rFonts w:ascii="Times New Roman" w:eastAsia="Calibri" w:hAnsi="Times New Roman" w:cs="Times New Roman"/>
          <w:sz w:val="20"/>
          <w:szCs w:val="20"/>
        </w:rPr>
        <w:t xml:space="preserve">survivors (54; 22-91 years) than for survivors (42; 21-81 years) (p&lt;0.01). </w:t>
      </w:r>
    </w:p>
    <w:p w:rsidR="003F5E37" w:rsidRPr="00E256A9" w:rsidRDefault="00ED5BD8"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I</w:t>
      </w:r>
      <w:r w:rsidR="003F5E37" w:rsidRPr="00E256A9">
        <w:rPr>
          <w:rFonts w:ascii="Times New Roman" w:eastAsia="Calibri" w:hAnsi="Times New Roman" w:cs="Times New Roman"/>
          <w:sz w:val="20"/>
          <w:szCs w:val="20"/>
        </w:rPr>
        <w:t>n our study, changes in heart rate in both groups over seven days where it was recorded every eight hours. It was noticed that non- survivors had significantly higher heart rate in comparison to survivors at 3</w:t>
      </w:r>
      <w:r w:rsidR="003F5E37" w:rsidRPr="00E256A9">
        <w:rPr>
          <w:rFonts w:ascii="Times New Roman" w:eastAsia="Calibri" w:hAnsi="Times New Roman" w:cs="Times New Roman"/>
          <w:sz w:val="20"/>
          <w:szCs w:val="20"/>
          <w:vertAlign w:val="superscript"/>
        </w:rPr>
        <w:t>rd</w:t>
      </w:r>
      <w:r w:rsidR="003F5E37" w:rsidRPr="00E256A9">
        <w:rPr>
          <w:rFonts w:ascii="Times New Roman" w:eastAsia="Calibri" w:hAnsi="Times New Roman" w:cs="Times New Roman"/>
          <w:sz w:val="20"/>
          <w:szCs w:val="20"/>
        </w:rPr>
        <w:t>, 4</w:t>
      </w:r>
      <w:r w:rsidR="003F5E37" w:rsidRPr="00E256A9">
        <w:rPr>
          <w:rFonts w:ascii="Times New Roman" w:eastAsia="Calibri" w:hAnsi="Times New Roman" w:cs="Times New Roman"/>
          <w:sz w:val="20"/>
          <w:szCs w:val="20"/>
          <w:vertAlign w:val="superscript"/>
        </w:rPr>
        <w:t>th</w:t>
      </w:r>
      <w:r w:rsidR="003F5E37" w:rsidRPr="00E256A9">
        <w:rPr>
          <w:rFonts w:ascii="Times New Roman" w:eastAsia="Calibri" w:hAnsi="Times New Roman" w:cs="Times New Roman"/>
          <w:sz w:val="20"/>
          <w:szCs w:val="20"/>
        </w:rPr>
        <w:t>, 5</w:t>
      </w:r>
      <w:r w:rsidR="003F5E37" w:rsidRPr="00E256A9">
        <w:rPr>
          <w:rFonts w:ascii="Times New Roman" w:eastAsia="Calibri" w:hAnsi="Times New Roman" w:cs="Times New Roman"/>
          <w:sz w:val="20"/>
          <w:szCs w:val="20"/>
          <w:vertAlign w:val="superscript"/>
        </w:rPr>
        <w:t>th</w:t>
      </w:r>
      <w:r w:rsidR="003F5E37" w:rsidRPr="00E256A9">
        <w:rPr>
          <w:rFonts w:ascii="Times New Roman" w:eastAsia="Calibri" w:hAnsi="Times New Roman" w:cs="Times New Roman"/>
          <w:sz w:val="20"/>
          <w:szCs w:val="20"/>
        </w:rPr>
        <w:t xml:space="preserve"> and 6</w:t>
      </w:r>
      <w:r w:rsidR="003F5E37" w:rsidRPr="00E256A9">
        <w:rPr>
          <w:rFonts w:ascii="Times New Roman" w:eastAsia="Calibri" w:hAnsi="Times New Roman" w:cs="Times New Roman"/>
          <w:sz w:val="20"/>
          <w:szCs w:val="20"/>
          <w:vertAlign w:val="superscript"/>
        </w:rPr>
        <w:t>th</w:t>
      </w:r>
      <w:r w:rsidR="003F5E37" w:rsidRPr="00E256A9">
        <w:rPr>
          <w:rFonts w:ascii="Times New Roman" w:eastAsia="Calibri" w:hAnsi="Times New Roman" w:cs="Times New Roman"/>
          <w:sz w:val="20"/>
          <w:szCs w:val="20"/>
        </w:rPr>
        <w:t xml:space="preserve"> days (</w:t>
      </w:r>
      <w:r w:rsidR="003F5E37" w:rsidRPr="00E256A9">
        <w:rPr>
          <w:rFonts w:ascii="Times New Roman" w:eastAsia="Calibri" w:hAnsi="Times New Roman" w:cs="Times New Roman"/>
          <w:i/>
          <w:iCs/>
          <w:sz w:val="20"/>
          <w:szCs w:val="20"/>
        </w:rPr>
        <w:t>P</w:t>
      </w:r>
      <w:r w:rsidR="003F5E37" w:rsidRPr="00E256A9">
        <w:rPr>
          <w:rFonts w:ascii="Times New Roman" w:eastAsia="Calibri" w:hAnsi="Times New Roman" w:cs="Times New Roman"/>
          <w:sz w:val="20"/>
          <w:szCs w:val="20"/>
        </w:rPr>
        <w:t>&lt; 0.05) but at other days both groups had no significant differences (</w:t>
      </w:r>
      <w:r w:rsidR="003F5E37" w:rsidRPr="00E256A9">
        <w:rPr>
          <w:rFonts w:ascii="Times New Roman" w:eastAsia="Calibri" w:hAnsi="Times New Roman" w:cs="Times New Roman"/>
          <w:i/>
          <w:iCs/>
          <w:sz w:val="20"/>
          <w:szCs w:val="20"/>
        </w:rPr>
        <w:t>P</w:t>
      </w:r>
      <w:r w:rsidR="003F5E37" w:rsidRPr="00E256A9">
        <w:rPr>
          <w:rFonts w:ascii="Times New Roman" w:eastAsia="Calibri" w:hAnsi="Times New Roman" w:cs="Times New Roman"/>
          <w:sz w:val="20"/>
          <w:szCs w:val="20"/>
        </w:rPr>
        <w:t>&gt; 0.05).</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lastRenderedPageBreak/>
        <w:t>In our study, changes in mean arterial blood pressure in both groups over seven days was recorded every eight hours. It was noticed that non- survivors had significantly lower mean arterial blood pressure in comparison to survivors in all 7 days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 xml:space="preserve">&lt; 0.05). </w:t>
      </w:r>
      <w:r w:rsidRPr="00E256A9">
        <w:rPr>
          <w:rFonts w:ascii="Times New Roman" w:hAnsi="Times New Roman" w:cs="Times New Roman"/>
          <w:b/>
          <w:bCs/>
          <w:sz w:val="20"/>
          <w:szCs w:val="20"/>
        </w:rPr>
        <w:t>Houwink et al</w:t>
      </w:r>
      <w:r w:rsidR="00ED5BD8" w:rsidRPr="00E256A9">
        <w:rPr>
          <w:rFonts w:ascii="Times New Roman" w:hAnsi="Times New Roman" w:cs="Times New Roman"/>
          <w:b/>
          <w:bCs/>
          <w:sz w:val="20"/>
          <w:szCs w:val="20"/>
        </w:rPr>
        <w:t xml:space="preserve">. </w:t>
      </w:r>
      <w:r w:rsidR="00ED5BD8" w:rsidRPr="00E256A9">
        <w:rPr>
          <w:rFonts w:ascii="Times New Roman" w:eastAsia="Calibri" w:hAnsi="Times New Roman" w:cs="Times New Roman"/>
          <w:b/>
          <w:bCs/>
          <w:sz w:val="20"/>
          <w:szCs w:val="20"/>
          <w:vertAlign w:val="superscript"/>
        </w:rPr>
        <w:t>(</w:t>
      </w:r>
      <w:r w:rsidR="003D12D1" w:rsidRPr="00E256A9">
        <w:rPr>
          <w:rFonts w:ascii="Times New Roman" w:eastAsia="Calibri" w:hAnsi="Times New Roman" w:cs="Times New Roman"/>
          <w:b/>
          <w:bCs/>
          <w:sz w:val="20"/>
          <w:szCs w:val="20"/>
          <w:vertAlign w:val="superscript"/>
        </w:rPr>
        <w:t xml:space="preserve">12) </w:t>
      </w:r>
      <w:r w:rsidRPr="00E256A9">
        <w:rPr>
          <w:rFonts w:ascii="Times New Roman" w:eastAsia="Calibri" w:hAnsi="Times New Roman" w:cs="Times New Roman"/>
          <w:sz w:val="20"/>
          <w:szCs w:val="20"/>
        </w:rPr>
        <w:t>found in their study similar results regarding mean arterial blood pressure.</w:t>
      </w:r>
    </w:p>
    <w:p w:rsidR="003F5E37" w:rsidRPr="00E256A9" w:rsidRDefault="000518C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In </w:t>
      </w:r>
      <w:r w:rsidR="003F5E37" w:rsidRPr="00E256A9">
        <w:rPr>
          <w:rFonts w:ascii="Times New Roman" w:eastAsia="Calibri" w:hAnsi="Times New Roman" w:cs="Times New Roman"/>
          <w:sz w:val="20"/>
          <w:szCs w:val="20"/>
        </w:rPr>
        <w:t>our study, changes in body temperature in both groups over seven days was recorded every eight hours. It was noticed that non- survivors had significantly higher body temperature in comparison to survivors starting from the 2</w:t>
      </w:r>
      <w:r w:rsidR="003F5E37" w:rsidRPr="00E256A9">
        <w:rPr>
          <w:rFonts w:ascii="Times New Roman" w:eastAsia="Calibri" w:hAnsi="Times New Roman" w:cs="Times New Roman"/>
          <w:sz w:val="20"/>
          <w:szCs w:val="20"/>
          <w:vertAlign w:val="superscript"/>
        </w:rPr>
        <w:t>nd</w:t>
      </w:r>
      <w:r w:rsidR="003F5E37" w:rsidRPr="00E256A9">
        <w:rPr>
          <w:rFonts w:ascii="Times New Roman" w:eastAsia="Calibri" w:hAnsi="Times New Roman" w:cs="Times New Roman"/>
          <w:sz w:val="20"/>
          <w:szCs w:val="20"/>
        </w:rPr>
        <w:t xml:space="preserve"> day till the 7</w:t>
      </w:r>
      <w:r w:rsidR="003F5E37" w:rsidRPr="00E256A9">
        <w:rPr>
          <w:rFonts w:ascii="Times New Roman" w:eastAsia="Calibri" w:hAnsi="Times New Roman" w:cs="Times New Roman"/>
          <w:sz w:val="20"/>
          <w:szCs w:val="20"/>
          <w:vertAlign w:val="superscript"/>
        </w:rPr>
        <w:t>th</w:t>
      </w:r>
      <w:r w:rsidR="003F5E37" w:rsidRPr="00E256A9">
        <w:rPr>
          <w:rFonts w:ascii="Times New Roman" w:eastAsia="Calibri" w:hAnsi="Times New Roman" w:cs="Times New Roman"/>
          <w:sz w:val="20"/>
          <w:szCs w:val="20"/>
        </w:rPr>
        <w:t xml:space="preserve"> day (</w:t>
      </w:r>
      <w:r w:rsidR="003F5E37" w:rsidRPr="00E256A9">
        <w:rPr>
          <w:rFonts w:ascii="Times New Roman" w:eastAsia="Calibri" w:hAnsi="Times New Roman" w:cs="Times New Roman"/>
          <w:i/>
          <w:iCs/>
          <w:sz w:val="20"/>
          <w:szCs w:val="20"/>
        </w:rPr>
        <w:t>P</w:t>
      </w:r>
      <w:r w:rsidR="003F5E37" w:rsidRPr="00E256A9">
        <w:rPr>
          <w:rFonts w:ascii="Times New Roman" w:eastAsia="Calibri" w:hAnsi="Times New Roman" w:cs="Times New Roman"/>
          <w:sz w:val="20"/>
          <w:szCs w:val="20"/>
        </w:rPr>
        <w:t>&lt; 0.05)</w:t>
      </w:r>
      <w:r w:rsidR="00D10008" w:rsidRPr="00E256A9">
        <w:rPr>
          <w:rFonts w:ascii="Times New Roman" w:eastAsia="Calibri" w:hAnsi="Times New Roman" w:cs="Times New Roman"/>
          <w:sz w:val="20"/>
          <w:szCs w:val="20"/>
        </w:rPr>
        <w:t xml:space="preserve">. </w:t>
      </w:r>
      <w:r w:rsidR="00D10008" w:rsidRPr="00E256A9">
        <w:rPr>
          <w:rFonts w:ascii="Times New Roman" w:eastAsia="Calibri" w:hAnsi="Times New Roman" w:cs="Times New Roman"/>
          <w:b/>
          <w:bCs/>
          <w:sz w:val="20"/>
          <w:szCs w:val="20"/>
        </w:rPr>
        <w:t>S</w:t>
      </w:r>
      <w:r w:rsidRPr="00E256A9">
        <w:rPr>
          <w:rFonts w:ascii="Times New Roman" w:eastAsia="Calibri" w:hAnsi="Times New Roman" w:cs="Times New Roman"/>
          <w:b/>
          <w:bCs/>
          <w:sz w:val="20"/>
          <w:szCs w:val="20"/>
        </w:rPr>
        <w:t>chell-Chaple et al</w:t>
      </w:r>
      <w:r w:rsidR="00ED5BD8" w:rsidRPr="00E256A9">
        <w:rPr>
          <w:rFonts w:ascii="Times New Roman" w:eastAsia="Calibri" w:hAnsi="Times New Roman" w:cs="Times New Roman"/>
          <w:b/>
          <w:bCs/>
          <w:sz w:val="20"/>
          <w:szCs w:val="20"/>
        </w:rPr>
        <w:t xml:space="preserve">. </w:t>
      </w:r>
      <w:r w:rsidR="00ED5BD8" w:rsidRPr="00E256A9">
        <w:rPr>
          <w:rFonts w:ascii="Times New Roman" w:eastAsia="Calibri" w:hAnsi="Times New Roman" w:cs="Times New Roman"/>
          <w:b/>
          <w:bCs/>
          <w:sz w:val="20"/>
          <w:szCs w:val="20"/>
          <w:vertAlign w:val="superscript"/>
        </w:rPr>
        <w:t>(</w:t>
      </w:r>
      <w:r w:rsidR="003D12D1" w:rsidRPr="00E256A9">
        <w:rPr>
          <w:rFonts w:ascii="Times New Roman" w:eastAsia="Calibri" w:hAnsi="Times New Roman" w:cs="Times New Roman"/>
          <w:b/>
          <w:bCs/>
          <w:sz w:val="20"/>
          <w:szCs w:val="20"/>
          <w:vertAlign w:val="superscript"/>
        </w:rPr>
        <w:t>13</w:t>
      </w:r>
      <w:r w:rsidRPr="00E256A9">
        <w:rPr>
          <w:rFonts w:ascii="Times New Roman" w:eastAsia="Calibri" w:hAnsi="Times New Roman" w:cs="Times New Roman"/>
          <w:b/>
          <w:bCs/>
          <w:sz w:val="20"/>
          <w:szCs w:val="20"/>
          <w:vertAlign w:val="superscript"/>
        </w:rPr>
        <w:t>)</w:t>
      </w:r>
      <w:r w:rsidRPr="00E256A9">
        <w:rPr>
          <w:rFonts w:ascii="Times New Roman" w:eastAsia="Calibri" w:hAnsi="Times New Roman" w:cs="Times New Roman"/>
          <w:sz w:val="20"/>
          <w:szCs w:val="20"/>
        </w:rPr>
        <w:t xml:space="preserve">reported that in early ARDS higher temperature was associated with decreased mortality, </w:t>
      </w:r>
      <w:r w:rsidRPr="00E256A9">
        <w:rPr>
          <w:rFonts w:ascii="Times New Roman" w:eastAsia="Calibri" w:hAnsi="Times New Roman" w:cs="Times New Roman"/>
          <w:b/>
          <w:bCs/>
          <w:sz w:val="20"/>
          <w:szCs w:val="20"/>
        </w:rPr>
        <w:t>Sanderson et al</w:t>
      </w:r>
      <w:r w:rsidR="00ED5BD8" w:rsidRPr="00E256A9">
        <w:rPr>
          <w:rFonts w:ascii="Times New Roman" w:eastAsia="Calibri" w:hAnsi="Times New Roman" w:cs="Times New Roman"/>
          <w:b/>
          <w:bCs/>
          <w:sz w:val="20"/>
          <w:szCs w:val="20"/>
        </w:rPr>
        <w:t xml:space="preserve">. </w:t>
      </w:r>
      <w:r w:rsidR="00ED5BD8" w:rsidRPr="00E256A9">
        <w:rPr>
          <w:rFonts w:ascii="Times New Roman" w:eastAsia="Calibri" w:hAnsi="Times New Roman" w:cs="Times New Roman"/>
          <w:b/>
          <w:bCs/>
          <w:sz w:val="20"/>
          <w:szCs w:val="20"/>
          <w:vertAlign w:val="superscript"/>
        </w:rPr>
        <w:t>(</w:t>
      </w:r>
      <w:r w:rsidR="003D12D1" w:rsidRPr="00E256A9">
        <w:rPr>
          <w:rFonts w:ascii="Times New Roman" w:eastAsia="Calibri" w:hAnsi="Times New Roman" w:cs="Times New Roman"/>
          <w:b/>
          <w:bCs/>
          <w:sz w:val="20"/>
          <w:szCs w:val="20"/>
          <w:vertAlign w:val="superscript"/>
        </w:rPr>
        <w:t>14</w:t>
      </w:r>
      <w:r w:rsidRPr="00E256A9">
        <w:rPr>
          <w:rFonts w:ascii="Times New Roman" w:eastAsia="Calibri" w:hAnsi="Times New Roman" w:cs="Times New Roman"/>
          <w:b/>
          <w:bCs/>
          <w:sz w:val="20"/>
          <w:szCs w:val="20"/>
          <w:vertAlign w:val="superscript"/>
        </w:rPr>
        <w:t>)</w:t>
      </w:r>
      <w:r w:rsidRPr="00E256A9">
        <w:rPr>
          <w:rFonts w:ascii="Times New Roman" w:eastAsia="Calibri" w:hAnsi="Times New Roman" w:cs="Times New Roman"/>
          <w:sz w:val="20"/>
          <w:szCs w:val="20"/>
        </w:rPr>
        <w:t xml:space="preserve">also reported similar result in patients with sepsis. </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 xml:space="preserve">In our study, changes in albumin level in both </w:t>
      </w:r>
      <w:r w:rsidR="00511BD4" w:rsidRPr="00E256A9">
        <w:rPr>
          <w:rFonts w:ascii="Times New Roman" w:eastAsia="Calibri" w:hAnsi="Times New Roman" w:cs="Times New Roman"/>
          <w:sz w:val="20"/>
          <w:szCs w:val="20"/>
        </w:rPr>
        <w:t xml:space="preserve">groups were </w:t>
      </w:r>
      <w:r w:rsidRPr="00E256A9">
        <w:rPr>
          <w:rFonts w:ascii="Times New Roman" w:eastAsia="Calibri" w:hAnsi="Times New Roman" w:cs="Times New Roman"/>
          <w:sz w:val="20"/>
          <w:szCs w:val="20"/>
        </w:rPr>
        <w:t>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00511BD4" w:rsidRPr="00E256A9">
        <w:rPr>
          <w:rFonts w:ascii="Times New Roman" w:eastAsia="Calibri" w:hAnsi="Times New Roman" w:cs="Times New Roman"/>
          <w:sz w:val="20"/>
          <w:szCs w:val="20"/>
        </w:rPr>
        <w:t xml:space="preserve"> day. It was noticed that non-</w:t>
      </w:r>
      <w:r w:rsidRPr="00E256A9">
        <w:rPr>
          <w:rFonts w:ascii="Times New Roman" w:eastAsia="Calibri" w:hAnsi="Times New Roman" w:cs="Times New Roman"/>
          <w:sz w:val="20"/>
          <w:szCs w:val="20"/>
        </w:rPr>
        <w:t>survivors had significantly lower albumin level in comparison to survivors (</w:t>
      </w:r>
      <w:r w:rsidRPr="00E256A9">
        <w:rPr>
          <w:rFonts w:ascii="Times New Roman" w:eastAsia="Calibri" w:hAnsi="Times New Roman" w:cs="Times New Roman"/>
          <w:i/>
          <w:iCs/>
          <w:sz w:val="20"/>
          <w:szCs w:val="20"/>
        </w:rPr>
        <w:t>P</w:t>
      </w:r>
      <w:r w:rsidR="00511BD4" w:rsidRPr="00E256A9">
        <w:rPr>
          <w:rFonts w:ascii="Times New Roman" w:eastAsia="Calibri" w:hAnsi="Times New Roman" w:cs="Times New Roman"/>
          <w:sz w:val="20"/>
          <w:szCs w:val="20"/>
        </w:rPr>
        <w:t>&lt; 0.05). Albumin</w:t>
      </w:r>
      <w:r w:rsidRPr="00E256A9">
        <w:rPr>
          <w:rFonts w:ascii="Times New Roman" w:eastAsia="Calibri" w:hAnsi="Times New Roman" w:cs="Times New Roman"/>
          <w:sz w:val="20"/>
          <w:szCs w:val="20"/>
        </w:rPr>
        <w:t xml:space="preserve"> level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w:t>
      </w:r>
      <w:r w:rsidR="00511BD4" w:rsidRPr="00E256A9">
        <w:rPr>
          <w:rFonts w:ascii="Times New Roman" w:eastAsia="Calibri" w:hAnsi="Times New Roman" w:cs="Times New Roman"/>
          <w:sz w:val="20"/>
          <w:szCs w:val="20"/>
        </w:rPr>
        <w:t>survivors.</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lang w:bidi="ar-EG"/>
        </w:rPr>
      </w:pPr>
      <w:r w:rsidRPr="00E256A9">
        <w:rPr>
          <w:rFonts w:ascii="Times New Roman" w:eastAsia="Calibri" w:hAnsi="Times New Roman" w:cs="Times New Roman"/>
          <w:b/>
          <w:bCs/>
          <w:sz w:val="20"/>
          <w:szCs w:val="20"/>
        </w:rPr>
        <w:t>Hedlund and Hansson</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et</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al</w:t>
      </w:r>
      <w:r w:rsidR="00ED5BD8" w:rsidRPr="00E256A9">
        <w:rPr>
          <w:rFonts w:ascii="Times New Roman" w:eastAsia="Calibri" w:hAnsi="Times New Roman" w:cs="Times New Roman"/>
          <w:sz w:val="20"/>
          <w:szCs w:val="20"/>
        </w:rPr>
        <w:t xml:space="preserve">. </w:t>
      </w:r>
      <w:r w:rsidR="00ED5BD8" w:rsidRPr="00E256A9">
        <w:rPr>
          <w:rFonts w:ascii="Times New Roman" w:eastAsia="Calibri" w:hAnsi="Times New Roman" w:cs="Times New Roman"/>
          <w:b/>
          <w:bCs/>
          <w:sz w:val="20"/>
          <w:szCs w:val="20"/>
          <w:vertAlign w:val="superscript"/>
        </w:rPr>
        <w:t>(</w:t>
      </w:r>
      <w:r w:rsidR="003D12D1" w:rsidRPr="00E256A9">
        <w:rPr>
          <w:rFonts w:ascii="Times New Roman" w:eastAsia="Calibri" w:hAnsi="Times New Roman" w:cs="Times New Roman"/>
          <w:b/>
          <w:bCs/>
          <w:sz w:val="20"/>
          <w:szCs w:val="20"/>
          <w:vertAlign w:val="superscript"/>
        </w:rPr>
        <w:t>15)</w:t>
      </w:r>
      <w:r w:rsidR="00E256A9">
        <w:rPr>
          <w:rFonts w:ascii="Times New Roman" w:hAnsi="Times New Roman" w:cs="Times New Roman" w:hint="eastAsia"/>
          <w:b/>
          <w:bCs/>
          <w:sz w:val="20"/>
          <w:szCs w:val="20"/>
          <w:vertAlign w:val="superscript"/>
          <w:lang w:eastAsia="zh-CN"/>
        </w:rPr>
        <w:t xml:space="preserve"> </w:t>
      </w:r>
      <w:r w:rsidRPr="00E256A9">
        <w:rPr>
          <w:rFonts w:ascii="Times New Roman" w:eastAsia="Calibri" w:hAnsi="Times New Roman" w:cs="Times New Roman"/>
          <w:sz w:val="20"/>
          <w:szCs w:val="20"/>
        </w:rPr>
        <w:t xml:space="preserve">found that serum albumin </w:t>
      </w:r>
      <w:r w:rsidR="00511BD4" w:rsidRPr="00E256A9">
        <w:rPr>
          <w:rFonts w:ascii="Times New Roman" w:eastAsia="Calibri" w:hAnsi="Times New Roman" w:cs="Times New Roman"/>
          <w:sz w:val="20"/>
          <w:szCs w:val="20"/>
        </w:rPr>
        <w:t xml:space="preserve">was </w:t>
      </w:r>
      <w:r w:rsidRPr="00E256A9">
        <w:rPr>
          <w:rFonts w:ascii="Times New Roman" w:eastAsia="Calibri" w:hAnsi="Times New Roman" w:cs="Times New Roman"/>
          <w:sz w:val="20"/>
          <w:szCs w:val="20"/>
        </w:rPr>
        <w:t xml:space="preserve">decreased until the sixth day of hospitalization, in patients with CAP. </w:t>
      </w:r>
      <w:r w:rsidRPr="00E256A9">
        <w:rPr>
          <w:rFonts w:ascii="Times New Roman" w:eastAsia="Calibri" w:hAnsi="Times New Roman" w:cs="Times New Roman"/>
          <w:b/>
          <w:bCs/>
          <w:sz w:val="20"/>
          <w:szCs w:val="20"/>
        </w:rPr>
        <w:t>Sullivan</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et</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al</w:t>
      </w:r>
      <w:r w:rsidR="00ED5BD8" w:rsidRPr="00E256A9">
        <w:rPr>
          <w:rFonts w:ascii="Times New Roman" w:eastAsia="Calibri" w:hAnsi="Times New Roman" w:cs="Times New Roman"/>
          <w:sz w:val="20"/>
          <w:szCs w:val="20"/>
        </w:rPr>
        <w:t xml:space="preserve">. </w:t>
      </w:r>
      <w:r w:rsidR="00ED5BD8" w:rsidRPr="00E256A9">
        <w:rPr>
          <w:rFonts w:ascii="Times New Roman" w:eastAsia="Calibri" w:hAnsi="Times New Roman" w:cs="Times New Roman"/>
          <w:b/>
          <w:bCs/>
          <w:sz w:val="20"/>
          <w:szCs w:val="20"/>
          <w:vertAlign w:val="superscript"/>
        </w:rPr>
        <w:t>(</w:t>
      </w:r>
      <w:r w:rsidR="00871668" w:rsidRPr="00E256A9">
        <w:rPr>
          <w:rFonts w:ascii="Times New Roman" w:eastAsia="Calibri" w:hAnsi="Times New Roman" w:cs="Times New Roman"/>
          <w:b/>
          <w:bCs/>
          <w:sz w:val="20"/>
          <w:szCs w:val="20"/>
          <w:vertAlign w:val="superscript"/>
        </w:rPr>
        <w:t>16)</w:t>
      </w:r>
      <w:r w:rsidR="00E256A9">
        <w:rPr>
          <w:rFonts w:ascii="Times New Roman" w:hAnsi="Times New Roman" w:cs="Times New Roman" w:hint="eastAsia"/>
          <w:b/>
          <w:bCs/>
          <w:sz w:val="20"/>
          <w:szCs w:val="20"/>
          <w:vertAlign w:val="superscript"/>
          <w:lang w:eastAsia="zh-CN"/>
        </w:rPr>
        <w:t xml:space="preserve"> </w:t>
      </w:r>
      <w:r w:rsidRPr="00E256A9">
        <w:rPr>
          <w:rFonts w:ascii="Times New Roman" w:eastAsia="Calibri" w:hAnsi="Times New Roman" w:cs="Times New Roman"/>
          <w:sz w:val="20"/>
          <w:szCs w:val="20"/>
        </w:rPr>
        <w:t>in their prospective study found lower albumin level upon patient discharge from the hospital (mean 29.1 g/L) compared to the admission (mean 36.6 g/L), in hospitalized elderly patients</w:t>
      </w:r>
      <w:r w:rsidR="00D10008" w:rsidRPr="00E256A9">
        <w:rPr>
          <w:rFonts w:ascii="Times New Roman" w:eastAsia="Calibri" w:hAnsi="Times New Roman" w:cs="Times New Roman"/>
          <w:sz w:val="20"/>
          <w:szCs w:val="20"/>
        </w:rPr>
        <w:t xml:space="preserve">. </w:t>
      </w:r>
      <w:r w:rsidR="00D10008" w:rsidRPr="00E256A9">
        <w:rPr>
          <w:rFonts w:ascii="Times New Roman" w:eastAsia="Calibri" w:hAnsi="Times New Roman" w:cs="Times New Roman"/>
          <w:b/>
          <w:bCs/>
          <w:sz w:val="20"/>
          <w:szCs w:val="20"/>
        </w:rPr>
        <w:t>H</w:t>
      </w:r>
      <w:r w:rsidRPr="00E256A9">
        <w:rPr>
          <w:rFonts w:ascii="Times New Roman" w:eastAsia="Calibri" w:hAnsi="Times New Roman" w:cs="Times New Roman"/>
          <w:b/>
          <w:bCs/>
          <w:sz w:val="20"/>
          <w:szCs w:val="20"/>
        </w:rPr>
        <w:t>arimurti et al</w:t>
      </w:r>
      <w:r w:rsidR="00ED5BD8" w:rsidRPr="00E256A9">
        <w:rPr>
          <w:rFonts w:ascii="Times New Roman" w:eastAsia="Calibri" w:hAnsi="Times New Roman" w:cs="Times New Roman"/>
          <w:b/>
          <w:bCs/>
          <w:sz w:val="20"/>
          <w:szCs w:val="20"/>
        </w:rPr>
        <w:t xml:space="preserve">. </w:t>
      </w:r>
      <w:r w:rsidR="00ED5BD8" w:rsidRPr="00E256A9">
        <w:rPr>
          <w:rFonts w:ascii="Times New Roman" w:eastAsia="Calibri" w:hAnsi="Times New Roman" w:cs="Times New Roman"/>
          <w:b/>
          <w:bCs/>
          <w:sz w:val="20"/>
          <w:szCs w:val="20"/>
          <w:vertAlign w:val="superscript"/>
        </w:rPr>
        <w:t>(</w:t>
      </w:r>
      <w:r w:rsidR="00871668" w:rsidRPr="00E256A9">
        <w:rPr>
          <w:rFonts w:ascii="Times New Roman" w:eastAsia="Calibri" w:hAnsi="Times New Roman" w:cs="Times New Roman"/>
          <w:b/>
          <w:bCs/>
          <w:sz w:val="20"/>
          <w:szCs w:val="20"/>
          <w:vertAlign w:val="superscript"/>
        </w:rPr>
        <w:t>17)</w:t>
      </w:r>
      <w:r w:rsidRPr="00E256A9">
        <w:rPr>
          <w:rFonts w:ascii="Times New Roman" w:eastAsia="Calibri" w:hAnsi="Times New Roman" w:cs="Times New Roman"/>
          <w:sz w:val="20"/>
          <w:szCs w:val="20"/>
        </w:rPr>
        <w:t xml:space="preserve"> found a significant decrease in mean albumin level on the fifth day of hospitalization where is reduction in albumin level during hospitalization in patients hospitalized due to acute conditions seems to be</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influenced by the severity of underlying infection/ inflammation, although the role of nutrition could not be eliminated</w:t>
      </w:r>
      <w:r w:rsidRPr="00E256A9">
        <w:rPr>
          <w:rFonts w:ascii="Times New Roman" w:eastAsia="Calibri" w:hAnsi="Times New Roman" w:cs="Times New Roman"/>
          <w:b/>
          <w:bCs/>
          <w:i/>
          <w:iCs/>
          <w:sz w:val="20"/>
          <w:szCs w:val="20"/>
        </w:rPr>
        <w:t>.</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In our study, changes in CRP in both groups were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that non- survivors had significantly higher CRP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CRP was significantly increased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r w:rsidRPr="00E256A9">
        <w:rPr>
          <w:rFonts w:ascii="Times New Roman" w:eastAsia="Calibri" w:hAnsi="Times New Roman" w:cs="Times New Roman"/>
          <w:b/>
          <w:bCs/>
          <w:sz w:val="20"/>
          <w:szCs w:val="20"/>
        </w:rPr>
        <w:t xml:space="preserve"> Coelho</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et</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al</w:t>
      </w:r>
      <w:r w:rsidR="00ED5BD8" w:rsidRPr="00E256A9">
        <w:rPr>
          <w:rFonts w:ascii="Times New Roman" w:eastAsia="Calibri" w:hAnsi="Times New Roman" w:cs="Times New Roman"/>
          <w:b/>
          <w:bCs/>
          <w:sz w:val="20"/>
          <w:szCs w:val="20"/>
        </w:rPr>
        <w:t xml:space="preserve">. </w:t>
      </w:r>
      <w:r w:rsidR="00ED5BD8" w:rsidRPr="00E256A9">
        <w:rPr>
          <w:rFonts w:ascii="Times New Roman" w:eastAsia="Calibri" w:hAnsi="Times New Roman" w:cs="Times New Roman"/>
          <w:b/>
          <w:bCs/>
          <w:sz w:val="20"/>
          <w:szCs w:val="20"/>
          <w:vertAlign w:val="superscript"/>
        </w:rPr>
        <w:t>(</w:t>
      </w:r>
      <w:r w:rsidR="00871668" w:rsidRPr="00E256A9">
        <w:rPr>
          <w:rFonts w:ascii="Times New Roman" w:eastAsia="Calibri" w:hAnsi="Times New Roman" w:cs="Times New Roman"/>
          <w:b/>
          <w:bCs/>
          <w:sz w:val="20"/>
          <w:szCs w:val="20"/>
          <w:vertAlign w:val="superscript"/>
        </w:rPr>
        <w:t>18)</w:t>
      </w:r>
      <w:r w:rsidR="00E256A9">
        <w:rPr>
          <w:rFonts w:ascii="Times New Roman" w:hAnsi="Times New Roman" w:cs="Times New Roman" w:hint="eastAsia"/>
          <w:b/>
          <w:bCs/>
          <w:sz w:val="20"/>
          <w:szCs w:val="20"/>
          <w:vertAlign w:val="superscript"/>
          <w:lang w:eastAsia="zh-CN"/>
        </w:rPr>
        <w:t xml:space="preserve"> </w:t>
      </w:r>
      <w:r w:rsidRPr="00E256A9">
        <w:rPr>
          <w:rFonts w:ascii="Times New Roman" w:eastAsia="Calibri" w:hAnsi="Times New Roman" w:cs="Times New Roman"/>
          <w:sz w:val="20"/>
          <w:szCs w:val="20"/>
        </w:rPr>
        <w:t xml:space="preserve">was </w:t>
      </w:r>
      <w:r w:rsidR="00511BD4" w:rsidRPr="00E256A9">
        <w:rPr>
          <w:rFonts w:ascii="Times New Roman" w:eastAsia="Calibri" w:hAnsi="Times New Roman" w:cs="Times New Roman"/>
          <w:sz w:val="20"/>
          <w:szCs w:val="20"/>
        </w:rPr>
        <w:t>reported that non-</w:t>
      </w:r>
      <w:r w:rsidRPr="00E256A9">
        <w:rPr>
          <w:rFonts w:ascii="Times New Roman" w:eastAsia="Calibri" w:hAnsi="Times New Roman" w:cs="Times New Roman"/>
          <w:sz w:val="20"/>
          <w:szCs w:val="20"/>
        </w:rPr>
        <w:t>survivors presented high CRP levels, while patients with a good outcome the CRP concentration fell sharply.</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In our study, changes in TLC in both groups where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TLC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and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but at the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non- survivors had significantly higher TLC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TLC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lastRenderedPageBreak/>
        <w:t>In our study</w:t>
      </w:r>
      <w:r w:rsidR="00D10008" w:rsidRPr="00E256A9">
        <w:rPr>
          <w:rFonts w:ascii="Times New Roman" w:eastAsia="Calibri" w:hAnsi="Times New Roman" w:cs="Times New Roman"/>
          <w:sz w:val="20"/>
          <w:szCs w:val="20"/>
        </w:rPr>
        <w:t>, c</w:t>
      </w:r>
      <w:r w:rsidRPr="00E256A9">
        <w:rPr>
          <w:rFonts w:ascii="Times New Roman" w:eastAsia="Calibri" w:hAnsi="Times New Roman" w:cs="Times New Roman"/>
          <w:sz w:val="20"/>
          <w:szCs w:val="20"/>
        </w:rPr>
        <w:t>hanges in ESR in both groups were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ESR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but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non- survivors had significantly higher ESR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ESR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lang w:bidi="ar-EG"/>
        </w:rPr>
      </w:pPr>
      <w:r w:rsidRPr="00E256A9">
        <w:rPr>
          <w:rFonts w:ascii="Times New Roman" w:eastAsia="Calibri" w:hAnsi="Times New Roman" w:cs="Times New Roman"/>
          <w:b/>
          <w:bCs/>
          <w:sz w:val="20"/>
          <w:szCs w:val="20"/>
        </w:rPr>
        <w:t>Harimurti</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et</w:t>
      </w:r>
      <w:r w:rsidR="00E256A9">
        <w:rPr>
          <w:rFonts w:ascii="Times New Roman" w:hAnsi="Times New Roman" w:cs="Times New Roman" w:hint="eastAsia"/>
          <w:b/>
          <w:bCs/>
          <w:sz w:val="20"/>
          <w:szCs w:val="20"/>
          <w:lang w:eastAsia="zh-CN"/>
        </w:rPr>
        <w:t xml:space="preserve"> </w:t>
      </w:r>
      <w:r w:rsidRPr="00E256A9">
        <w:rPr>
          <w:rFonts w:ascii="Times New Roman" w:eastAsia="Calibri" w:hAnsi="Times New Roman" w:cs="Times New Roman"/>
          <w:b/>
          <w:bCs/>
          <w:sz w:val="20"/>
          <w:szCs w:val="20"/>
        </w:rPr>
        <w:t>al</w:t>
      </w:r>
      <w:r w:rsidR="00ED5BD8" w:rsidRPr="00E256A9">
        <w:rPr>
          <w:rFonts w:ascii="Times New Roman" w:eastAsia="Calibri" w:hAnsi="Times New Roman" w:cs="Times New Roman"/>
          <w:sz w:val="20"/>
          <w:szCs w:val="20"/>
        </w:rPr>
        <w:t xml:space="preserve">. </w:t>
      </w:r>
      <w:r w:rsidR="00ED5BD8" w:rsidRPr="00E256A9">
        <w:rPr>
          <w:rFonts w:ascii="Times New Roman" w:eastAsia="Calibri" w:hAnsi="Times New Roman" w:cs="Times New Roman"/>
          <w:b/>
          <w:bCs/>
          <w:sz w:val="20"/>
          <w:szCs w:val="20"/>
          <w:vertAlign w:val="superscript"/>
        </w:rPr>
        <w:t>(</w:t>
      </w:r>
      <w:r w:rsidR="00871668" w:rsidRPr="00E256A9">
        <w:rPr>
          <w:rFonts w:ascii="Times New Roman" w:eastAsia="Calibri" w:hAnsi="Times New Roman" w:cs="Times New Roman"/>
          <w:b/>
          <w:bCs/>
          <w:sz w:val="20"/>
          <w:szCs w:val="20"/>
          <w:vertAlign w:val="superscript"/>
        </w:rPr>
        <w:t>17)</w:t>
      </w:r>
      <w:r w:rsidR="00E256A9">
        <w:rPr>
          <w:rFonts w:ascii="Times New Roman" w:hAnsi="Times New Roman" w:cs="Times New Roman" w:hint="eastAsia"/>
          <w:b/>
          <w:bCs/>
          <w:sz w:val="20"/>
          <w:szCs w:val="20"/>
          <w:vertAlign w:val="superscript"/>
          <w:lang w:eastAsia="zh-CN"/>
        </w:rPr>
        <w:t xml:space="preserve"> </w:t>
      </w:r>
      <w:r w:rsidRPr="00E256A9">
        <w:rPr>
          <w:rFonts w:ascii="Times New Roman" w:eastAsia="Calibri" w:hAnsi="Times New Roman" w:cs="Times New Roman"/>
          <w:sz w:val="20"/>
          <w:szCs w:val="20"/>
        </w:rPr>
        <w:t>found TLC and ESR are higher in patients with decreased albumin level; so we can say that patients with more severe infections tend to experience significant decreased in albumin level during acute phase of infection</w:t>
      </w:r>
      <w:r w:rsidRPr="00E256A9">
        <w:rPr>
          <w:rFonts w:ascii="Times New Roman" w:eastAsia="Calibri" w:hAnsi="Times New Roman" w:cs="Times New Roman"/>
          <w:sz w:val="20"/>
          <w:szCs w:val="20"/>
          <w:lang w:bidi="ar-EG"/>
        </w:rPr>
        <w:t xml:space="preserve">. </w:t>
      </w:r>
    </w:p>
    <w:p w:rsidR="003F5E37" w:rsidRPr="00E256A9" w:rsidRDefault="003F5E37" w:rsidP="00756ADC">
      <w:pPr>
        <w:snapToGrid w:val="0"/>
        <w:spacing w:after="0" w:line="240" w:lineRule="auto"/>
        <w:ind w:firstLine="425"/>
        <w:jc w:val="both"/>
        <w:rPr>
          <w:rFonts w:ascii="Times New Roman" w:eastAsia="Times New Roman" w:hAnsi="Times New Roman" w:cs="Times New Roman"/>
          <w:sz w:val="20"/>
          <w:szCs w:val="20"/>
          <w:lang w:bidi="ar-EG"/>
        </w:rPr>
      </w:pPr>
      <w:r w:rsidRPr="00E256A9">
        <w:rPr>
          <w:rFonts w:ascii="Times New Roman" w:eastAsia="Calibri" w:hAnsi="Times New Roman" w:cs="Times New Roman"/>
          <w:sz w:val="20"/>
          <w:szCs w:val="20"/>
        </w:rPr>
        <w:t>Regarding to procalcitonin</w:t>
      </w:r>
      <w:r w:rsidR="00D10008" w:rsidRPr="00E256A9">
        <w:rPr>
          <w:rFonts w:ascii="Times New Roman" w:eastAsia="Calibri" w:hAnsi="Times New Roman" w:cs="Times New Roman"/>
          <w:sz w:val="20"/>
          <w:szCs w:val="20"/>
        </w:rPr>
        <w:t xml:space="preserve">, </w:t>
      </w:r>
      <w:r w:rsidR="00D10008" w:rsidRPr="00E256A9">
        <w:rPr>
          <w:rFonts w:ascii="Times New Roman" w:eastAsia="Calibri" w:hAnsi="Times New Roman" w:cs="Times New Roman"/>
          <w:b/>
          <w:bCs/>
          <w:sz w:val="20"/>
          <w:szCs w:val="20"/>
        </w:rPr>
        <w:t>D</w:t>
      </w:r>
      <w:r w:rsidRPr="00E256A9">
        <w:rPr>
          <w:rFonts w:ascii="Times New Roman" w:eastAsia="Calibri" w:hAnsi="Times New Roman" w:cs="Times New Roman"/>
          <w:b/>
          <w:bCs/>
          <w:sz w:val="20"/>
          <w:szCs w:val="20"/>
        </w:rPr>
        <w:t>emirdal et al</w:t>
      </w:r>
      <w:r w:rsidR="00ED5BD8" w:rsidRPr="00E256A9">
        <w:rPr>
          <w:rFonts w:ascii="Times New Roman" w:eastAsia="Calibri" w:hAnsi="Times New Roman" w:cs="Times New Roman"/>
          <w:b/>
          <w:bCs/>
          <w:sz w:val="20"/>
          <w:szCs w:val="20"/>
        </w:rPr>
        <w:t xml:space="preserve">. </w:t>
      </w:r>
      <w:r w:rsidR="00ED5BD8" w:rsidRPr="00E256A9">
        <w:rPr>
          <w:rFonts w:ascii="Times New Roman" w:eastAsia="Calibri" w:hAnsi="Times New Roman" w:cs="Times New Roman"/>
          <w:b/>
          <w:bCs/>
          <w:sz w:val="20"/>
          <w:szCs w:val="20"/>
          <w:vertAlign w:val="superscript"/>
        </w:rPr>
        <w:t>(</w:t>
      </w:r>
      <w:r w:rsidR="00871668" w:rsidRPr="00E256A9">
        <w:rPr>
          <w:rFonts w:ascii="Times New Roman" w:eastAsia="Calibri" w:hAnsi="Times New Roman" w:cs="Times New Roman"/>
          <w:b/>
          <w:bCs/>
          <w:sz w:val="20"/>
          <w:szCs w:val="20"/>
          <w:vertAlign w:val="superscript"/>
        </w:rPr>
        <w:t>19)</w:t>
      </w:r>
      <w:r w:rsidR="00E256A9">
        <w:rPr>
          <w:rFonts w:ascii="Times New Roman" w:hAnsi="Times New Roman" w:cs="Times New Roman" w:hint="eastAsia"/>
          <w:b/>
          <w:bCs/>
          <w:sz w:val="20"/>
          <w:szCs w:val="20"/>
          <w:vertAlign w:val="superscript"/>
          <w:lang w:eastAsia="zh-CN"/>
        </w:rPr>
        <w:t xml:space="preserve"> </w:t>
      </w:r>
      <w:r w:rsidRPr="00E256A9">
        <w:rPr>
          <w:rFonts w:ascii="Times New Roman" w:eastAsia="Calibri" w:hAnsi="Times New Roman" w:cs="Times New Roman"/>
          <w:sz w:val="20"/>
          <w:szCs w:val="20"/>
        </w:rPr>
        <w:t xml:space="preserve">have found that mean PCT levels were significantly higher in non-survivors compared to </w:t>
      </w:r>
      <w:r w:rsidR="00511BD4" w:rsidRPr="00E256A9">
        <w:rPr>
          <w:rFonts w:ascii="Times New Roman" w:eastAsia="Calibri" w:hAnsi="Times New Roman" w:cs="Times New Roman"/>
          <w:sz w:val="20"/>
          <w:szCs w:val="20"/>
        </w:rPr>
        <w:t>survivors. Also</w:t>
      </w:r>
      <w:r w:rsidRPr="00E256A9">
        <w:rPr>
          <w:rFonts w:ascii="Times New Roman" w:eastAsia="Calibri" w:hAnsi="Times New Roman" w:cs="Times New Roman"/>
          <w:sz w:val="20"/>
          <w:szCs w:val="20"/>
        </w:rPr>
        <w:t xml:space="preserve"> in the study of </w:t>
      </w:r>
      <w:r w:rsidRPr="00E256A9">
        <w:rPr>
          <w:rFonts w:ascii="Times New Roman" w:eastAsia="Times New Roman" w:hAnsi="Times New Roman" w:cs="Times New Roman"/>
          <w:b/>
          <w:bCs/>
          <w:sz w:val="20"/>
          <w:szCs w:val="20"/>
        </w:rPr>
        <w:t>Bousseke</w:t>
      </w:r>
      <w:r w:rsidR="00ED5BD8" w:rsidRPr="00E256A9">
        <w:rPr>
          <w:rFonts w:ascii="Times New Roman" w:eastAsia="Times New Roman" w:hAnsi="Times New Roman" w:cs="Times New Roman"/>
          <w:b/>
          <w:bCs/>
          <w:sz w:val="20"/>
          <w:szCs w:val="20"/>
        </w:rPr>
        <w:t xml:space="preserve">y </w:t>
      </w:r>
      <w:r w:rsidR="00ED5BD8" w:rsidRPr="00E256A9">
        <w:rPr>
          <w:rFonts w:ascii="Times New Roman" w:eastAsia="Times New Roman" w:hAnsi="Times New Roman" w:cs="Times New Roman"/>
          <w:b/>
          <w:bCs/>
          <w:sz w:val="20"/>
          <w:szCs w:val="20"/>
          <w:vertAlign w:val="superscript"/>
          <w:lang w:bidi="ar-EG"/>
        </w:rPr>
        <w:t>(</w:t>
      </w:r>
      <w:r w:rsidR="00871668" w:rsidRPr="00E256A9">
        <w:rPr>
          <w:rFonts w:ascii="Times New Roman" w:eastAsia="Times New Roman" w:hAnsi="Times New Roman" w:cs="Times New Roman"/>
          <w:b/>
          <w:bCs/>
          <w:sz w:val="20"/>
          <w:szCs w:val="20"/>
          <w:vertAlign w:val="superscript"/>
          <w:lang w:bidi="ar-EG"/>
        </w:rPr>
        <w:t>20</w:t>
      </w:r>
      <w:r w:rsidR="00511BD4" w:rsidRPr="00E256A9">
        <w:rPr>
          <w:rFonts w:ascii="Times New Roman" w:eastAsia="Times New Roman" w:hAnsi="Times New Roman" w:cs="Times New Roman"/>
          <w:b/>
          <w:bCs/>
          <w:sz w:val="20"/>
          <w:szCs w:val="20"/>
          <w:vertAlign w:val="superscript"/>
          <w:lang w:bidi="ar-EG"/>
        </w:rPr>
        <w:t>)</w:t>
      </w:r>
      <w:r w:rsidRPr="00E256A9">
        <w:rPr>
          <w:rFonts w:ascii="Times New Roman" w:eastAsia="Times New Roman" w:hAnsi="Times New Roman" w:cs="Times New Roman"/>
          <w:sz w:val="20"/>
          <w:szCs w:val="20"/>
          <w:lang w:bidi="ar-EG"/>
        </w:rPr>
        <w:t xml:space="preserve"> found that</w:t>
      </w:r>
      <w:r w:rsidRPr="00E256A9">
        <w:rPr>
          <w:rFonts w:ascii="Times New Roman" w:eastAsia="Calibri" w:hAnsi="Times New Roman" w:cs="Times New Roman"/>
          <w:sz w:val="20"/>
          <w:szCs w:val="20"/>
          <w:lang w:bidi="ar-EG"/>
        </w:rPr>
        <w:t xml:space="preserve"> the median value of PCT for non-survivors was higher in comparison to survivors</w:t>
      </w:r>
      <w:r w:rsidR="00511BD4" w:rsidRPr="00E256A9">
        <w:rPr>
          <w:rFonts w:ascii="Times New Roman" w:eastAsia="Calibri" w:hAnsi="Times New Roman" w:cs="Times New Roman"/>
          <w:sz w:val="20"/>
          <w:szCs w:val="20"/>
          <w:lang w:bidi="ar-EG"/>
        </w:rPr>
        <w:t>.</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In our study, changes in procalcitonin in both groups was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procalcitonin had no significant difference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but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non- survivors had significantly lower procalcitonin in comparison to survivors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&lt; 0.05). It was noticed that procalcitonin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00972A89" w:rsidRPr="00E256A9">
        <w:rPr>
          <w:rFonts w:ascii="Times New Roman" w:eastAsia="Calibri" w:hAnsi="Times New Roman" w:cs="Times New Roman"/>
          <w:sz w:val="20"/>
          <w:szCs w:val="20"/>
        </w:rPr>
        <w:t xml:space="preserve"> day in case of non-</w:t>
      </w:r>
      <w:r w:rsidRPr="00E256A9">
        <w:rPr>
          <w:rFonts w:ascii="Times New Roman" w:eastAsia="Calibri" w:hAnsi="Times New Roman" w:cs="Times New Roman"/>
          <w:sz w:val="20"/>
          <w:szCs w:val="20"/>
        </w:rPr>
        <w:t>survivors but in case of survivor it showed significant decrease.</w:t>
      </w:r>
    </w:p>
    <w:p w:rsidR="003F5E37" w:rsidRPr="00E256A9" w:rsidRDefault="003F5E37"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In our study, changes in lactate in both groups were recorded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 It was noticed lactate had no significant between both groups at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day (</w:t>
      </w:r>
      <w:r w:rsidRPr="00E256A9">
        <w:rPr>
          <w:rFonts w:ascii="Times New Roman" w:eastAsia="Calibri" w:hAnsi="Times New Roman" w:cs="Times New Roman"/>
          <w:i/>
          <w:iCs/>
          <w:sz w:val="20"/>
          <w:szCs w:val="20"/>
        </w:rPr>
        <w:t>P</w:t>
      </w:r>
      <w:r w:rsidRPr="00E256A9">
        <w:rPr>
          <w:rFonts w:ascii="Times New Roman" w:eastAsia="Calibri" w:hAnsi="Times New Roman" w:cs="Times New Roman"/>
          <w:sz w:val="20"/>
          <w:szCs w:val="20"/>
        </w:rPr>
        <w:t>&gt; 0.05) but it was significantly higher in non- survivors in comparison to survivors at 3</w:t>
      </w:r>
      <w:r w:rsidRPr="00E256A9">
        <w:rPr>
          <w:rFonts w:ascii="Times New Roman" w:eastAsia="Calibri" w:hAnsi="Times New Roman" w:cs="Times New Roman"/>
          <w:sz w:val="20"/>
          <w:szCs w:val="20"/>
          <w:vertAlign w:val="superscript"/>
        </w:rPr>
        <w:t>rd</w:t>
      </w:r>
      <w:r w:rsidRPr="00E256A9">
        <w:rPr>
          <w:rFonts w:ascii="Times New Roman" w:eastAsia="Calibri" w:hAnsi="Times New Roman" w:cs="Times New Roman"/>
          <w:sz w:val="20"/>
          <w:szCs w:val="20"/>
        </w:rPr>
        <w:t xml:space="preserve"> and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It showed significant increase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the 1</w:t>
      </w:r>
      <w:r w:rsidRPr="00E256A9">
        <w:rPr>
          <w:rFonts w:ascii="Times New Roman" w:eastAsia="Calibri" w:hAnsi="Times New Roman" w:cs="Times New Roman"/>
          <w:sz w:val="20"/>
          <w:szCs w:val="20"/>
          <w:vertAlign w:val="superscript"/>
        </w:rPr>
        <w:t>st</w:t>
      </w:r>
      <w:r w:rsidR="00972A89" w:rsidRPr="00E256A9">
        <w:rPr>
          <w:rFonts w:ascii="Times New Roman" w:eastAsia="Calibri" w:hAnsi="Times New Roman" w:cs="Times New Roman"/>
          <w:sz w:val="20"/>
          <w:szCs w:val="20"/>
        </w:rPr>
        <w:t xml:space="preserve"> day in case of non-</w:t>
      </w:r>
      <w:r w:rsidRPr="00E256A9">
        <w:rPr>
          <w:rFonts w:ascii="Times New Roman" w:eastAsia="Calibri" w:hAnsi="Times New Roman" w:cs="Times New Roman"/>
          <w:sz w:val="20"/>
          <w:szCs w:val="20"/>
        </w:rPr>
        <w:t>survivors but showed significant decrease in case of survivors.</w:t>
      </w:r>
    </w:p>
    <w:p w:rsidR="00ED5BD8" w:rsidRPr="00E256A9" w:rsidRDefault="003F5E37" w:rsidP="00756ADC">
      <w:pPr>
        <w:snapToGrid w:val="0"/>
        <w:spacing w:after="0" w:line="240" w:lineRule="auto"/>
        <w:ind w:firstLine="425"/>
        <w:jc w:val="both"/>
        <w:rPr>
          <w:rFonts w:ascii="Times New Roman" w:hAnsi="Times New Roman" w:cs="Times New Roman"/>
          <w:sz w:val="20"/>
          <w:szCs w:val="20"/>
        </w:rPr>
      </w:pPr>
      <w:r w:rsidRPr="00E256A9">
        <w:rPr>
          <w:rFonts w:ascii="Times New Roman" w:hAnsi="Times New Roman" w:cs="Times New Roman"/>
          <w:sz w:val="20"/>
          <w:szCs w:val="20"/>
        </w:rPr>
        <w:t xml:space="preserve">In our study, serum albumin had negative significant correlation with baseline inflammatory markers; CRP (r= -0.65;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0.04), ESR (r= -0.45;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0.01), TLC (r= -0.42;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0.01) and Procalcitonin (r= -0.34;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0.02). </w:t>
      </w:r>
      <w:r w:rsidRPr="00E256A9">
        <w:rPr>
          <w:rFonts w:ascii="Times New Roman" w:hAnsi="Times New Roman" w:cs="Times New Roman"/>
          <w:b/>
          <w:bCs/>
          <w:sz w:val="20"/>
          <w:szCs w:val="20"/>
        </w:rPr>
        <w:t>Harimurtietal</w:t>
      </w:r>
      <w:r w:rsidR="00ED5BD8" w:rsidRPr="00E256A9">
        <w:rPr>
          <w:rFonts w:ascii="Times New Roman" w:hAnsi="Times New Roman" w:cs="Times New Roman"/>
          <w:sz w:val="20"/>
          <w:szCs w:val="20"/>
        </w:rPr>
        <w:t xml:space="preserve">. </w:t>
      </w:r>
      <w:r w:rsidR="00ED5BD8" w:rsidRPr="00E256A9">
        <w:rPr>
          <w:rFonts w:ascii="Times New Roman" w:hAnsi="Times New Roman" w:cs="Times New Roman"/>
          <w:b/>
          <w:bCs/>
          <w:sz w:val="20"/>
          <w:szCs w:val="20"/>
          <w:vertAlign w:val="superscript"/>
        </w:rPr>
        <w:t>(</w:t>
      </w:r>
      <w:r w:rsidR="00871668" w:rsidRPr="00E256A9">
        <w:rPr>
          <w:rFonts w:ascii="Times New Roman" w:hAnsi="Times New Roman" w:cs="Times New Roman"/>
          <w:b/>
          <w:bCs/>
          <w:sz w:val="20"/>
          <w:szCs w:val="20"/>
          <w:vertAlign w:val="superscript"/>
        </w:rPr>
        <w:t>17)</w:t>
      </w:r>
      <w:r w:rsidRPr="00E256A9">
        <w:rPr>
          <w:rFonts w:ascii="Times New Roman" w:hAnsi="Times New Roman" w:cs="Times New Roman"/>
          <w:sz w:val="20"/>
          <w:szCs w:val="20"/>
        </w:rPr>
        <w:t xml:space="preserve"> found a negative correlation between high CRP levels with percentage of albumin level decrease during 5 days of hospitalization, although the correlation was not too strong. </w:t>
      </w:r>
    </w:p>
    <w:p w:rsidR="003F5E37" w:rsidRPr="00E256A9" w:rsidRDefault="00ED5BD8"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rPr>
        <w:t>T</w:t>
      </w:r>
      <w:r w:rsidR="003F5E37" w:rsidRPr="00E256A9">
        <w:rPr>
          <w:rFonts w:ascii="Times New Roman" w:hAnsi="Times New Roman" w:cs="Times New Roman"/>
          <w:sz w:val="20"/>
          <w:szCs w:val="20"/>
        </w:rPr>
        <w:t xml:space="preserve">wo studies that correlate CRP and albumin level at the same time showed almost similar results. The study by </w:t>
      </w:r>
      <w:r w:rsidR="003F5E37" w:rsidRPr="00E256A9">
        <w:rPr>
          <w:rFonts w:ascii="Times New Roman" w:hAnsi="Times New Roman" w:cs="Times New Roman"/>
          <w:b/>
          <w:bCs/>
          <w:sz w:val="20"/>
          <w:szCs w:val="20"/>
        </w:rPr>
        <w:t>Hedlund and Hansson et al</w:t>
      </w:r>
      <w:r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vertAlign w:val="superscript"/>
        </w:rPr>
        <w:t>(</w:t>
      </w:r>
      <w:r w:rsidR="003D12D1" w:rsidRPr="00E256A9">
        <w:rPr>
          <w:rFonts w:ascii="Times New Roman" w:hAnsi="Times New Roman" w:cs="Times New Roman"/>
          <w:b/>
          <w:bCs/>
          <w:sz w:val="20"/>
          <w:szCs w:val="20"/>
          <w:vertAlign w:val="superscript"/>
        </w:rPr>
        <w:t>15)</w:t>
      </w:r>
      <w:r w:rsidR="003F5E37" w:rsidRPr="00E256A9">
        <w:rPr>
          <w:rFonts w:ascii="Times New Roman" w:hAnsi="Times New Roman" w:cs="Times New Roman"/>
          <w:sz w:val="20"/>
          <w:szCs w:val="20"/>
        </w:rPr>
        <w:t xml:space="preserve"> found significant negative correlation (</w:t>
      </w:r>
      <w:r w:rsidR="003F5E37" w:rsidRPr="00E256A9">
        <w:rPr>
          <w:rFonts w:ascii="Times New Roman" w:hAnsi="Times New Roman" w:cs="Times New Roman"/>
          <w:i/>
          <w:sz w:val="20"/>
          <w:szCs w:val="20"/>
        </w:rPr>
        <w:t xml:space="preserve">r </w:t>
      </w:r>
      <w:r w:rsidR="003F5E37" w:rsidRPr="00E256A9">
        <w:rPr>
          <w:rFonts w:ascii="Times New Roman" w:hAnsi="Times New Roman" w:cs="Times New Roman"/>
          <w:sz w:val="20"/>
          <w:szCs w:val="20"/>
        </w:rPr>
        <w:t>= -0.30</w:t>
      </w:r>
      <w:r w:rsidR="00D10008" w:rsidRPr="00E256A9">
        <w:rPr>
          <w:rFonts w:ascii="Times New Roman" w:hAnsi="Times New Roman" w:cs="Times New Roman"/>
          <w:sz w:val="20"/>
          <w:szCs w:val="20"/>
        </w:rPr>
        <w:t xml:space="preserve">. </w:t>
      </w:r>
      <w:r w:rsidR="00D10008" w:rsidRPr="00E256A9">
        <w:rPr>
          <w:rFonts w:ascii="Times New Roman" w:hAnsi="Times New Roman" w:cs="Times New Roman"/>
          <w:i/>
          <w:sz w:val="20"/>
          <w:szCs w:val="20"/>
        </w:rPr>
        <w:t>P</w:t>
      </w:r>
      <w:r w:rsidR="003F5E37" w:rsidRPr="00E256A9">
        <w:rPr>
          <w:rFonts w:ascii="Times New Roman" w:hAnsi="Times New Roman" w:cs="Times New Roman"/>
          <w:i/>
          <w:sz w:val="20"/>
          <w:szCs w:val="20"/>
        </w:rPr>
        <w:t xml:space="preserve"> </w:t>
      </w:r>
      <w:r w:rsidR="003F5E37" w:rsidRPr="00E256A9">
        <w:rPr>
          <w:rFonts w:ascii="Times New Roman" w:hAnsi="Times New Roman" w:cs="Times New Roman"/>
          <w:sz w:val="20"/>
          <w:szCs w:val="20"/>
        </w:rPr>
        <w:t>0.0003) between CRP and albumin levels in patients with community-acquired pneumonia at admission. A study b</w:t>
      </w:r>
      <w:r w:rsidR="00D10008" w:rsidRPr="00E256A9">
        <w:rPr>
          <w:rFonts w:ascii="Times New Roman" w:hAnsi="Times New Roman" w:cs="Times New Roman"/>
          <w:sz w:val="20"/>
          <w:szCs w:val="20"/>
        </w:rPr>
        <w:t xml:space="preserve">y </w:t>
      </w:r>
      <w:r w:rsidR="00D10008" w:rsidRPr="00E256A9">
        <w:rPr>
          <w:rFonts w:ascii="Times New Roman" w:hAnsi="Times New Roman" w:cs="Times New Roman"/>
          <w:b/>
          <w:bCs/>
          <w:sz w:val="20"/>
          <w:szCs w:val="20"/>
        </w:rPr>
        <w:t>K</w:t>
      </w:r>
      <w:r w:rsidR="003F5E37" w:rsidRPr="00E256A9">
        <w:rPr>
          <w:rFonts w:ascii="Times New Roman" w:hAnsi="Times New Roman" w:cs="Times New Roman"/>
          <w:b/>
          <w:bCs/>
          <w:sz w:val="20"/>
          <w:szCs w:val="20"/>
        </w:rPr>
        <w:t>aysen et al</w:t>
      </w:r>
      <w:r w:rsidRPr="00E256A9">
        <w:rPr>
          <w:rFonts w:ascii="Times New Roman" w:hAnsi="Times New Roman" w:cs="Times New Roman"/>
          <w:b/>
          <w:bCs/>
          <w:sz w:val="20"/>
          <w:szCs w:val="20"/>
        </w:rPr>
        <w:t xml:space="preserve">. </w:t>
      </w:r>
      <w:r w:rsidRPr="00E256A9">
        <w:rPr>
          <w:rFonts w:ascii="Times New Roman" w:hAnsi="Times New Roman" w:cs="Times New Roman"/>
          <w:b/>
          <w:bCs/>
          <w:sz w:val="20"/>
          <w:szCs w:val="20"/>
          <w:vertAlign w:val="superscript"/>
        </w:rPr>
        <w:t>(</w:t>
      </w:r>
      <w:r w:rsidR="00871668" w:rsidRPr="00E256A9">
        <w:rPr>
          <w:rFonts w:ascii="Times New Roman" w:hAnsi="Times New Roman" w:cs="Times New Roman"/>
          <w:b/>
          <w:bCs/>
          <w:sz w:val="20"/>
          <w:szCs w:val="20"/>
          <w:vertAlign w:val="superscript"/>
        </w:rPr>
        <w:t>21)</w:t>
      </w:r>
      <w:r w:rsidR="003F5E37" w:rsidRPr="00E256A9">
        <w:rPr>
          <w:rFonts w:ascii="Times New Roman" w:hAnsi="Times New Roman" w:cs="Times New Roman"/>
          <w:sz w:val="20"/>
          <w:szCs w:val="20"/>
        </w:rPr>
        <w:t xml:space="preserve"> in patients with end-stage renal disease having hemodialysis also found similar results (</w:t>
      </w:r>
      <w:r w:rsidR="003F5E37" w:rsidRPr="00E256A9">
        <w:rPr>
          <w:rFonts w:ascii="Times New Roman" w:hAnsi="Times New Roman" w:cs="Times New Roman"/>
          <w:i/>
          <w:sz w:val="20"/>
          <w:szCs w:val="20"/>
        </w:rPr>
        <w:t xml:space="preserve">r </w:t>
      </w:r>
      <w:r w:rsidR="003F5E37" w:rsidRPr="00E256A9">
        <w:rPr>
          <w:rFonts w:ascii="Times New Roman" w:hAnsi="Times New Roman" w:cs="Times New Roman"/>
          <w:sz w:val="20"/>
          <w:szCs w:val="20"/>
        </w:rPr>
        <w:t>= -0.554</w:t>
      </w:r>
      <w:r w:rsidR="00D10008" w:rsidRPr="00E256A9">
        <w:rPr>
          <w:rFonts w:ascii="Times New Roman" w:hAnsi="Times New Roman" w:cs="Times New Roman"/>
          <w:sz w:val="20"/>
          <w:szCs w:val="20"/>
        </w:rPr>
        <w:t xml:space="preserve">. </w:t>
      </w:r>
      <w:r w:rsidR="00D10008" w:rsidRPr="00E256A9">
        <w:rPr>
          <w:rFonts w:ascii="Times New Roman" w:hAnsi="Times New Roman" w:cs="Times New Roman"/>
          <w:i/>
          <w:sz w:val="20"/>
          <w:szCs w:val="20"/>
        </w:rPr>
        <w:t>P</w:t>
      </w:r>
      <w:r w:rsidR="003F5E37" w:rsidRPr="00E256A9">
        <w:rPr>
          <w:rFonts w:ascii="Times New Roman" w:hAnsi="Times New Roman" w:cs="Times New Roman"/>
          <w:i/>
          <w:sz w:val="20"/>
          <w:szCs w:val="20"/>
        </w:rPr>
        <w:t xml:space="preserve"> </w:t>
      </w:r>
      <w:r w:rsidR="003F5E37" w:rsidRPr="00E256A9">
        <w:rPr>
          <w:rFonts w:ascii="Times New Roman" w:hAnsi="Times New Roman" w:cs="Times New Roman"/>
          <w:sz w:val="20"/>
          <w:szCs w:val="20"/>
        </w:rPr>
        <w:t>&lt;0.001).</w:t>
      </w:r>
    </w:p>
    <w:p w:rsidR="00756ADC" w:rsidRDefault="00756ADC" w:rsidP="00756ADC">
      <w:pPr>
        <w:snapToGrid w:val="0"/>
        <w:spacing w:after="0" w:line="240" w:lineRule="auto"/>
        <w:jc w:val="both"/>
        <w:rPr>
          <w:rFonts w:ascii="Times New Roman" w:hAnsi="Times New Roman" w:cs="Times New Roman" w:hint="eastAsia"/>
          <w:b/>
          <w:bCs/>
          <w:sz w:val="20"/>
          <w:szCs w:val="20"/>
          <w:lang w:eastAsia="zh-CN" w:bidi="ar-EG"/>
        </w:rPr>
      </w:pPr>
    </w:p>
    <w:p w:rsidR="00E256A9" w:rsidRPr="00E256A9" w:rsidRDefault="00E256A9" w:rsidP="00756ADC">
      <w:pPr>
        <w:snapToGrid w:val="0"/>
        <w:spacing w:after="0" w:line="240" w:lineRule="auto"/>
        <w:jc w:val="both"/>
        <w:rPr>
          <w:rFonts w:ascii="Times New Roman" w:hAnsi="Times New Roman" w:cs="Times New Roman"/>
          <w:b/>
          <w:bCs/>
          <w:sz w:val="20"/>
          <w:szCs w:val="20"/>
          <w:lang w:eastAsia="zh-CN" w:bidi="ar-EG"/>
        </w:rPr>
      </w:pPr>
    </w:p>
    <w:p w:rsidR="009F56E6" w:rsidRPr="00E256A9" w:rsidRDefault="00756ADC"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lastRenderedPageBreak/>
        <w:t>Conclusion</w:t>
      </w:r>
    </w:p>
    <w:p w:rsidR="009F56E6" w:rsidRPr="00E256A9" w:rsidRDefault="009F56E6" w:rsidP="00756ADC">
      <w:pPr>
        <w:shd w:val="clear" w:color="auto" w:fill="FFFFFF"/>
        <w:snapToGrid w:val="0"/>
        <w:spacing w:after="0" w:line="240" w:lineRule="auto"/>
        <w:ind w:firstLine="425"/>
        <w:jc w:val="both"/>
        <w:rPr>
          <w:rFonts w:ascii="Times New Roman" w:eastAsia="Times New Roman" w:hAnsi="Times New Roman" w:cs="Times New Roman"/>
          <w:b/>
          <w:bCs/>
          <w:sz w:val="20"/>
          <w:szCs w:val="20"/>
        </w:rPr>
      </w:pPr>
      <w:r w:rsidRPr="00E256A9">
        <w:rPr>
          <w:rFonts w:ascii="Times New Roman" w:eastAsia="Times New Roman" w:hAnsi="Times New Roman" w:cs="Times New Roman"/>
          <w:sz w:val="20"/>
          <w:szCs w:val="20"/>
        </w:rPr>
        <w:t>This is a prospective randomized study that was conducted on patients who were admitted to ICU in Ain Shams University Hospitals. Forty three patients were included in this study and an informed written consent was obtained from patients and/or relatives.</w:t>
      </w:r>
    </w:p>
    <w:p w:rsidR="009F56E6" w:rsidRPr="00E256A9" w:rsidRDefault="009F56E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eastAsia="Calibri" w:hAnsi="Times New Roman" w:cs="Times New Roman"/>
          <w:sz w:val="20"/>
          <w:szCs w:val="20"/>
        </w:rPr>
        <w:t>It was noticed that pro-calcitonin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r w:rsidRPr="00E256A9">
        <w:rPr>
          <w:rFonts w:ascii="Times New Roman" w:hAnsi="Times New Roman" w:cs="Times New Roman"/>
          <w:sz w:val="20"/>
          <w:szCs w:val="20"/>
        </w:rPr>
        <w:t xml:space="preserve"> It was noticed that serum albumin had negative significant correlation with baseline inflammatory markers.</w:t>
      </w:r>
    </w:p>
    <w:p w:rsidR="002D6C06" w:rsidRPr="00E256A9" w:rsidRDefault="002D6C06" w:rsidP="00756ADC">
      <w:pPr>
        <w:snapToGrid w:val="0"/>
        <w:spacing w:after="0" w:line="240" w:lineRule="auto"/>
        <w:jc w:val="both"/>
        <w:rPr>
          <w:rFonts w:ascii="Times New Roman" w:hAnsi="Times New Roman" w:cs="Times New Roman"/>
          <w:b/>
          <w:bCs/>
          <w:sz w:val="20"/>
          <w:szCs w:val="20"/>
          <w:lang w:bidi="ar-EG"/>
        </w:rPr>
      </w:pPr>
    </w:p>
    <w:p w:rsidR="00975543"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Recommendations</w:t>
      </w:r>
    </w:p>
    <w:p w:rsidR="00975543" w:rsidRPr="00E256A9" w:rsidRDefault="00975543" w:rsidP="00756ADC">
      <w:pPr>
        <w:pStyle w:val="ListParagraph"/>
        <w:numPr>
          <w:ilvl w:val="0"/>
          <w:numId w:val="35"/>
        </w:numPr>
        <w:snapToGrid w:val="0"/>
        <w:spacing w:after="0" w:line="240" w:lineRule="auto"/>
        <w:ind w:left="0" w:firstLine="425"/>
        <w:contextualSpacing w:val="0"/>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Further studies on large number of cases should be considered.</w:t>
      </w:r>
    </w:p>
    <w:p w:rsidR="00975543" w:rsidRPr="00E256A9" w:rsidRDefault="00975543" w:rsidP="00756ADC">
      <w:pPr>
        <w:pStyle w:val="ListParagraph"/>
        <w:numPr>
          <w:ilvl w:val="0"/>
          <w:numId w:val="35"/>
        </w:numPr>
        <w:snapToGrid w:val="0"/>
        <w:spacing w:after="0" w:line="240" w:lineRule="auto"/>
        <w:ind w:left="0" w:firstLine="425"/>
        <w:contextualSpacing w:val="0"/>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Inflammatory markers should be followed up daily during ICU stay. </w:t>
      </w:r>
    </w:p>
    <w:p w:rsidR="00E256A9" w:rsidRDefault="00E256A9" w:rsidP="00756ADC">
      <w:pPr>
        <w:snapToGrid w:val="0"/>
        <w:spacing w:after="0" w:line="240" w:lineRule="auto"/>
        <w:jc w:val="both"/>
        <w:rPr>
          <w:rFonts w:ascii="Times New Roman" w:hAnsi="Times New Roman" w:cs="Times New Roman" w:hint="eastAsia"/>
          <w:b/>
          <w:bCs/>
          <w:sz w:val="20"/>
          <w:szCs w:val="20"/>
          <w:lang w:eastAsia="zh-CN" w:bidi="ar-EG"/>
        </w:rPr>
      </w:pPr>
    </w:p>
    <w:p w:rsidR="009F56E6"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Summary</w:t>
      </w:r>
    </w:p>
    <w:p w:rsidR="009F56E6" w:rsidRPr="00E256A9" w:rsidRDefault="009F56E6" w:rsidP="00756ADC">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E256A9">
        <w:rPr>
          <w:rFonts w:ascii="Times New Roman" w:eastAsia="Times New Roman" w:hAnsi="Times New Roman" w:cs="Times New Roman"/>
          <w:sz w:val="20"/>
          <w:szCs w:val="20"/>
        </w:rPr>
        <w:t>Albumin is the most abundant protein in human plasma with diverse functions including antioxidant activity, buffering properties, binding and transport capacities for numerous substance</w:t>
      </w:r>
      <w:r w:rsidR="00ED5BD8" w:rsidRPr="00E256A9">
        <w:rPr>
          <w:rFonts w:ascii="Times New Roman" w:eastAsia="Times New Roman" w:hAnsi="Times New Roman" w:cs="Times New Roman"/>
          <w:sz w:val="20"/>
          <w:szCs w:val="20"/>
        </w:rPr>
        <w:t xml:space="preserve">s </w:t>
      </w:r>
      <w:r w:rsidR="00ED5BD8" w:rsidRPr="00E256A9">
        <w:rPr>
          <w:rFonts w:ascii="Times New Roman" w:eastAsia="Times New Roman" w:hAnsi="Times New Roman" w:cs="Times New Roman"/>
          <w:b/>
          <w:bCs/>
          <w:sz w:val="20"/>
          <w:szCs w:val="20"/>
          <w:vertAlign w:val="superscript"/>
        </w:rPr>
        <w:t>(</w:t>
      </w:r>
      <w:r w:rsidR="00871668" w:rsidRPr="00E256A9">
        <w:rPr>
          <w:rFonts w:ascii="Times New Roman" w:eastAsia="Times New Roman" w:hAnsi="Times New Roman" w:cs="Times New Roman"/>
          <w:b/>
          <w:bCs/>
          <w:sz w:val="20"/>
          <w:szCs w:val="20"/>
          <w:vertAlign w:val="superscript"/>
        </w:rPr>
        <w:t>22</w:t>
      </w:r>
      <w:r w:rsidRPr="00E256A9">
        <w:rPr>
          <w:rFonts w:ascii="Times New Roman" w:eastAsia="Times New Roman" w:hAnsi="Times New Roman" w:cs="Times New Roman"/>
          <w:b/>
          <w:bCs/>
          <w:sz w:val="20"/>
          <w:szCs w:val="20"/>
          <w:vertAlign w:val="superscript"/>
        </w:rPr>
        <w:t>)</w:t>
      </w:r>
      <w:r w:rsidRPr="00E256A9">
        <w:rPr>
          <w:rFonts w:ascii="Times New Roman" w:eastAsia="Times New Roman" w:hAnsi="Times New Roman" w:cs="Times New Roman"/>
          <w:b/>
          <w:bCs/>
          <w:sz w:val="20"/>
          <w:szCs w:val="20"/>
        </w:rPr>
        <w:t>.</w:t>
      </w:r>
      <w:r w:rsidRPr="00E256A9">
        <w:rPr>
          <w:rFonts w:ascii="Times New Roman" w:eastAsia="Times New Roman" w:hAnsi="Times New Roman" w:cs="Times New Roman"/>
          <w:sz w:val="20"/>
          <w:szCs w:val="20"/>
        </w:rPr>
        <w:t xml:space="preserve"> Albumin is synthesized in the liver as preproalbumin</w:t>
      </w:r>
      <w:r w:rsidR="00D10008" w:rsidRPr="00E256A9">
        <w:rPr>
          <w:rFonts w:ascii="Times New Roman" w:eastAsia="Times New Roman" w:hAnsi="Times New Roman" w:cs="Times New Roman"/>
          <w:sz w:val="20"/>
          <w:szCs w:val="20"/>
        </w:rPr>
        <w:t>, t</w:t>
      </w:r>
      <w:r w:rsidRPr="00E256A9">
        <w:rPr>
          <w:rFonts w:ascii="Times New Roman" w:eastAsia="Times New Roman" w:hAnsi="Times New Roman" w:cs="Times New Roman"/>
          <w:sz w:val="20"/>
          <w:szCs w:val="20"/>
        </w:rPr>
        <w:t>hen the product, proalbumin, is in turn cleaved in the Golgi vesicles to produce the secreted albumi</w:t>
      </w:r>
      <w:r w:rsidR="00ED5BD8" w:rsidRPr="00E256A9">
        <w:rPr>
          <w:rFonts w:ascii="Times New Roman" w:eastAsia="Times New Roman" w:hAnsi="Times New Roman" w:cs="Times New Roman"/>
          <w:sz w:val="20"/>
          <w:szCs w:val="20"/>
        </w:rPr>
        <w:t xml:space="preserve">n </w:t>
      </w:r>
      <w:r w:rsidR="00ED5BD8" w:rsidRPr="00E256A9">
        <w:rPr>
          <w:rFonts w:ascii="Times New Roman" w:eastAsia="Times New Roman" w:hAnsi="Times New Roman" w:cs="Times New Roman"/>
          <w:b/>
          <w:bCs/>
          <w:sz w:val="20"/>
          <w:szCs w:val="20"/>
          <w:vertAlign w:val="superscript"/>
        </w:rPr>
        <w:t>(</w:t>
      </w:r>
      <w:r w:rsidR="00871668" w:rsidRPr="00E256A9">
        <w:rPr>
          <w:rFonts w:ascii="Times New Roman" w:eastAsia="Times New Roman" w:hAnsi="Times New Roman" w:cs="Times New Roman"/>
          <w:b/>
          <w:bCs/>
          <w:sz w:val="20"/>
          <w:szCs w:val="20"/>
          <w:shd w:val="clear" w:color="auto" w:fill="FFFFFF"/>
          <w:vertAlign w:val="superscript"/>
        </w:rPr>
        <w:t>23</w:t>
      </w:r>
      <w:r w:rsidRPr="00E256A9">
        <w:rPr>
          <w:rFonts w:ascii="Times New Roman" w:eastAsia="Times New Roman" w:hAnsi="Times New Roman" w:cs="Times New Roman"/>
          <w:b/>
          <w:bCs/>
          <w:sz w:val="20"/>
          <w:szCs w:val="20"/>
          <w:vertAlign w:val="superscript"/>
        </w:rPr>
        <w:t>)</w:t>
      </w:r>
      <w:r w:rsidRPr="00E256A9">
        <w:rPr>
          <w:rFonts w:ascii="Times New Roman" w:eastAsia="Times New Roman" w:hAnsi="Times New Roman" w:cs="Times New Roman"/>
          <w:b/>
          <w:bCs/>
          <w:sz w:val="20"/>
          <w:szCs w:val="20"/>
        </w:rPr>
        <w:t>.</w:t>
      </w:r>
    </w:p>
    <w:p w:rsidR="009F56E6" w:rsidRPr="00E256A9" w:rsidRDefault="009F56E6" w:rsidP="00756ADC">
      <w:pPr>
        <w:shd w:val="clear" w:color="auto" w:fill="FFFFFF"/>
        <w:snapToGrid w:val="0"/>
        <w:spacing w:after="0" w:line="240" w:lineRule="auto"/>
        <w:ind w:firstLine="425"/>
        <w:jc w:val="both"/>
        <w:rPr>
          <w:rFonts w:ascii="Times New Roman" w:eastAsia="Times New Roman" w:hAnsi="Times New Roman" w:cs="Times New Roman"/>
          <w:b/>
          <w:bCs/>
          <w:sz w:val="20"/>
          <w:szCs w:val="20"/>
        </w:rPr>
      </w:pPr>
      <w:r w:rsidRPr="00E256A9">
        <w:rPr>
          <w:rFonts w:ascii="Times New Roman" w:eastAsia="Times New Roman" w:hAnsi="Times New Roman" w:cs="Times New Roman"/>
          <w:sz w:val="20"/>
          <w:szCs w:val="20"/>
        </w:rPr>
        <w:t>The</w:t>
      </w:r>
      <w:r w:rsidR="00E256A9">
        <w:rPr>
          <w:rFonts w:ascii="Times New Roman" w:hAnsi="Times New Roman" w:cs="Times New Roman" w:hint="eastAsia"/>
          <w:sz w:val="20"/>
          <w:szCs w:val="20"/>
          <w:lang w:eastAsia="zh-CN"/>
        </w:rPr>
        <w:t xml:space="preserve"> </w:t>
      </w:r>
      <w:hyperlink r:id="rId14" w:tooltip="Reference range" w:history="1">
        <w:r w:rsidRPr="00E256A9">
          <w:rPr>
            <w:rFonts w:ascii="Times New Roman" w:eastAsia="Times New Roman" w:hAnsi="Times New Roman" w:cs="Times New Roman"/>
            <w:sz w:val="20"/>
            <w:szCs w:val="20"/>
          </w:rPr>
          <w:t>reference range</w:t>
        </w:r>
      </w:hyperlink>
      <w:r w:rsidRPr="00E256A9">
        <w:rPr>
          <w:rFonts w:ascii="Times New Roman" w:eastAsia="Times New Roman" w:hAnsi="Times New Roman" w:cs="Times New Roman"/>
          <w:sz w:val="20"/>
          <w:szCs w:val="20"/>
        </w:rPr>
        <w:t> for albumin concentrations in serum is approximately 3.5-5 g</w:t>
      </w:r>
      <w:r w:rsidRPr="00E256A9">
        <w:rPr>
          <w:rFonts w:ascii="Times New Roman" w:eastAsia="Times New Roman" w:hAnsi="Times New Roman" w:cs="Times New Roman"/>
          <w:sz w:val="20"/>
          <w:szCs w:val="20"/>
          <w:lang w:bidi="ar-EG"/>
        </w:rPr>
        <w:t>/d</w:t>
      </w:r>
      <w:r w:rsidR="00ED5BD8" w:rsidRPr="00E256A9">
        <w:rPr>
          <w:rFonts w:ascii="Times New Roman" w:eastAsia="Times New Roman" w:hAnsi="Times New Roman" w:cs="Times New Roman"/>
          <w:sz w:val="20"/>
          <w:szCs w:val="20"/>
          <w:lang w:bidi="ar-EG"/>
        </w:rPr>
        <w:t xml:space="preserve">L </w:t>
      </w:r>
      <w:r w:rsidR="00ED5BD8" w:rsidRPr="00E256A9">
        <w:rPr>
          <w:rFonts w:ascii="Times New Roman" w:eastAsia="Times New Roman" w:hAnsi="Times New Roman" w:cs="Times New Roman"/>
          <w:sz w:val="20"/>
          <w:szCs w:val="20"/>
        </w:rPr>
        <w:t>(</w:t>
      </w:r>
      <w:r w:rsidRPr="00E256A9">
        <w:rPr>
          <w:rFonts w:ascii="Times New Roman" w:eastAsia="Times New Roman" w:hAnsi="Times New Roman" w:cs="Times New Roman"/>
          <w:sz w:val="20"/>
          <w:szCs w:val="20"/>
        </w:rPr>
        <w:t xml:space="preserve">35-50 g/L). </w:t>
      </w:r>
      <w:r w:rsidRPr="00E256A9">
        <w:rPr>
          <w:rFonts w:ascii="Times New Roman" w:hAnsi="Times New Roman" w:cs="Times New Roman"/>
          <w:sz w:val="20"/>
          <w:szCs w:val="20"/>
        </w:rPr>
        <w:t>Serum albumin (CP) is the serum analyte that best predicts a poor outcome. Serum albumin also predicts mortality in healthy individual</w:t>
      </w:r>
      <w:r w:rsidR="00ED5BD8" w:rsidRPr="00E256A9">
        <w:rPr>
          <w:rFonts w:ascii="Times New Roman" w:hAnsi="Times New Roman" w:cs="Times New Roman"/>
          <w:sz w:val="20"/>
          <w:szCs w:val="20"/>
        </w:rPr>
        <w:t xml:space="preserve">s </w:t>
      </w:r>
      <w:r w:rsidR="00ED5BD8" w:rsidRPr="00E256A9">
        <w:rPr>
          <w:rFonts w:ascii="Times New Roman" w:eastAsia="Times New Roman" w:hAnsi="Times New Roman" w:cs="Times New Roman"/>
          <w:b/>
          <w:bCs/>
          <w:sz w:val="20"/>
          <w:szCs w:val="20"/>
          <w:vertAlign w:val="superscript"/>
        </w:rPr>
        <w:t>(</w:t>
      </w:r>
      <w:r w:rsidR="00ED77D9" w:rsidRPr="00E256A9">
        <w:rPr>
          <w:rFonts w:ascii="Times New Roman" w:eastAsia="Times New Roman" w:hAnsi="Times New Roman" w:cs="Times New Roman"/>
          <w:b/>
          <w:bCs/>
          <w:sz w:val="20"/>
          <w:szCs w:val="20"/>
          <w:vertAlign w:val="superscript"/>
        </w:rPr>
        <w:t>24</w:t>
      </w:r>
      <w:r w:rsidRPr="00E256A9">
        <w:rPr>
          <w:rFonts w:ascii="Times New Roman" w:eastAsia="Times New Roman" w:hAnsi="Times New Roman" w:cs="Times New Roman"/>
          <w:b/>
          <w:bCs/>
          <w:sz w:val="20"/>
          <w:szCs w:val="20"/>
          <w:vertAlign w:val="superscript"/>
        </w:rPr>
        <w:t>)</w:t>
      </w:r>
      <w:r w:rsidRPr="00E256A9">
        <w:rPr>
          <w:rFonts w:ascii="Times New Roman" w:eastAsia="Times New Roman" w:hAnsi="Times New Roman" w:cs="Times New Roman"/>
          <w:b/>
          <w:bCs/>
          <w:sz w:val="20"/>
          <w:szCs w:val="20"/>
        </w:rPr>
        <w:t>.</w:t>
      </w:r>
    </w:p>
    <w:p w:rsidR="009F56E6" w:rsidRPr="00E256A9" w:rsidRDefault="009F56E6" w:rsidP="00756ADC">
      <w:pPr>
        <w:snapToGrid w:val="0"/>
        <w:spacing w:after="0" w:line="240" w:lineRule="auto"/>
        <w:ind w:firstLine="425"/>
        <w:jc w:val="both"/>
        <w:rPr>
          <w:rFonts w:ascii="Times New Roman" w:eastAsia="Calibri" w:hAnsi="Times New Roman" w:cs="Times New Roman"/>
          <w:sz w:val="20"/>
          <w:szCs w:val="20"/>
          <w:shd w:val="clear" w:color="auto" w:fill="FFFFFF"/>
        </w:rPr>
      </w:pPr>
      <w:r w:rsidRPr="00E256A9">
        <w:rPr>
          <w:rFonts w:ascii="Times New Roman" w:eastAsia="Calibri" w:hAnsi="Times New Roman" w:cs="Times New Roman"/>
          <w:sz w:val="20"/>
          <w:szCs w:val="20"/>
        </w:rPr>
        <w:t xml:space="preserve">Inflammation </w:t>
      </w:r>
      <w:r w:rsidRPr="00E256A9">
        <w:rPr>
          <w:rFonts w:ascii="Times New Roman" w:eastAsia="Calibri" w:hAnsi="Times New Roman" w:cs="Times New Roman"/>
          <w:sz w:val="20"/>
          <w:szCs w:val="20"/>
          <w:shd w:val="clear" w:color="auto" w:fill="FFFFFF"/>
        </w:rPr>
        <w:t xml:space="preserve">is a part of the complex biological response of body tissues to harmful stimuli. The function of inflammation is to eliminate the initial cause of cell injury, clear out necrotic cells and tissues damaged from the original insult and the inflammatory process and initiate tissue repair </w:t>
      </w:r>
      <w:r w:rsidRPr="00E256A9">
        <w:rPr>
          <w:rFonts w:ascii="Times New Roman" w:eastAsia="Calibri" w:hAnsi="Times New Roman" w:cs="Times New Roman"/>
          <w:b/>
          <w:sz w:val="20"/>
          <w:szCs w:val="20"/>
          <w:shd w:val="clear" w:color="auto" w:fill="FFFFFF"/>
          <w:vertAlign w:val="superscript"/>
        </w:rPr>
        <w:t>(</w:t>
      </w:r>
      <w:r w:rsidR="00ED77D9" w:rsidRPr="00E256A9">
        <w:rPr>
          <w:rFonts w:ascii="Times New Roman" w:eastAsia="Calibri" w:hAnsi="Times New Roman" w:cs="Times New Roman"/>
          <w:b/>
          <w:sz w:val="20"/>
          <w:szCs w:val="20"/>
          <w:shd w:val="clear" w:color="auto" w:fill="FFFFFF"/>
          <w:vertAlign w:val="superscript"/>
        </w:rPr>
        <w:t>25</w:t>
      </w:r>
      <w:r w:rsidRPr="00E256A9">
        <w:rPr>
          <w:rFonts w:ascii="Times New Roman" w:eastAsia="Calibri" w:hAnsi="Times New Roman" w:cs="Times New Roman"/>
          <w:b/>
          <w:sz w:val="20"/>
          <w:szCs w:val="20"/>
          <w:shd w:val="clear" w:color="auto" w:fill="FFFFFF"/>
          <w:vertAlign w:val="superscript"/>
        </w:rPr>
        <w:t>)</w:t>
      </w:r>
      <w:r w:rsidRPr="00E256A9">
        <w:rPr>
          <w:rFonts w:ascii="Times New Roman" w:eastAsia="Calibri" w:hAnsi="Times New Roman" w:cs="Times New Roman"/>
          <w:b/>
          <w:sz w:val="20"/>
          <w:szCs w:val="20"/>
          <w:shd w:val="clear" w:color="auto" w:fill="FFFFFF"/>
        </w:rPr>
        <w:t>.</w:t>
      </w:r>
    </w:p>
    <w:p w:rsidR="009F56E6" w:rsidRPr="00E256A9" w:rsidRDefault="009F56E6" w:rsidP="00756ADC">
      <w:pPr>
        <w:snapToGrid w:val="0"/>
        <w:spacing w:after="0" w:line="240" w:lineRule="auto"/>
        <w:ind w:firstLine="425"/>
        <w:jc w:val="both"/>
        <w:rPr>
          <w:rFonts w:ascii="Times New Roman" w:hAnsi="Times New Roman" w:cs="Times New Roman"/>
          <w:b/>
          <w:bCs/>
          <w:sz w:val="20"/>
          <w:szCs w:val="20"/>
          <w:lang w:bidi="ar-EG"/>
        </w:rPr>
      </w:pPr>
      <w:r w:rsidRPr="00E256A9">
        <w:rPr>
          <w:rFonts w:ascii="Times New Roman" w:hAnsi="Times New Roman" w:cs="Times New Roman"/>
          <w:sz w:val="20"/>
          <w:szCs w:val="20"/>
          <w:lang w:bidi="ar-EG"/>
        </w:rPr>
        <w:t xml:space="preserve">The role of sepsis markers in diagnosing sepsis, the availability of accurate sepsis biomarkers to facilitate diagnosis could be of use to enable timely appropriate treatment to be started, thus optimizing a patient’s chances of survival </w:t>
      </w:r>
      <w:r w:rsidRPr="00E256A9">
        <w:rPr>
          <w:rFonts w:ascii="Times New Roman" w:hAnsi="Times New Roman" w:cs="Times New Roman"/>
          <w:b/>
          <w:bCs/>
          <w:sz w:val="20"/>
          <w:szCs w:val="20"/>
          <w:vertAlign w:val="superscript"/>
          <w:lang w:bidi="ar-EG"/>
        </w:rPr>
        <w:t>(</w:t>
      </w:r>
      <w:r w:rsidR="00ED77D9" w:rsidRPr="00E256A9">
        <w:rPr>
          <w:rFonts w:ascii="Times New Roman" w:hAnsi="Times New Roman" w:cs="Times New Roman"/>
          <w:b/>
          <w:bCs/>
          <w:sz w:val="20"/>
          <w:szCs w:val="20"/>
          <w:vertAlign w:val="superscript"/>
          <w:lang w:bidi="ar-EG"/>
        </w:rPr>
        <w:t>26</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w:t>
      </w:r>
    </w:p>
    <w:p w:rsidR="009F56E6" w:rsidRPr="00E256A9" w:rsidRDefault="009F56E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lang w:bidi="ar-EG"/>
        </w:rPr>
        <w:t xml:space="preserve">Procalcitonin is a 116 amino acid peptide that has an approximate MW of 14.5 kDa and belongs to the calcitonin (CT) superfamily of peptides. Procalcitonin is encoded by CALC-1 gene located on chromosome 11. A microbial infection induces a substantial increase of CALC-1 gene expression in all parenchymal tissue and differentiated cell types in the body producing PCT. Its levels increase significantly in sepsis, systemic infection and severe inflammation, the serum levels of </w:t>
      </w:r>
      <w:r w:rsidR="00ED77D9" w:rsidRPr="00E256A9">
        <w:rPr>
          <w:rFonts w:ascii="Times New Roman" w:hAnsi="Times New Roman" w:cs="Times New Roman"/>
          <w:sz w:val="20"/>
          <w:szCs w:val="20"/>
          <w:lang w:bidi="ar-EG"/>
        </w:rPr>
        <w:t>ProCT usually increase markedl</w:t>
      </w:r>
      <w:r w:rsidR="00ED5BD8" w:rsidRPr="00E256A9">
        <w:rPr>
          <w:rFonts w:ascii="Times New Roman" w:hAnsi="Times New Roman" w:cs="Times New Roman"/>
          <w:sz w:val="20"/>
          <w:szCs w:val="20"/>
          <w:lang w:bidi="ar-EG"/>
        </w:rPr>
        <w:t xml:space="preserve">y </w:t>
      </w:r>
      <w:r w:rsidR="00ED5BD8" w:rsidRPr="00E256A9">
        <w:rPr>
          <w:rFonts w:ascii="Times New Roman" w:hAnsi="Times New Roman" w:cs="Times New Roman"/>
          <w:b/>
          <w:bCs/>
          <w:sz w:val="20"/>
          <w:szCs w:val="20"/>
          <w:vertAlign w:val="superscript"/>
          <w:lang w:bidi="ar-EG"/>
        </w:rPr>
        <w:t>(</w:t>
      </w:r>
      <w:r w:rsidR="00ED77D9" w:rsidRPr="00E256A9">
        <w:rPr>
          <w:rFonts w:ascii="Times New Roman" w:hAnsi="Times New Roman" w:cs="Times New Roman"/>
          <w:b/>
          <w:bCs/>
          <w:sz w:val="20"/>
          <w:szCs w:val="20"/>
          <w:vertAlign w:val="superscript"/>
          <w:lang w:bidi="ar-EG"/>
        </w:rPr>
        <w:t>27</w:t>
      </w:r>
      <w:r w:rsidRPr="00E256A9">
        <w:rPr>
          <w:rFonts w:ascii="Times New Roman" w:hAnsi="Times New Roman" w:cs="Times New Roman"/>
          <w:b/>
          <w:bCs/>
          <w:sz w:val="20"/>
          <w:szCs w:val="20"/>
          <w:vertAlign w:val="superscript"/>
          <w:lang w:bidi="ar-EG"/>
        </w:rPr>
        <w:t>)</w:t>
      </w:r>
      <w:r w:rsidRPr="00E256A9">
        <w:rPr>
          <w:rFonts w:ascii="Times New Roman" w:hAnsi="Times New Roman" w:cs="Times New Roman"/>
          <w:b/>
          <w:bCs/>
          <w:sz w:val="20"/>
          <w:szCs w:val="20"/>
          <w:lang w:bidi="ar-EG"/>
        </w:rPr>
        <w:t>.</w:t>
      </w:r>
    </w:p>
    <w:p w:rsidR="009F56E6" w:rsidRPr="00E256A9" w:rsidRDefault="009F56E6" w:rsidP="00756ADC">
      <w:pPr>
        <w:pStyle w:val="Default"/>
        <w:snapToGrid w:val="0"/>
        <w:ind w:firstLine="425"/>
        <w:jc w:val="both"/>
        <w:rPr>
          <w:rFonts w:ascii="Times New Roman" w:hAnsi="Times New Roman" w:cs="Times New Roman"/>
          <w:color w:val="auto"/>
          <w:sz w:val="20"/>
          <w:szCs w:val="20"/>
        </w:rPr>
      </w:pPr>
      <w:r w:rsidRPr="00E256A9">
        <w:rPr>
          <w:rFonts w:ascii="Times New Roman" w:hAnsi="Times New Roman" w:cs="Times New Roman"/>
          <w:color w:val="auto"/>
          <w:sz w:val="20"/>
          <w:szCs w:val="20"/>
          <w:lang w:bidi="ar-EG"/>
        </w:rPr>
        <w:lastRenderedPageBreak/>
        <w:t>The aim of the study is to</w:t>
      </w:r>
      <w:r w:rsidRPr="00E256A9">
        <w:rPr>
          <w:rFonts w:ascii="Times New Roman" w:hAnsi="Times New Roman" w:cs="Times New Roman"/>
          <w:color w:val="auto"/>
          <w:sz w:val="20"/>
          <w:szCs w:val="20"/>
        </w:rPr>
        <w:t xml:space="preserve"> determine the relationship between reduced albumin and inflammatory response and its effect on morbidity and mortality in critically ill patients.</w:t>
      </w:r>
    </w:p>
    <w:p w:rsidR="00E256A9" w:rsidRDefault="00E256A9" w:rsidP="00756ADC">
      <w:pPr>
        <w:snapToGrid w:val="0"/>
        <w:spacing w:after="0" w:line="240" w:lineRule="auto"/>
        <w:jc w:val="both"/>
        <w:rPr>
          <w:rFonts w:ascii="Times New Roman" w:hAnsi="Times New Roman" w:cs="Times New Roman" w:hint="eastAsia"/>
          <w:b/>
          <w:bCs/>
          <w:sz w:val="20"/>
          <w:szCs w:val="20"/>
          <w:lang w:eastAsia="zh-CN"/>
        </w:rPr>
      </w:pPr>
    </w:p>
    <w:p w:rsidR="009F56E6" w:rsidRPr="00E256A9" w:rsidRDefault="009F56E6" w:rsidP="00756ADC">
      <w:pPr>
        <w:snapToGrid w:val="0"/>
        <w:spacing w:after="0" w:line="240" w:lineRule="auto"/>
        <w:jc w:val="both"/>
        <w:rPr>
          <w:rFonts w:ascii="Times New Roman" w:eastAsia="Times New Roman" w:hAnsi="Times New Roman" w:cs="Times New Roman"/>
          <w:b/>
          <w:bCs/>
          <w:sz w:val="20"/>
          <w:szCs w:val="20"/>
        </w:rPr>
      </w:pPr>
      <w:r w:rsidRPr="00E256A9">
        <w:rPr>
          <w:rFonts w:ascii="Times New Roman" w:eastAsia="Times New Roman" w:hAnsi="Times New Roman" w:cs="Times New Roman"/>
          <w:b/>
          <w:bCs/>
          <w:sz w:val="20"/>
          <w:szCs w:val="20"/>
        </w:rPr>
        <w:t>Patients and methods</w:t>
      </w:r>
    </w:p>
    <w:p w:rsidR="009F56E6" w:rsidRPr="00E256A9" w:rsidRDefault="009F56E6" w:rsidP="00756ADC">
      <w:pPr>
        <w:snapToGrid w:val="0"/>
        <w:spacing w:after="0" w:line="240" w:lineRule="auto"/>
        <w:ind w:firstLine="425"/>
        <w:jc w:val="both"/>
        <w:rPr>
          <w:rFonts w:ascii="Times New Roman" w:eastAsia="Times New Roman" w:hAnsi="Times New Roman" w:cs="Times New Roman"/>
          <w:sz w:val="20"/>
          <w:szCs w:val="20"/>
        </w:rPr>
      </w:pPr>
      <w:r w:rsidRPr="00E256A9">
        <w:rPr>
          <w:rFonts w:ascii="Times New Roman" w:eastAsia="Times New Roman" w:hAnsi="Times New Roman" w:cs="Times New Roman"/>
          <w:sz w:val="20"/>
          <w:szCs w:val="20"/>
        </w:rPr>
        <w:t>This is a prospective randomized study that was conducted on patients who were admitted to ICU in Ain Shams University Hospitals. Forty three patients were included in this study and an informed written consent was obtained from patients and/or relatives.</w:t>
      </w:r>
    </w:p>
    <w:p w:rsidR="009F56E6" w:rsidRPr="00E256A9" w:rsidRDefault="009F56E6" w:rsidP="00756ADC">
      <w:pPr>
        <w:snapToGrid w:val="0"/>
        <w:spacing w:after="0" w:line="240" w:lineRule="auto"/>
        <w:ind w:firstLine="425"/>
        <w:jc w:val="both"/>
        <w:rPr>
          <w:rFonts w:ascii="Times New Roman" w:hAnsi="Times New Roman" w:cs="Times New Roman"/>
          <w:sz w:val="20"/>
          <w:szCs w:val="20"/>
        </w:rPr>
      </w:pPr>
      <w:r w:rsidRPr="00E256A9">
        <w:rPr>
          <w:rFonts w:ascii="Times New Roman" w:hAnsi="Times New Roman" w:cs="Times New Roman"/>
          <w:sz w:val="20"/>
          <w:szCs w:val="20"/>
        </w:rPr>
        <w:t>All patients were adult, more than 18 years old, admitted to ICU, with critical illness that have clinical picture of inflammation.</w:t>
      </w:r>
    </w:p>
    <w:p w:rsidR="009F56E6" w:rsidRPr="00E256A9" w:rsidRDefault="009F56E6" w:rsidP="00756ADC">
      <w:pPr>
        <w:snapToGrid w:val="0"/>
        <w:spacing w:after="0" w:line="240" w:lineRule="auto"/>
        <w:ind w:firstLine="425"/>
        <w:jc w:val="both"/>
        <w:rPr>
          <w:rFonts w:ascii="Times New Roman" w:hAnsi="Times New Roman" w:cs="Times New Roman"/>
          <w:sz w:val="20"/>
          <w:szCs w:val="20"/>
        </w:rPr>
      </w:pPr>
      <w:r w:rsidRPr="00E256A9">
        <w:rPr>
          <w:rFonts w:ascii="Times New Roman" w:hAnsi="Times New Roman" w:cs="Times New Roman"/>
          <w:sz w:val="20"/>
          <w:szCs w:val="20"/>
          <w:lang w:bidi="ar-EG"/>
        </w:rPr>
        <w:t xml:space="preserve">We excluded </w:t>
      </w:r>
      <w:r w:rsidRPr="00E256A9">
        <w:rPr>
          <w:rFonts w:ascii="Times New Roman" w:eastAsia="Andalus" w:hAnsi="Times New Roman" w:cs="Times New Roman"/>
          <w:sz w:val="20"/>
          <w:szCs w:val="20"/>
        </w:rPr>
        <w:t>Patients less than18 years old, patients or relatives refused, to be included in this study, nephrotic syndrome patients, hepatic cirrhosis patients, heart failure patients and malnutrition patients</w:t>
      </w:r>
      <w:r w:rsidRPr="00E256A9">
        <w:rPr>
          <w:rFonts w:ascii="Times New Roman" w:hAnsi="Times New Roman" w:cs="Times New Roman"/>
          <w:sz w:val="20"/>
          <w:szCs w:val="20"/>
        </w:rPr>
        <w:t>.</w:t>
      </w:r>
    </w:p>
    <w:p w:rsidR="009F56E6" w:rsidRPr="00E256A9" w:rsidRDefault="009F56E6" w:rsidP="00756ADC">
      <w:pPr>
        <w:snapToGrid w:val="0"/>
        <w:spacing w:after="0" w:line="240" w:lineRule="auto"/>
        <w:ind w:firstLine="425"/>
        <w:jc w:val="both"/>
        <w:rPr>
          <w:rFonts w:ascii="Times New Roman" w:hAnsi="Times New Roman" w:cs="Times New Roman"/>
          <w:sz w:val="20"/>
          <w:szCs w:val="20"/>
        </w:rPr>
      </w:pPr>
      <w:r w:rsidRPr="00E256A9">
        <w:rPr>
          <w:rFonts w:ascii="Times New Roman" w:hAnsi="Times New Roman" w:cs="Times New Roman"/>
          <w:sz w:val="20"/>
          <w:szCs w:val="20"/>
        </w:rPr>
        <w:t>All patients were subjected to assessment of the demographic data of the patient, ICU length of stay (days),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hemodynamic data: heart rate, mean blood pressure and temperature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were assessed 3 times daily for seven days.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Serum albumin level in the first, third and seventh days, CRP level</w:t>
      </w:r>
      <w:r w:rsidR="00D10008" w:rsidRPr="00E256A9">
        <w:rPr>
          <w:rFonts w:ascii="Times New Roman" w:hAnsi="Times New Roman" w:cs="Times New Roman"/>
          <w:sz w:val="20"/>
          <w:szCs w:val="20"/>
        </w:rPr>
        <w:t>, T</w:t>
      </w:r>
      <w:r w:rsidRPr="00E256A9">
        <w:rPr>
          <w:rFonts w:ascii="Times New Roman" w:hAnsi="Times New Roman" w:cs="Times New Roman"/>
          <w:sz w:val="20"/>
          <w:szCs w:val="20"/>
        </w:rPr>
        <w:t>LC</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 ESR in the first</w:t>
      </w:r>
      <w:r w:rsidR="00D10008" w:rsidRPr="00E256A9">
        <w:rPr>
          <w:rFonts w:ascii="Times New Roman" w:hAnsi="Times New Roman" w:cs="Times New Roman"/>
          <w:sz w:val="20"/>
          <w:szCs w:val="20"/>
        </w:rPr>
        <w:t>, t</w:t>
      </w:r>
      <w:r w:rsidRPr="00E256A9">
        <w:rPr>
          <w:rFonts w:ascii="Times New Roman" w:hAnsi="Times New Roman" w:cs="Times New Roman"/>
          <w:sz w:val="20"/>
          <w:szCs w:val="20"/>
        </w:rPr>
        <w:t>hird and seventh days, procalcitonin level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 the first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 seventh days,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blood gases 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lactate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level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 the first, third and seventh days, morbidity and mortality,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causes and site of infection.</w:t>
      </w:r>
    </w:p>
    <w:p w:rsidR="009F56E6" w:rsidRPr="00E256A9" w:rsidRDefault="009F56E6" w:rsidP="00756ADC">
      <w:pPr>
        <w:snapToGrid w:val="0"/>
        <w:spacing w:after="0" w:line="240" w:lineRule="auto"/>
        <w:ind w:firstLine="425"/>
        <w:jc w:val="both"/>
        <w:rPr>
          <w:rFonts w:ascii="Times New Roman" w:hAnsi="Times New Roman" w:cs="Times New Roman"/>
          <w:sz w:val="20"/>
          <w:szCs w:val="20"/>
          <w:lang w:bidi="ar-EG"/>
        </w:rPr>
      </w:pPr>
      <w:r w:rsidRPr="00E256A9">
        <w:rPr>
          <w:rFonts w:ascii="Times New Roman" w:hAnsi="Times New Roman" w:cs="Times New Roman"/>
          <w:sz w:val="20"/>
          <w:szCs w:val="20"/>
        </w:rPr>
        <w:t>Forty three</w:t>
      </w:r>
      <w:r w:rsidRPr="00E256A9">
        <w:rPr>
          <w:rFonts w:ascii="Times New Roman" w:hAnsi="Times New Roman" w:cs="Times New Roman"/>
          <w:sz w:val="20"/>
          <w:szCs w:val="20"/>
          <w:lang w:eastAsia="ar-SA"/>
        </w:rPr>
        <w:t xml:space="preserve"> patients were included in</w:t>
      </w:r>
      <w:r w:rsidRPr="00E256A9">
        <w:rPr>
          <w:rFonts w:ascii="Times New Roman" w:hAnsi="Times New Roman" w:cs="Times New Roman"/>
          <w:sz w:val="20"/>
          <w:szCs w:val="20"/>
        </w:rPr>
        <w:t xml:space="preserve"> this study</w:t>
      </w:r>
      <w:r w:rsidRPr="00E256A9">
        <w:rPr>
          <w:rFonts w:ascii="Times New Roman" w:eastAsia="Calibri" w:hAnsi="Times New Roman" w:cs="Times New Roman"/>
          <w:sz w:val="20"/>
          <w:szCs w:val="20"/>
        </w:rPr>
        <w:t xml:space="preserve"> shows the demographic data of studied patients</w:t>
      </w:r>
      <w:r w:rsidR="00ED5BD8" w:rsidRPr="00E256A9">
        <w:rPr>
          <w:rFonts w:ascii="Times New Roman" w:eastAsia="Calibri" w:hAnsi="Times New Roman" w:cs="Times New Roman"/>
          <w:sz w:val="20"/>
          <w:szCs w:val="20"/>
        </w:rPr>
        <w:t xml:space="preserve"> </w:t>
      </w:r>
      <w:r w:rsidRPr="00E256A9">
        <w:rPr>
          <w:rFonts w:ascii="Times New Roman" w:eastAsia="Calibri" w:hAnsi="Times New Roman" w:cs="Times New Roman"/>
          <w:sz w:val="20"/>
          <w:szCs w:val="20"/>
        </w:rPr>
        <w:t>with mean age of survivors was 53.47 ± 14.26 years and 10 (53%) of them were males where mean age of non-survivors was 56.79± 11.766 years and 13 (68%) of them were males.</w:t>
      </w:r>
    </w:p>
    <w:p w:rsidR="009F56E6" w:rsidRPr="00E256A9" w:rsidRDefault="009F56E6" w:rsidP="00756ADC">
      <w:pPr>
        <w:snapToGrid w:val="0"/>
        <w:spacing w:after="0" w:line="240" w:lineRule="auto"/>
        <w:ind w:firstLine="425"/>
        <w:jc w:val="both"/>
        <w:rPr>
          <w:rFonts w:ascii="Times New Roman" w:eastAsia="Calibri" w:hAnsi="Times New Roman" w:cs="Times New Roman"/>
          <w:sz w:val="20"/>
          <w:szCs w:val="20"/>
        </w:rPr>
      </w:pPr>
      <w:r w:rsidRPr="00E256A9">
        <w:rPr>
          <w:rFonts w:ascii="Times New Roman" w:eastAsia="Calibri" w:hAnsi="Times New Roman" w:cs="Times New Roman"/>
          <w:sz w:val="20"/>
          <w:szCs w:val="20"/>
        </w:rPr>
        <w:t>It was noticed that albumin level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survivors but in case of non- survivor it showed significant decrease.</w:t>
      </w:r>
    </w:p>
    <w:p w:rsidR="009F56E6" w:rsidRPr="00E256A9" w:rsidRDefault="009F56E6" w:rsidP="00756ADC">
      <w:pPr>
        <w:snapToGrid w:val="0"/>
        <w:spacing w:after="0" w:line="240" w:lineRule="auto"/>
        <w:ind w:firstLine="425"/>
        <w:jc w:val="both"/>
        <w:rPr>
          <w:rFonts w:ascii="Times New Roman" w:hAnsi="Times New Roman" w:cs="Times New Roman"/>
          <w:sz w:val="20"/>
          <w:szCs w:val="20"/>
        </w:rPr>
      </w:pPr>
      <w:r w:rsidRPr="00E256A9">
        <w:rPr>
          <w:rFonts w:ascii="Times New Roman" w:eastAsia="Calibri" w:hAnsi="Times New Roman" w:cs="Times New Roman"/>
          <w:sz w:val="20"/>
          <w:szCs w:val="20"/>
        </w:rPr>
        <w:t>It was noticed that pro-calcitonin was significantly increased at 7</w:t>
      </w:r>
      <w:r w:rsidRPr="00E256A9">
        <w:rPr>
          <w:rFonts w:ascii="Times New Roman" w:eastAsia="Calibri" w:hAnsi="Times New Roman" w:cs="Times New Roman"/>
          <w:sz w:val="20"/>
          <w:szCs w:val="20"/>
          <w:vertAlign w:val="superscript"/>
        </w:rPr>
        <w:t>th</w:t>
      </w:r>
      <w:r w:rsidRPr="00E256A9">
        <w:rPr>
          <w:rFonts w:ascii="Times New Roman" w:eastAsia="Calibri" w:hAnsi="Times New Roman" w:cs="Times New Roman"/>
          <w:sz w:val="20"/>
          <w:szCs w:val="20"/>
        </w:rPr>
        <w:t xml:space="preserve"> days in comparison to 1</w:t>
      </w:r>
      <w:r w:rsidRPr="00E256A9">
        <w:rPr>
          <w:rFonts w:ascii="Times New Roman" w:eastAsia="Calibri" w:hAnsi="Times New Roman" w:cs="Times New Roman"/>
          <w:sz w:val="20"/>
          <w:szCs w:val="20"/>
          <w:vertAlign w:val="superscript"/>
        </w:rPr>
        <w:t>st</w:t>
      </w:r>
      <w:r w:rsidRPr="00E256A9">
        <w:rPr>
          <w:rFonts w:ascii="Times New Roman" w:eastAsia="Calibri" w:hAnsi="Times New Roman" w:cs="Times New Roman"/>
          <w:sz w:val="20"/>
          <w:szCs w:val="20"/>
        </w:rPr>
        <w:t xml:space="preserve"> day in case of non- survivors but in case of survivor it showed significant decrease.</w:t>
      </w:r>
      <w:r w:rsidRPr="00E256A9">
        <w:rPr>
          <w:rFonts w:ascii="Times New Roman" w:hAnsi="Times New Roman" w:cs="Times New Roman"/>
          <w:sz w:val="20"/>
          <w:szCs w:val="20"/>
        </w:rPr>
        <w:t xml:space="preserve"> It was noticed that serum albumin had negative significant correlation with baseline inflammatory markers; CRP (r= -0.65;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0.04), ESR (r= -0.45;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0.01), TLC (r= -0.42; </w:t>
      </w:r>
      <w:r w:rsidRPr="00E256A9">
        <w:rPr>
          <w:rFonts w:ascii="Times New Roman" w:hAnsi="Times New Roman" w:cs="Times New Roman"/>
          <w:i/>
          <w:iCs/>
          <w:sz w:val="20"/>
          <w:szCs w:val="20"/>
        </w:rPr>
        <w:t>P</w:t>
      </w:r>
      <w:r w:rsidRPr="00E256A9">
        <w:rPr>
          <w:rFonts w:ascii="Times New Roman" w:hAnsi="Times New Roman" w:cs="Times New Roman"/>
          <w:sz w:val="20"/>
          <w:szCs w:val="20"/>
        </w:rPr>
        <w:t xml:space="preserve">= 0.01) and Procalcitonin (r= -0.34; </w:t>
      </w:r>
      <w:r w:rsidRPr="00E256A9">
        <w:rPr>
          <w:rFonts w:ascii="Times New Roman" w:hAnsi="Times New Roman" w:cs="Times New Roman"/>
          <w:i/>
          <w:iCs/>
          <w:sz w:val="20"/>
          <w:szCs w:val="20"/>
        </w:rPr>
        <w:t>P</w:t>
      </w:r>
      <w:r w:rsidRPr="00E256A9">
        <w:rPr>
          <w:rFonts w:ascii="Times New Roman" w:hAnsi="Times New Roman" w:cs="Times New Roman"/>
          <w:sz w:val="20"/>
          <w:szCs w:val="20"/>
        </w:rPr>
        <w:t>= 0.02).</w:t>
      </w:r>
    </w:p>
    <w:p w:rsidR="002D6C06" w:rsidRPr="00E256A9" w:rsidRDefault="002D6C06" w:rsidP="00756ADC">
      <w:pPr>
        <w:snapToGrid w:val="0"/>
        <w:spacing w:after="0" w:line="240" w:lineRule="auto"/>
        <w:jc w:val="both"/>
        <w:rPr>
          <w:rFonts w:ascii="Times New Roman" w:hAnsi="Times New Roman" w:cs="Times New Roman"/>
          <w:b/>
          <w:bCs/>
          <w:sz w:val="20"/>
          <w:szCs w:val="20"/>
          <w:lang w:bidi="ar-EG"/>
        </w:rPr>
      </w:pPr>
    </w:p>
    <w:p w:rsidR="00FE1B6E" w:rsidRPr="00E256A9" w:rsidRDefault="002D6C06" w:rsidP="00756ADC">
      <w:pPr>
        <w:snapToGrid w:val="0"/>
        <w:spacing w:after="0" w:line="240" w:lineRule="auto"/>
        <w:jc w:val="both"/>
        <w:rPr>
          <w:rFonts w:ascii="Times New Roman" w:hAnsi="Times New Roman" w:cs="Times New Roman"/>
          <w:b/>
          <w:bCs/>
          <w:sz w:val="20"/>
          <w:szCs w:val="20"/>
          <w:lang w:bidi="ar-EG"/>
        </w:rPr>
      </w:pPr>
      <w:r w:rsidRPr="00E256A9">
        <w:rPr>
          <w:rFonts w:ascii="Times New Roman" w:hAnsi="Times New Roman" w:cs="Times New Roman"/>
          <w:b/>
          <w:bCs/>
          <w:sz w:val="20"/>
          <w:szCs w:val="20"/>
          <w:lang w:bidi="ar-EG"/>
        </w:rPr>
        <w:t>References</w:t>
      </w:r>
    </w:p>
    <w:p w:rsidR="00ED43CA" w:rsidRPr="00E256A9" w:rsidRDefault="007F374E"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Kaukonen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KM,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Bailey</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Suzuki</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Pilcher</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Bellomo</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R</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(2014):</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Mortality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related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to</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severe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septic</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shock</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among</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critically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ill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Australia</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New</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Zealand,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2000-2012.</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JAMA;</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311(13):</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1308-1316.</w:t>
      </w:r>
    </w:p>
    <w:p w:rsidR="00ED43CA" w:rsidRPr="00E256A9" w:rsidRDefault="00ED43CA"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2-Stearns</w:t>
      </w:r>
      <w:r w:rsidRPr="00E256A9">
        <w:rPr>
          <w:rFonts w:ascii="Times New Roman" w:eastAsia="Times New Roman" w:hAnsi="Times New Roman" w:cs="Times New Roman"/>
          <w:sz w:val="20"/>
          <w:szCs w:val="20"/>
        </w:rPr>
        <w:t>-</w:t>
      </w:r>
      <w:r w:rsidRPr="00E256A9">
        <w:rPr>
          <w:rFonts w:ascii="Times New Roman" w:eastAsia="Times New Roman" w:hAnsi="Times New Roman" w:cs="Times New Roman"/>
          <w:bCs/>
          <w:sz w:val="20"/>
          <w:szCs w:val="20"/>
        </w:rPr>
        <w:t>Kurosawa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DJ,</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Osuchowski</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MF,</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Valentine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C,</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Kurosawa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Remick</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DG</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(2011):</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lastRenderedPageBreak/>
        <w:t>The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pathogenesis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Annual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review</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pathology: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mechanisms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disease;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6:</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19-48.‏</w:t>
      </w:r>
    </w:p>
    <w:p w:rsidR="00ED43CA" w:rsidRPr="00E256A9" w:rsidRDefault="00ED43CA"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shd w:val="clear" w:color="auto" w:fill="FFFFFF"/>
        </w:rPr>
        <w:t>Vincent</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JL</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(2016):</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The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clinical</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challenge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of</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sepsis</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identification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and</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monitoring.</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PLoS</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medicine;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13(5):</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e1002022.</w:t>
      </w:r>
    </w:p>
    <w:p w:rsidR="00ED43CA" w:rsidRPr="00E256A9" w:rsidRDefault="00ED43CA"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Mayr</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FB,</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Yende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Angus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DC</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(2014):</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Epidemiology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severe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Virulence;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5(1):</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4-11.</w:t>
      </w:r>
    </w:p>
    <w:p w:rsidR="003D12D1" w:rsidRPr="00E256A9" w:rsidRDefault="00ED43CA"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Kim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M.H.,</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Ahn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JY,</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Song</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JE,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Choi</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H,</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Ann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HW,</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Kim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JK,</w:t>
      </w:r>
      <w:r w:rsidR="00ED5BD8" w:rsidRPr="00E256A9">
        <w:rPr>
          <w:rFonts w:ascii="Times New Roman" w:eastAsia="Times New Roman" w:hAnsi="Times New Roman" w:cs="Times New Roman"/>
          <w:bCs/>
          <w:sz w:val="20"/>
          <w:szCs w:val="20"/>
        </w:rPr>
        <w:t>.</w:t>
      </w:r>
      <w:r w:rsidRPr="00E256A9">
        <w:rPr>
          <w:rFonts w:ascii="Times New Roman" w:eastAsia="Times New Roman" w:hAnsi="Times New Roman" w:cs="Times New Roman"/>
          <w:bCs/>
          <w:sz w:val="20"/>
          <w:szCs w:val="20"/>
        </w:rPr>
        <w:t>..</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Ku</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(2015):</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The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C-reactive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protein/albumin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ratio</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independent</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predictor</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mortality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with</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severe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or</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septic</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shock</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treated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with</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early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goal-directed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therapy.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PLoS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One;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10(7):</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e0132109.</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Johnkennedy</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Emmanuel</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Constance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Ukamaka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Oluchi</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and</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Patrick</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O</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(2017):</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Evaluation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Albumin,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Zinc</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Vitamin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Surgical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Wound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Medical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Science</w:t>
      </w:r>
      <w:r w:rsidR="00ED5BD8" w:rsidRPr="00E256A9">
        <w:rPr>
          <w:rFonts w:ascii="Times New Roman" w:eastAsia="Times New Roman" w:hAnsi="Times New Roman" w:cs="Times New Roman"/>
          <w:sz w:val="20"/>
          <w:szCs w:val="20"/>
        </w:rPr>
        <w:t xml:space="preserve"> &amp; </w:t>
      </w:r>
      <w:r w:rsidRPr="00E256A9">
        <w:rPr>
          <w:rFonts w:ascii="Times New Roman" w:eastAsia="Times New Roman" w:hAnsi="Times New Roman" w:cs="Times New Roman"/>
          <w:sz w:val="20"/>
          <w:szCs w:val="20"/>
        </w:rPr>
        <w:t>Healthcare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Practice;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1(2):</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60.</w:t>
      </w:r>
    </w:p>
    <w:p w:rsidR="002D4910" w:rsidRPr="00E256A9" w:rsidRDefault="002D4910"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lang w:bidi="ar-EG"/>
        </w:rPr>
        <w:t>Alpers</w:t>
      </w:r>
      <w:r w:rsidR="00ED5BD8" w:rsidRPr="00E256A9">
        <w:rPr>
          <w:rFonts w:ascii="Times New Roman" w:hAnsi="Times New Roman" w:cs="Times New Roman"/>
          <w:bCs/>
          <w:sz w:val="20"/>
          <w:szCs w:val="20"/>
          <w:lang w:bidi="ar-EG"/>
        </w:rPr>
        <w:t xml:space="preserve"> </w:t>
      </w:r>
      <w:r w:rsidRPr="00E256A9">
        <w:rPr>
          <w:rFonts w:ascii="Times New Roman" w:hAnsi="Times New Roman" w:cs="Times New Roman"/>
          <w:bCs/>
          <w:sz w:val="20"/>
          <w:szCs w:val="20"/>
          <w:lang w:bidi="ar-EG"/>
        </w:rPr>
        <w:t>DH,</w:t>
      </w:r>
      <w:r w:rsidR="00ED5BD8" w:rsidRPr="00E256A9">
        <w:rPr>
          <w:rFonts w:ascii="Times New Roman" w:hAnsi="Times New Roman" w:cs="Times New Roman"/>
          <w:bCs/>
          <w:sz w:val="20"/>
          <w:szCs w:val="20"/>
          <w:lang w:bidi="ar-EG"/>
        </w:rPr>
        <w:t xml:space="preserve"> </w:t>
      </w:r>
      <w:r w:rsidRPr="00E256A9">
        <w:rPr>
          <w:rFonts w:ascii="Times New Roman" w:hAnsi="Times New Roman" w:cs="Times New Roman"/>
          <w:bCs/>
          <w:sz w:val="20"/>
          <w:szCs w:val="20"/>
          <w:lang w:bidi="ar-EG"/>
        </w:rPr>
        <w:t>Taylor</w:t>
      </w:r>
      <w:r w:rsidR="00ED5BD8" w:rsidRPr="00E256A9">
        <w:rPr>
          <w:rFonts w:ascii="Times New Roman" w:hAnsi="Times New Roman" w:cs="Times New Roman"/>
          <w:bCs/>
          <w:sz w:val="20"/>
          <w:szCs w:val="20"/>
          <w:lang w:bidi="ar-EG"/>
        </w:rPr>
        <w:t xml:space="preserve"> </w:t>
      </w:r>
      <w:r w:rsidRPr="00E256A9">
        <w:rPr>
          <w:rFonts w:ascii="Times New Roman" w:hAnsi="Times New Roman" w:cs="Times New Roman"/>
          <w:bCs/>
          <w:sz w:val="20"/>
          <w:szCs w:val="20"/>
          <w:lang w:bidi="ar-EG"/>
        </w:rPr>
        <w:t>B,</w:t>
      </w:r>
      <w:r w:rsidR="00ED5BD8" w:rsidRPr="00E256A9">
        <w:rPr>
          <w:rFonts w:ascii="Times New Roman" w:hAnsi="Times New Roman" w:cs="Times New Roman"/>
          <w:bCs/>
          <w:sz w:val="20"/>
          <w:szCs w:val="20"/>
          <w:lang w:bidi="ar-EG"/>
        </w:rPr>
        <w:t xml:space="preserve"> &amp; </w:t>
      </w:r>
      <w:r w:rsidRPr="00E256A9">
        <w:rPr>
          <w:rFonts w:ascii="Times New Roman" w:hAnsi="Times New Roman" w:cs="Times New Roman"/>
          <w:bCs/>
          <w:sz w:val="20"/>
          <w:szCs w:val="20"/>
          <w:lang w:bidi="ar-EG"/>
        </w:rPr>
        <w:t>Klein</w:t>
      </w:r>
      <w:r w:rsidR="00ED5BD8" w:rsidRPr="00E256A9">
        <w:rPr>
          <w:rFonts w:ascii="Times New Roman" w:hAnsi="Times New Roman" w:cs="Times New Roman"/>
          <w:bCs/>
          <w:sz w:val="20"/>
          <w:szCs w:val="20"/>
          <w:lang w:bidi="ar-EG"/>
        </w:rPr>
        <w:t xml:space="preserve"> </w:t>
      </w:r>
      <w:r w:rsidRPr="00E256A9">
        <w:rPr>
          <w:rFonts w:ascii="Times New Roman" w:hAnsi="Times New Roman" w:cs="Times New Roman"/>
          <w:bCs/>
          <w:sz w:val="20"/>
          <w:szCs w:val="20"/>
          <w:lang w:bidi="ar-EG"/>
        </w:rPr>
        <w:t>S</w:t>
      </w:r>
      <w:r w:rsidR="00ED5BD8" w:rsidRPr="00E256A9">
        <w:rPr>
          <w:rFonts w:ascii="Times New Roman" w:hAnsi="Times New Roman" w:cs="Times New Roman"/>
          <w:bCs/>
          <w:sz w:val="20"/>
          <w:szCs w:val="20"/>
          <w:lang w:bidi="ar-EG"/>
        </w:rPr>
        <w:t xml:space="preserve"> </w:t>
      </w:r>
      <w:r w:rsidRPr="00E256A9">
        <w:rPr>
          <w:rFonts w:ascii="Times New Roman" w:hAnsi="Times New Roman" w:cs="Times New Roman"/>
          <w:bCs/>
          <w:sz w:val="20"/>
          <w:szCs w:val="20"/>
          <w:lang w:bidi="ar-EG"/>
        </w:rPr>
        <w:t>(2008):</w:t>
      </w:r>
      <w:r w:rsidR="00ED5BD8" w:rsidRPr="00E256A9">
        <w:rPr>
          <w:rFonts w:ascii="Times New Roman" w:hAnsi="Times New Roman" w:cs="Times New Roman"/>
          <w:bCs/>
          <w:sz w:val="20"/>
          <w:szCs w:val="20"/>
          <w:lang w:bidi="ar-EG"/>
        </w:rPr>
        <w:t xml:space="preserve"> </w:t>
      </w:r>
      <w:r w:rsidRPr="00E256A9">
        <w:rPr>
          <w:rFonts w:ascii="Times New Roman" w:hAnsi="Times New Roman" w:cs="Times New Roman"/>
          <w:sz w:val="20"/>
          <w:szCs w:val="20"/>
          <w:lang w:bidi="ar-EG"/>
        </w:rPr>
        <w:t>30</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Approach</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to</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the</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patient</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requiring</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nutritional</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supplementation.</w:t>
      </w:r>
      <w:r w:rsidR="00ED5BD8" w:rsidRPr="00E256A9">
        <w:rPr>
          <w:rFonts w:ascii="Times New Roman" w:hAnsi="Times New Roman" w:cs="Times New Roman"/>
          <w:i/>
          <w:iCs/>
          <w:sz w:val="20"/>
          <w:szCs w:val="20"/>
          <w:lang w:bidi="ar-EG"/>
        </w:rPr>
        <w:t xml:space="preserve"> </w:t>
      </w:r>
      <w:r w:rsidRPr="00E256A9">
        <w:rPr>
          <w:rFonts w:ascii="Times New Roman" w:hAnsi="Times New Roman" w:cs="Times New Roman"/>
          <w:i/>
          <w:iCs/>
          <w:sz w:val="20"/>
          <w:szCs w:val="20"/>
          <w:lang w:bidi="ar-EG"/>
        </w:rPr>
        <w:t>Clinical</w:t>
      </w:r>
      <w:r w:rsidR="00ED5BD8" w:rsidRPr="00E256A9">
        <w:rPr>
          <w:rFonts w:ascii="Times New Roman" w:hAnsi="Times New Roman" w:cs="Times New Roman"/>
          <w:i/>
          <w:iCs/>
          <w:sz w:val="20"/>
          <w:szCs w:val="20"/>
          <w:lang w:bidi="ar-EG"/>
        </w:rPr>
        <w:t xml:space="preserve"> </w:t>
      </w:r>
      <w:r w:rsidRPr="00E256A9">
        <w:rPr>
          <w:rFonts w:ascii="Times New Roman" w:hAnsi="Times New Roman" w:cs="Times New Roman"/>
          <w:i/>
          <w:iCs/>
          <w:sz w:val="20"/>
          <w:szCs w:val="20"/>
          <w:lang w:bidi="ar-EG"/>
        </w:rPr>
        <w:t>Gastroenterology</w:t>
      </w:r>
      <w:r w:rsidRPr="00E256A9">
        <w:rPr>
          <w:rFonts w:ascii="Times New Roman" w:hAnsi="Times New Roman" w:cs="Times New Roman"/>
          <w:sz w:val="20"/>
          <w:szCs w:val="20"/>
          <w:lang w:bidi="ar-EG"/>
        </w:rPr>
        <w:t>,</w:t>
      </w:r>
      <w:r w:rsidR="00ED5BD8" w:rsidRPr="00E256A9">
        <w:rPr>
          <w:rFonts w:ascii="Times New Roman" w:hAnsi="Times New Roman" w:cs="Times New Roman"/>
          <w:sz w:val="20"/>
          <w:szCs w:val="20"/>
          <w:lang w:bidi="ar-EG"/>
        </w:rPr>
        <w:t xml:space="preserve"> </w:t>
      </w:r>
      <w:r w:rsidRPr="00E256A9">
        <w:rPr>
          <w:rFonts w:ascii="Times New Roman" w:hAnsi="Times New Roman" w:cs="Times New Roman"/>
          <w:sz w:val="20"/>
          <w:szCs w:val="20"/>
          <w:lang w:bidi="ar-EG"/>
        </w:rPr>
        <w:t>588.</w:t>
      </w:r>
      <w:r w:rsidRPr="00E256A9">
        <w:rPr>
          <w:rFonts w:ascii="Times New Roman" w:hAnsi="Times New Roman" w:cs="Times New Roman"/>
          <w:sz w:val="20"/>
          <w:szCs w:val="20"/>
        </w:rPr>
        <w:t>‏</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Carrero</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OA,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Qureshi</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Martín-Ventura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J,</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Bárány,</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H</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and</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Egido</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J</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(2009):</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Additive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effects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soluble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TWEAK</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inflammation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mortality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hemodialysis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patients.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Clinical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Journal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the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American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Society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Nephrology;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4(1):</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110-118.</w:t>
      </w:r>
      <w:r w:rsidR="00D10008" w:rsidRPr="00E256A9">
        <w:rPr>
          <w:rFonts w:ascii="Times New Roman" w:hAnsi="Times New Roman" w:cs="Times New Roman" w:hint="eastAsia"/>
          <w:sz w:val="20"/>
          <w:szCs w:val="20"/>
          <w:lang w:eastAsia="zh-CN"/>
        </w:rPr>
        <w:t xml:space="preserve"> </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shd w:val="clear" w:color="auto" w:fill="FFFFFF"/>
        </w:rPr>
        <w:t>Whicher</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J,</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Bienvenu</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J,</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Monneret</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G</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(2001)</w:t>
      </w:r>
      <w:r w:rsidR="00D10008" w:rsidRPr="00E256A9">
        <w:rPr>
          <w:rFonts w:ascii="Times New Roman" w:hAnsi="Times New Roman" w:cs="Times New Roman"/>
          <w:bCs/>
          <w:sz w:val="20"/>
          <w:szCs w:val="20"/>
          <w:shd w:val="clear" w:color="auto" w:fill="FFFFFF"/>
        </w:rPr>
        <w:t xml:space="preserve">: </w:t>
      </w:r>
      <w:r w:rsidR="00D10008" w:rsidRPr="00E256A9">
        <w:rPr>
          <w:rFonts w:ascii="Times New Roman" w:hAnsi="Times New Roman" w:cs="Times New Roman"/>
          <w:sz w:val="20"/>
          <w:szCs w:val="20"/>
          <w:shd w:val="clear" w:color="auto" w:fill="FFFFFF"/>
        </w:rPr>
        <w:t>P</w:t>
      </w:r>
      <w:r w:rsidRPr="00E256A9">
        <w:rPr>
          <w:rFonts w:ascii="Times New Roman" w:hAnsi="Times New Roman" w:cs="Times New Roman"/>
          <w:sz w:val="20"/>
          <w:szCs w:val="20"/>
          <w:shd w:val="clear" w:color="auto" w:fill="FFFFFF"/>
        </w:rPr>
        <w:t>rocalcitonin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as</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acute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phase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marker.</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Ann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ClinBiochem</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2001;</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38:483–93.</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Simon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L,</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Gauvin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F,</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Amre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DK,</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Saint-Louis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P</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Lacroix</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J</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(2004):</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sz w:val="20"/>
          <w:szCs w:val="20"/>
        </w:rPr>
        <w:t>Serum</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procalcitonin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C-reactive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protein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levels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markers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bacterial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infection: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systematic</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review</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meta-analysis.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Clinical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infectious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diseases;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39(2):</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206-217.‏</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Oliveira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APV,</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Barata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CH,</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Murta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EFC</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and</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Tavares-Murta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BM</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(2008):</w:t>
      </w:r>
      <w:r w:rsidR="00ED5BD8" w:rsidRPr="00E256A9">
        <w:rPr>
          <w:rFonts w:ascii="Times New Roman" w:hAnsi="Times New Roman" w:cs="Times New Roman"/>
          <w:bCs/>
          <w:sz w:val="20"/>
          <w:szCs w:val="20"/>
        </w:rPr>
        <w:t xml:space="preserve"> </w:t>
      </w:r>
      <w:r w:rsidRPr="00E256A9">
        <w:rPr>
          <w:rFonts w:ascii="Times New Roman" w:hAnsi="Times New Roman" w:cs="Times New Roman"/>
          <w:sz w:val="20"/>
          <w:szCs w:val="20"/>
        </w:rPr>
        <w:t>Comparative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study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survivor</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nonsurvivor</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sepsis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patients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university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hospital: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Estudocomparativo</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de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pacientessobreviventes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nãosobreviventes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com</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sepseem</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um</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hospital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universitário.</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Revista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da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Sociedad</w:t>
      </w:r>
      <w:r w:rsidR="00D10008" w:rsidRPr="00E256A9">
        <w:rPr>
          <w:rFonts w:ascii="Times New Roman" w:hAnsi="Times New Roman" w:cs="Times New Roman"/>
          <w:sz w:val="20"/>
          <w:szCs w:val="20"/>
        </w:rPr>
        <w:t>e B</w:t>
      </w:r>
      <w:r w:rsidRPr="00E256A9">
        <w:rPr>
          <w:rFonts w:ascii="Times New Roman" w:hAnsi="Times New Roman" w:cs="Times New Roman"/>
          <w:sz w:val="20"/>
          <w:szCs w:val="20"/>
        </w:rPr>
        <w:t>rasileira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de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Medicina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Tropical;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41(1):50-54.</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Houwink</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AP,</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Rijkenberg</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S,</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Bosman</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RJ,</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van</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der</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Voort</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PH,</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et</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al.</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(2016).</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The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association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between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lactate,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mean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arterial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pressure,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central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venous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oxygen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saturation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peripheral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temperature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mortality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severe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sepsis: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retrospective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cohort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analysis.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Critical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Care,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20(1),</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56.</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Schell-Chaple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HM,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Puntillo</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KA,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Matthay</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Liu</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KD</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National</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Heart,</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Lung,</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and</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Blood</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Institute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Acute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Respiratory</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Distress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Syndrome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Network.</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(2015).</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Body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temperature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mortality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with</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acute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respiratory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lastRenderedPageBreak/>
        <w:t>distress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syndrome.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American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Journal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Critical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Care;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24(1):</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15-23.</w:t>
      </w:r>
    </w:p>
    <w:p w:rsidR="003D12D1"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Sanderson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Chikhani</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Blyth</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Wood</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Moppett</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IK,</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McKeever</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T,</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Simmonds</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MJ,</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et</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al.</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(2018):</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Predicting</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30-day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mortality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with</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sepsis: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exploratory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analysis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process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care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and</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characteristics.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Journal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the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Intensive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Care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Society;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19(4):</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299-304.</w:t>
      </w:r>
    </w:p>
    <w:p w:rsidR="00871668" w:rsidRPr="00E256A9" w:rsidRDefault="003D12D1"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Hedlund</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JU,</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Hansson</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LO,</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Ortqvist</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AB</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(1995)</w:t>
      </w:r>
      <w:r w:rsidR="00D10008" w:rsidRPr="00E256A9">
        <w:rPr>
          <w:rFonts w:ascii="Times New Roman" w:hAnsi="Times New Roman" w:cs="Times New Roman"/>
          <w:bCs/>
          <w:sz w:val="20"/>
          <w:szCs w:val="20"/>
        </w:rPr>
        <w:t xml:space="preserve">: </w:t>
      </w:r>
      <w:r w:rsidR="00D10008" w:rsidRPr="00E256A9">
        <w:rPr>
          <w:rFonts w:ascii="Times New Roman" w:hAnsi="Times New Roman" w:cs="Times New Roman"/>
          <w:sz w:val="20"/>
          <w:szCs w:val="20"/>
        </w:rPr>
        <w:t>H</w:t>
      </w:r>
      <w:r w:rsidRPr="00E256A9">
        <w:rPr>
          <w:rFonts w:ascii="Times New Roman" w:hAnsi="Times New Roman" w:cs="Times New Roman"/>
          <w:sz w:val="20"/>
          <w:szCs w:val="20"/>
        </w:rPr>
        <w:t>ypoalbuminemia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hospitalized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patients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with</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community-acquired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pneumonia.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Arch</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Intern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155:</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1438-42.</w:t>
      </w:r>
    </w:p>
    <w:p w:rsidR="0087166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Sullivan,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D.</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H.,</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Roberson,</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P.</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K.,</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Bopp,</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M.</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et</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al.</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(2013)</w:t>
      </w:r>
      <w:r w:rsidR="00D10008" w:rsidRPr="00E256A9">
        <w:rPr>
          <w:rFonts w:ascii="Times New Roman" w:eastAsia="Times New Roman" w:hAnsi="Times New Roman" w:cs="Times New Roman"/>
          <w:bCs/>
          <w:sz w:val="20"/>
          <w:szCs w:val="20"/>
        </w:rPr>
        <w:t xml:space="preserve">. </w:t>
      </w:r>
      <w:r w:rsidR="00D10008" w:rsidRPr="00E256A9">
        <w:rPr>
          <w:rFonts w:ascii="Times New Roman" w:eastAsia="Times New Roman" w:hAnsi="Times New Roman" w:cs="Times New Roman"/>
          <w:sz w:val="20"/>
          <w:szCs w:val="20"/>
        </w:rPr>
        <w:t>H</w:t>
      </w:r>
      <w:r w:rsidRPr="00E256A9">
        <w:rPr>
          <w:rFonts w:ascii="Times New Roman" w:eastAsia="Times New Roman" w:hAnsi="Times New Roman" w:cs="Times New Roman"/>
          <w:sz w:val="20"/>
          <w:szCs w:val="20"/>
        </w:rPr>
        <w:t>ypoalbuminemia</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3</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months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after</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hospital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discharge: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significance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for</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long‐term</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survival.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Journal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the</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American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Geriatrics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Society,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53(7),</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1222-1226.‏</w:t>
      </w:r>
    </w:p>
    <w:p w:rsidR="0087166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Harimurti</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K</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and</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Setiati</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S</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(2007):</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C-reactive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protein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levels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decrease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albumin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levels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hospitalized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elderly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patients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with</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community-acquired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pneumonia.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Act</w:t>
      </w:r>
      <w:r w:rsidR="00D10008" w:rsidRPr="00E256A9">
        <w:rPr>
          <w:rFonts w:ascii="Times New Roman" w:hAnsi="Times New Roman" w:cs="Times New Roman"/>
          <w:sz w:val="20"/>
          <w:szCs w:val="20"/>
        </w:rPr>
        <w:t>a M</w:t>
      </w:r>
      <w:r w:rsidRPr="00E256A9">
        <w:rPr>
          <w:rFonts w:ascii="Times New Roman" w:hAnsi="Times New Roman" w:cs="Times New Roman"/>
          <w:sz w:val="20"/>
          <w:szCs w:val="20"/>
        </w:rPr>
        <w:t>edic</w:t>
      </w:r>
      <w:r w:rsidR="00D10008" w:rsidRPr="00E256A9">
        <w:rPr>
          <w:rFonts w:ascii="Times New Roman" w:hAnsi="Times New Roman" w:cs="Times New Roman"/>
          <w:sz w:val="20"/>
          <w:szCs w:val="20"/>
        </w:rPr>
        <w:t>a I</w:t>
      </w:r>
      <w:r w:rsidRPr="00E256A9">
        <w:rPr>
          <w:rFonts w:ascii="Times New Roman" w:hAnsi="Times New Roman" w:cs="Times New Roman"/>
          <w:sz w:val="20"/>
          <w:szCs w:val="20"/>
        </w:rPr>
        <w:t>ndonesiana;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39(1):</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13-18.</w:t>
      </w:r>
    </w:p>
    <w:p w:rsidR="0087166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shd w:val="clear" w:color="auto" w:fill="FFFFFF"/>
        </w:rPr>
        <w:t>Coelho</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L.,</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Póvoa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P,</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Almeida,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E,</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Fernandes,</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Mealha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R,</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Moreira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P,</w:t>
      </w:r>
      <w:r w:rsidR="00ED5BD8" w:rsidRPr="00E256A9">
        <w:rPr>
          <w:rFonts w:ascii="Times New Roman" w:hAnsi="Times New Roman" w:cs="Times New Roman"/>
          <w:bCs/>
          <w:sz w:val="20"/>
          <w:szCs w:val="20"/>
          <w:shd w:val="clear" w:color="auto" w:fill="FFFFFF"/>
        </w:rPr>
        <w:t xml:space="preserve"> &amp; </w:t>
      </w:r>
      <w:r w:rsidRPr="00E256A9">
        <w:rPr>
          <w:rFonts w:ascii="Times New Roman" w:hAnsi="Times New Roman" w:cs="Times New Roman"/>
          <w:bCs/>
          <w:sz w:val="20"/>
          <w:szCs w:val="20"/>
          <w:shd w:val="clear" w:color="auto" w:fill="FFFFFF"/>
        </w:rPr>
        <w:t>Sabino</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H</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(2007):</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Usefulness</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of</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C-reactive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protein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in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monitoring</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the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severe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community-acquired</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pneumonia</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clinical</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course.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Critical</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Care;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11(4):</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R92.‏</w:t>
      </w:r>
    </w:p>
    <w:p w:rsidR="0087166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Demirdal</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T,</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Sen</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P,</w:t>
      </w:r>
      <w:r w:rsidR="00ED5BD8" w:rsidRPr="00E256A9">
        <w:rPr>
          <w:rFonts w:ascii="Times New Roman" w:hAnsi="Times New Roman" w:cs="Times New Roman"/>
          <w:bCs/>
          <w:sz w:val="20"/>
          <w:szCs w:val="20"/>
        </w:rPr>
        <w:t xml:space="preserve"> &amp; </w:t>
      </w:r>
      <w:r w:rsidRPr="00E256A9">
        <w:rPr>
          <w:rFonts w:ascii="Times New Roman" w:hAnsi="Times New Roman" w:cs="Times New Roman"/>
          <w:bCs/>
          <w:sz w:val="20"/>
          <w:szCs w:val="20"/>
        </w:rPr>
        <w:t>Nemli</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SA</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(2018):</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Diagnostic</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value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procalcitonin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predicting</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bacteremia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Intensive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Care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Unit.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Indian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Journal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Critical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Care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Medicine: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Peer-reviewed,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Official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Publication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Indian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Society</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Critical</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Care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Medicine;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22(2):</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78.</w:t>
      </w:r>
    </w:p>
    <w:p w:rsidR="0087166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Boussekey,</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N.,</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Leroy,</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O.,</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Georges,</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H.,</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Devos,</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P.,</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d’Escrivan,</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T.,</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Guery,</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B.</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et</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al.</w:t>
      </w:r>
      <w:r w:rsidR="00ED5BD8" w:rsidRPr="00E256A9">
        <w:rPr>
          <w:rFonts w:ascii="Times New Roman" w:hAnsi="Times New Roman" w:cs="Times New Roman"/>
          <w:bCs/>
          <w:sz w:val="20"/>
          <w:szCs w:val="20"/>
        </w:rPr>
        <w:t xml:space="preserve"> </w:t>
      </w:r>
      <w:r w:rsidRPr="00E256A9">
        <w:rPr>
          <w:rFonts w:ascii="Times New Roman" w:hAnsi="Times New Roman" w:cs="Times New Roman"/>
          <w:bCs/>
          <w:sz w:val="20"/>
          <w:szCs w:val="20"/>
        </w:rPr>
        <w:t>(2005).</w:t>
      </w:r>
      <w:r w:rsidR="00ED5BD8" w:rsidRPr="00E256A9">
        <w:rPr>
          <w:rFonts w:ascii="Times New Roman" w:hAnsi="Times New Roman" w:cs="Times New Roman"/>
          <w:bCs/>
          <w:sz w:val="20"/>
          <w:szCs w:val="20"/>
        </w:rPr>
        <w:t xml:space="preserve"> </w:t>
      </w:r>
      <w:r w:rsidRPr="00E256A9">
        <w:rPr>
          <w:rFonts w:ascii="Times New Roman" w:hAnsi="Times New Roman" w:cs="Times New Roman"/>
          <w:sz w:val="20"/>
          <w:szCs w:val="20"/>
        </w:rPr>
        <w:t>Diagnostic</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prognostic</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values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of</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admission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procalcitonin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levels</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community–acquired</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pneumonia</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an</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intensive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care</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unit.</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Infection,</w:t>
      </w:r>
      <w:r w:rsidR="00ED5BD8" w:rsidRPr="00E256A9">
        <w:rPr>
          <w:rFonts w:ascii="Times New Roman" w:hAnsi="Times New Roman" w:cs="Times New Roman"/>
          <w:sz w:val="20"/>
          <w:szCs w:val="20"/>
        </w:rPr>
        <w:t xml:space="preserve"> </w:t>
      </w:r>
      <w:r w:rsidRPr="00E256A9">
        <w:rPr>
          <w:rFonts w:ascii="Times New Roman" w:hAnsi="Times New Roman" w:cs="Times New Roman"/>
          <w:i/>
          <w:iCs/>
          <w:sz w:val="20"/>
          <w:szCs w:val="20"/>
        </w:rPr>
        <w:t>33</w:t>
      </w:r>
      <w:r w:rsidRPr="00E256A9">
        <w:rPr>
          <w:rFonts w:ascii="Times New Roman" w:hAnsi="Times New Roman" w:cs="Times New Roman"/>
          <w:sz w:val="20"/>
          <w:szCs w:val="20"/>
        </w:rPr>
        <w:t>(4),</w:t>
      </w:r>
      <w:r w:rsidR="00ED5BD8" w:rsidRPr="00E256A9">
        <w:rPr>
          <w:rFonts w:ascii="Times New Roman" w:hAnsi="Times New Roman" w:cs="Times New Roman"/>
          <w:sz w:val="20"/>
          <w:szCs w:val="20"/>
        </w:rPr>
        <w:t xml:space="preserve"> </w:t>
      </w:r>
      <w:r w:rsidRPr="00E256A9">
        <w:rPr>
          <w:rFonts w:ascii="Times New Roman" w:hAnsi="Times New Roman" w:cs="Times New Roman"/>
          <w:sz w:val="20"/>
          <w:szCs w:val="20"/>
        </w:rPr>
        <w:t>257-263.</w:t>
      </w:r>
    </w:p>
    <w:p w:rsidR="0087166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t>Kayse</w:t>
      </w:r>
      <w:r w:rsidR="00D10008" w:rsidRPr="00E256A9">
        <w:rPr>
          <w:rFonts w:ascii="Times New Roman" w:eastAsia="Times New Roman" w:hAnsi="Times New Roman" w:cs="Times New Roman"/>
          <w:bCs/>
          <w:sz w:val="20"/>
          <w:szCs w:val="20"/>
        </w:rPr>
        <w:t>n G</w:t>
      </w:r>
      <w:r w:rsidRPr="00E256A9">
        <w:rPr>
          <w:rFonts w:ascii="Times New Roman" w:eastAsia="Times New Roman" w:hAnsi="Times New Roman" w:cs="Times New Roman"/>
          <w:bCs/>
          <w:sz w:val="20"/>
          <w:szCs w:val="20"/>
        </w:rPr>
        <w:t>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Rathore</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V,</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Shearer</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GC</w:t>
      </w:r>
      <w:r w:rsidR="00ED5BD8" w:rsidRPr="00E256A9">
        <w:rPr>
          <w:rFonts w:ascii="Times New Roman" w:eastAsia="Times New Roman" w:hAnsi="Times New Roman" w:cs="Times New Roman"/>
          <w:bCs/>
          <w:sz w:val="20"/>
          <w:szCs w:val="20"/>
        </w:rPr>
        <w:t xml:space="preserve"> &amp; </w:t>
      </w:r>
      <w:r w:rsidRPr="00E256A9">
        <w:rPr>
          <w:rFonts w:ascii="Times New Roman" w:eastAsia="Times New Roman" w:hAnsi="Times New Roman" w:cs="Times New Roman"/>
          <w:bCs/>
          <w:sz w:val="20"/>
          <w:szCs w:val="20"/>
        </w:rPr>
        <w:t>Depner</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TA</w:t>
      </w:r>
      <w:r w:rsidR="00ED5BD8" w:rsidRPr="00E256A9">
        <w:rPr>
          <w:rFonts w:ascii="Times New Roman" w:eastAsia="Times New Roman" w:hAnsi="Times New Roman" w:cs="Times New Roman"/>
          <w:bCs/>
          <w:sz w:val="20"/>
          <w:szCs w:val="20"/>
        </w:rPr>
        <w:t xml:space="preserve"> </w:t>
      </w:r>
      <w:r w:rsidRPr="00E256A9">
        <w:rPr>
          <w:rFonts w:ascii="Times New Roman" w:eastAsia="Times New Roman" w:hAnsi="Times New Roman" w:cs="Times New Roman"/>
          <w:bCs/>
          <w:sz w:val="20"/>
          <w:szCs w:val="20"/>
        </w:rPr>
        <w:t>(1997):</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Mechanisms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of</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hypoalbuminemia</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hemodialysis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patients.</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Kidney</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International;</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48(2):</w:t>
      </w:r>
      <w:r w:rsidR="00ED5BD8" w:rsidRPr="00E256A9">
        <w:rPr>
          <w:rFonts w:ascii="Times New Roman" w:eastAsia="Times New Roman" w:hAnsi="Times New Roman" w:cs="Times New Roman"/>
          <w:sz w:val="20"/>
          <w:szCs w:val="20"/>
        </w:rPr>
        <w:t xml:space="preserve"> </w:t>
      </w:r>
      <w:r w:rsidRPr="00E256A9">
        <w:rPr>
          <w:rFonts w:ascii="Times New Roman" w:eastAsia="Times New Roman" w:hAnsi="Times New Roman" w:cs="Times New Roman"/>
          <w:sz w:val="20"/>
          <w:szCs w:val="20"/>
        </w:rPr>
        <w:t>510-516.‏</w:t>
      </w:r>
    </w:p>
    <w:p w:rsidR="00D10008" w:rsidRPr="00E256A9" w:rsidRDefault="00871668"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shd w:val="clear" w:color="auto" w:fill="FFFFFF"/>
        </w:rPr>
        <w:t>Fanali</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G,</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di</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Masi</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Trezza</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V,</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Marino</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Fasano</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M,</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Ascenzi</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P</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bCs/>
          <w:sz w:val="20"/>
          <w:szCs w:val="20"/>
          <w:shd w:val="clear" w:color="auto" w:fill="FFFFFF"/>
        </w:rPr>
        <w:t>(2012):</w:t>
      </w:r>
      <w:r w:rsidR="00ED5BD8" w:rsidRPr="00E256A9">
        <w:rPr>
          <w:rFonts w:ascii="Times New Roman" w:hAnsi="Times New Roman" w:cs="Times New Roman"/>
          <w:bCs/>
          <w:sz w:val="20"/>
          <w:szCs w:val="20"/>
          <w:shd w:val="clear" w:color="auto" w:fill="FFFFFF"/>
        </w:rPr>
        <w:t xml:space="preserve"> </w:t>
      </w:r>
      <w:r w:rsidRPr="00E256A9">
        <w:rPr>
          <w:rFonts w:ascii="Times New Roman" w:hAnsi="Times New Roman" w:cs="Times New Roman"/>
          <w:sz w:val="20"/>
          <w:szCs w:val="20"/>
          <w:shd w:val="clear" w:color="auto" w:fill="FFFFFF"/>
        </w:rPr>
        <w:t>Human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serum</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albumin:</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From</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bench</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to</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bedside.</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Mol</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Aspects</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Med;</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33:</w:t>
      </w:r>
      <w:r w:rsidR="00ED5BD8"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shd w:val="clear" w:color="auto" w:fill="FFFFFF"/>
        </w:rPr>
        <w:t>209–290.</w:t>
      </w:r>
    </w:p>
    <w:p w:rsidR="00756ADC" w:rsidRPr="00E256A9" w:rsidRDefault="00756ADC"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shd w:val="clear" w:color="auto" w:fill="FFFFFF"/>
        </w:rPr>
        <w:t>Mendez DL, Jensen RA, McElroy LA, et al. (2005):</w:t>
      </w:r>
      <w:r w:rsidRPr="00E256A9">
        <w:rPr>
          <w:rFonts w:ascii="Times New Roman" w:hAnsi="Times New Roman" w:cs="Times New Roman"/>
          <w:sz w:val="20"/>
          <w:szCs w:val="20"/>
          <w:shd w:val="clear" w:color="auto" w:fill="FFFFFF"/>
        </w:rPr>
        <w:t xml:space="preserve"> The effect of non-enzymatic glycation on the unfolding of human serum albumin. Arch Bioche</w:t>
      </w:r>
      <w:r w:rsidR="00D10008" w:rsidRPr="00E256A9">
        <w:rPr>
          <w:rFonts w:ascii="Times New Roman" w:hAnsi="Times New Roman" w:cs="Times New Roman"/>
          <w:sz w:val="20"/>
          <w:szCs w:val="20"/>
          <w:shd w:val="clear" w:color="auto" w:fill="FFFFFF"/>
        </w:rPr>
        <w:t>m B</w:t>
      </w:r>
      <w:r w:rsidRPr="00E256A9">
        <w:rPr>
          <w:rFonts w:ascii="Times New Roman" w:hAnsi="Times New Roman" w:cs="Times New Roman"/>
          <w:sz w:val="20"/>
          <w:szCs w:val="20"/>
          <w:shd w:val="clear" w:color="auto" w:fill="FFFFFF"/>
        </w:rPr>
        <w:t>iophys; 444 (2): 92–9.</w:t>
      </w:r>
    </w:p>
    <w:p w:rsidR="00756ADC" w:rsidRPr="00E256A9" w:rsidRDefault="00756ADC"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rPr>
        <w:t xml:space="preserve">Banks, LN, Byrne N, Henari S, Morris S &amp; McElwain JP (2010): </w:t>
      </w:r>
      <w:r w:rsidRPr="00E256A9">
        <w:rPr>
          <w:rFonts w:ascii="Times New Roman" w:hAnsi="Times New Roman" w:cs="Times New Roman"/>
          <w:sz w:val="20"/>
          <w:szCs w:val="20"/>
        </w:rPr>
        <w:t>Nutritional status of elderly trauma patients presenting to a South Dublin Teaching Hospital. European Geriatric Medicine, 1(6), 325-329.‏</w:t>
      </w:r>
    </w:p>
    <w:p w:rsidR="00756ADC" w:rsidRPr="00E256A9" w:rsidRDefault="00756ADC"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shd w:val="clear" w:color="auto" w:fill="FFFFFF"/>
        </w:rPr>
        <w:lastRenderedPageBreak/>
        <w:t>Ferrero-Miliani L, Nielsen OH, Andersen PS, et al. (2007):</w:t>
      </w:r>
      <w:r w:rsidRPr="00E256A9">
        <w:rPr>
          <w:rFonts w:ascii="Times New Roman" w:hAnsi="Times New Roman" w:cs="Times New Roman"/>
          <w:sz w:val="20"/>
          <w:szCs w:val="20"/>
          <w:shd w:val="clear" w:color="auto" w:fill="FFFFFF"/>
        </w:rPr>
        <w:t xml:space="preserve"> </w:t>
      </w:r>
      <w:r w:rsidRPr="00E256A9">
        <w:rPr>
          <w:rFonts w:ascii="Times New Roman" w:hAnsi="Times New Roman" w:cs="Times New Roman"/>
          <w:sz w:val="20"/>
          <w:szCs w:val="20"/>
        </w:rPr>
        <w:t>Chronic inflammation: importance of NOD2 and NALP3 in interleukin-1beta generation</w:t>
      </w:r>
      <w:r w:rsidRPr="00E256A9">
        <w:rPr>
          <w:rFonts w:ascii="Times New Roman" w:hAnsi="Times New Roman" w:cs="Times New Roman"/>
          <w:sz w:val="20"/>
          <w:szCs w:val="20"/>
          <w:shd w:val="clear" w:color="auto" w:fill="FFFFFF"/>
        </w:rPr>
        <w:t xml:space="preserve">. Clin. Exp. Immunol; 147 (2): 227-35. </w:t>
      </w:r>
    </w:p>
    <w:p w:rsidR="00756ADC" w:rsidRPr="00E256A9" w:rsidRDefault="00756ADC"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hAnsi="Times New Roman" w:cs="Times New Roman"/>
          <w:bCs/>
          <w:sz w:val="20"/>
          <w:szCs w:val="20"/>
          <w:lang w:bidi="ar-EG"/>
        </w:rPr>
        <w:t xml:space="preserve">Pierrakos C and Vincent JL (2010): </w:t>
      </w:r>
      <w:r w:rsidRPr="00E256A9">
        <w:rPr>
          <w:rFonts w:ascii="Times New Roman" w:hAnsi="Times New Roman" w:cs="Times New Roman"/>
          <w:sz w:val="20"/>
          <w:szCs w:val="20"/>
          <w:lang w:bidi="ar-EG"/>
        </w:rPr>
        <w:t>Sepsis biomarkers: a review. Crit Care; 14: R15. pmid:20144219.</w:t>
      </w:r>
    </w:p>
    <w:p w:rsidR="00756ADC" w:rsidRPr="00E256A9" w:rsidRDefault="00756ADC" w:rsidP="00D10008">
      <w:pPr>
        <w:pStyle w:val="ListParagraph"/>
        <w:numPr>
          <w:ilvl w:val="0"/>
          <w:numId w:val="39"/>
        </w:numPr>
        <w:snapToGrid w:val="0"/>
        <w:spacing w:after="0" w:line="240" w:lineRule="auto"/>
        <w:ind w:left="425" w:hanging="425"/>
        <w:jc w:val="both"/>
        <w:rPr>
          <w:rFonts w:ascii="Times New Roman" w:hAnsi="Times New Roman" w:cs="Times New Roman"/>
          <w:bCs/>
          <w:sz w:val="20"/>
          <w:szCs w:val="20"/>
          <w:lang w:bidi="ar-EG"/>
        </w:rPr>
      </w:pPr>
      <w:r w:rsidRPr="00E256A9">
        <w:rPr>
          <w:rFonts w:ascii="Times New Roman" w:eastAsia="Times New Roman" w:hAnsi="Times New Roman" w:cs="Times New Roman"/>
          <w:bCs/>
          <w:sz w:val="20"/>
          <w:szCs w:val="20"/>
        </w:rPr>
        <w:lastRenderedPageBreak/>
        <w:t>Müller B, Becker KL, Schächinger H, et al. (2000):</w:t>
      </w:r>
      <w:r w:rsidRPr="00E256A9">
        <w:rPr>
          <w:rFonts w:ascii="Times New Roman" w:eastAsia="Times New Roman" w:hAnsi="Times New Roman" w:cs="Times New Roman"/>
          <w:sz w:val="20"/>
          <w:szCs w:val="20"/>
        </w:rPr>
        <w:t xml:space="preserve"> Calcitonin precursors are reliable markers of sepsis in a medical intensive care unit. Crit Care Med; 28:977–983. </w:t>
      </w:r>
    </w:p>
    <w:p w:rsidR="00756ADC" w:rsidRPr="00E256A9" w:rsidRDefault="00756ADC" w:rsidP="00D10008">
      <w:pPr>
        <w:snapToGrid w:val="0"/>
        <w:spacing w:after="0" w:line="240" w:lineRule="auto"/>
        <w:ind w:left="425" w:hanging="425"/>
        <w:jc w:val="both"/>
        <w:rPr>
          <w:rFonts w:ascii="Times New Roman" w:hAnsi="Times New Roman" w:cs="Times New Roman"/>
          <w:bCs/>
          <w:sz w:val="20"/>
          <w:szCs w:val="20"/>
          <w:lang w:eastAsia="zh-CN" w:bidi="ar-EG"/>
        </w:rPr>
        <w:sectPr w:rsidR="00756ADC" w:rsidRPr="00E256A9" w:rsidSect="00141C3D">
          <w:type w:val="continuous"/>
          <w:pgSz w:w="12240" w:h="15840" w:code="9"/>
          <w:pgMar w:top="1440" w:right="1440" w:bottom="1440" w:left="1440" w:header="720" w:footer="720" w:gutter="0"/>
          <w:cols w:num="2" w:space="550"/>
          <w:docGrid w:linePitch="360"/>
        </w:sectPr>
      </w:pPr>
    </w:p>
    <w:p w:rsidR="00F91D83" w:rsidRPr="00E256A9" w:rsidRDefault="00F91D83" w:rsidP="00D10008">
      <w:pPr>
        <w:snapToGrid w:val="0"/>
        <w:spacing w:after="0" w:line="240" w:lineRule="auto"/>
        <w:ind w:left="425" w:hanging="425"/>
        <w:jc w:val="both"/>
        <w:rPr>
          <w:rFonts w:ascii="Times New Roman" w:hAnsi="Times New Roman" w:cs="Times New Roman"/>
          <w:bCs/>
          <w:sz w:val="20"/>
          <w:szCs w:val="20"/>
          <w:lang w:bidi="ar-EG"/>
        </w:rPr>
      </w:pPr>
    </w:p>
    <w:p w:rsidR="00F91D83" w:rsidRPr="00E256A9" w:rsidRDefault="00F91D83" w:rsidP="00D10008">
      <w:pPr>
        <w:snapToGrid w:val="0"/>
        <w:spacing w:after="0" w:line="240" w:lineRule="auto"/>
        <w:ind w:left="425" w:hanging="425"/>
        <w:jc w:val="both"/>
        <w:rPr>
          <w:rFonts w:ascii="Times New Roman" w:hAnsi="Times New Roman" w:cs="Times New Roman"/>
          <w:bCs/>
          <w:sz w:val="20"/>
          <w:szCs w:val="20"/>
          <w:lang w:bidi="ar-EG"/>
        </w:rPr>
      </w:pPr>
    </w:p>
    <w:p w:rsidR="00ED5BD8" w:rsidRPr="00E256A9" w:rsidRDefault="00ED5BD8" w:rsidP="00756ADC">
      <w:pPr>
        <w:snapToGrid w:val="0"/>
        <w:spacing w:after="0" w:line="240" w:lineRule="auto"/>
        <w:ind w:firstLine="425"/>
        <w:jc w:val="both"/>
        <w:rPr>
          <w:rFonts w:ascii="Times New Roman" w:hAnsi="Times New Roman" w:cs="Times New Roman"/>
          <w:sz w:val="20"/>
          <w:szCs w:val="20"/>
          <w:shd w:val="clear" w:color="auto" w:fill="FFFFFF"/>
        </w:rPr>
      </w:pPr>
    </w:p>
    <w:p w:rsidR="002D4910" w:rsidRPr="00E256A9" w:rsidRDefault="00ED5BD8" w:rsidP="00756ADC">
      <w:pPr>
        <w:snapToGrid w:val="0"/>
        <w:spacing w:after="0" w:line="240" w:lineRule="auto"/>
        <w:jc w:val="both"/>
        <w:rPr>
          <w:rFonts w:ascii="Times New Roman" w:hAnsi="Times New Roman" w:cs="Times New Roman"/>
          <w:sz w:val="20"/>
          <w:szCs w:val="20"/>
          <w:shd w:val="clear" w:color="auto" w:fill="FFFFFF"/>
        </w:rPr>
      </w:pPr>
      <w:r w:rsidRPr="00E256A9">
        <w:rPr>
          <w:rFonts w:ascii="Times New Roman" w:hAnsi="Times New Roman" w:cs="Times New Roman"/>
          <w:sz w:val="20"/>
          <w:szCs w:val="20"/>
          <w:shd w:val="clear" w:color="auto" w:fill="FFFFFF"/>
        </w:rPr>
        <w:t>9/11/2019</w:t>
      </w:r>
    </w:p>
    <w:sectPr w:rsidR="002D4910" w:rsidRPr="00E256A9" w:rsidSect="00141C3D">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B1" w:rsidRDefault="00E173B1" w:rsidP="00010669">
      <w:pPr>
        <w:spacing w:after="0" w:line="240" w:lineRule="auto"/>
      </w:pPr>
      <w:r>
        <w:separator/>
      </w:r>
    </w:p>
  </w:endnote>
  <w:endnote w:type="continuationSeparator" w:id="0">
    <w:p w:rsidR="00E173B1" w:rsidRDefault="00E173B1" w:rsidP="00010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DC" w:rsidRPr="00141C3D" w:rsidRDefault="00802A4D" w:rsidP="00141C3D">
    <w:pPr>
      <w:spacing w:after="0" w:line="240" w:lineRule="auto"/>
      <w:jc w:val="center"/>
      <w:rPr>
        <w:rFonts w:ascii="Times New Roman" w:hAnsi="Times New Roman" w:cs="Times New Roman"/>
        <w:sz w:val="20"/>
      </w:rPr>
    </w:pPr>
    <w:r w:rsidRPr="00141C3D">
      <w:rPr>
        <w:rFonts w:ascii="Times New Roman" w:hAnsi="Times New Roman" w:cs="Times New Roman"/>
        <w:sz w:val="20"/>
      </w:rPr>
      <w:fldChar w:fldCharType="begin"/>
    </w:r>
    <w:r w:rsidR="00141C3D" w:rsidRPr="00141C3D">
      <w:rPr>
        <w:rFonts w:ascii="Times New Roman" w:hAnsi="Times New Roman" w:cs="Times New Roman"/>
        <w:sz w:val="20"/>
      </w:rPr>
      <w:instrText xml:space="preserve"> page </w:instrText>
    </w:r>
    <w:r w:rsidRPr="00141C3D">
      <w:rPr>
        <w:rFonts w:ascii="Times New Roman" w:hAnsi="Times New Roman" w:cs="Times New Roman"/>
        <w:sz w:val="20"/>
      </w:rPr>
      <w:fldChar w:fldCharType="separate"/>
    </w:r>
    <w:r w:rsidR="00E256A9">
      <w:rPr>
        <w:rFonts w:ascii="Times New Roman" w:hAnsi="Times New Roman" w:cs="Times New Roman"/>
        <w:noProof/>
        <w:sz w:val="20"/>
      </w:rPr>
      <w:t>33</w:t>
    </w:r>
    <w:r w:rsidRPr="00141C3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B1" w:rsidRDefault="00E173B1" w:rsidP="00010669">
      <w:pPr>
        <w:spacing w:after="0" w:line="240" w:lineRule="auto"/>
      </w:pPr>
      <w:r>
        <w:separator/>
      </w:r>
    </w:p>
  </w:footnote>
  <w:footnote w:type="continuationSeparator" w:id="0">
    <w:p w:rsidR="00E173B1" w:rsidRDefault="00E173B1" w:rsidP="00010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3D" w:rsidRPr="001E17AF" w:rsidRDefault="001E17AF" w:rsidP="001E17AF">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F" w:rsidRPr="00141C3D" w:rsidRDefault="001E17AF" w:rsidP="00141C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1C3D">
      <w:rPr>
        <w:rFonts w:ascii="Times New Roman" w:hAnsi="Times New Roman" w:cs="Times New Roman" w:hint="eastAsia"/>
        <w:sz w:val="20"/>
        <w:szCs w:val="20"/>
      </w:rPr>
      <w:tab/>
    </w:r>
    <w:r w:rsidRPr="00141C3D">
      <w:rPr>
        <w:rFonts w:ascii="Times New Roman" w:hAnsi="Times New Roman" w:cs="Times New Roman"/>
        <w:sz w:val="20"/>
        <w:szCs w:val="20"/>
      </w:rPr>
      <w:t>New York Science Journal 201</w:t>
    </w:r>
    <w:r w:rsidRPr="00141C3D">
      <w:rPr>
        <w:rFonts w:ascii="Times New Roman" w:hAnsi="Times New Roman" w:cs="Times New Roman" w:hint="eastAsia"/>
        <w:sz w:val="20"/>
        <w:szCs w:val="20"/>
      </w:rPr>
      <w:t>9</w:t>
    </w:r>
    <w:r w:rsidRPr="00141C3D">
      <w:rPr>
        <w:rFonts w:ascii="Times New Roman" w:hAnsi="Times New Roman" w:cs="Times New Roman"/>
        <w:sz w:val="20"/>
        <w:szCs w:val="20"/>
      </w:rPr>
      <w:t>;</w:t>
    </w:r>
    <w:r w:rsidRPr="00141C3D">
      <w:rPr>
        <w:rFonts w:ascii="Times New Roman" w:hAnsi="Times New Roman" w:cs="Times New Roman" w:hint="eastAsia"/>
        <w:sz w:val="20"/>
        <w:szCs w:val="20"/>
      </w:rPr>
      <w:t>12</w:t>
    </w:r>
    <w:r w:rsidRPr="00141C3D">
      <w:rPr>
        <w:rFonts w:ascii="Times New Roman" w:hAnsi="Times New Roman" w:cs="Times New Roman"/>
        <w:sz w:val="20"/>
        <w:szCs w:val="20"/>
      </w:rPr>
      <w:t>(</w:t>
    </w:r>
    <w:r w:rsidRPr="00141C3D">
      <w:rPr>
        <w:rFonts w:ascii="Times New Roman" w:hAnsi="Times New Roman" w:cs="Times New Roman" w:hint="eastAsia"/>
        <w:sz w:val="20"/>
        <w:szCs w:val="20"/>
      </w:rPr>
      <w:t>9</w:t>
    </w:r>
    <w:r w:rsidRPr="00141C3D">
      <w:rPr>
        <w:rFonts w:ascii="Times New Roman" w:hAnsi="Times New Roman" w:cs="Times New Roman"/>
        <w:sz w:val="20"/>
        <w:szCs w:val="20"/>
      </w:rPr>
      <w:t>)</w:t>
    </w:r>
    <w:r w:rsidRPr="00141C3D">
      <w:rPr>
        <w:rFonts w:ascii="Times New Roman" w:hAnsi="Times New Roman" w:cs="Times New Roman"/>
        <w:iCs/>
        <w:sz w:val="20"/>
        <w:szCs w:val="20"/>
      </w:rPr>
      <w:t xml:space="preserve"> </w:t>
    </w:r>
    <w:r w:rsidRPr="00141C3D">
      <w:rPr>
        <w:rFonts w:ascii="Times New Roman" w:hAnsi="Times New Roman" w:cs="Times New Roman" w:hint="eastAsia"/>
        <w:iCs/>
        <w:sz w:val="20"/>
        <w:szCs w:val="20"/>
      </w:rPr>
      <w:tab/>
    </w:r>
    <w:r w:rsidRPr="00141C3D">
      <w:rPr>
        <w:rFonts w:ascii="Times New Roman" w:hAnsi="Times New Roman" w:cs="Times New Roman"/>
        <w:iCs/>
        <w:sz w:val="20"/>
        <w:szCs w:val="20"/>
      </w:rPr>
      <w:t xml:space="preserve">  </w:t>
    </w:r>
    <w:hyperlink r:id="rId1" w:history="1">
      <w:r w:rsidRPr="00141C3D">
        <w:rPr>
          <w:rStyle w:val="Hyperlink"/>
          <w:rFonts w:ascii="Times New Roman" w:hAnsi="Times New Roman" w:cs="Times New Roman"/>
          <w:sz w:val="20"/>
          <w:szCs w:val="20"/>
        </w:rPr>
        <w:t>http://www.sciencepub.net/newyork</w:t>
      </w:r>
    </w:hyperlink>
    <w:r w:rsidRPr="00141C3D">
      <w:rPr>
        <w:rFonts w:ascii="Times New Roman" w:hAnsi="Times New Roman" w:cs="Times New Roman" w:hint="eastAsia"/>
        <w:sz w:val="20"/>
      </w:rPr>
      <w:t xml:space="preserve">   </w:t>
    </w:r>
    <w:r w:rsidRPr="00141C3D">
      <w:rPr>
        <w:rFonts w:ascii="Times New Roman" w:hAnsi="Times New Roman" w:cs="Times New Roman" w:hint="eastAsia"/>
        <w:b/>
        <w:i/>
        <w:color w:val="FF0000"/>
        <w:sz w:val="20"/>
        <w:szCs w:val="20"/>
        <w:bdr w:val="single" w:sz="4" w:space="0" w:color="FF0000"/>
      </w:rPr>
      <w:t>NYJ</w:t>
    </w:r>
  </w:p>
  <w:p w:rsidR="001E17AF" w:rsidRPr="00141C3D" w:rsidRDefault="001E17AF" w:rsidP="00141C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B9D"/>
    <w:multiLevelType w:val="hybridMultilevel"/>
    <w:tmpl w:val="14D48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201982"/>
    <w:multiLevelType w:val="multilevel"/>
    <w:tmpl w:val="6E0A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B3BA1"/>
    <w:multiLevelType w:val="hybridMultilevel"/>
    <w:tmpl w:val="9C8E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15204"/>
    <w:multiLevelType w:val="hybridMultilevel"/>
    <w:tmpl w:val="A3C69266"/>
    <w:lvl w:ilvl="0" w:tplc="8CBEBA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D64F62">
      <w:start w:val="1"/>
      <w:numFmt w:val="bullet"/>
      <w:lvlText w:val="o"/>
      <w:lvlJc w:val="left"/>
      <w:pPr>
        <w:ind w:left="108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7C6E047E">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0D828">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64F62">
      <w:start w:val="1"/>
      <w:numFmt w:val="bullet"/>
      <w:lvlText w:val="o"/>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A61352">
      <w:start w:val="1"/>
      <w:numFmt w:val="bullet"/>
      <w:lvlText w:val="▪"/>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84B7B8">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AB6AA">
      <w:start w:val="1"/>
      <w:numFmt w:val="bullet"/>
      <w:lvlText w:val="o"/>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22ACF6">
      <w:start w:val="1"/>
      <w:numFmt w:val="bullet"/>
      <w:lvlText w:val="▪"/>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4D96CC5"/>
    <w:multiLevelType w:val="hybridMultilevel"/>
    <w:tmpl w:val="1C2070C4"/>
    <w:lvl w:ilvl="0" w:tplc="A6EC4B38">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F660B"/>
    <w:multiLevelType w:val="hybridMultilevel"/>
    <w:tmpl w:val="66E86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85C2841"/>
    <w:multiLevelType w:val="hybridMultilevel"/>
    <w:tmpl w:val="2DAA594C"/>
    <w:lvl w:ilvl="0" w:tplc="11D8C938">
      <w:start w:val="8"/>
      <w:numFmt w:val="decimal"/>
      <w:lvlText w:val="%1."/>
      <w:lvlJc w:val="left"/>
      <w:pPr>
        <w:ind w:left="360" w:hanging="360"/>
      </w:pPr>
      <w:rPr>
        <w:rFonts w:hint="default"/>
        <w:b w:val="0"/>
        <w:bCs w:val="0"/>
        <w:i w:val="0"/>
        <w:i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861FBD"/>
    <w:multiLevelType w:val="hybridMultilevel"/>
    <w:tmpl w:val="BB4E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02473"/>
    <w:multiLevelType w:val="hybridMultilevel"/>
    <w:tmpl w:val="05143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B6177"/>
    <w:multiLevelType w:val="multilevel"/>
    <w:tmpl w:val="CFD24D2E"/>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75B3A"/>
    <w:multiLevelType w:val="hybridMultilevel"/>
    <w:tmpl w:val="E3105986"/>
    <w:lvl w:ilvl="0" w:tplc="79AAE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F4C27"/>
    <w:multiLevelType w:val="hybridMultilevel"/>
    <w:tmpl w:val="8444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05DB4"/>
    <w:multiLevelType w:val="multilevel"/>
    <w:tmpl w:val="20D4CF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6B51A5"/>
    <w:multiLevelType w:val="hybridMultilevel"/>
    <w:tmpl w:val="19D6949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26F70"/>
    <w:multiLevelType w:val="hybridMultilevel"/>
    <w:tmpl w:val="B9BAB86A"/>
    <w:lvl w:ilvl="0" w:tplc="3AE60A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0B6DE1"/>
    <w:multiLevelType w:val="hybridMultilevel"/>
    <w:tmpl w:val="EED2B6AC"/>
    <w:lvl w:ilvl="0" w:tplc="73029D44">
      <w:start w:val="1"/>
      <w:numFmt w:val="bullet"/>
      <w:lvlText w:val=""/>
      <w:lvlJc w:val="left"/>
      <w:pPr>
        <w:ind w:left="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732AD0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6E047E">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0D828">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64F62">
      <w:start w:val="1"/>
      <w:numFmt w:val="bullet"/>
      <w:lvlText w:val="o"/>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A61352">
      <w:start w:val="1"/>
      <w:numFmt w:val="bullet"/>
      <w:lvlText w:val="▪"/>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84B7B8">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AB6AA">
      <w:start w:val="1"/>
      <w:numFmt w:val="bullet"/>
      <w:lvlText w:val="o"/>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22ACF6">
      <w:start w:val="1"/>
      <w:numFmt w:val="bullet"/>
      <w:lvlText w:val="▪"/>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34415313"/>
    <w:multiLevelType w:val="hybridMultilevel"/>
    <w:tmpl w:val="9B488C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AE94A53"/>
    <w:multiLevelType w:val="multilevel"/>
    <w:tmpl w:val="2C7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13FEF"/>
    <w:multiLevelType w:val="hybridMultilevel"/>
    <w:tmpl w:val="C8C4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A0BFA"/>
    <w:multiLevelType w:val="hybridMultilevel"/>
    <w:tmpl w:val="35E049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8777CA"/>
    <w:multiLevelType w:val="hybridMultilevel"/>
    <w:tmpl w:val="C6B8F544"/>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42E464EE"/>
    <w:multiLevelType w:val="hybridMultilevel"/>
    <w:tmpl w:val="ABBAA470"/>
    <w:lvl w:ilvl="0" w:tplc="04090001">
      <w:start w:val="1"/>
      <w:numFmt w:val="bullet"/>
      <w:lvlText w:val=""/>
      <w:lvlJc w:val="left"/>
      <w:pPr>
        <w:ind w:left="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732AD0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6E047E">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0D828">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64F62">
      <w:start w:val="1"/>
      <w:numFmt w:val="bullet"/>
      <w:lvlText w:val="o"/>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A61352">
      <w:start w:val="1"/>
      <w:numFmt w:val="bullet"/>
      <w:lvlText w:val="▪"/>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84B7B8">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AB6AA">
      <w:start w:val="1"/>
      <w:numFmt w:val="bullet"/>
      <w:lvlText w:val="o"/>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22ACF6">
      <w:start w:val="1"/>
      <w:numFmt w:val="bullet"/>
      <w:lvlText w:val="▪"/>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85228A1"/>
    <w:multiLevelType w:val="hybridMultilevel"/>
    <w:tmpl w:val="D0F27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196CC8"/>
    <w:multiLevelType w:val="hybridMultilevel"/>
    <w:tmpl w:val="289E93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064473"/>
    <w:multiLevelType w:val="hybridMultilevel"/>
    <w:tmpl w:val="30D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D35B5"/>
    <w:multiLevelType w:val="hybridMultilevel"/>
    <w:tmpl w:val="27CE9828"/>
    <w:lvl w:ilvl="0" w:tplc="9F620DF2">
      <w:numFmt w:val="bullet"/>
      <w:lvlText w:val="-"/>
      <w:lvlJc w:val="left"/>
      <w:pPr>
        <w:ind w:left="1080" w:hanging="360"/>
      </w:pPr>
      <w:rPr>
        <w:rFonts w:ascii="Arial" w:eastAsia="Times New Roman" w:hAnsi="Arial" w:cs="Arial" w:hint="default"/>
        <w:b w:val="0"/>
        <w:color w:val="2A2A2A"/>
        <w:sz w:val="27"/>
        <w:u w:val="none"/>
      </w:rPr>
    </w:lvl>
    <w:lvl w:ilvl="1" w:tplc="D44041F4">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E37B15"/>
    <w:multiLevelType w:val="multilevel"/>
    <w:tmpl w:val="0ACC7DD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749B1"/>
    <w:multiLevelType w:val="hybridMultilevel"/>
    <w:tmpl w:val="93361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2E1557"/>
    <w:multiLevelType w:val="multilevel"/>
    <w:tmpl w:val="B4D28B9C"/>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33E9"/>
    <w:multiLevelType w:val="hybridMultilevel"/>
    <w:tmpl w:val="71B801C8"/>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0">
    <w:nsid w:val="68374D2E"/>
    <w:multiLevelType w:val="hybridMultilevel"/>
    <w:tmpl w:val="EEF49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86F32AC"/>
    <w:multiLevelType w:val="hybridMultilevel"/>
    <w:tmpl w:val="2EBEA5F2"/>
    <w:lvl w:ilvl="0" w:tplc="CA82608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33DAC"/>
    <w:multiLevelType w:val="hybridMultilevel"/>
    <w:tmpl w:val="BA32900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94945"/>
    <w:multiLevelType w:val="hybridMultilevel"/>
    <w:tmpl w:val="0BB09B40"/>
    <w:lvl w:ilvl="0" w:tplc="9E6C008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273BE0"/>
    <w:multiLevelType w:val="hybridMultilevel"/>
    <w:tmpl w:val="887EE8DA"/>
    <w:lvl w:ilvl="0" w:tplc="9F620DF2">
      <w:numFmt w:val="bullet"/>
      <w:lvlText w:val="-"/>
      <w:lvlJc w:val="left"/>
      <w:pPr>
        <w:ind w:left="720" w:hanging="360"/>
      </w:pPr>
      <w:rPr>
        <w:rFonts w:ascii="Arial" w:eastAsia="Times New Roman" w:hAnsi="Arial" w:cs="Arial" w:hint="default"/>
        <w:b w:val="0"/>
        <w:color w:val="2A2A2A"/>
        <w:sz w:val="27"/>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B037C1"/>
    <w:multiLevelType w:val="hybridMultilevel"/>
    <w:tmpl w:val="4A76DDF0"/>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7CC853FC"/>
    <w:multiLevelType w:val="hybridMultilevel"/>
    <w:tmpl w:val="21F2C4AA"/>
    <w:lvl w:ilvl="0" w:tplc="A8F08FD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FCA49A5"/>
    <w:multiLevelType w:val="hybridMultilevel"/>
    <w:tmpl w:val="9C9CB060"/>
    <w:lvl w:ilvl="0" w:tplc="DCF0A808">
      <w:start w:val="1"/>
      <w:numFmt w:val="decimal"/>
      <w:lvlText w:val="%1."/>
      <w:lvlJc w:val="left"/>
      <w:pPr>
        <w:ind w:left="180" w:hanging="180"/>
      </w:pPr>
      <w:rPr>
        <w:rFonts w:hint="default"/>
        <w:b/>
        <w:bCs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num w:numId="1">
    <w:abstractNumId w:val="36"/>
  </w:num>
  <w:num w:numId="2">
    <w:abstractNumId w:val="14"/>
  </w:num>
  <w:num w:numId="3">
    <w:abstractNumId w:val="25"/>
  </w:num>
  <w:num w:numId="4">
    <w:abstractNumId w:val="17"/>
  </w:num>
  <w:num w:numId="5">
    <w:abstractNumId w:val="26"/>
  </w:num>
  <w:num w:numId="6">
    <w:abstractNumId w:val="12"/>
  </w:num>
  <w:num w:numId="7">
    <w:abstractNumId w:val="28"/>
  </w:num>
  <w:num w:numId="8">
    <w:abstractNumId w:val="9"/>
  </w:num>
  <w:num w:numId="9">
    <w:abstractNumId w:val="8"/>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5"/>
  </w:num>
  <w:num w:numId="15">
    <w:abstractNumId w:val="37"/>
  </w:num>
  <w:num w:numId="16">
    <w:abstractNumId w:val="4"/>
  </w:num>
  <w:num w:numId="17">
    <w:abstractNumId w:val="7"/>
  </w:num>
  <w:num w:numId="18">
    <w:abstractNumId w:val="18"/>
  </w:num>
  <w:num w:numId="19">
    <w:abstractNumId w:val="35"/>
  </w:num>
  <w:num w:numId="20">
    <w:abstractNumId w:val="20"/>
  </w:num>
  <w:num w:numId="21">
    <w:abstractNumId w:val="6"/>
  </w:num>
  <w:num w:numId="22">
    <w:abstractNumId w:val="15"/>
  </w:num>
  <w:num w:numId="23">
    <w:abstractNumId w:val="24"/>
  </w:num>
  <w:num w:numId="24">
    <w:abstractNumId w:val="11"/>
  </w:num>
  <w:num w:numId="25">
    <w:abstractNumId w:val="3"/>
  </w:num>
  <w:num w:numId="26">
    <w:abstractNumId w:val="30"/>
  </w:num>
  <w:num w:numId="27">
    <w:abstractNumId w:val="13"/>
  </w:num>
  <w:num w:numId="28">
    <w:abstractNumId w:val="32"/>
  </w:num>
  <w:num w:numId="29">
    <w:abstractNumId w:val="0"/>
  </w:num>
  <w:num w:numId="30">
    <w:abstractNumId w:val="21"/>
  </w:num>
  <w:num w:numId="31">
    <w:abstractNumId w:val="16"/>
  </w:num>
  <w:num w:numId="32">
    <w:abstractNumId w:val="22"/>
  </w:num>
  <w:num w:numId="33">
    <w:abstractNumId w:val="27"/>
  </w:num>
  <w:num w:numId="34">
    <w:abstractNumId w:val="31"/>
  </w:num>
  <w:num w:numId="35">
    <w:abstractNumId w:val="34"/>
  </w:num>
  <w:num w:numId="36">
    <w:abstractNumId w:val="29"/>
  </w:num>
  <w:num w:numId="37">
    <w:abstractNumId w:val="10"/>
  </w:num>
  <w:num w:numId="38">
    <w:abstractNumId w:val="33"/>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77133D"/>
    <w:rsid w:val="00006DBD"/>
    <w:rsid w:val="00010669"/>
    <w:rsid w:val="0001308C"/>
    <w:rsid w:val="00020F0D"/>
    <w:rsid w:val="00027185"/>
    <w:rsid w:val="00047CA4"/>
    <w:rsid w:val="000518C7"/>
    <w:rsid w:val="00057B16"/>
    <w:rsid w:val="00060E64"/>
    <w:rsid w:val="0006302C"/>
    <w:rsid w:val="000A2B1E"/>
    <w:rsid w:val="000B2B9A"/>
    <w:rsid w:val="000B6568"/>
    <w:rsid w:val="000B7FE3"/>
    <w:rsid w:val="000C1F57"/>
    <w:rsid w:val="000D30AB"/>
    <w:rsid w:val="000D5A46"/>
    <w:rsid w:val="000E4876"/>
    <w:rsid w:val="000F459B"/>
    <w:rsid w:val="000F68CD"/>
    <w:rsid w:val="00100BB7"/>
    <w:rsid w:val="00103DD0"/>
    <w:rsid w:val="00117BDD"/>
    <w:rsid w:val="00141C3D"/>
    <w:rsid w:val="001623A1"/>
    <w:rsid w:val="001640B0"/>
    <w:rsid w:val="00171084"/>
    <w:rsid w:val="00176E92"/>
    <w:rsid w:val="001A42F3"/>
    <w:rsid w:val="001E0AB1"/>
    <w:rsid w:val="001E17AF"/>
    <w:rsid w:val="001F1AB2"/>
    <w:rsid w:val="00200860"/>
    <w:rsid w:val="00204906"/>
    <w:rsid w:val="0021573C"/>
    <w:rsid w:val="00233607"/>
    <w:rsid w:val="0023798D"/>
    <w:rsid w:val="0024333A"/>
    <w:rsid w:val="002526AA"/>
    <w:rsid w:val="00264CEB"/>
    <w:rsid w:val="00272DC5"/>
    <w:rsid w:val="00283789"/>
    <w:rsid w:val="00285E47"/>
    <w:rsid w:val="00291C3A"/>
    <w:rsid w:val="00294E81"/>
    <w:rsid w:val="002A4747"/>
    <w:rsid w:val="002D2915"/>
    <w:rsid w:val="002D32C5"/>
    <w:rsid w:val="002D4910"/>
    <w:rsid w:val="002D6C06"/>
    <w:rsid w:val="002D6DCC"/>
    <w:rsid w:val="002D7B2A"/>
    <w:rsid w:val="002F25EB"/>
    <w:rsid w:val="00324252"/>
    <w:rsid w:val="00324279"/>
    <w:rsid w:val="003257C7"/>
    <w:rsid w:val="003430DA"/>
    <w:rsid w:val="0034744E"/>
    <w:rsid w:val="003629A0"/>
    <w:rsid w:val="00371458"/>
    <w:rsid w:val="0039497E"/>
    <w:rsid w:val="003B3396"/>
    <w:rsid w:val="003C0B3A"/>
    <w:rsid w:val="003D12D1"/>
    <w:rsid w:val="003D2479"/>
    <w:rsid w:val="003D403A"/>
    <w:rsid w:val="003D47D5"/>
    <w:rsid w:val="003E2569"/>
    <w:rsid w:val="003E36FB"/>
    <w:rsid w:val="003E6673"/>
    <w:rsid w:val="003F45E5"/>
    <w:rsid w:val="003F5E37"/>
    <w:rsid w:val="00401192"/>
    <w:rsid w:val="00401667"/>
    <w:rsid w:val="00407631"/>
    <w:rsid w:val="00445B3E"/>
    <w:rsid w:val="00452F76"/>
    <w:rsid w:val="00472621"/>
    <w:rsid w:val="00473032"/>
    <w:rsid w:val="00475708"/>
    <w:rsid w:val="00487163"/>
    <w:rsid w:val="004A3940"/>
    <w:rsid w:val="004B0A6E"/>
    <w:rsid w:val="004B2845"/>
    <w:rsid w:val="004C1CE7"/>
    <w:rsid w:val="004C7BF8"/>
    <w:rsid w:val="004F2128"/>
    <w:rsid w:val="004F62FE"/>
    <w:rsid w:val="00510F20"/>
    <w:rsid w:val="00510F2C"/>
    <w:rsid w:val="00511BD4"/>
    <w:rsid w:val="0052593C"/>
    <w:rsid w:val="00531CDA"/>
    <w:rsid w:val="005445F2"/>
    <w:rsid w:val="00554D4C"/>
    <w:rsid w:val="005C010A"/>
    <w:rsid w:val="005D0797"/>
    <w:rsid w:val="005D1ED0"/>
    <w:rsid w:val="005E4B40"/>
    <w:rsid w:val="00606882"/>
    <w:rsid w:val="00610085"/>
    <w:rsid w:val="00611C94"/>
    <w:rsid w:val="0062290F"/>
    <w:rsid w:val="00623EB7"/>
    <w:rsid w:val="0062663E"/>
    <w:rsid w:val="0062686A"/>
    <w:rsid w:val="0067220A"/>
    <w:rsid w:val="006B0ED4"/>
    <w:rsid w:val="006C0DB1"/>
    <w:rsid w:val="006C126C"/>
    <w:rsid w:val="006C5054"/>
    <w:rsid w:val="006D6BF2"/>
    <w:rsid w:val="006F10AF"/>
    <w:rsid w:val="00701608"/>
    <w:rsid w:val="0071543F"/>
    <w:rsid w:val="00721254"/>
    <w:rsid w:val="00740319"/>
    <w:rsid w:val="00742ABB"/>
    <w:rsid w:val="00750925"/>
    <w:rsid w:val="0075456E"/>
    <w:rsid w:val="00754987"/>
    <w:rsid w:val="00756ADC"/>
    <w:rsid w:val="00770A25"/>
    <w:rsid w:val="00770EC4"/>
    <w:rsid w:val="0077133D"/>
    <w:rsid w:val="00771784"/>
    <w:rsid w:val="007719E1"/>
    <w:rsid w:val="00772DF0"/>
    <w:rsid w:val="00781EFD"/>
    <w:rsid w:val="0078577A"/>
    <w:rsid w:val="00786AB8"/>
    <w:rsid w:val="00796989"/>
    <w:rsid w:val="007B6D8C"/>
    <w:rsid w:val="007D547F"/>
    <w:rsid w:val="007F374E"/>
    <w:rsid w:val="00800D79"/>
    <w:rsid w:val="00802A4D"/>
    <w:rsid w:val="0081107B"/>
    <w:rsid w:val="00814819"/>
    <w:rsid w:val="00814950"/>
    <w:rsid w:val="00821161"/>
    <w:rsid w:val="008271B1"/>
    <w:rsid w:val="00835756"/>
    <w:rsid w:val="0084066E"/>
    <w:rsid w:val="00840FB5"/>
    <w:rsid w:val="008421B1"/>
    <w:rsid w:val="00851B2A"/>
    <w:rsid w:val="00860643"/>
    <w:rsid w:val="00864630"/>
    <w:rsid w:val="008674BF"/>
    <w:rsid w:val="00871668"/>
    <w:rsid w:val="0088684F"/>
    <w:rsid w:val="008A0F52"/>
    <w:rsid w:val="008D058F"/>
    <w:rsid w:val="008D71B9"/>
    <w:rsid w:val="008F2C02"/>
    <w:rsid w:val="008F59DA"/>
    <w:rsid w:val="0092101C"/>
    <w:rsid w:val="00922FAC"/>
    <w:rsid w:val="00960A00"/>
    <w:rsid w:val="0096360E"/>
    <w:rsid w:val="00965873"/>
    <w:rsid w:val="00965AFD"/>
    <w:rsid w:val="00972A89"/>
    <w:rsid w:val="00974B97"/>
    <w:rsid w:val="00975543"/>
    <w:rsid w:val="00981B92"/>
    <w:rsid w:val="009841A5"/>
    <w:rsid w:val="009A3249"/>
    <w:rsid w:val="009A6E4D"/>
    <w:rsid w:val="009A78F1"/>
    <w:rsid w:val="009D5805"/>
    <w:rsid w:val="009F56E6"/>
    <w:rsid w:val="00A2645C"/>
    <w:rsid w:val="00A37FED"/>
    <w:rsid w:val="00A4687D"/>
    <w:rsid w:val="00A52584"/>
    <w:rsid w:val="00A53595"/>
    <w:rsid w:val="00A60731"/>
    <w:rsid w:val="00A74255"/>
    <w:rsid w:val="00A74CD4"/>
    <w:rsid w:val="00A90A27"/>
    <w:rsid w:val="00A96A6D"/>
    <w:rsid w:val="00AA1969"/>
    <w:rsid w:val="00AA3A31"/>
    <w:rsid w:val="00AB791E"/>
    <w:rsid w:val="00AD0C47"/>
    <w:rsid w:val="00AF517A"/>
    <w:rsid w:val="00AF7C22"/>
    <w:rsid w:val="00B04607"/>
    <w:rsid w:val="00B141D2"/>
    <w:rsid w:val="00B20F4B"/>
    <w:rsid w:val="00B21DB3"/>
    <w:rsid w:val="00B35544"/>
    <w:rsid w:val="00B525A4"/>
    <w:rsid w:val="00B65B64"/>
    <w:rsid w:val="00B746F7"/>
    <w:rsid w:val="00B8388C"/>
    <w:rsid w:val="00B96D99"/>
    <w:rsid w:val="00BA3E27"/>
    <w:rsid w:val="00BB4C2B"/>
    <w:rsid w:val="00BC69EA"/>
    <w:rsid w:val="00BD714C"/>
    <w:rsid w:val="00BE2F5B"/>
    <w:rsid w:val="00BF27FF"/>
    <w:rsid w:val="00C050E3"/>
    <w:rsid w:val="00C11C25"/>
    <w:rsid w:val="00C30D46"/>
    <w:rsid w:val="00C443F7"/>
    <w:rsid w:val="00C57072"/>
    <w:rsid w:val="00C572FA"/>
    <w:rsid w:val="00C643D6"/>
    <w:rsid w:val="00C75A2B"/>
    <w:rsid w:val="00CB349E"/>
    <w:rsid w:val="00CB4AF2"/>
    <w:rsid w:val="00CC2999"/>
    <w:rsid w:val="00CD5E91"/>
    <w:rsid w:val="00D05DF3"/>
    <w:rsid w:val="00D07160"/>
    <w:rsid w:val="00D10008"/>
    <w:rsid w:val="00D11589"/>
    <w:rsid w:val="00D24787"/>
    <w:rsid w:val="00D24BE3"/>
    <w:rsid w:val="00D25A24"/>
    <w:rsid w:val="00D311EF"/>
    <w:rsid w:val="00D34BAD"/>
    <w:rsid w:val="00D353C1"/>
    <w:rsid w:val="00D42BB2"/>
    <w:rsid w:val="00D506BA"/>
    <w:rsid w:val="00D54CC1"/>
    <w:rsid w:val="00D902ED"/>
    <w:rsid w:val="00D9449F"/>
    <w:rsid w:val="00D95527"/>
    <w:rsid w:val="00DA5C25"/>
    <w:rsid w:val="00DB7D34"/>
    <w:rsid w:val="00DC2214"/>
    <w:rsid w:val="00DD0B39"/>
    <w:rsid w:val="00DE07F1"/>
    <w:rsid w:val="00DE495E"/>
    <w:rsid w:val="00DF56B3"/>
    <w:rsid w:val="00E173B1"/>
    <w:rsid w:val="00E20B6E"/>
    <w:rsid w:val="00E22B35"/>
    <w:rsid w:val="00E252DF"/>
    <w:rsid w:val="00E256A9"/>
    <w:rsid w:val="00E303E3"/>
    <w:rsid w:val="00E31576"/>
    <w:rsid w:val="00E3176B"/>
    <w:rsid w:val="00E360FB"/>
    <w:rsid w:val="00E47915"/>
    <w:rsid w:val="00E501BF"/>
    <w:rsid w:val="00E548F5"/>
    <w:rsid w:val="00E605E6"/>
    <w:rsid w:val="00E62C50"/>
    <w:rsid w:val="00E63FB9"/>
    <w:rsid w:val="00E80CDD"/>
    <w:rsid w:val="00E936AD"/>
    <w:rsid w:val="00EC0495"/>
    <w:rsid w:val="00EC0867"/>
    <w:rsid w:val="00EC1132"/>
    <w:rsid w:val="00ED2153"/>
    <w:rsid w:val="00ED43CA"/>
    <w:rsid w:val="00ED5BD8"/>
    <w:rsid w:val="00ED77D9"/>
    <w:rsid w:val="00ED7AE6"/>
    <w:rsid w:val="00ED7C94"/>
    <w:rsid w:val="00EE39BD"/>
    <w:rsid w:val="00EF3B42"/>
    <w:rsid w:val="00EF3E0A"/>
    <w:rsid w:val="00EF62A2"/>
    <w:rsid w:val="00EF7672"/>
    <w:rsid w:val="00F30DDC"/>
    <w:rsid w:val="00F449F4"/>
    <w:rsid w:val="00F50636"/>
    <w:rsid w:val="00F60ED2"/>
    <w:rsid w:val="00F725B7"/>
    <w:rsid w:val="00F80C90"/>
    <w:rsid w:val="00F81A6A"/>
    <w:rsid w:val="00F91D83"/>
    <w:rsid w:val="00F97FEB"/>
    <w:rsid w:val="00FA125B"/>
    <w:rsid w:val="00FC3B9C"/>
    <w:rsid w:val="00FC51C4"/>
    <w:rsid w:val="00FE0F9B"/>
    <w:rsid w:val="00FE1B6E"/>
    <w:rsid w:val="00FE5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5"/>
  </w:style>
  <w:style w:type="paragraph" w:styleId="Heading1">
    <w:name w:val="heading 1"/>
    <w:basedOn w:val="Normal"/>
    <w:next w:val="Normal"/>
    <w:link w:val="Heading1Char"/>
    <w:uiPriority w:val="9"/>
    <w:qFormat/>
    <w:rsid w:val="00117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03D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5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459B"/>
    <w:rPr>
      <w:color w:val="0000FF"/>
      <w:u w:val="single"/>
    </w:rPr>
  </w:style>
  <w:style w:type="paragraph" w:styleId="BalloonText">
    <w:name w:val="Balloon Text"/>
    <w:basedOn w:val="Normal"/>
    <w:link w:val="BalloonTextChar"/>
    <w:uiPriority w:val="99"/>
    <w:semiHidden/>
    <w:unhideWhenUsed/>
    <w:rsid w:val="00701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08"/>
    <w:rPr>
      <w:rFonts w:ascii="Tahoma" w:hAnsi="Tahoma" w:cs="Tahoma"/>
      <w:sz w:val="16"/>
      <w:szCs w:val="16"/>
    </w:rPr>
  </w:style>
  <w:style w:type="character" w:customStyle="1" w:styleId="Heading3Char">
    <w:name w:val="Heading 3 Char"/>
    <w:basedOn w:val="DefaultParagraphFont"/>
    <w:link w:val="Heading3"/>
    <w:uiPriority w:val="9"/>
    <w:rsid w:val="00103DD0"/>
    <w:rPr>
      <w:rFonts w:ascii="Times New Roman" w:eastAsia="Times New Roman" w:hAnsi="Times New Roman" w:cs="Times New Roman"/>
      <w:b/>
      <w:bCs/>
      <w:sz w:val="27"/>
      <w:szCs w:val="27"/>
    </w:rPr>
  </w:style>
  <w:style w:type="paragraph" w:styleId="ListParagraph">
    <w:name w:val="List Paragraph"/>
    <w:basedOn w:val="Normal"/>
    <w:uiPriority w:val="34"/>
    <w:qFormat/>
    <w:rsid w:val="00103DD0"/>
    <w:pPr>
      <w:ind w:left="720"/>
      <w:contextualSpacing/>
    </w:pPr>
  </w:style>
  <w:style w:type="character" w:styleId="Emphasis">
    <w:name w:val="Emphasis"/>
    <w:basedOn w:val="DefaultParagraphFont"/>
    <w:uiPriority w:val="20"/>
    <w:qFormat/>
    <w:rsid w:val="00103DD0"/>
    <w:rPr>
      <w:i/>
      <w:iCs/>
    </w:rPr>
  </w:style>
  <w:style w:type="paragraph" w:styleId="Header">
    <w:name w:val="header"/>
    <w:basedOn w:val="Normal"/>
    <w:link w:val="HeaderChar"/>
    <w:uiPriority w:val="99"/>
    <w:unhideWhenUsed/>
    <w:rsid w:val="000106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0669"/>
  </w:style>
  <w:style w:type="paragraph" w:styleId="Footer">
    <w:name w:val="footer"/>
    <w:aliases w:val=" Char"/>
    <w:basedOn w:val="Normal"/>
    <w:link w:val="FooterChar"/>
    <w:uiPriority w:val="99"/>
    <w:unhideWhenUsed/>
    <w:rsid w:val="00010669"/>
    <w:pPr>
      <w:tabs>
        <w:tab w:val="center" w:pos="4153"/>
        <w:tab w:val="right" w:pos="8306"/>
      </w:tabs>
      <w:spacing w:after="0" w:line="240" w:lineRule="auto"/>
    </w:pPr>
  </w:style>
  <w:style w:type="character" w:customStyle="1" w:styleId="FooterChar">
    <w:name w:val="Footer Char"/>
    <w:aliases w:val=" Char Char"/>
    <w:basedOn w:val="DefaultParagraphFont"/>
    <w:link w:val="Footer"/>
    <w:uiPriority w:val="99"/>
    <w:rsid w:val="00010669"/>
  </w:style>
  <w:style w:type="paragraph" w:customStyle="1" w:styleId="p">
    <w:name w:val="p"/>
    <w:basedOn w:val="Normal"/>
    <w:uiPriority w:val="99"/>
    <w:rsid w:val="00010669"/>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117BD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FE5586"/>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unhideWhenUsed/>
    <w:qFormat/>
    <w:rsid w:val="00FE5586"/>
    <w:pPr>
      <w:widowControl w:val="0"/>
      <w:spacing w:after="0" w:line="240" w:lineRule="auto"/>
    </w:pPr>
    <w:rPr>
      <w:rFonts w:ascii="Andalus" w:eastAsia="Andalus" w:hAnsi="Andalus" w:cs="Andalus"/>
      <w:sz w:val="32"/>
      <w:szCs w:val="32"/>
    </w:rPr>
  </w:style>
  <w:style w:type="character" w:customStyle="1" w:styleId="BodyTextChar">
    <w:name w:val="Body Text Char"/>
    <w:basedOn w:val="DefaultParagraphFont"/>
    <w:link w:val="BodyText"/>
    <w:uiPriority w:val="1"/>
    <w:rsid w:val="00FE5586"/>
    <w:rPr>
      <w:rFonts w:ascii="Andalus" w:eastAsia="Andalus" w:hAnsi="Andalus" w:cs="Andalus"/>
      <w:sz w:val="32"/>
      <w:szCs w:val="32"/>
    </w:rPr>
  </w:style>
  <w:style w:type="paragraph" w:styleId="NoSpacing">
    <w:name w:val="No Spacing"/>
    <w:uiPriority w:val="1"/>
    <w:qFormat/>
    <w:rsid w:val="00FE5586"/>
    <w:pPr>
      <w:spacing w:after="0" w:line="240" w:lineRule="auto"/>
    </w:pPr>
  </w:style>
  <w:style w:type="table" w:styleId="TableGrid">
    <w:name w:val="Table Grid"/>
    <w:basedOn w:val="TableNormal"/>
    <w:uiPriority w:val="59"/>
    <w:rsid w:val="00FE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E37"/>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5"/>
  </w:style>
  <w:style w:type="paragraph" w:styleId="Heading1">
    <w:name w:val="heading 1"/>
    <w:basedOn w:val="Normal"/>
    <w:next w:val="Normal"/>
    <w:link w:val="Heading1Char"/>
    <w:uiPriority w:val="9"/>
    <w:qFormat/>
    <w:rsid w:val="00117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03D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5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459B"/>
    <w:rPr>
      <w:color w:val="0000FF"/>
      <w:u w:val="single"/>
    </w:rPr>
  </w:style>
  <w:style w:type="paragraph" w:styleId="BalloonText">
    <w:name w:val="Balloon Text"/>
    <w:basedOn w:val="Normal"/>
    <w:link w:val="BalloonTextChar"/>
    <w:uiPriority w:val="99"/>
    <w:semiHidden/>
    <w:unhideWhenUsed/>
    <w:rsid w:val="00701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08"/>
    <w:rPr>
      <w:rFonts w:ascii="Tahoma" w:hAnsi="Tahoma" w:cs="Tahoma"/>
      <w:sz w:val="16"/>
      <w:szCs w:val="16"/>
    </w:rPr>
  </w:style>
  <w:style w:type="character" w:customStyle="1" w:styleId="Heading3Char">
    <w:name w:val="Heading 3 Char"/>
    <w:basedOn w:val="DefaultParagraphFont"/>
    <w:link w:val="Heading3"/>
    <w:uiPriority w:val="9"/>
    <w:rsid w:val="00103DD0"/>
    <w:rPr>
      <w:rFonts w:ascii="Times New Roman" w:eastAsia="Times New Roman" w:hAnsi="Times New Roman" w:cs="Times New Roman"/>
      <w:b/>
      <w:bCs/>
      <w:sz w:val="27"/>
      <w:szCs w:val="27"/>
    </w:rPr>
  </w:style>
  <w:style w:type="paragraph" w:styleId="ListParagraph">
    <w:name w:val="List Paragraph"/>
    <w:basedOn w:val="Normal"/>
    <w:uiPriority w:val="34"/>
    <w:qFormat/>
    <w:rsid w:val="00103DD0"/>
    <w:pPr>
      <w:ind w:left="720"/>
      <w:contextualSpacing/>
    </w:pPr>
  </w:style>
  <w:style w:type="character" w:styleId="Emphasis">
    <w:name w:val="Emphasis"/>
    <w:basedOn w:val="DefaultParagraphFont"/>
    <w:uiPriority w:val="20"/>
    <w:qFormat/>
    <w:rsid w:val="00103DD0"/>
    <w:rPr>
      <w:i/>
      <w:iCs/>
    </w:rPr>
  </w:style>
  <w:style w:type="paragraph" w:styleId="Header">
    <w:name w:val="header"/>
    <w:basedOn w:val="Normal"/>
    <w:link w:val="HeaderChar"/>
    <w:uiPriority w:val="99"/>
    <w:unhideWhenUsed/>
    <w:rsid w:val="000106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0669"/>
  </w:style>
  <w:style w:type="paragraph" w:styleId="Footer">
    <w:name w:val="footer"/>
    <w:aliases w:val=" Char"/>
    <w:basedOn w:val="Normal"/>
    <w:link w:val="FooterChar"/>
    <w:uiPriority w:val="99"/>
    <w:unhideWhenUsed/>
    <w:rsid w:val="00010669"/>
    <w:pPr>
      <w:tabs>
        <w:tab w:val="center" w:pos="4153"/>
        <w:tab w:val="right" w:pos="8306"/>
      </w:tabs>
      <w:spacing w:after="0" w:line="240" w:lineRule="auto"/>
    </w:pPr>
  </w:style>
  <w:style w:type="character" w:customStyle="1" w:styleId="FooterChar">
    <w:name w:val="Footer Char"/>
    <w:aliases w:val=" Char Char"/>
    <w:basedOn w:val="DefaultParagraphFont"/>
    <w:link w:val="Footer"/>
    <w:uiPriority w:val="99"/>
    <w:rsid w:val="00010669"/>
  </w:style>
  <w:style w:type="paragraph" w:customStyle="1" w:styleId="p">
    <w:name w:val="p"/>
    <w:basedOn w:val="Normal"/>
    <w:uiPriority w:val="99"/>
    <w:rsid w:val="0001066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Heading1Char">
    <w:name w:val="Heading 1 Char"/>
    <w:basedOn w:val="DefaultParagraphFont"/>
    <w:link w:val="Heading1"/>
    <w:uiPriority w:val="9"/>
    <w:rsid w:val="00117BD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FE5586"/>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unhideWhenUsed/>
    <w:qFormat/>
    <w:rsid w:val="00FE5586"/>
    <w:pPr>
      <w:widowControl w:val="0"/>
      <w:spacing w:after="0" w:line="240" w:lineRule="auto"/>
    </w:pPr>
    <w:rPr>
      <w:rFonts w:ascii="Andalus" w:eastAsia="Andalus" w:hAnsi="Andalus" w:cs="Andalus"/>
      <w:sz w:val="32"/>
      <w:szCs w:val="32"/>
    </w:rPr>
  </w:style>
  <w:style w:type="character" w:customStyle="1" w:styleId="BodyTextChar">
    <w:name w:val="Body Text Char"/>
    <w:basedOn w:val="DefaultParagraphFont"/>
    <w:link w:val="BodyText"/>
    <w:uiPriority w:val="1"/>
    <w:rsid w:val="00FE5586"/>
    <w:rPr>
      <w:rFonts w:ascii="Andalus" w:eastAsia="Andalus" w:hAnsi="Andalus" w:cs="Andalus"/>
      <w:sz w:val="32"/>
      <w:szCs w:val="32"/>
    </w:rPr>
  </w:style>
  <w:style w:type="paragraph" w:styleId="NoSpacing">
    <w:name w:val="No Spacing"/>
    <w:uiPriority w:val="1"/>
    <w:qFormat/>
    <w:rsid w:val="00FE5586"/>
    <w:pPr>
      <w:spacing w:after="0" w:line="240" w:lineRule="auto"/>
    </w:pPr>
  </w:style>
  <w:style w:type="table" w:styleId="TableGrid">
    <w:name w:val="Table Grid"/>
    <w:basedOn w:val="TableNormal"/>
    <w:uiPriority w:val="59"/>
    <w:rsid w:val="00FE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E3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903055">
      <w:bodyDiv w:val="1"/>
      <w:marLeft w:val="0"/>
      <w:marRight w:val="0"/>
      <w:marTop w:val="0"/>
      <w:marBottom w:val="0"/>
      <w:divBdr>
        <w:top w:val="none" w:sz="0" w:space="0" w:color="auto"/>
        <w:left w:val="none" w:sz="0" w:space="0" w:color="auto"/>
        <w:bottom w:val="none" w:sz="0" w:space="0" w:color="auto"/>
        <w:right w:val="none" w:sz="0" w:space="0" w:color="auto"/>
      </w:divBdr>
    </w:div>
    <w:div w:id="436486637">
      <w:bodyDiv w:val="1"/>
      <w:marLeft w:val="0"/>
      <w:marRight w:val="0"/>
      <w:marTop w:val="0"/>
      <w:marBottom w:val="0"/>
      <w:divBdr>
        <w:top w:val="none" w:sz="0" w:space="0" w:color="auto"/>
        <w:left w:val="none" w:sz="0" w:space="0" w:color="auto"/>
        <w:bottom w:val="none" w:sz="0" w:space="0" w:color="auto"/>
        <w:right w:val="none" w:sz="0" w:space="0" w:color="auto"/>
      </w:divBdr>
    </w:div>
    <w:div w:id="726683760">
      <w:bodyDiv w:val="1"/>
      <w:marLeft w:val="0"/>
      <w:marRight w:val="0"/>
      <w:marTop w:val="0"/>
      <w:marBottom w:val="0"/>
      <w:divBdr>
        <w:top w:val="none" w:sz="0" w:space="0" w:color="auto"/>
        <w:left w:val="none" w:sz="0" w:space="0" w:color="auto"/>
        <w:bottom w:val="none" w:sz="0" w:space="0" w:color="auto"/>
        <w:right w:val="none" w:sz="0" w:space="0" w:color="auto"/>
      </w:divBdr>
      <w:divsChild>
        <w:div w:id="659845016">
          <w:marLeft w:val="0"/>
          <w:marRight w:val="0"/>
          <w:marTop w:val="0"/>
          <w:marBottom w:val="0"/>
          <w:divBdr>
            <w:top w:val="none" w:sz="0" w:space="0" w:color="auto"/>
            <w:left w:val="none" w:sz="0" w:space="0" w:color="auto"/>
            <w:bottom w:val="none" w:sz="0" w:space="0" w:color="auto"/>
            <w:right w:val="none" w:sz="0" w:space="0" w:color="auto"/>
          </w:divBdr>
        </w:div>
        <w:div w:id="924806753">
          <w:marLeft w:val="0"/>
          <w:marRight w:val="0"/>
          <w:marTop w:val="0"/>
          <w:marBottom w:val="0"/>
          <w:divBdr>
            <w:top w:val="none" w:sz="0" w:space="0" w:color="auto"/>
            <w:left w:val="none" w:sz="0" w:space="0" w:color="auto"/>
            <w:bottom w:val="none" w:sz="0" w:space="0" w:color="auto"/>
            <w:right w:val="none" w:sz="0" w:space="0" w:color="auto"/>
          </w:divBdr>
        </w:div>
        <w:div w:id="2085371469">
          <w:marLeft w:val="0"/>
          <w:marRight w:val="0"/>
          <w:marTop w:val="0"/>
          <w:marBottom w:val="0"/>
          <w:divBdr>
            <w:top w:val="none" w:sz="0" w:space="0" w:color="auto"/>
            <w:left w:val="none" w:sz="0" w:space="0" w:color="auto"/>
            <w:bottom w:val="none" w:sz="0" w:space="0" w:color="auto"/>
            <w:right w:val="none" w:sz="0" w:space="0" w:color="auto"/>
          </w:divBdr>
        </w:div>
      </w:divsChild>
    </w:div>
    <w:div w:id="765688652">
      <w:bodyDiv w:val="1"/>
      <w:marLeft w:val="0"/>
      <w:marRight w:val="0"/>
      <w:marTop w:val="0"/>
      <w:marBottom w:val="0"/>
      <w:divBdr>
        <w:top w:val="none" w:sz="0" w:space="0" w:color="auto"/>
        <w:left w:val="none" w:sz="0" w:space="0" w:color="auto"/>
        <w:bottom w:val="none" w:sz="0" w:space="0" w:color="auto"/>
        <w:right w:val="none" w:sz="0" w:space="0" w:color="auto"/>
      </w:divBdr>
      <w:divsChild>
        <w:div w:id="1573464337">
          <w:marLeft w:val="0"/>
          <w:marRight w:val="0"/>
          <w:marTop w:val="0"/>
          <w:marBottom w:val="0"/>
          <w:divBdr>
            <w:top w:val="none" w:sz="0" w:space="0" w:color="auto"/>
            <w:left w:val="none" w:sz="0" w:space="0" w:color="auto"/>
            <w:bottom w:val="none" w:sz="0" w:space="0" w:color="auto"/>
            <w:right w:val="none" w:sz="0" w:space="0" w:color="auto"/>
          </w:divBdr>
        </w:div>
      </w:divsChild>
    </w:div>
    <w:div w:id="1021929091">
      <w:bodyDiv w:val="1"/>
      <w:marLeft w:val="0"/>
      <w:marRight w:val="0"/>
      <w:marTop w:val="0"/>
      <w:marBottom w:val="0"/>
      <w:divBdr>
        <w:top w:val="none" w:sz="0" w:space="0" w:color="auto"/>
        <w:left w:val="none" w:sz="0" w:space="0" w:color="auto"/>
        <w:bottom w:val="none" w:sz="0" w:space="0" w:color="auto"/>
        <w:right w:val="none" w:sz="0" w:space="0" w:color="auto"/>
      </w:divBdr>
    </w:div>
    <w:div w:id="1128277375">
      <w:bodyDiv w:val="1"/>
      <w:marLeft w:val="0"/>
      <w:marRight w:val="0"/>
      <w:marTop w:val="0"/>
      <w:marBottom w:val="0"/>
      <w:divBdr>
        <w:top w:val="none" w:sz="0" w:space="0" w:color="auto"/>
        <w:left w:val="none" w:sz="0" w:space="0" w:color="auto"/>
        <w:bottom w:val="none" w:sz="0" w:space="0" w:color="auto"/>
        <w:right w:val="none" w:sz="0" w:space="0" w:color="auto"/>
      </w:divBdr>
    </w:div>
    <w:div w:id="1967076132">
      <w:bodyDiv w:val="1"/>
      <w:marLeft w:val="0"/>
      <w:marRight w:val="0"/>
      <w:marTop w:val="0"/>
      <w:marBottom w:val="0"/>
      <w:divBdr>
        <w:top w:val="none" w:sz="0" w:space="0" w:color="auto"/>
        <w:left w:val="none" w:sz="0" w:space="0" w:color="auto"/>
        <w:bottom w:val="none" w:sz="0" w:space="0" w:color="auto"/>
        <w:right w:val="none" w:sz="0" w:space="0" w:color="auto"/>
      </w:divBdr>
      <w:divsChild>
        <w:div w:id="1019550201">
          <w:marLeft w:val="0"/>
          <w:marRight w:val="0"/>
          <w:marTop w:val="0"/>
          <w:marBottom w:val="0"/>
          <w:divBdr>
            <w:top w:val="none" w:sz="0" w:space="0" w:color="auto"/>
            <w:left w:val="none" w:sz="0" w:space="0" w:color="auto"/>
            <w:bottom w:val="none" w:sz="0" w:space="0" w:color="auto"/>
            <w:right w:val="none" w:sz="0" w:space="0" w:color="auto"/>
          </w:divBdr>
        </w:div>
      </w:divsChild>
    </w:div>
    <w:div w:id="2132243012">
      <w:bodyDiv w:val="1"/>
      <w:marLeft w:val="0"/>
      <w:marRight w:val="0"/>
      <w:marTop w:val="0"/>
      <w:marBottom w:val="0"/>
      <w:divBdr>
        <w:top w:val="none" w:sz="0" w:space="0" w:color="auto"/>
        <w:left w:val="none" w:sz="0" w:space="0" w:color="auto"/>
        <w:bottom w:val="none" w:sz="0" w:space="0" w:color="auto"/>
        <w:right w:val="none" w:sz="0" w:space="0" w:color="auto"/>
      </w:divBdr>
      <w:divsChild>
        <w:div w:id="13672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afouad633@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0919.0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en.wikipedia.org/wiki/Reference_ra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E484-045D-46CF-8CAE-268046F6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6059</Words>
  <Characters>34540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2019-09-10T10:37:00Z</cp:lastPrinted>
  <dcterms:created xsi:type="dcterms:W3CDTF">2019-09-14T06:49:00Z</dcterms:created>
  <dcterms:modified xsi:type="dcterms:W3CDTF">2019-09-15T01:33:00Z</dcterms:modified>
</cp:coreProperties>
</file>