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99" w:rsidRPr="00B72859" w:rsidRDefault="007F2799" w:rsidP="007F2799">
      <w:pPr>
        <w:snapToGrid w:val="0"/>
        <w:spacing w:after="0" w:line="240" w:lineRule="auto"/>
        <w:contextualSpacing/>
        <w:jc w:val="center"/>
        <w:rPr>
          <w:rFonts w:ascii="Times New Roman" w:eastAsiaTheme="minorEastAsia" w:hAnsi="Times New Roman" w:cs="Times New Roman"/>
          <w:b/>
          <w:color w:val="000000" w:themeColor="text1"/>
          <w:sz w:val="20"/>
          <w:szCs w:val="20"/>
          <w:lang w:eastAsia="zh-CN"/>
        </w:rPr>
      </w:pPr>
    </w:p>
    <w:p w:rsidR="00F10AA0" w:rsidRPr="00B72859" w:rsidRDefault="002C71C9" w:rsidP="007F2799">
      <w:pPr>
        <w:snapToGrid w:val="0"/>
        <w:spacing w:after="0" w:line="240" w:lineRule="auto"/>
        <w:contextualSpacing/>
        <w:jc w:val="center"/>
        <w:rPr>
          <w:rFonts w:ascii="Times New Roman" w:hAnsi="Times New Roman" w:cs="Times New Roman"/>
          <w:b/>
          <w:color w:val="000000" w:themeColor="text1"/>
          <w:sz w:val="20"/>
          <w:szCs w:val="20"/>
        </w:rPr>
      </w:pPr>
      <w:r w:rsidRPr="00B72859">
        <w:rPr>
          <w:rFonts w:ascii="Times New Roman" w:hAnsi="Times New Roman" w:cs="Times New Roman"/>
          <w:b/>
          <w:color w:val="000000" w:themeColor="text1"/>
          <w:sz w:val="20"/>
          <w:szCs w:val="20"/>
        </w:rPr>
        <w:t>Seropositivity of Hepatitis B Virus Among Intending Male Blood Donors in Port Harcourt, Rivers State</w:t>
      </w:r>
      <w:r w:rsidR="004A2AD6" w:rsidRPr="00B72859">
        <w:rPr>
          <w:rFonts w:ascii="Times New Roman" w:hAnsi="Times New Roman" w:cs="Times New Roman"/>
          <w:b/>
          <w:color w:val="000000" w:themeColor="text1"/>
          <w:sz w:val="20"/>
          <w:szCs w:val="20"/>
        </w:rPr>
        <w:t>, Nigeria</w:t>
      </w:r>
    </w:p>
    <w:p w:rsidR="00F10AA0" w:rsidRPr="00B72859" w:rsidRDefault="00F10AA0" w:rsidP="007F2799">
      <w:pPr>
        <w:snapToGrid w:val="0"/>
        <w:spacing w:after="0" w:line="240" w:lineRule="auto"/>
        <w:contextualSpacing/>
        <w:jc w:val="center"/>
        <w:rPr>
          <w:rFonts w:ascii="Times New Roman" w:hAnsi="Times New Roman" w:cs="Times New Roman"/>
          <w:b/>
          <w:color w:val="000000" w:themeColor="text1"/>
          <w:sz w:val="20"/>
          <w:szCs w:val="20"/>
        </w:rPr>
      </w:pPr>
    </w:p>
    <w:p w:rsidR="00F10AA0" w:rsidRPr="00B72859" w:rsidRDefault="006B2764" w:rsidP="007F2799">
      <w:pPr>
        <w:snapToGrid w:val="0"/>
        <w:spacing w:after="0" w:line="240" w:lineRule="auto"/>
        <w:contextualSpacing/>
        <w:jc w:val="center"/>
        <w:rPr>
          <w:rFonts w:ascii="Times New Roman" w:hAnsi="Times New Roman" w:cs="Times New Roman"/>
          <w:sz w:val="20"/>
          <w:szCs w:val="20"/>
        </w:rPr>
      </w:pPr>
      <w:r w:rsidRPr="00B72859">
        <w:rPr>
          <w:rFonts w:ascii="Times New Roman" w:hAnsi="Times New Roman" w:cs="Times New Roman"/>
          <w:color w:val="000000"/>
          <w:sz w:val="20"/>
          <w:szCs w:val="20"/>
        </w:rPr>
        <w:t>Adewuyi SA, Frank-Peterside N, Otokunefor K, Abeni BA, Cookey TI, Okonko IO</w:t>
      </w:r>
    </w:p>
    <w:p w:rsidR="00F10AA0" w:rsidRPr="00B72859" w:rsidRDefault="00F10AA0" w:rsidP="007F2799">
      <w:pPr>
        <w:snapToGrid w:val="0"/>
        <w:spacing w:after="0" w:line="240" w:lineRule="auto"/>
        <w:contextualSpacing/>
        <w:jc w:val="center"/>
        <w:rPr>
          <w:rFonts w:ascii="Times New Roman" w:hAnsi="Times New Roman" w:cs="Times New Roman"/>
          <w:b/>
          <w:sz w:val="20"/>
          <w:szCs w:val="20"/>
        </w:rPr>
      </w:pPr>
    </w:p>
    <w:p w:rsidR="00592C0A" w:rsidRPr="00B72859" w:rsidRDefault="00592C0A" w:rsidP="007F2799">
      <w:pPr>
        <w:snapToGrid w:val="0"/>
        <w:spacing w:after="0" w:line="240" w:lineRule="auto"/>
        <w:contextualSpacing/>
        <w:jc w:val="center"/>
        <w:rPr>
          <w:rFonts w:ascii="Times New Roman" w:hAnsi="Times New Roman" w:cs="Times New Roman"/>
          <w:sz w:val="20"/>
          <w:szCs w:val="20"/>
        </w:rPr>
      </w:pPr>
      <w:r w:rsidRPr="00B72859">
        <w:rPr>
          <w:rFonts w:ascii="Times New Roman" w:hAnsi="Times New Roman" w:cs="Times New Roman"/>
          <w:sz w:val="20"/>
          <w:szCs w:val="20"/>
        </w:rPr>
        <w:t>Virus Research Unit, Department of Microbiology, University of Port Harcourt, East-West Road, P.M.B. 5323, Choba, Port Harcourt, Rivers State, Nigeria;</w:t>
      </w:r>
    </w:p>
    <w:p w:rsidR="00F10AA0" w:rsidRPr="00B72859" w:rsidRDefault="00592C0A" w:rsidP="007F2799">
      <w:pPr>
        <w:snapToGrid w:val="0"/>
        <w:spacing w:after="0" w:line="240" w:lineRule="auto"/>
        <w:contextualSpacing/>
        <w:jc w:val="center"/>
        <w:rPr>
          <w:rFonts w:ascii="Times New Roman" w:eastAsiaTheme="minorEastAsia" w:hAnsi="Times New Roman" w:cs="Times New Roman"/>
          <w:sz w:val="20"/>
          <w:szCs w:val="20"/>
          <w:lang w:val="en-US" w:eastAsia="zh-CN"/>
        </w:rPr>
      </w:pPr>
      <w:r w:rsidRPr="00B72859">
        <w:rPr>
          <w:rFonts w:ascii="Times New Roman" w:hAnsi="Times New Roman" w:cs="Times New Roman"/>
          <w:sz w:val="20"/>
          <w:szCs w:val="20"/>
          <w:lang w:val="en-US"/>
        </w:rPr>
        <w:t xml:space="preserve">E-mail: </w:t>
      </w:r>
      <w:hyperlink r:id="rId8" w:history="1">
        <w:r w:rsidRPr="00B72859">
          <w:rPr>
            <w:rStyle w:val="Hyperlink"/>
            <w:rFonts w:ascii="Times New Roman" w:hAnsi="Times New Roman"/>
            <w:sz w:val="20"/>
            <w:szCs w:val="20"/>
            <w:lang w:val="en-US"/>
          </w:rPr>
          <w:t>iheanyi.okonko@uniport.edu.ng</w:t>
        </w:r>
      </w:hyperlink>
      <w:r w:rsidRPr="00B72859">
        <w:rPr>
          <w:rFonts w:ascii="Times New Roman" w:hAnsi="Times New Roman" w:cs="Times New Roman"/>
          <w:sz w:val="20"/>
          <w:szCs w:val="20"/>
          <w:lang w:val="en-US"/>
        </w:rPr>
        <w:t>; Tel: +2348035380891</w:t>
      </w:r>
    </w:p>
    <w:p w:rsidR="00F10AA0" w:rsidRPr="00B72859" w:rsidRDefault="00F10AA0" w:rsidP="007F2799">
      <w:pPr>
        <w:snapToGrid w:val="0"/>
        <w:spacing w:after="0" w:line="240" w:lineRule="auto"/>
        <w:contextualSpacing/>
        <w:jc w:val="center"/>
        <w:rPr>
          <w:rFonts w:ascii="Times New Roman" w:eastAsiaTheme="minorEastAsia" w:hAnsi="Times New Roman" w:cs="Times New Roman"/>
          <w:b/>
          <w:sz w:val="20"/>
          <w:szCs w:val="20"/>
          <w:lang w:val="en-US" w:eastAsia="zh-CN"/>
        </w:rPr>
      </w:pPr>
    </w:p>
    <w:p w:rsidR="00F10AA0" w:rsidRPr="00B72859" w:rsidRDefault="00076A30" w:rsidP="007F2799">
      <w:pPr>
        <w:snapToGrid w:val="0"/>
        <w:spacing w:after="0" w:line="240" w:lineRule="auto"/>
        <w:contextualSpacing/>
        <w:jc w:val="both"/>
        <w:rPr>
          <w:rFonts w:ascii="Times New Roman" w:hAnsi="Times New Roman" w:cs="Times New Roman"/>
          <w:color w:val="000000" w:themeColor="text1"/>
          <w:sz w:val="20"/>
          <w:szCs w:val="20"/>
        </w:rPr>
      </w:pPr>
      <w:r w:rsidRPr="00B72859">
        <w:rPr>
          <w:rFonts w:ascii="Times New Roman" w:hAnsi="Times New Roman" w:cs="Times New Roman"/>
          <w:b/>
          <w:color w:val="000000" w:themeColor="text1"/>
          <w:sz w:val="20"/>
          <w:szCs w:val="20"/>
        </w:rPr>
        <w:t>Abstract</w:t>
      </w:r>
      <w:r w:rsidR="007F2799" w:rsidRPr="00B72859">
        <w:rPr>
          <w:rFonts w:ascii="Times New Roman" w:hAnsi="Times New Roman" w:cs="Times New Roman"/>
          <w:b/>
          <w:color w:val="000000" w:themeColor="text1"/>
          <w:sz w:val="20"/>
          <w:szCs w:val="20"/>
        </w:rPr>
        <w:t xml:space="preserve">: </w:t>
      </w:r>
      <w:r w:rsidR="007F2799" w:rsidRPr="00B72859">
        <w:rPr>
          <w:rFonts w:ascii="Times New Roman" w:hAnsi="Times New Roman" w:cs="Times New Roman"/>
          <w:color w:val="000000" w:themeColor="text1"/>
          <w:sz w:val="20"/>
          <w:szCs w:val="20"/>
        </w:rPr>
        <w:t>T</w:t>
      </w:r>
      <w:r w:rsidR="00160E2F" w:rsidRPr="00B72859">
        <w:rPr>
          <w:rFonts w:ascii="Times New Roman" w:hAnsi="Times New Roman" w:cs="Times New Roman"/>
          <w:color w:val="000000" w:themeColor="text1"/>
          <w:sz w:val="20"/>
          <w:szCs w:val="20"/>
        </w:rPr>
        <w:t xml:space="preserve">he objective of this study was to determine the prevalence </w:t>
      </w:r>
      <w:r w:rsidR="001104D4" w:rsidRPr="00B72859">
        <w:rPr>
          <w:rFonts w:ascii="Times New Roman" w:hAnsi="Times New Roman" w:cs="Times New Roman"/>
          <w:color w:val="000000" w:themeColor="text1"/>
          <w:sz w:val="20"/>
          <w:szCs w:val="20"/>
        </w:rPr>
        <w:t xml:space="preserve">of </w:t>
      </w:r>
      <w:r w:rsidR="00160E2F" w:rsidRPr="00B72859">
        <w:rPr>
          <w:rFonts w:ascii="Times New Roman" w:hAnsi="Times New Roman" w:cs="Times New Roman"/>
          <w:color w:val="000000" w:themeColor="text1"/>
          <w:sz w:val="20"/>
          <w:szCs w:val="20"/>
        </w:rPr>
        <w:t>HBV among intending male blood donors in some Hospitals (private and government) in Port Harcourt Town, Rivers state. A total of 182 blood sera were screened for the presence of antibodies to HBV using Monolisa HBsA</w:t>
      </w:r>
      <w:r w:rsidR="004A2AD6" w:rsidRPr="00B72859">
        <w:rPr>
          <w:rFonts w:ascii="Times New Roman" w:hAnsi="Times New Roman" w:cs="Times New Roman"/>
          <w:color w:val="000000" w:themeColor="text1"/>
          <w:sz w:val="20"/>
          <w:szCs w:val="20"/>
        </w:rPr>
        <w:t>g</w:t>
      </w:r>
      <w:r w:rsidR="00160E2F" w:rsidRPr="00B72859">
        <w:rPr>
          <w:rFonts w:ascii="Times New Roman" w:hAnsi="Times New Roman" w:cs="Times New Roman"/>
          <w:color w:val="000000" w:themeColor="text1"/>
          <w:sz w:val="20"/>
          <w:szCs w:val="20"/>
        </w:rPr>
        <w:t xml:space="preserve"> ULTRA Enzyme Immunoassay (EIA) technique. Blood donors were evaluated for the presence of Anti- HBsAg </w:t>
      </w:r>
      <w:r w:rsidR="001104D4" w:rsidRPr="00B72859">
        <w:rPr>
          <w:rFonts w:ascii="Times New Roman" w:hAnsi="Times New Roman" w:cs="Times New Roman"/>
          <w:color w:val="000000" w:themeColor="text1"/>
          <w:sz w:val="20"/>
          <w:szCs w:val="20"/>
        </w:rPr>
        <w:t xml:space="preserve">and </w:t>
      </w:r>
      <w:r w:rsidR="00160E2F" w:rsidRPr="00B72859">
        <w:rPr>
          <w:rFonts w:ascii="Times New Roman" w:hAnsi="Times New Roman" w:cs="Times New Roman"/>
          <w:color w:val="000000" w:themeColor="text1"/>
          <w:sz w:val="20"/>
          <w:szCs w:val="20"/>
        </w:rPr>
        <w:t xml:space="preserve">the effect of some demographic factors on the prevalence. The overall seroprevalence of HBV </w:t>
      </w:r>
      <w:r w:rsidR="001104D4" w:rsidRPr="00B72859">
        <w:rPr>
          <w:rFonts w:ascii="Times New Roman" w:hAnsi="Times New Roman" w:cs="Times New Roman"/>
          <w:color w:val="000000" w:themeColor="text1"/>
          <w:sz w:val="20"/>
          <w:szCs w:val="20"/>
        </w:rPr>
        <w:t xml:space="preserve">was </w:t>
      </w:r>
      <w:r w:rsidR="00160E2F" w:rsidRPr="00B72859">
        <w:rPr>
          <w:rFonts w:ascii="Times New Roman" w:hAnsi="Times New Roman" w:cs="Times New Roman"/>
          <w:color w:val="000000" w:themeColor="text1"/>
          <w:sz w:val="20"/>
          <w:szCs w:val="20"/>
        </w:rPr>
        <w:t>34.6%, wit</w:t>
      </w:r>
      <w:r w:rsidR="001104D4" w:rsidRPr="00B72859">
        <w:rPr>
          <w:rFonts w:ascii="Times New Roman" w:hAnsi="Times New Roman" w:cs="Times New Roman"/>
          <w:color w:val="000000" w:themeColor="text1"/>
          <w:sz w:val="20"/>
          <w:szCs w:val="20"/>
        </w:rPr>
        <w:t xml:space="preserve">h a seronegativity of 65.4%. </w:t>
      </w:r>
      <w:r w:rsidR="00160E2F" w:rsidRPr="00B72859">
        <w:rPr>
          <w:rFonts w:ascii="Times New Roman" w:hAnsi="Times New Roman" w:cs="Times New Roman"/>
          <w:color w:val="000000" w:themeColor="text1"/>
          <w:sz w:val="20"/>
          <w:szCs w:val="20"/>
        </w:rPr>
        <w:t xml:space="preserve">There was a significant relationship (p &lt;0.05) between </w:t>
      </w:r>
      <w:r w:rsidR="00712113" w:rsidRPr="00B72859">
        <w:rPr>
          <w:rFonts w:ascii="Times New Roman" w:hAnsi="Times New Roman" w:cs="Times New Roman"/>
          <w:color w:val="000000" w:themeColor="text1"/>
          <w:sz w:val="20"/>
          <w:szCs w:val="20"/>
        </w:rPr>
        <w:t xml:space="preserve">the </w:t>
      </w:r>
      <w:r w:rsidR="00160E2F" w:rsidRPr="00B72859">
        <w:rPr>
          <w:rFonts w:ascii="Times New Roman" w:hAnsi="Times New Roman" w:cs="Times New Roman"/>
          <w:color w:val="000000" w:themeColor="text1"/>
          <w:sz w:val="20"/>
          <w:szCs w:val="20"/>
        </w:rPr>
        <w:t>seroprevalence of</w:t>
      </w:r>
      <w:r w:rsidR="001104D4" w:rsidRPr="00B72859">
        <w:rPr>
          <w:rFonts w:ascii="Times New Roman" w:hAnsi="Times New Roman" w:cs="Times New Roman"/>
          <w:color w:val="000000" w:themeColor="text1"/>
          <w:sz w:val="20"/>
          <w:szCs w:val="20"/>
        </w:rPr>
        <w:t xml:space="preserve"> the overall</w:t>
      </w:r>
      <w:r w:rsidR="00160E2F" w:rsidRPr="00B72859">
        <w:rPr>
          <w:rFonts w:ascii="Times New Roman" w:hAnsi="Times New Roman" w:cs="Times New Roman"/>
          <w:color w:val="000000" w:themeColor="text1"/>
          <w:sz w:val="20"/>
          <w:szCs w:val="20"/>
        </w:rPr>
        <w:t xml:space="preserve"> HBV with respect to education</w:t>
      </w:r>
      <w:r w:rsidR="008D2D72" w:rsidRPr="00B72859">
        <w:rPr>
          <w:rFonts w:ascii="Times New Roman" w:hAnsi="Times New Roman" w:cs="Times New Roman"/>
          <w:color w:val="000000" w:themeColor="text1"/>
          <w:sz w:val="20"/>
          <w:szCs w:val="20"/>
        </w:rPr>
        <w:t xml:space="preserve"> (p-</w:t>
      </w:r>
      <w:r w:rsidR="00160E2F" w:rsidRPr="00B72859">
        <w:rPr>
          <w:rFonts w:ascii="Times New Roman" w:hAnsi="Times New Roman" w:cs="Times New Roman"/>
          <w:color w:val="000000" w:themeColor="text1"/>
          <w:sz w:val="20"/>
          <w:szCs w:val="20"/>
        </w:rPr>
        <w:t>0.025</w:t>
      </w:r>
      <w:r w:rsidR="008D2D72" w:rsidRPr="00B72859">
        <w:rPr>
          <w:rFonts w:ascii="Times New Roman" w:hAnsi="Times New Roman" w:cs="Times New Roman"/>
          <w:color w:val="000000" w:themeColor="text1"/>
          <w:sz w:val="20"/>
          <w:szCs w:val="20"/>
        </w:rPr>
        <w:t>)</w:t>
      </w:r>
      <w:r w:rsidR="00160E2F" w:rsidRPr="00B72859">
        <w:rPr>
          <w:rFonts w:ascii="Times New Roman" w:hAnsi="Times New Roman" w:cs="Times New Roman"/>
          <w:color w:val="000000" w:themeColor="text1"/>
          <w:sz w:val="20"/>
          <w:szCs w:val="20"/>
        </w:rPr>
        <w:t>.</w:t>
      </w:r>
      <w:r w:rsidR="001104D4" w:rsidRPr="00B72859">
        <w:rPr>
          <w:rFonts w:ascii="Times New Roman" w:hAnsi="Times New Roman" w:cs="Times New Roman"/>
          <w:color w:val="000000" w:themeColor="text1"/>
          <w:sz w:val="20"/>
          <w:szCs w:val="20"/>
        </w:rPr>
        <w:t xml:space="preserve"> A sum of 66.7% of HBV positive was among the donors within the age group of 31-40 years old</w:t>
      </w:r>
      <w:r w:rsidR="008D2D72" w:rsidRPr="00B72859">
        <w:rPr>
          <w:rFonts w:ascii="Times New Roman" w:hAnsi="Times New Roman" w:cs="Times New Roman"/>
          <w:color w:val="000000" w:themeColor="text1"/>
          <w:sz w:val="20"/>
          <w:szCs w:val="20"/>
        </w:rPr>
        <w:t xml:space="preserve"> (p</w:t>
      </w:r>
      <w:r w:rsidR="006B2764" w:rsidRPr="00B72859">
        <w:rPr>
          <w:rFonts w:ascii="Times New Roman" w:hAnsi="Times New Roman" w:cs="Times New Roman"/>
          <w:color w:val="000000" w:themeColor="text1"/>
          <w:sz w:val="20"/>
          <w:szCs w:val="20"/>
        </w:rPr>
        <w:t>=</w:t>
      </w:r>
      <w:r w:rsidR="008D2D72" w:rsidRPr="00B72859">
        <w:rPr>
          <w:rFonts w:ascii="Times New Roman" w:hAnsi="Times New Roman" w:cs="Times New Roman"/>
          <w:color w:val="000000" w:themeColor="text1"/>
          <w:sz w:val="20"/>
          <w:szCs w:val="20"/>
        </w:rPr>
        <w:t>0.176)</w:t>
      </w:r>
      <w:r w:rsidR="007F2799" w:rsidRPr="00B72859">
        <w:rPr>
          <w:rFonts w:ascii="Times New Roman" w:hAnsi="Times New Roman" w:cs="Times New Roman"/>
          <w:color w:val="000000" w:themeColor="text1"/>
          <w:sz w:val="20"/>
          <w:szCs w:val="20"/>
        </w:rPr>
        <w:t>. U</w:t>
      </w:r>
      <w:r w:rsidR="008D2D72" w:rsidRPr="00B72859">
        <w:rPr>
          <w:rFonts w:ascii="Times New Roman" w:hAnsi="Times New Roman" w:cs="Times New Roman"/>
          <w:color w:val="000000" w:themeColor="text1"/>
          <w:sz w:val="20"/>
          <w:szCs w:val="20"/>
        </w:rPr>
        <w:t>niversity graduates were</w:t>
      </w:r>
      <w:r w:rsidR="001104D4" w:rsidRPr="00B72859">
        <w:rPr>
          <w:rFonts w:ascii="Times New Roman" w:hAnsi="Times New Roman" w:cs="Times New Roman"/>
          <w:color w:val="000000" w:themeColor="text1"/>
          <w:sz w:val="20"/>
          <w:szCs w:val="20"/>
        </w:rPr>
        <w:t xml:space="preserve"> the group with </w:t>
      </w:r>
      <w:r w:rsidR="00B72859" w:rsidRPr="00B72859">
        <w:rPr>
          <w:rFonts w:ascii="Times New Roman" w:hAnsi="Times New Roman" w:cs="Times New Roman"/>
          <w:color w:val="000000" w:themeColor="text1"/>
          <w:sz w:val="20"/>
          <w:szCs w:val="20"/>
        </w:rPr>
        <w:t>the highest</w:t>
      </w:r>
      <w:r w:rsidR="008D2D72" w:rsidRPr="00B72859">
        <w:rPr>
          <w:rFonts w:ascii="Times New Roman" w:hAnsi="Times New Roman" w:cs="Times New Roman"/>
          <w:color w:val="000000" w:themeColor="text1"/>
          <w:sz w:val="20"/>
          <w:szCs w:val="20"/>
        </w:rPr>
        <w:t xml:space="preserve"> HBV prevalence of 36.5%.</w:t>
      </w:r>
      <w:r w:rsidR="00F10AA0" w:rsidRPr="00B72859">
        <w:rPr>
          <w:rFonts w:ascii="Times New Roman" w:hAnsi="Times New Roman" w:cs="Times New Roman"/>
          <w:color w:val="000000" w:themeColor="text1"/>
          <w:sz w:val="20"/>
          <w:szCs w:val="20"/>
        </w:rPr>
        <w:t xml:space="preserve"> </w:t>
      </w:r>
      <w:r w:rsidR="008D2D72" w:rsidRPr="00B72859">
        <w:rPr>
          <w:rFonts w:ascii="Times New Roman" w:hAnsi="Times New Roman" w:cs="Times New Roman"/>
          <w:color w:val="000000" w:themeColor="text1"/>
          <w:sz w:val="20"/>
          <w:szCs w:val="20"/>
        </w:rPr>
        <w:t>A percentage of 81% HBV positive were donors with low skill occupation and a non-significant association (p-0.129).</w:t>
      </w:r>
      <w:r w:rsidR="00160E2F" w:rsidRPr="00B72859">
        <w:rPr>
          <w:rFonts w:ascii="Times New Roman" w:hAnsi="Times New Roman" w:cs="Times New Roman"/>
          <w:color w:val="000000" w:themeColor="text1"/>
          <w:sz w:val="20"/>
          <w:szCs w:val="20"/>
        </w:rPr>
        <w:t xml:space="preserve"> Family donors had the highest prevalence of</w:t>
      </w:r>
      <w:r w:rsidR="008D2D72" w:rsidRPr="00B72859">
        <w:rPr>
          <w:rFonts w:ascii="Times New Roman" w:hAnsi="Times New Roman" w:cs="Times New Roman"/>
          <w:color w:val="000000" w:themeColor="text1"/>
          <w:sz w:val="20"/>
          <w:szCs w:val="20"/>
        </w:rPr>
        <w:t xml:space="preserve"> HBV (50%)</w:t>
      </w:r>
      <w:r w:rsidR="00160E2F" w:rsidRPr="00B72859">
        <w:rPr>
          <w:rFonts w:ascii="Times New Roman" w:hAnsi="Times New Roman" w:cs="Times New Roman"/>
          <w:color w:val="000000" w:themeColor="text1"/>
          <w:sz w:val="20"/>
          <w:szCs w:val="20"/>
        </w:rPr>
        <w:t>.</w:t>
      </w:r>
      <w:r w:rsidR="008D2D72" w:rsidRPr="00B72859">
        <w:rPr>
          <w:rFonts w:ascii="Times New Roman" w:hAnsi="Times New Roman" w:cs="Times New Roman"/>
          <w:color w:val="000000" w:themeColor="text1"/>
          <w:sz w:val="20"/>
          <w:szCs w:val="20"/>
        </w:rPr>
        <w:t xml:space="preserve"> No significant association found (p- 0.943).</w:t>
      </w:r>
      <w:r w:rsidR="00160E2F" w:rsidRPr="00B72859">
        <w:rPr>
          <w:rFonts w:ascii="Times New Roman" w:hAnsi="Times New Roman" w:cs="Times New Roman"/>
          <w:color w:val="000000" w:themeColor="text1"/>
          <w:sz w:val="20"/>
          <w:szCs w:val="20"/>
        </w:rPr>
        <w:t xml:space="preserve"> There was a relatively low outcome of voluntary donors (3.8%) compared to family (48.9%) and paid donor (47.3%)</w:t>
      </w:r>
      <w:r w:rsidR="008D2D72" w:rsidRPr="00B72859">
        <w:rPr>
          <w:rFonts w:ascii="Times New Roman" w:hAnsi="Times New Roman" w:cs="Times New Roman"/>
          <w:color w:val="000000" w:themeColor="text1"/>
          <w:sz w:val="20"/>
          <w:szCs w:val="20"/>
        </w:rPr>
        <w:t xml:space="preserve"> that were of close range</w:t>
      </w:r>
      <w:r w:rsidR="00160E2F" w:rsidRPr="00B72859">
        <w:rPr>
          <w:rFonts w:ascii="Times New Roman" w:hAnsi="Times New Roman" w:cs="Times New Roman"/>
          <w:color w:val="000000" w:themeColor="text1"/>
          <w:sz w:val="20"/>
          <w:szCs w:val="20"/>
        </w:rPr>
        <w:t>. The s</w:t>
      </w:r>
      <w:r w:rsidR="001F4098" w:rsidRPr="00B72859">
        <w:rPr>
          <w:rFonts w:ascii="Times New Roman" w:hAnsi="Times New Roman" w:cs="Times New Roman"/>
          <w:color w:val="000000" w:themeColor="text1"/>
          <w:sz w:val="20"/>
          <w:szCs w:val="20"/>
        </w:rPr>
        <w:t xml:space="preserve">eroprevalence of HBV </w:t>
      </w:r>
      <w:r w:rsidR="006B2764" w:rsidRPr="00B72859">
        <w:rPr>
          <w:rFonts w:ascii="Times New Roman" w:hAnsi="Times New Roman" w:cs="Times New Roman"/>
          <w:color w:val="000000" w:themeColor="text1"/>
          <w:sz w:val="20"/>
          <w:szCs w:val="20"/>
        </w:rPr>
        <w:t xml:space="preserve">in Port Harcourt, Rivers State, Nigeria </w:t>
      </w:r>
      <w:r w:rsidR="001F4098" w:rsidRPr="00B72859">
        <w:rPr>
          <w:rFonts w:ascii="Times New Roman" w:hAnsi="Times New Roman" w:cs="Times New Roman"/>
          <w:color w:val="000000" w:themeColor="text1"/>
          <w:sz w:val="20"/>
          <w:szCs w:val="20"/>
        </w:rPr>
        <w:t>was high</w:t>
      </w:r>
      <w:r w:rsidR="006B2764" w:rsidRPr="00B72859">
        <w:rPr>
          <w:rFonts w:ascii="Times New Roman" w:hAnsi="Times New Roman" w:cs="Times New Roman"/>
          <w:color w:val="000000" w:themeColor="text1"/>
          <w:sz w:val="20"/>
          <w:szCs w:val="20"/>
        </w:rPr>
        <w:t>. T</w:t>
      </w:r>
      <w:r w:rsidR="008D2D72" w:rsidRPr="00B72859">
        <w:rPr>
          <w:rFonts w:ascii="Times New Roman" w:hAnsi="Times New Roman" w:cs="Times New Roman"/>
          <w:color w:val="000000" w:themeColor="text1"/>
          <w:sz w:val="20"/>
          <w:szCs w:val="20"/>
        </w:rPr>
        <w:t xml:space="preserve">his </w:t>
      </w:r>
      <w:r w:rsidR="001F4098" w:rsidRPr="00B72859">
        <w:rPr>
          <w:rFonts w:ascii="Times New Roman" w:hAnsi="Times New Roman" w:cs="Times New Roman"/>
          <w:color w:val="000000" w:themeColor="text1"/>
          <w:sz w:val="20"/>
          <w:szCs w:val="20"/>
        </w:rPr>
        <w:t xml:space="preserve">shows that HBV still </w:t>
      </w:r>
      <w:r w:rsidR="00160E2F" w:rsidRPr="00B72859">
        <w:rPr>
          <w:rFonts w:ascii="Times New Roman" w:hAnsi="Times New Roman" w:cs="Times New Roman"/>
          <w:color w:val="000000" w:themeColor="text1"/>
          <w:sz w:val="20"/>
          <w:szCs w:val="20"/>
        </w:rPr>
        <w:t>remain</w:t>
      </w:r>
      <w:r w:rsidR="001F4098" w:rsidRPr="00B72859">
        <w:rPr>
          <w:rFonts w:ascii="Times New Roman" w:hAnsi="Times New Roman" w:cs="Times New Roman"/>
          <w:color w:val="000000" w:themeColor="text1"/>
          <w:sz w:val="20"/>
          <w:szCs w:val="20"/>
        </w:rPr>
        <w:t>s</w:t>
      </w:r>
      <w:r w:rsidR="00160E2F" w:rsidRPr="00B72859">
        <w:rPr>
          <w:rFonts w:ascii="Times New Roman" w:hAnsi="Times New Roman" w:cs="Times New Roman"/>
          <w:color w:val="000000" w:themeColor="text1"/>
          <w:sz w:val="20"/>
          <w:szCs w:val="20"/>
        </w:rPr>
        <w:t xml:space="preserve"> a threat to safe blood transfusion and public health in Nigeria. </w:t>
      </w:r>
    </w:p>
    <w:p w:rsidR="007F2799" w:rsidRPr="00B72859" w:rsidRDefault="007F2799" w:rsidP="007F2799">
      <w:pPr>
        <w:snapToGrid w:val="0"/>
        <w:spacing w:after="0" w:line="240" w:lineRule="auto"/>
        <w:contextualSpacing/>
        <w:jc w:val="both"/>
        <w:rPr>
          <w:rFonts w:ascii="Times New Roman" w:hAnsi="Times New Roman" w:cs="Times New Roman"/>
          <w:sz w:val="20"/>
          <w:szCs w:val="20"/>
        </w:rPr>
      </w:pPr>
      <w:r w:rsidRPr="00B72859">
        <w:rPr>
          <w:rFonts w:ascii="Times New Roman" w:hAnsi="Times New Roman" w:cs="Times New Roman"/>
          <w:bCs/>
          <w:sz w:val="20"/>
          <w:szCs w:val="20"/>
        </w:rPr>
        <w:t>[</w:t>
      </w:r>
      <w:r w:rsidRPr="00B72859">
        <w:rPr>
          <w:rFonts w:ascii="Times New Roman" w:hAnsi="Times New Roman" w:cs="Times New Roman"/>
          <w:color w:val="000000"/>
          <w:sz w:val="20"/>
          <w:szCs w:val="20"/>
        </w:rPr>
        <w:t>Adewuyi SA, Frank-Peterside N, Otokunefor K, Abeni BA, Cookey TI, Okonko IO</w:t>
      </w:r>
      <w:r w:rsidRPr="00B72859">
        <w:rPr>
          <w:rFonts w:ascii="Times New Roman" w:hAnsi="Times New Roman" w:cs="Times New Roman"/>
          <w:sz w:val="20"/>
          <w:szCs w:val="20"/>
        </w:rPr>
        <w:t>.</w:t>
      </w:r>
      <w:r w:rsidRPr="00B72859">
        <w:rPr>
          <w:rFonts w:ascii="Times New Roman" w:eastAsiaTheme="minorEastAsia" w:hAnsi="Times New Roman" w:cs="Times New Roman" w:hint="eastAsia"/>
          <w:b/>
          <w:bCs/>
          <w:sz w:val="20"/>
          <w:szCs w:val="20"/>
          <w:lang w:bidi="fa-IR"/>
        </w:rPr>
        <w:t xml:space="preserve"> </w:t>
      </w:r>
      <w:r w:rsidRPr="00B72859">
        <w:rPr>
          <w:rFonts w:ascii="Times New Roman" w:hAnsi="Times New Roman" w:cs="Times New Roman"/>
          <w:b/>
          <w:color w:val="000000" w:themeColor="text1"/>
          <w:sz w:val="20"/>
          <w:szCs w:val="20"/>
        </w:rPr>
        <w:t>Seropositivity of Hepatitis B Virus Among Intending Male Blood Donors in Port Harcourt, Rivers State, Nigeria</w:t>
      </w:r>
      <w:r w:rsidRPr="00B72859">
        <w:rPr>
          <w:rFonts w:ascii="Times New Roman" w:eastAsia="Times New Roman" w:hAnsi="Times New Roman" w:cs="Times New Roman"/>
          <w:b/>
          <w:bCs/>
          <w:sz w:val="20"/>
          <w:szCs w:val="20"/>
          <w:lang w:bidi="fa-IR"/>
        </w:rPr>
        <w:t>.</w:t>
      </w:r>
      <w:r w:rsidRPr="00B72859">
        <w:rPr>
          <w:rFonts w:ascii="Times New Roman" w:hAnsi="Times New Roman" w:cs="Times New Roman"/>
          <w:bCs/>
          <w:i/>
          <w:sz w:val="20"/>
          <w:szCs w:val="20"/>
        </w:rPr>
        <w:t xml:space="preserve"> N Y Sci J</w:t>
      </w:r>
      <w:r w:rsidRPr="00B72859">
        <w:rPr>
          <w:rFonts w:ascii="Times New Roman" w:hAnsi="Times New Roman" w:cs="Times New Roman"/>
          <w:bCs/>
          <w:sz w:val="20"/>
          <w:szCs w:val="20"/>
        </w:rPr>
        <w:t xml:space="preserve"> </w:t>
      </w:r>
      <w:r w:rsidRPr="00B72859">
        <w:rPr>
          <w:rFonts w:ascii="Times New Roman" w:hAnsi="Times New Roman" w:cs="Times New Roman"/>
          <w:sz w:val="20"/>
          <w:szCs w:val="20"/>
        </w:rPr>
        <w:t>201</w:t>
      </w:r>
      <w:r w:rsidRPr="00B72859">
        <w:rPr>
          <w:rFonts w:ascii="Times New Roman" w:hAnsi="Times New Roman" w:cs="Times New Roman" w:hint="eastAsia"/>
          <w:sz w:val="20"/>
          <w:szCs w:val="20"/>
        </w:rPr>
        <w:t>9</w:t>
      </w:r>
      <w:r w:rsidRPr="00B72859">
        <w:rPr>
          <w:rFonts w:ascii="Times New Roman" w:hAnsi="Times New Roman" w:cs="Times New Roman"/>
          <w:sz w:val="20"/>
          <w:szCs w:val="20"/>
        </w:rPr>
        <w:t>;</w:t>
      </w:r>
      <w:r w:rsidRPr="00B72859">
        <w:rPr>
          <w:rFonts w:ascii="Times New Roman" w:hAnsi="Times New Roman" w:cs="Times New Roman" w:hint="eastAsia"/>
          <w:sz w:val="20"/>
          <w:szCs w:val="20"/>
        </w:rPr>
        <w:t>12</w:t>
      </w:r>
      <w:r w:rsidRPr="00B72859">
        <w:rPr>
          <w:rFonts w:ascii="Times New Roman" w:hAnsi="Times New Roman" w:cs="Times New Roman"/>
          <w:sz w:val="20"/>
          <w:szCs w:val="20"/>
        </w:rPr>
        <w:t>(</w:t>
      </w:r>
      <w:r w:rsidRPr="00B72859">
        <w:rPr>
          <w:rFonts w:ascii="Times New Roman" w:hAnsi="Times New Roman" w:cs="Times New Roman" w:hint="eastAsia"/>
          <w:sz w:val="20"/>
          <w:szCs w:val="20"/>
        </w:rPr>
        <w:t>11</w:t>
      </w:r>
      <w:r w:rsidRPr="00B72859">
        <w:rPr>
          <w:rFonts w:ascii="Times New Roman" w:hAnsi="Times New Roman" w:cs="Times New Roman"/>
          <w:sz w:val="20"/>
          <w:szCs w:val="20"/>
        </w:rPr>
        <w:t>):</w:t>
      </w:r>
      <w:r w:rsidR="004323D6" w:rsidRPr="00B72859">
        <w:rPr>
          <w:rFonts w:ascii="Times New Roman" w:hAnsi="Times New Roman" w:cs="Times New Roman"/>
          <w:noProof/>
          <w:color w:val="000000"/>
          <w:sz w:val="20"/>
          <w:szCs w:val="20"/>
        </w:rPr>
        <w:t>1-6</w:t>
      </w:r>
      <w:r w:rsidRPr="00B72859">
        <w:rPr>
          <w:rFonts w:ascii="Times New Roman" w:hAnsi="Times New Roman" w:cs="Times New Roman"/>
          <w:sz w:val="20"/>
          <w:szCs w:val="20"/>
        </w:rPr>
        <w:t xml:space="preserve">]. </w:t>
      </w:r>
      <w:r w:rsidRPr="00B72859">
        <w:rPr>
          <w:rFonts w:ascii="Times New Roman" w:hAnsi="Times New Roman" w:cs="Times New Roman"/>
          <w:iCs/>
          <w:color w:val="000000"/>
          <w:sz w:val="20"/>
          <w:szCs w:val="20"/>
        </w:rPr>
        <w:t>ISSN 1554-0200 (print); ISSN 2375-723X (online)</w:t>
      </w:r>
      <w:r w:rsidRPr="00B72859">
        <w:rPr>
          <w:rFonts w:ascii="Times New Roman" w:hAnsi="Times New Roman" w:cs="Times New Roman"/>
          <w:sz w:val="20"/>
          <w:szCs w:val="20"/>
        </w:rPr>
        <w:t xml:space="preserve">. </w:t>
      </w:r>
      <w:hyperlink r:id="rId9" w:history="1">
        <w:r w:rsidRPr="00B72859">
          <w:rPr>
            <w:rStyle w:val="Hyperlink"/>
            <w:rFonts w:ascii="Times New Roman" w:hAnsi="Times New Roman"/>
            <w:sz w:val="20"/>
            <w:szCs w:val="20"/>
          </w:rPr>
          <w:t>http://www.sciencepub.net/newyork</w:t>
        </w:r>
      </w:hyperlink>
      <w:r w:rsidRPr="00B72859">
        <w:rPr>
          <w:rFonts w:ascii="Times New Roman" w:hAnsi="Times New Roman" w:cs="Times New Roman"/>
          <w:sz w:val="20"/>
          <w:szCs w:val="20"/>
        </w:rPr>
        <w:t xml:space="preserve">. </w:t>
      </w:r>
      <w:r w:rsidRPr="00B72859">
        <w:rPr>
          <w:rFonts w:ascii="Times New Roman" w:eastAsiaTheme="minorEastAsia" w:hAnsi="Times New Roman" w:cs="Times New Roman" w:hint="eastAsia"/>
          <w:sz w:val="20"/>
          <w:szCs w:val="20"/>
          <w:lang w:eastAsia="zh-CN"/>
        </w:rPr>
        <w:t>1</w:t>
      </w:r>
      <w:r w:rsidRPr="00B72859">
        <w:rPr>
          <w:rFonts w:ascii="Times New Roman" w:hAnsi="Times New Roman" w:cs="Times New Roman" w:hint="eastAsia"/>
          <w:sz w:val="20"/>
          <w:szCs w:val="20"/>
        </w:rPr>
        <w:t xml:space="preserve">. </w:t>
      </w:r>
      <w:r w:rsidRPr="00B72859">
        <w:rPr>
          <w:rFonts w:ascii="Times New Roman" w:hAnsi="Times New Roman" w:cs="Times New Roman"/>
          <w:color w:val="000000"/>
          <w:sz w:val="20"/>
          <w:szCs w:val="20"/>
          <w:shd w:val="clear" w:color="auto" w:fill="FFFFFF"/>
        </w:rPr>
        <w:t>doi:</w:t>
      </w:r>
      <w:hyperlink r:id="rId10" w:history="1">
        <w:r w:rsidRPr="00B72859">
          <w:rPr>
            <w:rStyle w:val="Hyperlink"/>
            <w:rFonts w:ascii="Times New Roman" w:hAnsi="Times New Roman"/>
            <w:sz w:val="20"/>
            <w:szCs w:val="20"/>
            <w:shd w:val="clear" w:color="auto" w:fill="FFFFFF"/>
          </w:rPr>
          <w:t>10.7537/mars</w:t>
        </w:r>
        <w:r w:rsidRPr="00B72859">
          <w:rPr>
            <w:rStyle w:val="Hyperlink"/>
            <w:rFonts w:ascii="Times New Roman" w:hAnsi="Times New Roman" w:hint="eastAsia"/>
            <w:sz w:val="20"/>
            <w:szCs w:val="20"/>
            <w:shd w:val="clear" w:color="auto" w:fill="FFFFFF"/>
          </w:rPr>
          <w:t>nys121119.</w:t>
        </w:r>
        <w:r w:rsidRPr="00B72859">
          <w:rPr>
            <w:rStyle w:val="Hyperlink"/>
            <w:rFonts w:ascii="Times New Roman" w:hAnsi="Times New Roman"/>
            <w:sz w:val="20"/>
            <w:szCs w:val="20"/>
            <w:shd w:val="clear" w:color="auto" w:fill="FFFFFF"/>
          </w:rPr>
          <w:t>0</w:t>
        </w:r>
        <w:r w:rsidRPr="00B72859">
          <w:rPr>
            <w:rStyle w:val="Hyperlink"/>
            <w:rFonts w:ascii="Times New Roman" w:eastAsiaTheme="minorEastAsia" w:hAnsi="Times New Roman" w:hint="eastAsia"/>
            <w:sz w:val="20"/>
            <w:szCs w:val="20"/>
            <w:shd w:val="clear" w:color="auto" w:fill="FFFFFF"/>
            <w:lang w:eastAsia="zh-CN"/>
          </w:rPr>
          <w:t>1</w:t>
        </w:r>
      </w:hyperlink>
      <w:r w:rsidRPr="00B72859">
        <w:rPr>
          <w:rFonts w:ascii="Times New Roman" w:hAnsi="Times New Roman" w:cs="Times New Roman"/>
          <w:color w:val="000000"/>
          <w:sz w:val="20"/>
          <w:szCs w:val="20"/>
          <w:shd w:val="clear" w:color="auto" w:fill="FFFFFF"/>
        </w:rPr>
        <w:t>.</w:t>
      </w:r>
    </w:p>
    <w:p w:rsidR="006B2764" w:rsidRPr="00B72859" w:rsidRDefault="006B2764" w:rsidP="007F2799">
      <w:pPr>
        <w:pStyle w:val="NoSpacing"/>
        <w:snapToGrid w:val="0"/>
        <w:jc w:val="both"/>
        <w:rPr>
          <w:rStyle w:val="Hyperlink"/>
          <w:rFonts w:ascii="Times New Roman" w:eastAsia="Times New Roman" w:hAnsi="Times New Roman"/>
          <w:sz w:val="20"/>
          <w:szCs w:val="20"/>
          <w:lang w:eastAsia="zh-CN"/>
        </w:rPr>
      </w:pPr>
    </w:p>
    <w:p w:rsidR="006B2764" w:rsidRPr="00B72859" w:rsidRDefault="006B2764"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b/>
          <w:bCs/>
          <w:sz w:val="20"/>
          <w:szCs w:val="20"/>
        </w:rPr>
        <w:t>Keywords:</w:t>
      </w:r>
      <w:r w:rsidRPr="00B72859">
        <w:rPr>
          <w:rFonts w:ascii="Times New Roman" w:hAnsi="Times New Roman" w:cs="Times New Roman"/>
          <w:sz w:val="20"/>
          <w:szCs w:val="20"/>
        </w:rPr>
        <w:t xml:space="preserve"> Seropositivity, Hepatitis B Virus, Blood Donors, Nigeria</w:t>
      </w:r>
    </w:p>
    <w:p w:rsidR="006B2764" w:rsidRPr="00B72859" w:rsidRDefault="006B2764" w:rsidP="007F2799">
      <w:pPr>
        <w:pStyle w:val="NoSpacing"/>
        <w:snapToGrid w:val="0"/>
        <w:ind w:firstLine="425"/>
        <w:jc w:val="both"/>
        <w:rPr>
          <w:rFonts w:ascii="Times New Roman" w:hAnsi="Times New Roman" w:cs="Times New Roman"/>
          <w:color w:val="000000" w:themeColor="text1"/>
          <w:sz w:val="20"/>
          <w:szCs w:val="20"/>
        </w:rPr>
      </w:pPr>
    </w:p>
    <w:p w:rsidR="007F2799" w:rsidRPr="00B72859" w:rsidRDefault="007F2799" w:rsidP="007F2799">
      <w:pPr>
        <w:shd w:val="clear" w:color="FFFFFF" w:fill="FFFFFF"/>
        <w:snapToGrid w:val="0"/>
        <w:spacing w:after="0" w:line="240" w:lineRule="auto"/>
        <w:contextualSpacing/>
        <w:jc w:val="both"/>
        <w:outlineLvl w:val="1"/>
        <w:rPr>
          <w:rFonts w:ascii="Times New Roman" w:hAnsi="Times New Roman" w:cs="Times New Roman"/>
          <w:b/>
          <w:color w:val="000000" w:themeColor="text1"/>
          <w:sz w:val="20"/>
          <w:szCs w:val="20"/>
        </w:rPr>
        <w:sectPr w:rsidR="007F2799" w:rsidRPr="00B72859" w:rsidSect="00F10AA0">
          <w:headerReference w:type="default" r:id="rId11"/>
          <w:footerReference w:type="default" r:id="rId12"/>
          <w:type w:val="continuous"/>
          <w:pgSz w:w="12240" w:h="15840"/>
          <w:pgMar w:top="1440" w:right="1440" w:bottom="1440" w:left="1440" w:header="720" w:footer="720" w:gutter="0"/>
          <w:cols w:space="720"/>
          <w:docGrid w:linePitch="360"/>
        </w:sectPr>
      </w:pPr>
    </w:p>
    <w:p w:rsidR="001F4098" w:rsidRPr="00B72859" w:rsidRDefault="006049B4" w:rsidP="007F2799">
      <w:pPr>
        <w:shd w:val="clear" w:color="FFFFFF" w:fill="FFFFFF"/>
        <w:snapToGrid w:val="0"/>
        <w:spacing w:after="0" w:line="240" w:lineRule="auto"/>
        <w:contextualSpacing/>
        <w:jc w:val="both"/>
        <w:outlineLvl w:val="1"/>
        <w:rPr>
          <w:rFonts w:ascii="Times New Roman" w:hAnsi="Times New Roman" w:cs="Times New Roman"/>
          <w:b/>
          <w:color w:val="000000" w:themeColor="text1"/>
          <w:sz w:val="20"/>
          <w:szCs w:val="20"/>
        </w:rPr>
      </w:pPr>
      <w:r w:rsidRPr="00B72859">
        <w:rPr>
          <w:rFonts w:ascii="Times New Roman" w:hAnsi="Times New Roman" w:cs="Times New Roman"/>
          <w:b/>
          <w:color w:val="000000" w:themeColor="text1"/>
          <w:sz w:val="20"/>
          <w:szCs w:val="20"/>
        </w:rPr>
        <w:lastRenderedPageBreak/>
        <w:t xml:space="preserve">1. </w:t>
      </w:r>
      <w:r w:rsidR="00592C0A" w:rsidRPr="00B72859">
        <w:rPr>
          <w:rFonts w:ascii="Times New Roman" w:hAnsi="Times New Roman" w:cs="Times New Roman"/>
          <w:b/>
          <w:color w:val="000000" w:themeColor="text1"/>
          <w:sz w:val="20"/>
          <w:szCs w:val="20"/>
        </w:rPr>
        <w:t>Introduction</w:t>
      </w:r>
    </w:p>
    <w:p w:rsidR="007F2799" w:rsidRPr="00B72859" w:rsidRDefault="00AA39EF" w:rsidP="007F2799">
      <w:pPr>
        <w:snapToGrid w:val="0"/>
        <w:spacing w:after="0" w:line="240" w:lineRule="auto"/>
        <w:ind w:firstLine="425"/>
        <w:jc w:val="both"/>
        <w:rPr>
          <w:rFonts w:ascii="Times New Roman" w:hAnsi="Times New Roman" w:cs="Times New Roman"/>
          <w:color w:val="000000" w:themeColor="text1"/>
          <w:sz w:val="20"/>
          <w:szCs w:val="20"/>
        </w:rPr>
      </w:pPr>
      <w:r w:rsidRPr="00B72859">
        <w:rPr>
          <w:rFonts w:ascii="Times New Roman" w:hAnsi="Times New Roman" w:cs="Times New Roman"/>
          <w:color w:val="000000" w:themeColor="text1"/>
          <w:sz w:val="20"/>
          <w:szCs w:val="20"/>
        </w:rPr>
        <w:t xml:space="preserve">Hepatitis B is caused by </w:t>
      </w:r>
      <w:r w:rsidR="00712113" w:rsidRPr="00B72859">
        <w:rPr>
          <w:rFonts w:ascii="Times New Roman" w:hAnsi="Times New Roman" w:cs="Times New Roman"/>
          <w:color w:val="000000" w:themeColor="text1"/>
          <w:sz w:val="20"/>
          <w:szCs w:val="20"/>
        </w:rPr>
        <w:t xml:space="preserve">the </w:t>
      </w:r>
      <w:r w:rsidRPr="00B72859">
        <w:rPr>
          <w:rFonts w:ascii="Times New Roman" w:hAnsi="Times New Roman" w:cs="Times New Roman"/>
          <w:color w:val="000000" w:themeColor="text1"/>
          <w:sz w:val="20"/>
          <w:szCs w:val="20"/>
        </w:rPr>
        <w:t xml:space="preserve">Hepatitis B Virus (HBV), it </w:t>
      </w:r>
      <w:r w:rsidRPr="00B72859">
        <w:rPr>
          <w:rFonts w:ascii="Times New Roman" w:eastAsia="Times New Roman" w:hAnsi="Times New Roman" w:cs="Times New Roman"/>
          <w:color w:val="231F20"/>
          <w:sz w:val="20"/>
          <w:szCs w:val="20"/>
          <w:lang w:val="en-US"/>
        </w:rPr>
        <w:t>is a circular, double</w:t>
      </w:r>
      <w:r w:rsidR="00712113" w:rsidRPr="00B72859">
        <w:rPr>
          <w:rFonts w:ascii="Times New Roman" w:eastAsia="Times New Roman" w:hAnsi="Times New Roman" w:cs="Times New Roman"/>
          <w:color w:val="231F20"/>
          <w:sz w:val="20"/>
          <w:szCs w:val="20"/>
          <w:lang w:val="en-US"/>
        </w:rPr>
        <w:t>-</w:t>
      </w:r>
      <w:r w:rsidRPr="00B72859">
        <w:rPr>
          <w:rFonts w:ascii="Times New Roman" w:eastAsia="Times New Roman" w:hAnsi="Times New Roman" w:cs="Times New Roman"/>
          <w:color w:val="231F20"/>
          <w:sz w:val="20"/>
          <w:szCs w:val="20"/>
          <w:lang w:val="en-US"/>
        </w:rPr>
        <w:t>stranded DNA virus</w:t>
      </w:r>
      <w:r w:rsidRPr="00B72859">
        <w:rPr>
          <w:rFonts w:ascii="Times New Roman" w:hAnsi="Times New Roman" w:cs="Times New Roman"/>
          <w:color w:val="000000" w:themeColor="text1"/>
          <w:sz w:val="20"/>
          <w:szCs w:val="20"/>
        </w:rPr>
        <w:t>. HBV disease is highly persistent in neonates (be</w:t>
      </w:r>
      <w:r w:rsidR="00712113" w:rsidRPr="00B72859">
        <w:rPr>
          <w:rFonts w:ascii="Times New Roman" w:hAnsi="Times New Roman" w:cs="Times New Roman"/>
          <w:color w:val="000000" w:themeColor="text1"/>
          <w:sz w:val="20"/>
          <w:szCs w:val="20"/>
        </w:rPr>
        <w:t>c</w:t>
      </w:r>
      <w:r w:rsidRPr="00B72859">
        <w:rPr>
          <w:rFonts w:ascii="Times New Roman" w:hAnsi="Times New Roman" w:cs="Times New Roman"/>
          <w:color w:val="000000" w:themeColor="text1"/>
          <w:sz w:val="20"/>
          <w:szCs w:val="20"/>
        </w:rPr>
        <w:t>omes chronic carriers) and low persistency rate in adults (McMahon, 2009). Clinically HBV infection can be asymptomatic in the initial disease phase until it becomes symptomatic – anorexia, pain, dark urine, and yellow skin colo</w:t>
      </w:r>
      <w:r w:rsidR="00712113" w:rsidRPr="00B72859">
        <w:rPr>
          <w:rFonts w:ascii="Times New Roman" w:hAnsi="Times New Roman" w:cs="Times New Roman"/>
          <w:color w:val="000000" w:themeColor="text1"/>
          <w:sz w:val="20"/>
          <w:szCs w:val="20"/>
        </w:rPr>
        <w:t>u</w:t>
      </w:r>
      <w:r w:rsidRPr="00B72859">
        <w:rPr>
          <w:rFonts w:ascii="Times New Roman" w:hAnsi="Times New Roman" w:cs="Times New Roman"/>
          <w:color w:val="000000" w:themeColor="text1"/>
          <w:sz w:val="20"/>
          <w:szCs w:val="20"/>
        </w:rPr>
        <w:t>ration, with an incubation period that last</w:t>
      </w:r>
      <w:r w:rsidR="00712113" w:rsidRPr="00B72859">
        <w:rPr>
          <w:rFonts w:ascii="Times New Roman" w:hAnsi="Times New Roman" w:cs="Times New Roman"/>
          <w:color w:val="000000" w:themeColor="text1"/>
          <w:sz w:val="20"/>
          <w:szCs w:val="20"/>
        </w:rPr>
        <w:t>s</w:t>
      </w:r>
      <w:r w:rsidRPr="00B72859">
        <w:rPr>
          <w:rFonts w:ascii="Times New Roman" w:hAnsi="Times New Roman" w:cs="Times New Roman"/>
          <w:color w:val="000000" w:themeColor="text1"/>
          <w:sz w:val="20"/>
          <w:szCs w:val="20"/>
        </w:rPr>
        <w:t xml:space="preserve"> 30 – 180 days (</w:t>
      </w:r>
      <w:r w:rsidRPr="00B72859">
        <w:rPr>
          <w:rFonts w:ascii="Times New Roman" w:hAnsi="Times New Roman" w:cs="Times New Roman"/>
          <w:color w:val="000000" w:themeColor="text1"/>
          <w:sz w:val="20"/>
          <w:szCs w:val="20"/>
          <w:lang w:val="en-US"/>
        </w:rPr>
        <w:t>W.H.O</w:t>
      </w:r>
      <w:r w:rsidRPr="00B72859">
        <w:rPr>
          <w:rFonts w:ascii="Times New Roman" w:hAnsi="Times New Roman" w:cs="Times New Roman"/>
          <w:color w:val="000000" w:themeColor="text1"/>
          <w:sz w:val="20"/>
          <w:szCs w:val="20"/>
        </w:rPr>
        <w:t xml:space="preserve">, 2017). </w:t>
      </w:r>
    </w:p>
    <w:p w:rsidR="007F2799" w:rsidRPr="00B72859" w:rsidRDefault="00AA39EF"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 xml:space="preserve">Transmission of HBV is most commonly through sexual route but can also be transmitted via </w:t>
      </w:r>
      <w:r w:rsidR="00712113" w:rsidRPr="00B72859">
        <w:rPr>
          <w:rFonts w:ascii="Times New Roman" w:hAnsi="Times New Roman" w:cs="Times New Roman"/>
          <w:sz w:val="20"/>
          <w:szCs w:val="20"/>
          <w:lang w:val="en-US"/>
        </w:rPr>
        <w:t xml:space="preserve">the </w:t>
      </w:r>
      <w:r w:rsidRPr="00B72859">
        <w:rPr>
          <w:rFonts w:ascii="Times New Roman" w:hAnsi="Times New Roman" w:cs="Times New Roman"/>
          <w:sz w:val="20"/>
          <w:szCs w:val="20"/>
          <w:lang w:val="en-US"/>
        </w:rPr>
        <w:t>perinatal, or parenteral rout</w:t>
      </w:r>
      <w:r w:rsidR="00F10AA0" w:rsidRPr="00B72859">
        <w:rPr>
          <w:rFonts w:ascii="Times New Roman" w:hAnsi="Times New Roman" w:cs="Times New Roman"/>
          <w:sz w:val="20"/>
          <w:szCs w:val="20"/>
          <w:lang w:val="en-US"/>
        </w:rPr>
        <w:t xml:space="preserve">e </w:t>
      </w:r>
      <w:r w:rsidR="00F10AA0" w:rsidRPr="00B72859">
        <w:rPr>
          <w:rFonts w:ascii="Times New Roman" w:eastAsia="Times New Roman" w:hAnsi="Times New Roman" w:cs="Times New Roman"/>
          <w:color w:val="000000"/>
          <w:sz w:val="20"/>
          <w:szCs w:val="20"/>
        </w:rPr>
        <w:t>(</w:t>
      </w:r>
      <w:r w:rsidR="003029A6" w:rsidRPr="00B72859">
        <w:rPr>
          <w:rFonts w:ascii="Times New Roman" w:eastAsia="Times New Roman" w:hAnsi="Times New Roman" w:cs="Times New Roman"/>
          <w:color w:val="000000"/>
          <w:sz w:val="20"/>
          <w:szCs w:val="20"/>
        </w:rPr>
        <w:t>Fairley and Read, 2012)</w:t>
      </w:r>
      <w:r w:rsidR="007F2799" w:rsidRPr="00B72859">
        <w:rPr>
          <w:rFonts w:ascii="Times New Roman" w:hAnsi="Times New Roman" w:cs="Times New Roman"/>
          <w:sz w:val="20"/>
          <w:szCs w:val="20"/>
          <w:lang w:val="en-US"/>
        </w:rPr>
        <w:t>. T</w:t>
      </w:r>
      <w:r w:rsidR="00712113" w:rsidRPr="00B72859">
        <w:rPr>
          <w:rFonts w:ascii="Times New Roman" w:hAnsi="Times New Roman" w:cs="Times New Roman"/>
          <w:sz w:val="20"/>
          <w:szCs w:val="20"/>
          <w:lang w:val="en-US"/>
        </w:rPr>
        <w:t>he p</w:t>
      </w:r>
      <w:r w:rsidRPr="00B72859">
        <w:rPr>
          <w:rFonts w:ascii="Times New Roman" w:hAnsi="Times New Roman" w:cs="Times New Roman"/>
          <w:sz w:val="20"/>
          <w:szCs w:val="20"/>
          <w:lang w:val="en-US"/>
        </w:rPr>
        <w:t xml:space="preserve">arenteral route can be via </w:t>
      </w:r>
      <w:r w:rsidR="00B72859" w:rsidRPr="00B72859">
        <w:rPr>
          <w:rFonts w:ascii="Times New Roman" w:hAnsi="Times New Roman" w:cs="Times New Roman"/>
          <w:sz w:val="20"/>
          <w:szCs w:val="20"/>
          <w:lang w:val="en-US"/>
        </w:rPr>
        <w:t>needle stick</w:t>
      </w:r>
      <w:r w:rsidRPr="00B72859">
        <w:rPr>
          <w:rFonts w:ascii="Times New Roman" w:hAnsi="Times New Roman" w:cs="Times New Roman"/>
          <w:sz w:val="20"/>
          <w:szCs w:val="20"/>
          <w:lang w:val="en-US"/>
        </w:rPr>
        <w:t xml:space="preserve"> injury in health care workers, household contact or through blood transfusio</w:t>
      </w:r>
      <w:r w:rsidR="00F10AA0" w:rsidRPr="00B72859">
        <w:rPr>
          <w:rFonts w:ascii="Times New Roman" w:hAnsi="Times New Roman" w:cs="Times New Roman"/>
          <w:sz w:val="20"/>
          <w:szCs w:val="20"/>
          <w:lang w:val="en-US"/>
        </w:rPr>
        <w:t>n (</w:t>
      </w:r>
      <w:r w:rsidR="003029A6" w:rsidRPr="00B72859">
        <w:rPr>
          <w:rFonts w:ascii="Times New Roman" w:eastAsia="Times New Roman" w:hAnsi="Times New Roman" w:cs="Times New Roman"/>
          <w:color w:val="000000"/>
          <w:sz w:val="20"/>
          <w:szCs w:val="20"/>
        </w:rPr>
        <w:t>Hughes, 2000)</w:t>
      </w:r>
      <w:r w:rsidRPr="00B72859">
        <w:rPr>
          <w:rFonts w:ascii="Times New Roman" w:hAnsi="Times New Roman" w:cs="Times New Roman"/>
          <w:sz w:val="20"/>
          <w:szCs w:val="20"/>
          <w:lang w:val="en-US"/>
        </w:rPr>
        <w:t>. Diseases transmitted via b</w:t>
      </w:r>
      <w:r w:rsidR="00712113" w:rsidRPr="00B72859">
        <w:rPr>
          <w:rFonts w:ascii="Times New Roman" w:hAnsi="Times New Roman" w:cs="Times New Roman"/>
          <w:sz w:val="20"/>
          <w:szCs w:val="20"/>
          <w:lang w:val="en-US"/>
        </w:rPr>
        <w:t>l</w:t>
      </w:r>
      <w:r w:rsidRPr="00B72859">
        <w:rPr>
          <w:rFonts w:ascii="Times New Roman" w:hAnsi="Times New Roman" w:cs="Times New Roman"/>
          <w:sz w:val="20"/>
          <w:szCs w:val="20"/>
          <w:lang w:val="en-US"/>
        </w:rPr>
        <w:t>ood transfusion is called Transfusion Transmitted Infecti</w:t>
      </w:r>
      <w:r w:rsidR="00712113" w:rsidRPr="00B72859">
        <w:rPr>
          <w:rFonts w:ascii="Times New Roman" w:hAnsi="Times New Roman" w:cs="Times New Roman"/>
          <w:sz w:val="20"/>
          <w:szCs w:val="20"/>
          <w:lang w:val="en-US"/>
        </w:rPr>
        <w:t>o</w:t>
      </w:r>
      <w:r w:rsidRPr="00B72859">
        <w:rPr>
          <w:rFonts w:ascii="Times New Roman" w:hAnsi="Times New Roman" w:cs="Times New Roman"/>
          <w:sz w:val="20"/>
          <w:szCs w:val="20"/>
          <w:lang w:val="en-US"/>
        </w:rPr>
        <w:t>n (TTIs) of which includes: viruses HBV, HTLV 1</w:t>
      </w:r>
      <w:r w:rsidR="00F10AA0" w:rsidRPr="00B72859">
        <w:rPr>
          <w:rFonts w:ascii="Times New Roman" w:hAnsi="Times New Roman" w:cs="Times New Roman"/>
          <w:sz w:val="20"/>
          <w:szCs w:val="20"/>
          <w:lang w:val="en-US"/>
        </w:rPr>
        <w:t xml:space="preserve"> &amp; </w:t>
      </w:r>
      <w:r w:rsidRPr="00B72859">
        <w:rPr>
          <w:rFonts w:ascii="Times New Roman" w:hAnsi="Times New Roman" w:cs="Times New Roman"/>
          <w:sz w:val="20"/>
          <w:szCs w:val="20"/>
          <w:lang w:val="en-US"/>
        </w:rPr>
        <w:t xml:space="preserve">2; parasites- malaria, babesia and Bacteria- Syphilis </w:t>
      </w:r>
      <w:r w:rsidR="00F65938" w:rsidRPr="00B72859">
        <w:rPr>
          <w:rFonts w:ascii="Times New Roman" w:hAnsi="Times New Roman" w:cs="Times New Roman"/>
          <w:sz w:val="20"/>
          <w:szCs w:val="20"/>
          <w:lang w:val="en-US"/>
        </w:rPr>
        <w:t xml:space="preserve">(Su </w:t>
      </w:r>
      <w:r w:rsidR="00F65938" w:rsidRPr="00B72859">
        <w:rPr>
          <w:rFonts w:ascii="Times New Roman" w:hAnsi="Times New Roman" w:cs="Times New Roman"/>
          <w:i/>
          <w:iCs/>
          <w:sz w:val="20"/>
          <w:szCs w:val="20"/>
          <w:lang w:val="en-US"/>
        </w:rPr>
        <w:t xml:space="preserve">et al., </w:t>
      </w:r>
      <w:r w:rsidR="00F65938" w:rsidRPr="00B72859">
        <w:rPr>
          <w:rFonts w:ascii="Times New Roman" w:hAnsi="Times New Roman" w:cs="Times New Roman"/>
          <w:sz w:val="20"/>
          <w:szCs w:val="20"/>
          <w:lang w:val="en-US"/>
        </w:rPr>
        <w:t xml:space="preserve">2003; Mollison </w:t>
      </w:r>
      <w:r w:rsidR="00F65938" w:rsidRPr="00B72859">
        <w:rPr>
          <w:rFonts w:ascii="Times New Roman" w:hAnsi="Times New Roman" w:cs="Times New Roman"/>
          <w:i/>
          <w:iCs/>
          <w:sz w:val="20"/>
          <w:szCs w:val="20"/>
          <w:lang w:val="en-US"/>
        </w:rPr>
        <w:t xml:space="preserve">et al., </w:t>
      </w:r>
      <w:r w:rsidR="00F65938" w:rsidRPr="00B72859">
        <w:rPr>
          <w:rFonts w:ascii="Times New Roman" w:hAnsi="Times New Roman" w:cs="Times New Roman"/>
          <w:sz w:val="20"/>
          <w:szCs w:val="20"/>
          <w:lang w:val="en-US"/>
        </w:rPr>
        <w:t xml:space="preserve">2005; Sheppard </w:t>
      </w:r>
      <w:r w:rsidR="00F65938" w:rsidRPr="00B72859">
        <w:rPr>
          <w:rFonts w:ascii="Times New Roman" w:hAnsi="Times New Roman" w:cs="Times New Roman"/>
          <w:i/>
          <w:iCs/>
          <w:sz w:val="20"/>
          <w:szCs w:val="20"/>
          <w:lang w:val="en-US"/>
        </w:rPr>
        <w:t xml:space="preserve">et al., </w:t>
      </w:r>
      <w:r w:rsidR="00F65938" w:rsidRPr="00B72859">
        <w:rPr>
          <w:rFonts w:ascii="Times New Roman" w:hAnsi="Times New Roman" w:cs="Times New Roman"/>
          <w:sz w:val="20"/>
          <w:szCs w:val="20"/>
          <w:lang w:val="en-US"/>
        </w:rPr>
        <w:t xml:space="preserve">2005; Shang </w:t>
      </w:r>
      <w:r w:rsidR="00F65938" w:rsidRPr="00B72859">
        <w:rPr>
          <w:rFonts w:ascii="Times New Roman" w:hAnsi="Times New Roman" w:cs="Times New Roman"/>
          <w:i/>
          <w:iCs/>
          <w:sz w:val="20"/>
          <w:szCs w:val="20"/>
          <w:lang w:val="en-US"/>
        </w:rPr>
        <w:t xml:space="preserve">et al., </w:t>
      </w:r>
      <w:r w:rsidR="00F65938" w:rsidRPr="00B72859">
        <w:rPr>
          <w:rFonts w:ascii="Times New Roman" w:hAnsi="Times New Roman" w:cs="Times New Roman"/>
          <w:sz w:val="20"/>
          <w:szCs w:val="20"/>
          <w:lang w:val="en-US"/>
        </w:rPr>
        <w:t xml:space="preserve">2007; WHO, 2011). </w:t>
      </w:r>
    </w:p>
    <w:p w:rsidR="007F2799" w:rsidRPr="00B72859" w:rsidRDefault="003029A6" w:rsidP="007F2799">
      <w:pPr>
        <w:shd w:val="clear" w:color="auto" w:fill="FFFFFF"/>
        <w:snapToGrid w:val="0"/>
        <w:spacing w:after="0" w:line="240" w:lineRule="auto"/>
        <w:ind w:firstLine="425"/>
        <w:contextualSpacing/>
        <w:jc w:val="both"/>
        <w:rPr>
          <w:rFonts w:ascii="Times New Roman" w:eastAsia="Times New Roman" w:hAnsi="Times New Roman" w:cs="Times New Roman"/>
          <w:color w:val="231F20"/>
          <w:sz w:val="20"/>
          <w:szCs w:val="20"/>
          <w:lang w:val="en-US"/>
        </w:rPr>
      </w:pPr>
      <w:r w:rsidRPr="00B72859">
        <w:rPr>
          <w:rFonts w:ascii="Times New Roman" w:eastAsia="Times New Roman" w:hAnsi="Times New Roman" w:cs="Times New Roman"/>
          <w:color w:val="231F20"/>
          <w:sz w:val="20"/>
          <w:szCs w:val="20"/>
          <w:lang w:val="en-US"/>
        </w:rPr>
        <w:t xml:space="preserve">The epidemiology of HBV </w:t>
      </w:r>
      <w:r w:rsidRPr="00B72859">
        <w:rPr>
          <w:rFonts w:ascii="Times New Roman" w:hAnsi="Times New Roman" w:cs="Times New Roman"/>
          <w:color w:val="000000" w:themeColor="text1"/>
          <w:sz w:val="20"/>
          <w:szCs w:val="20"/>
        </w:rPr>
        <w:t>e</w:t>
      </w:r>
      <w:r w:rsidR="00E13FF2" w:rsidRPr="00B72859">
        <w:rPr>
          <w:rFonts w:ascii="Times New Roman" w:hAnsi="Times New Roman" w:cs="Times New Roman"/>
          <w:color w:val="000000" w:themeColor="text1"/>
          <w:sz w:val="20"/>
          <w:szCs w:val="20"/>
        </w:rPr>
        <w:t xml:space="preserve">stimates </w:t>
      </w:r>
      <w:r w:rsidR="00EA31A7" w:rsidRPr="00B72859">
        <w:rPr>
          <w:rFonts w:ascii="Times New Roman" w:hAnsi="Times New Roman" w:cs="Times New Roman"/>
          <w:color w:val="000000" w:themeColor="text1"/>
          <w:sz w:val="20"/>
          <w:szCs w:val="20"/>
        </w:rPr>
        <w:t>350 million world’s populace are chronic HBV carriers (Locarnini</w:t>
      </w:r>
      <w:r w:rsidR="00EA31A7" w:rsidRPr="00B72859">
        <w:rPr>
          <w:rFonts w:ascii="Times New Roman" w:hAnsi="Times New Roman" w:cs="Times New Roman"/>
          <w:i/>
          <w:color w:val="000000" w:themeColor="text1"/>
          <w:sz w:val="20"/>
          <w:szCs w:val="20"/>
        </w:rPr>
        <w:t xml:space="preserve"> </w:t>
      </w:r>
      <w:r w:rsidR="00EA31A7" w:rsidRPr="00B72859">
        <w:rPr>
          <w:rFonts w:ascii="Times New Roman" w:hAnsi="Times New Roman" w:cs="Times New Roman"/>
          <w:i/>
          <w:color w:val="000000" w:themeColor="text1"/>
          <w:sz w:val="20"/>
          <w:szCs w:val="20"/>
        </w:rPr>
        <w:lastRenderedPageBreak/>
        <w:t>et al.,</w:t>
      </w:r>
      <w:r w:rsidR="00EA31A7" w:rsidRPr="00B72859">
        <w:rPr>
          <w:rFonts w:ascii="Times New Roman" w:hAnsi="Times New Roman" w:cs="Times New Roman"/>
          <w:color w:val="000000" w:themeColor="text1"/>
          <w:sz w:val="20"/>
          <w:szCs w:val="20"/>
        </w:rPr>
        <w:t xml:space="preserve"> 2015). Approximately 500 thousand to 1 million persons die yearly from liver diseases caused by HBV (Hou</w:t>
      </w:r>
      <w:r w:rsidR="00EA31A7" w:rsidRPr="00B72859">
        <w:rPr>
          <w:rFonts w:ascii="Times New Roman" w:hAnsi="Times New Roman" w:cs="Times New Roman"/>
          <w:i/>
          <w:color w:val="000000" w:themeColor="text1"/>
          <w:sz w:val="20"/>
          <w:szCs w:val="20"/>
        </w:rPr>
        <w:t xml:space="preserve"> et al.,</w:t>
      </w:r>
      <w:r w:rsidR="00EA31A7" w:rsidRPr="00B72859">
        <w:rPr>
          <w:rFonts w:ascii="Times New Roman" w:hAnsi="Times New Roman" w:cs="Times New Roman"/>
          <w:color w:val="000000" w:themeColor="text1"/>
          <w:sz w:val="20"/>
          <w:szCs w:val="20"/>
        </w:rPr>
        <w:t xml:space="preserve"> 2005).</w:t>
      </w:r>
      <w:r w:rsidR="00F65938" w:rsidRPr="00B72859">
        <w:rPr>
          <w:rFonts w:ascii="Times New Roman" w:hAnsi="Times New Roman" w:cs="Times New Roman"/>
          <w:color w:val="000000" w:themeColor="text1"/>
          <w:sz w:val="20"/>
          <w:szCs w:val="20"/>
        </w:rPr>
        <w:t xml:space="preserve"> The prevalence of HBV in Nigeria was said to be 12.2% (Olayinka </w:t>
      </w:r>
      <w:r w:rsidR="00F65938" w:rsidRPr="00B72859">
        <w:rPr>
          <w:rFonts w:ascii="Times New Roman" w:hAnsi="Times New Roman" w:cs="Times New Roman"/>
          <w:i/>
          <w:color w:val="000000" w:themeColor="text1"/>
          <w:sz w:val="20"/>
          <w:szCs w:val="20"/>
        </w:rPr>
        <w:t xml:space="preserve">et al., </w:t>
      </w:r>
      <w:r w:rsidR="00F65938" w:rsidRPr="00B72859">
        <w:rPr>
          <w:rFonts w:ascii="Times New Roman" w:hAnsi="Times New Roman" w:cs="Times New Roman"/>
          <w:color w:val="000000" w:themeColor="text1"/>
          <w:sz w:val="20"/>
          <w:szCs w:val="20"/>
        </w:rPr>
        <w:t xml:space="preserve">2016). </w:t>
      </w:r>
      <w:r w:rsidR="00EA31A7" w:rsidRPr="00B72859">
        <w:rPr>
          <w:rFonts w:ascii="Times New Roman" w:eastAsia="Times New Roman" w:hAnsi="Times New Roman" w:cs="Times New Roman"/>
          <w:color w:val="000000" w:themeColor="text1"/>
          <w:sz w:val="20"/>
          <w:szCs w:val="20"/>
        </w:rPr>
        <w:t xml:space="preserve">The HBV DNA </w:t>
      </w:r>
      <w:r w:rsidR="00EA31A7" w:rsidRPr="00B72859">
        <w:rPr>
          <w:rFonts w:ascii="Times New Roman" w:eastAsia="Times New Roman" w:hAnsi="Times New Roman" w:cs="Times New Roman"/>
          <w:color w:val="000000" w:themeColor="text1"/>
          <w:sz w:val="20"/>
          <w:szCs w:val="20"/>
          <w:lang w:val="en-US"/>
        </w:rPr>
        <w:t>l</w:t>
      </w:r>
      <w:r w:rsidR="00EA31A7" w:rsidRPr="00B72859">
        <w:rPr>
          <w:rFonts w:ascii="Times New Roman" w:eastAsia="Times New Roman" w:hAnsi="Times New Roman" w:cs="Times New Roman"/>
          <w:color w:val="000000" w:themeColor="text1"/>
          <w:sz w:val="20"/>
          <w:szCs w:val="20"/>
        </w:rPr>
        <w:t>eve</w:t>
      </w:r>
      <w:r w:rsidR="00EA31A7" w:rsidRPr="00B72859">
        <w:rPr>
          <w:rFonts w:ascii="Times New Roman" w:eastAsia="Times New Roman" w:hAnsi="Times New Roman" w:cs="Times New Roman"/>
          <w:color w:val="000000" w:themeColor="text1"/>
          <w:sz w:val="20"/>
          <w:szCs w:val="20"/>
          <w:lang w:val="en-US"/>
        </w:rPr>
        <w:t>l</w:t>
      </w:r>
      <w:r w:rsidR="00EA31A7" w:rsidRPr="00B72859">
        <w:rPr>
          <w:rFonts w:ascii="Times New Roman" w:eastAsia="Times New Roman" w:hAnsi="Times New Roman" w:cs="Times New Roman"/>
          <w:color w:val="000000" w:themeColor="text1"/>
          <w:sz w:val="20"/>
          <w:szCs w:val="20"/>
        </w:rPr>
        <w:t xml:space="preserve"> and HBeAg positivity is the main marker for HBV to progress into HCC (Locarnini</w:t>
      </w:r>
      <w:r w:rsidR="00EA31A7" w:rsidRPr="00B72859">
        <w:rPr>
          <w:rFonts w:ascii="Times New Roman" w:eastAsia="Times New Roman" w:hAnsi="Times New Roman" w:cs="Times New Roman"/>
          <w:i/>
          <w:color w:val="000000" w:themeColor="text1"/>
          <w:sz w:val="20"/>
          <w:szCs w:val="20"/>
        </w:rPr>
        <w:t xml:space="preserve"> et al.,</w:t>
      </w:r>
      <w:r w:rsidR="00EA31A7" w:rsidRPr="00B72859">
        <w:rPr>
          <w:rFonts w:ascii="Times New Roman" w:eastAsia="Times New Roman" w:hAnsi="Times New Roman" w:cs="Times New Roman"/>
          <w:color w:val="000000" w:themeColor="text1"/>
          <w:sz w:val="20"/>
          <w:szCs w:val="20"/>
        </w:rPr>
        <w:t xml:space="preserve"> 2015)</w:t>
      </w:r>
      <w:r w:rsidR="00EA31A7" w:rsidRPr="00B72859">
        <w:rPr>
          <w:rFonts w:ascii="Times New Roman" w:hAnsi="Times New Roman" w:cs="Times New Roman"/>
          <w:color w:val="000000" w:themeColor="text1"/>
          <w:sz w:val="20"/>
          <w:szCs w:val="20"/>
        </w:rPr>
        <w:t xml:space="preserve">. The incidence of HCC was 324/100,000 persons per year for HBsAg positive and, HBeAg-negative persons, 39/100,000 persons per year of those who were HBsAg negative and 1169/100,000 person per year for HBeAg and HBsAg positive persons </w:t>
      </w:r>
      <w:r w:rsidR="00EA31A7" w:rsidRPr="00B72859">
        <w:rPr>
          <w:rFonts w:ascii="Times New Roman" w:eastAsia="Times New Roman" w:hAnsi="Times New Roman" w:cs="Times New Roman"/>
          <w:color w:val="000000" w:themeColor="text1"/>
          <w:sz w:val="20"/>
          <w:szCs w:val="20"/>
        </w:rPr>
        <w:t>(Locarnini</w:t>
      </w:r>
      <w:r w:rsidR="00EA31A7" w:rsidRPr="00B72859">
        <w:rPr>
          <w:rFonts w:ascii="Times New Roman" w:eastAsia="Times New Roman" w:hAnsi="Times New Roman" w:cs="Times New Roman"/>
          <w:i/>
          <w:color w:val="000000" w:themeColor="text1"/>
          <w:sz w:val="20"/>
          <w:szCs w:val="20"/>
        </w:rPr>
        <w:t xml:space="preserve"> et al.,</w:t>
      </w:r>
      <w:r w:rsidR="00EA31A7" w:rsidRPr="00B72859">
        <w:rPr>
          <w:rFonts w:ascii="Times New Roman" w:eastAsia="Times New Roman" w:hAnsi="Times New Roman" w:cs="Times New Roman"/>
          <w:color w:val="000000" w:themeColor="text1"/>
          <w:sz w:val="20"/>
          <w:szCs w:val="20"/>
        </w:rPr>
        <w:t xml:space="preserve"> 2015)</w:t>
      </w:r>
      <w:r w:rsidR="00EA31A7" w:rsidRPr="00B72859">
        <w:rPr>
          <w:rFonts w:ascii="Times New Roman" w:hAnsi="Times New Roman" w:cs="Times New Roman"/>
          <w:color w:val="000000" w:themeColor="text1"/>
          <w:sz w:val="20"/>
          <w:szCs w:val="20"/>
        </w:rPr>
        <w:t xml:space="preserve">. </w:t>
      </w:r>
    </w:p>
    <w:p w:rsidR="007F2799" w:rsidRPr="00B72859" w:rsidRDefault="00EA31A7" w:rsidP="007F2799">
      <w:pPr>
        <w:shd w:val="clear" w:color="FFFFFF" w:fill="FFFFFF"/>
        <w:snapToGrid w:val="0"/>
        <w:spacing w:after="0" w:line="240" w:lineRule="auto"/>
        <w:ind w:firstLine="425"/>
        <w:contextualSpacing/>
        <w:jc w:val="both"/>
        <w:outlineLvl w:val="1"/>
        <w:rPr>
          <w:rFonts w:ascii="Times New Roman" w:eastAsia="Times New Roman" w:hAnsi="Times New Roman" w:cs="Times New Roman"/>
          <w:color w:val="000000" w:themeColor="text1"/>
          <w:sz w:val="20"/>
          <w:szCs w:val="20"/>
        </w:rPr>
      </w:pPr>
      <w:r w:rsidRPr="00B72859">
        <w:rPr>
          <w:rFonts w:ascii="Times New Roman" w:eastAsia="Times New Roman" w:hAnsi="Times New Roman" w:cs="Times New Roman"/>
          <w:color w:val="000000" w:themeColor="text1"/>
          <w:sz w:val="20"/>
          <w:szCs w:val="20"/>
          <w:lang w:val="en-US"/>
        </w:rPr>
        <w:t xml:space="preserve">About </w:t>
      </w:r>
      <w:r w:rsidRPr="00B72859">
        <w:rPr>
          <w:rFonts w:ascii="Times New Roman" w:eastAsia="Times New Roman" w:hAnsi="Times New Roman" w:cs="Times New Roman"/>
          <w:color w:val="000000" w:themeColor="text1"/>
          <w:sz w:val="20"/>
          <w:szCs w:val="20"/>
        </w:rPr>
        <w:t xml:space="preserve">120 million persons were HBV positive in China as at 2010 and 40 million and 12 million, in India and Indonesia respectively. </w:t>
      </w:r>
      <w:r w:rsidRPr="00B72859">
        <w:rPr>
          <w:rFonts w:ascii="Times New Roman" w:eastAsia="Times New Roman" w:hAnsi="Times New Roman" w:cs="Times New Roman"/>
          <w:color w:val="000000" w:themeColor="text1"/>
          <w:sz w:val="20"/>
          <w:szCs w:val="20"/>
          <w:lang w:val="en-US"/>
        </w:rPr>
        <w:t xml:space="preserve">About </w:t>
      </w:r>
      <w:r w:rsidRPr="00B72859">
        <w:rPr>
          <w:rFonts w:ascii="Times New Roman" w:eastAsia="Times New Roman" w:hAnsi="Times New Roman" w:cs="Times New Roman"/>
          <w:color w:val="000000" w:themeColor="text1"/>
          <w:sz w:val="20"/>
          <w:szCs w:val="20"/>
        </w:rPr>
        <w:t xml:space="preserve">600,000 people die annually from the disease as </w:t>
      </w:r>
      <w:r w:rsidRPr="00B72859">
        <w:rPr>
          <w:rFonts w:ascii="Times New Roman" w:eastAsia="Times New Roman" w:hAnsi="Times New Roman" w:cs="Times New Roman"/>
          <w:color w:val="000000" w:themeColor="text1"/>
          <w:sz w:val="20"/>
          <w:szCs w:val="20"/>
          <w:lang w:val="en-US"/>
        </w:rPr>
        <w:t>estimated by</w:t>
      </w:r>
      <w:r w:rsidR="004A2AD6" w:rsidRPr="00B72859">
        <w:rPr>
          <w:rFonts w:ascii="Times New Roman" w:eastAsia="Times New Roman" w:hAnsi="Times New Roman" w:cs="Times New Roman"/>
          <w:color w:val="000000" w:themeColor="text1"/>
          <w:sz w:val="20"/>
          <w:szCs w:val="20"/>
        </w:rPr>
        <w:t xml:space="preserve">the </w:t>
      </w:r>
      <w:r w:rsidRPr="00B72859">
        <w:rPr>
          <w:rFonts w:ascii="Times New Roman" w:eastAsia="Times New Roman" w:hAnsi="Times New Roman" w:cs="Times New Roman"/>
          <w:color w:val="000000" w:themeColor="text1"/>
          <w:sz w:val="20"/>
          <w:szCs w:val="20"/>
        </w:rPr>
        <w:t>World Health Organization (</w:t>
      </w:r>
      <w:r w:rsidRPr="00B72859">
        <w:rPr>
          <w:rFonts w:ascii="Times New Roman" w:eastAsia="Times New Roman" w:hAnsi="Times New Roman" w:cs="Times New Roman"/>
          <w:color w:val="000000" w:themeColor="text1"/>
          <w:sz w:val="20"/>
          <w:szCs w:val="20"/>
          <w:lang w:val="en-US"/>
        </w:rPr>
        <w:t>WHO</w:t>
      </w:r>
      <w:r w:rsidRPr="00B72859">
        <w:rPr>
          <w:rFonts w:ascii="Times New Roman" w:eastAsia="Times New Roman" w:hAnsi="Times New Roman" w:cs="Times New Roman"/>
          <w:color w:val="000000" w:themeColor="text1"/>
          <w:sz w:val="20"/>
          <w:szCs w:val="20"/>
        </w:rPr>
        <w:t>).</w:t>
      </w:r>
    </w:p>
    <w:p w:rsidR="004323D6" w:rsidRPr="00B72859" w:rsidRDefault="00E13FF2" w:rsidP="00B72859">
      <w:pPr>
        <w:shd w:val="clear" w:color="FFFFFF" w:fill="FFFFFF"/>
        <w:snapToGrid w:val="0"/>
        <w:spacing w:after="0" w:line="240" w:lineRule="auto"/>
        <w:ind w:firstLine="425"/>
        <w:contextualSpacing/>
        <w:jc w:val="both"/>
        <w:outlineLvl w:val="1"/>
        <w:rPr>
          <w:rFonts w:ascii="Times New Roman" w:eastAsiaTheme="minorEastAsia" w:hAnsi="Times New Roman" w:cs="Times New Roman"/>
          <w:b/>
          <w:bCs/>
          <w:sz w:val="20"/>
          <w:szCs w:val="20"/>
          <w:lang w:val="en-US" w:eastAsia="zh-CN"/>
        </w:rPr>
      </w:pPr>
      <w:r w:rsidRPr="00B72859">
        <w:rPr>
          <w:rFonts w:ascii="Times New Roman" w:hAnsi="Times New Roman" w:cs="Times New Roman"/>
          <w:color w:val="000000" w:themeColor="text1"/>
          <w:sz w:val="20"/>
          <w:szCs w:val="20"/>
        </w:rPr>
        <w:t>The risk of transmitting this TTI can be reduced by screening donors blood and asking important questions about their lifestyle and general health preceding the donation process.</w:t>
      </w:r>
    </w:p>
    <w:p w:rsidR="004323D6" w:rsidRPr="00B72859" w:rsidRDefault="004323D6" w:rsidP="007F2799">
      <w:pPr>
        <w:snapToGrid w:val="0"/>
        <w:spacing w:after="0" w:line="240" w:lineRule="auto"/>
        <w:contextualSpacing/>
        <w:jc w:val="both"/>
        <w:rPr>
          <w:rFonts w:ascii="Times New Roman" w:eastAsiaTheme="minorEastAsia" w:hAnsi="Times New Roman" w:cs="Times New Roman"/>
          <w:b/>
          <w:bCs/>
          <w:sz w:val="20"/>
          <w:szCs w:val="20"/>
          <w:lang w:val="en-US" w:eastAsia="zh-CN"/>
        </w:rPr>
        <w:sectPr w:rsidR="004323D6" w:rsidRPr="00B72859" w:rsidSect="007F2799">
          <w:type w:val="continuous"/>
          <w:pgSz w:w="12240" w:h="15840"/>
          <w:pgMar w:top="1440" w:right="1440" w:bottom="1440" w:left="1440" w:header="720" w:footer="720" w:gutter="0"/>
          <w:cols w:num="2" w:space="550"/>
          <w:docGrid w:linePitch="360"/>
        </w:sectPr>
      </w:pPr>
    </w:p>
    <w:p w:rsidR="00B72859" w:rsidRDefault="00B72859" w:rsidP="00B72859">
      <w:pPr>
        <w:snapToGrid w:val="0"/>
        <w:spacing w:after="0" w:line="240" w:lineRule="auto"/>
        <w:contextualSpacing/>
        <w:jc w:val="both"/>
        <w:rPr>
          <w:rFonts w:ascii="Times New Roman" w:eastAsiaTheme="minorEastAsia" w:hAnsi="Times New Roman" w:cs="Times New Roman" w:hint="eastAsia"/>
          <w:sz w:val="20"/>
          <w:szCs w:val="20"/>
          <w:lang w:eastAsia="zh-CN"/>
        </w:rPr>
      </w:pPr>
      <w:r w:rsidRPr="00B72859">
        <w:rPr>
          <w:rFonts w:ascii="Times New Roman" w:hAnsi="Times New Roman" w:cs="Times New Roman"/>
          <w:b/>
          <w:bCs/>
          <w:sz w:val="20"/>
          <w:szCs w:val="20"/>
          <w:lang w:val="en-US"/>
        </w:rPr>
        <w:lastRenderedPageBreak/>
        <w:t>2. Materials And Methods</w:t>
      </w:r>
      <w:r w:rsidRPr="00B72859">
        <w:rPr>
          <w:rFonts w:ascii="Times New Roman" w:hAnsi="Times New Roman" w:cs="Times New Roman"/>
          <w:sz w:val="20"/>
          <w:szCs w:val="20"/>
        </w:rPr>
        <w:t xml:space="preserve"> </w:t>
      </w:r>
    </w:p>
    <w:p w:rsidR="00CA661E" w:rsidRPr="00B72859" w:rsidRDefault="00D93ED2" w:rsidP="007F2799">
      <w:pPr>
        <w:snapToGrid w:val="0"/>
        <w:spacing w:after="0" w:line="240" w:lineRule="auto"/>
        <w:ind w:firstLine="425"/>
        <w:contextualSpacing/>
        <w:jc w:val="both"/>
        <w:rPr>
          <w:rFonts w:ascii="Times New Roman" w:hAnsi="Times New Roman" w:cs="Times New Roman"/>
          <w:sz w:val="20"/>
          <w:szCs w:val="20"/>
        </w:rPr>
      </w:pPr>
      <w:r w:rsidRPr="00B72859">
        <w:rPr>
          <w:rFonts w:ascii="Times New Roman" w:hAnsi="Times New Roman" w:cs="Times New Roman"/>
          <w:sz w:val="20"/>
          <w:szCs w:val="20"/>
        </w:rPr>
        <w:t>A</w:t>
      </w:r>
      <w:r w:rsidR="00E13FF2" w:rsidRPr="00B72859">
        <w:rPr>
          <w:rFonts w:ascii="Times New Roman" w:hAnsi="Times New Roman" w:cs="Times New Roman"/>
          <w:sz w:val="20"/>
          <w:szCs w:val="20"/>
        </w:rPr>
        <w:t>s this study invo</w:t>
      </w:r>
      <w:r w:rsidR="002D4808" w:rsidRPr="00B72859">
        <w:rPr>
          <w:rFonts w:ascii="Times New Roman" w:hAnsi="Times New Roman" w:cs="Times New Roman"/>
          <w:sz w:val="20"/>
          <w:szCs w:val="20"/>
        </w:rPr>
        <w:t>l</w:t>
      </w:r>
      <w:r w:rsidR="00E13FF2" w:rsidRPr="00B72859">
        <w:rPr>
          <w:rFonts w:ascii="Times New Roman" w:hAnsi="Times New Roman" w:cs="Times New Roman"/>
          <w:sz w:val="20"/>
          <w:szCs w:val="20"/>
        </w:rPr>
        <w:t>ves humans, ethical approval was sort from both hospitals (Meridian Hospital and Rivers State University Teaching Hospital)</w:t>
      </w:r>
      <w:r w:rsidR="00F10AA0" w:rsidRPr="00B72859">
        <w:rPr>
          <w:rFonts w:ascii="Times New Roman" w:hAnsi="Times New Roman" w:cs="Times New Roman"/>
          <w:sz w:val="20"/>
          <w:szCs w:val="20"/>
        </w:rPr>
        <w:t xml:space="preserve"> </w:t>
      </w:r>
      <w:r w:rsidR="002D4808" w:rsidRPr="00B72859">
        <w:rPr>
          <w:rFonts w:ascii="Times New Roman" w:hAnsi="Times New Roman" w:cs="Times New Roman"/>
          <w:sz w:val="20"/>
          <w:szCs w:val="20"/>
        </w:rPr>
        <w:t>and the Research and Ethic</w:t>
      </w:r>
      <w:r w:rsidR="00712113" w:rsidRPr="00B72859">
        <w:rPr>
          <w:rFonts w:ascii="Times New Roman" w:hAnsi="Times New Roman" w:cs="Times New Roman"/>
          <w:sz w:val="20"/>
          <w:szCs w:val="20"/>
        </w:rPr>
        <w:t>s</w:t>
      </w:r>
      <w:r w:rsidR="002D4808" w:rsidRPr="00B72859">
        <w:rPr>
          <w:rFonts w:ascii="Times New Roman" w:hAnsi="Times New Roman" w:cs="Times New Roman"/>
          <w:sz w:val="20"/>
          <w:szCs w:val="20"/>
        </w:rPr>
        <w:t xml:space="preserve"> committee of </w:t>
      </w:r>
      <w:r w:rsidR="00712113" w:rsidRPr="00B72859">
        <w:rPr>
          <w:rFonts w:ascii="Times New Roman" w:hAnsi="Times New Roman" w:cs="Times New Roman"/>
          <w:sz w:val="20"/>
          <w:szCs w:val="20"/>
        </w:rPr>
        <w:t xml:space="preserve">the </w:t>
      </w:r>
      <w:r w:rsidR="002D4808" w:rsidRPr="00B72859">
        <w:rPr>
          <w:rFonts w:ascii="Times New Roman" w:hAnsi="Times New Roman" w:cs="Times New Roman"/>
          <w:sz w:val="20"/>
          <w:szCs w:val="20"/>
        </w:rPr>
        <w:t>University of Port Harcourt, Rivers State. A</w:t>
      </w:r>
      <w:r w:rsidRPr="00B72859">
        <w:rPr>
          <w:rFonts w:ascii="Times New Roman" w:hAnsi="Times New Roman" w:cs="Times New Roman"/>
          <w:sz w:val="20"/>
          <w:szCs w:val="20"/>
        </w:rPr>
        <w:t xml:space="preserve"> sum of 182 males who intend to donate blood at </w:t>
      </w:r>
      <w:r w:rsidR="002D4808" w:rsidRPr="00B72859">
        <w:rPr>
          <w:rFonts w:ascii="Times New Roman" w:hAnsi="Times New Roman" w:cs="Times New Roman"/>
          <w:sz w:val="20"/>
          <w:szCs w:val="20"/>
        </w:rPr>
        <w:t xml:space="preserve">these Hospitals </w:t>
      </w:r>
      <w:r w:rsidRPr="00B72859">
        <w:rPr>
          <w:rFonts w:ascii="Times New Roman" w:hAnsi="Times New Roman" w:cs="Times New Roman"/>
          <w:sz w:val="20"/>
          <w:szCs w:val="20"/>
        </w:rPr>
        <w:t>w</w:t>
      </w:r>
      <w:r w:rsidR="00712113" w:rsidRPr="00B72859">
        <w:rPr>
          <w:rFonts w:ascii="Times New Roman" w:hAnsi="Times New Roman" w:cs="Times New Roman"/>
          <w:sz w:val="20"/>
          <w:szCs w:val="20"/>
        </w:rPr>
        <w:t>as</w:t>
      </w:r>
      <w:r w:rsidRPr="00B72859">
        <w:rPr>
          <w:rFonts w:ascii="Times New Roman" w:hAnsi="Times New Roman" w:cs="Times New Roman"/>
          <w:sz w:val="20"/>
          <w:szCs w:val="20"/>
        </w:rPr>
        <w:t xml:space="preserve"> en</w:t>
      </w:r>
      <w:r w:rsidR="002D4808" w:rsidRPr="00B72859">
        <w:rPr>
          <w:rFonts w:ascii="Times New Roman" w:hAnsi="Times New Roman" w:cs="Times New Roman"/>
          <w:sz w:val="20"/>
          <w:szCs w:val="20"/>
        </w:rPr>
        <w:t>rolled in this survey. For the design</w:t>
      </w:r>
      <w:r w:rsidRPr="00B72859">
        <w:rPr>
          <w:rFonts w:ascii="Times New Roman" w:hAnsi="Times New Roman" w:cs="Times New Roman"/>
          <w:sz w:val="20"/>
          <w:szCs w:val="20"/>
        </w:rPr>
        <w:t xml:space="preserve"> of this s</w:t>
      </w:r>
      <w:r w:rsidR="004A2AD6" w:rsidRPr="00B72859">
        <w:rPr>
          <w:rFonts w:ascii="Times New Roman" w:hAnsi="Times New Roman" w:cs="Times New Roman"/>
          <w:sz w:val="20"/>
          <w:szCs w:val="20"/>
        </w:rPr>
        <w:t>tudy,</w:t>
      </w:r>
      <w:r w:rsidRPr="00B72859">
        <w:rPr>
          <w:rFonts w:ascii="Times New Roman" w:hAnsi="Times New Roman" w:cs="Times New Roman"/>
          <w:sz w:val="20"/>
          <w:szCs w:val="20"/>
        </w:rPr>
        <w:t xml:space="preserve"> these Hospitals w</w:t>
      </w:r>
      <w:r w:rsidRPr="00B72859">
        <w:rPr>
          <w:rFonts w:ascii="Times New Roman" w:hAnsi="Times New Roman" w:cs="Times New Roman"/>
          <w:sz w:val="20"/>
          <w:szCs w:val="20"/>
          <w:lang w:val="en-US"/>
        </w:rPr>
        <w:t>ere</w:t>
      </w:r>
      <w:r w:rsidRPr="00B72859">
        <w:rPr>
          <w:rFonts w:ascii="Times New Roman" w:hAnsi="Times New Roman" w:cs="Times New Roman"/>
          <w:sz w:val="20"/>
          <w:szCs w:val="20"/>
        </w:rPr>
        <w:t xml:space="preserve"> labe</w:t>
      </w:r>
      <w:r w:rsidR="004A2AD6" w:rsidRPr="00B72859">
        <w:rPr>
          <w:rFonts w:ascii="Times New Roman" w:hAnsi="Times New Roman" w:cs="Times New Roman"/>
          <w:sz w:val="20"/>
          <w:szCs w:val="20"/>
        </w:rPr>
        <w:t>l</w:t>
      </w:r>
      <w:r w:rsidRPr="00B72859">
        <w:rPr>
          <w:rFonts w:ascii="Times New Roman" w:hAnsi="Times New Roman" w:cs="Times New Roman"/>
          <w:sz w:val="20"/>
          <w:szCs w:val="20"/>
        </w:rPr>
        <w:t xml:space="preserve">led Hospital 1 and Hospital 2 respectively. </w:t>
      </w:r>
      <w:r w:rsidR="002D4808" w:rsidRPr="00B72859">
        <w:rPr>
          <w:rFonts w:ascii="Times New Roman" w:hAnsi="Times New Roman" w:cs="Times New Roman"/>
          <w:sz w:val="20"/>
          <w:szCs w:val="20"/>
        </w:rPr>
        <w:t>Females were excluded from this study. Patients having this infection were adviced not to donate blood and get the necessary treatment.</w:t>
      </w:r>
    </w:p>
    <w:p w:rsidR="007F2799" w:rsidRPr="00B72859" w:rsidRDefault="00290333" w:rsidP="007F2799">
      <w:pPr>
        <w:snapToGrid w:val="0"/>
        <w:spacing w:after="0" w:line="240" w:lineRule="auto"/>
        <w:ind w:firstLine="425"/>
        <w:contextualSpacing/>
        <w:jc w:val="both"/>
        <w:rPr>
          <w:rFonts w:ascii="Times New Roman" w:hAnsi="Times New Roman" w:cs="Times New Roman"/>
          <w:sz w:val="20"/>
          <w:szCs w:val="20"/>
        </w:rPr>
      </w:pPr>
      <w:r w:rsidRPr="00B72859">
        <w:rPr>
          <w:rFonts w:ascii="Times New Roman" w:hAnsi="Times New Roman" w:cs="Times New Roman"/>
          <w:sz w:val="20"/>
          <w:szCs w:val="20"/>
        </w:rPr>
        <w:t>Data w</w:t>
      </w:r>
      <w:r w:rsidR="00712113" w:rsidRPr="00B72859">
        <w:rPr>
          <w:rFonts w:ascii="Times New Roman" w:hAnsi="Times New Roman" w:cs="Times New Roman"/>
          <w:sz w:val="20"/>
          <w:szCs w:val="20"/>
        </w:rPr>
        <w:t>ere</w:t>
      </w:r>
      <w:r w:rsidRPr="00B72859">
        <w:rPr>
          <w:rFonts w:ascii="Times New Roman" w:hAnsi="Times New Roman" w:cs="Times New Roman"/>
          <w:sz w:val="20"/>
          <w:szCs w:val="20"/>
        </w:rPr>
        <w:t xml:space="preserve"> analysed using Microsoft Excel spreadsheet (Microsoft Corporation). The </w:t>
      </w:r>
      <w:r w:rsidRPr="00B72859">
        <w:rPr>
          <w:rFonts w:ascii="Times New Roman" w:hAnsi="Times New Roman" w:cs="Times New Roman"/>
          <w:sz w:val="20"/>
          <w:szCs w:val="20"/>
          <w:lang w:val="en-US"/>
        </w:rPr>
        <w:t>seroprevalence was</w:t>
      </w:r>
      <w:r w:rsidRPr="00B72859">
        <w:rPr>
          <w:rFonts w:ascii="Times New Roman" w:hAnsi="Times New Roman" w:cs="Times New Roman"/>
          <w:sz w:val="20"/>
          <w:szCs w:val="20"/>
        </w:rPr>
        <w:t xml:space="preserve"> calculated. Pearson’s Chi-square test was used to establish relationships between demographic factors and seropositivity of </w:t>
      </w:r>
      <w:r w:rsidRPr="00B72859">
        <w:rPr>
          <w:rFonts w:ascii="Times New Roman" w:hAnsi="Times New Roman" w:cs="Times New Roman"/>
          <w:sz w:val="20"/>
          <w:szCs w:val="20"/>
          <w:lang w:val="en-US"/>
        </w:rPr>
        <w:t xml:space="preserve">syphilis and HBV. </w:t>
      </w:r>
      <w:r w:rsidR="00B72859" w:rsidRPr="00B72859">
        <w:rPr>
          <w:rFonts w:ascii="Times New Roman" w:hAnsi="Times New Roman" w:cs="Times New Roman"/>
          <w:sz w:val="20"/>
          <w:szCs w:val="20"/>
          <w:lang w:val="en-US"/>
        </w:rPr>
        <w:t>The level</w:t>
      </w:r>
      <w:r w:rsidRPr="00B72859">
        <w:rPr>
          <w:rFonts w:ascii="Times New Roman" w:hAnsi="Times New Roman" w:cs="Times New Roman"/>
          <w:sz w:val="20"/>
          <w:szCs w:val="20"/>
          <w:lang w:val="en-US"/>
        </w:rPr>
        <w:t xml:space="preserve"> of significance</w:t>
      </w:r>
      <w:r w:rsidRPr="00B72859">
        <w:rPr>
          <w:rFonts w:ascii="Times New Roman" w:hAnsi="Times New Roman" w:cs="Times New Roman"/>
          <w:sz w:val="20"/>
          <w:szCs w:val="20"/>
        </w:rPr>
        <w:t xml:space="preserve"> was set at P ≤ 0.05.</w:t>
      </w:r>
    </w:p>
    <w:p w:rsidR="00B72859" w:rsidRDefault="00B72859" w:rsidP="007F2799">
      <w:pPr>
        <w:autoSpaceDE w:val="0"/>
        <w:autoSpaceDN w:val="0"/>
        <w:adjustRightInd w:val="0"/>
        <w:snapToGrid w:val="0"/>
        <w:spacing w:after="0" w:line="240" w:lineRule="auto"/>
        <w:contextualSpacing/>
        <w:jc w:val="both"/>
        <w:rPr>
          <w:rFonts w:ascii="Times New Roman" w:eastAsiaTheme="minorEastAsia" w:hAnsi="Times New Roman" w:cs="Times New Roman" w:hint="eastAsia"/>
          <w:b/>
          <w:sz w:val="20"/>
          <w:szCs w:val="20"/>
          <w:lang w:eastAsia="zh-CN"/>
        </w:rPr>
      </w:pPr>
    </w:p>
    <w:p w:rsidR="007F2799" w:rsidRPr="00B72859" w:rsidRDefault="00D93ED2" w:rsidP="007F2799">
      <w:pPr>
        <w:autoSpaceDE w:val="0"/>
        <w:autoSpaceDN w:val="0"/>
        <w:adjustRightInd w:val="0"/>
        <w:snapToGrid w:val="0"/>
        <w:spacing w:after="0" w:line="240" w:lineRule="auto"/>
        <w:contextualSpacing/>
        <w:jc w:val="both"/>
        <w:rPr>
          <w:rFonts w:ascii="Times New Roman" w:hAnsi="Times New Roman" w:cs="Times New Roman"/>
          <w:sz w:val="20"/>
          <w:szCs w:val="20"/>
        </w:rPr>
      </w:pPr>
      <w:r w:rsidRPr="00B72859">
        <w:rPr>
          <w:rFonts w:ascii="Times New Roman" w:hAnsi="Times New Roman" w:cs="Times New Roman"/>
          <w:b/>
          <w:sz w:val="20"/>
          <w:szCs w:val="20"/>
        </w:rPr>
        <w:t>2.</w:t>
      </w:r>
      <w:r w:rsidR="002D4808" w:rsidRPr="00B72859">
        <w:rPr>
          <w:rFonts w:ascii="Times New Roman" w:hAnsi="Times New Roman" w:cs="Times New Roman"/>
          <w:b/>
          <w:sz w:val="20"/>
          <w:szCs w:val="20"/>
        </w:rPr>
        <w:t>1</w:t>
      </w:r>
      <w:r w:rsidR="00B72859">
        <w:rPr>
          <w:rFonts w:ascii="Times New Roman" w:eastAsiaTheme="minorEastAsia" w:hAnsi="Times New Roman" w:cs="Times New Roman" w:hint="eastAsia"/>
          <w:b/>
          <w:sz w:val="20"/>
          <w:szCs w:val="20"/>
          <w:lang w:eastAsia="zh-CN"/>
        </w:rPr>
        <w:t xml:space="preserve"> </w:t>
      </w:r>
      <w:r w:rsidRPr="00B72859">
        <w:rPr>
          <w:rFonts w:ascii="Times New Roman" w:hAnsi="Times New Roman" w:cs="Times New Roman"/>
          <w:b/>
          <w:sz w:val="20"/>
          <w:szCs w:val="20"/>
        </w:rPr>
        <w:t xml:space="preserve">Sample Collection </w:t>
      </w:r>
    </w:p>
    <w:p w:rsidR="007F2799" w:rsidRPr="00B72859" w:rsidRDefault="002D4808" w:rsidP="007F2799">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B72859">
        <w:rPr>
          <w:rFonts w:ascii="Times New Roman" w:hAnsi="Times New Roman" w:cs="Times New Roman"/>
          <w:sz w:val="20"/>
          <w:szCs w:val="20"/>
        </w:rPr>
        <w:t>I</w:t>
      </w:r>
      <w:r w:rsidR="00D93ED2" w:rsidRPr="00B72859">
        <w:rPr>
          <w:rFonts w:ascii="Times New Roman" w:hAnsi="Times New Roman" w:cs="Times New Roman"/>
          <w:sz w:val="20"/>
          <w:szCs w:val="20"/>
        </w:rPr>
        <w:t xml:space="preserve">ntravenous blood samples were </w:t>
      </w:r>
      <w:r w:rsidR="00D93ED2" w:rsidRPr="00B72859">
        <w:rPr>
          <w:rFonts w:ascii="Times New Roman" w:hAnsi="Times New Roman" w:cs="Times New Roman"/>
          <w:sz w:val="20"/>
          <w:szCs w:val="20"/>
          <w:lang w:val="en-US"/>
        </w:rPr>
        <w:t>obtained</w:t>
      </w:r>
      <w:r w:rsidR="00D93ED2" w:rsidRPr="00B72859">
        <w:rPr>
          <w:rFonts w:ascii="Times New Roman" w:hAnsi="Times New Roman" w:cs="Times New Roman"/>
          <w:sz w:val="20"/>
          <w:szCs w:val="20"/>
        </w:rPr>
        <w:t xml:space="preserve"> aseptically using a 5-ml syringe and allowed to clot at room temperature in plain tubes. Serum specimens were separated by centrifugation at 3000rpm </w:t>
      </w:r>
      <w:r w:rsidR="00D93ED2" w:rsidRPr="00B72859">
        <w:rPr>
          <w:rFonts w:ascii="Times New Roman" w:hAnsi="Times New Roman" w:cs="Times New Roman"/>
          <w:sz w:val="20"/>
          <w:szCs w:val="20"/>
        </w:rPr>
        <w:lastRenderedPageBreak/>
        <w:t xml:space="preserve">(resolution per minute) for 5 min. The Sera were stored at -20°C and used for the serological analyses. </w:t>
      </w:r>
    </w:p>
    <w:p w:rsidR="00B72859" w:rsidRDefault="00B72859" w:rsidP="007F2799">
      <w:pPr>
        <w:tabs>
          <w:tab w:val="left" w:pos="2340"/>
        </w:tabs>
        <w:snapToGrid w:val="0"/>
        <w:spacing w:after="0" w:line="240" w:lineRule="auto"/>
        <w:contextualSpacing/>
        <w:jc w:val="both"/>
        <w:rPr>
          <w:rFonts w:ascii="Times New Roman" w:eastAsiaTheme="minorEastAsia" w:hAnsi="Times New Roman" w:cs="Times New Roman" w:hint="eastAsia"/>
          <w:b/>
          <w:sz w:val="20"/>
          <w:szCs w:val="20"/>
          <w:lang w:eastAsia="zh-CN"/>
        </w:rPr>
      </w:pPr>
    </w:p>
    <w:p w:rsidR="007F2799" w:rsidRPr="00B72859" w:rsidRDefault="00E00497" w:rsidP="007F2799">
      <w:pPr>
        <w:tabs>
          <w:tab w:val="left" w:pos="2340"/>
        </w:tabs>
        <w:snapToGrid w:val="0"/>
        <w:spacing w:after="0" w:line="240" w:lineRule="auto"/>
        <w:contextualSpacing/>
        <w:jc w:val="both"/>
        <w:rPr>
          <w:rFonts w:ascii="Times New Roman" w:hAnsi="Times New Roman" w:cs="Times New Roman"/>
          <w:sz w:val="20"/>
          <w:szCs w:val="20"/>
        </w:rPr>
      </w:pPr>
      <w:r w:rsidRPr="00B72859">
        <w:rPr>
          <w:rFonts w:ascii="Times New Roman" w:hAnsi="Times New Roman" w:cs="Times New Roman"/>
          <w:b/>
          <w:sz w:val="20"/>
          <w:szCs w:val="20"/>
        </w:rPr>
        <w:t>2.</w:t>
      </w:r>
      <w:r w:rsidR="002D4808" w:rsidRPr="00B72859">
        <w:rPr>
          <w:rFonts w:ascii="Times New Roman" w:hAnsi="Times New Roman" w:cs="Times New Roman"/>
          <w:b/>
          <w:sz w:val="20"/>
          <w:szCs w:val="20"/>
        </w:rPr>
        <w:t>2</w:t>
      </w:r>
      <w:r w:rsidR="00592C0A" w:rsidRPr="00B72859">
        <w:rPr>
          <w:rFonts w:ascii="Times New Roman" w:hAnsi="Times New Roman" w:cs="Times New Roman"/>
          <w:b/>
          <w:sz w:val="20"/>
          <w:szCs w:val="20"/>
        </w:rPr>
        <w:t>. H</w:t>
      </w:r>
      <w:r w:rsidR="006B1B8B" w:rsidRPr="00B72859">
        <w:rPr>
          <w:rFonts w:ascii="Times New Roman" w:hAnsi="Times New Roman" w:cs="Times New Roman"/>
          <w:b/>
          <w:sz w:val="20"/>
          <w:szCs w:val="20"/>
        </w:rPr>
        <w:t>epatitis B surface antigenemia analysis</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rPr>
        <w:t xml:space="preserve">HBV was detected using Monolisa HBsAg ULTRA (BIO-RAD, 3, Boulevard Raymond Poincare 92430 Marnes-la-Coquette France) for </w:t>
      </w:r>
      <w:r w:rsidRPr="00B72859">
        <w:rPr>
          <w:rFonts w:ascii="Times New Roman" w:hAnsi="Times New Roman" w:cs="Times New Roman"/>
          <w:sz w:val="20"/>
          <w:szCs w:val="20"/>
          <w:lang w:val="en-US"/>
        </w:rPr>
        <w:t>detecting</w:t>
      </w:r>
      <w:r w:rsidRPr="00B72859">
        <w:rPr>
          <w:rFonts w:ascii="Times New Roman" w:hAnsi="Times New Roman" w:cs="Times New Roman"/>
          <w:sz w:val="20"/>
          <w:szCs w:val="20"/>
        </w:rPr>
        <w:t xml:space="preserve"> hepatitis B surface antigen (HBsAg) in human serum by Enzyme Immunoassay Techni</w:t>
      </w:r>
      <w:r w:rsidR="002D4808" w:rsidRPr="00B72859">
        <w:rPr>
          <w:rFonts w:ascii="Times New Roman" w:hAnsi="Times New Roman" w:cs="Times New Roman"/>
          <w:sz w:val="20"/>
          <w:szCs w:val="20"/>
        </w:rPr>
        <w:t>que</w:t>
      </w:r>
      <w:r w:rsidR="00290333" w:rsidRPr="00B72859">
        <w:rPr>
          <w:rFonts w:ascii="Times New Roman" w:hAnsi="Times New Roman" w:cs="Times New Roman"/>
          <w:sz w:val="20"/>
          <w:szCs w:val="20"/>
        </w:rPr>
        <w:t xml:space="preserve">, following the instructions of the manufacturer. </w:t>
      </w:r>
    </w:p>
    <w:p w:rsidR="00CF6174" w:rsidRPr="00B72859" w:rsidRDefault="00CF6174" w:rsidP="007F2799">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p>
    <w:p w:rsidR="006B1B8B" w:rsidRPr="00B72859" w:rsidRDefault="007F2799" w:rsidP="007F2799">
      <w:pPr>
        <w:autoSpaceDE w:val="0"/>
        <w:autoSpaceDN w:val="0"/>
        <w:adjustRightInd w:val="0"/>
        <w:snapToGrid w:val="0"/>
        <w:spacing w:after="0" w:line="240" w:lineRule="auto"/>
        <w:contextualSpacing/>
        <w:jc w:val="both"/>
        <w:rPr>
          <w:rFonts w:ascii="Times New Roman" w:hAnsi="Times New Roman" w:cs="Times New Roman"/>
          <w:b/>
          <w:sz w:val="20"/>
          <w:szCs w:val="20"/>
        </w:rPr>
      </w:pPr>
      <w:r w:rsidRPr="00B72859">
        <w:rPr>
          <w:rFonts w:ascii="Times New Roman" w:hAnsi="Times New Roman" w:cs="Times New Roman"/>
          <w:b/>
          <w:sz w:val="20"/>
          <w:szCs w:val="20"/>
        </w:rPr>
        <w:t xml:space="preserve">3. </w:t>
      </w:r>
      <w:r w:rsidRPr="00B72859">
        <w:rPr>
          <w:rFonts w:ascii="Times New Roman" w:hAnsi="Times New Roman" w:cs="Times New Roman"/>
          <w:b/>
          <w:sz w:val="20"/>
          <w:szCs w:val="20"/>
          <w:lang w:val="en-US"/>
        </w:rPr>
        <w:t xml:space="preserve">Results </w:t>
      </w:r>
    </w:p>
    <w:p w:rsidR="006B1B8B" w:rsidRPr="00B72859" w:rsidRDefault="009878F2" w:rsidP="007F2799">
      <w:pPr>
        <w:snapToGrid w:val="0"/>
        <w:spacing w:after="0" w:line="240" w:lineRule="auto"/>
        <w:contextualSpacing/>
        <w:jc w:val="both"/>
        <w:rPr>
          <w:rFonts w:ascii="Times New Roman" w:eastAsia="SimSun" w:hAnsi="Times New Roman" w:cs="Times New Roman"/>
          <w:b/>
          <w:color w:val="000000"/>
          <w:sz w:val="20"/>
          <w:szCs w:val="20"/>
          <w:lang w:val="en-US" w:eastAsia="zh-CN"/>
        </w:rPr>
      </w:pPr>
      <w:r w:rsidRPr="00B72859">
        <w:rPr>
          <w:rFonts w:ascii="Times New Roman" w:eastAsia="SimSun" w:hAnsi="Times New Roman" w:cs="Times New Roman"/>
          <w:b/>
          <w:color w:val="000000"/>
          <w:sz w:val="20"/>
          <w:szCs w:val="20"/>
          <w:lang w:val="en-US" w:eastAsia="zh-CN"/>
        </w:rPr>
        <w:t>3.1</w:t>
      </w:r>
      <w:r w:rsidR="006B1B8B" w:rsidRPr="00B72859">
        <w:rPr>
          <w:rFonts w:ascii="Times New Roman" w:eastAsia="SimSun" w:hAnsi="Times New Roman" w:cs="Times New Roman"/>
          <w:b/>
          <w:color w:val="000000"/>
          <w:sz w:val="20"/>
          <w:szCs w:val="20"/>
          <w:lang w:val="en-US" w:eastAsia="zh-CN"/>
        </w:rPr>
        <w:t xml:space="preserve"> demographic factors of the male blood donors in both Hospitals.</w:t>
      </w:r>
    </w:p>
    <w:p w:rsidR="006B1B8B" w:rsidRPr="00B72859" w:rsidRDefault="00CC396F" w:rsidP="007F2799">
      <w:pPr>
        <w:snapToGrid w:val="0"/>
        <w:spacing w:after="0" w:line="240" w:lineRule="auto"/>
        <w:ind w:firstLine="425"/>
        <w:contextualSpacing/>
        <w:jc w:val="both"/>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color w:val="000000"/>
          <w:sz w:val="20"/>
          <w:szCs w:val="20"/>
          <w:lang w:val="en-US" w:eastAsia="zh-CN"/>
        </w:rPr>
        <w:t>The tota</w:t>
      </w:r>
      <w:r w:rsidR="00712113" w:rsidRPr="00B72859">
        <w:rPr>
          <w:rFonts w:ascii="Times New Roman" w:eastAsia="SimSun" w:hAnsi="Times New Roman" w:cs="Times New Roman"/>
          <w:color w:val="000000"/>
          <w:sz w:val="20"/>
          <w:szCs w:val="20"/>
          <w:lang w:val="en-US" w:eastAsia="zh-CN"/>
        </w:rPr>
        <w:t>l</w:t>
      </w:r>
      <w:r w:rsidRPr="00B72859">
        <w:rPr>
          <w:rFonts w:ascii="Times New Roman" w:eastAsia="SimSun" w:hAnsi="Times New Roman" w:cs="Times New Roman"/>
          <w:color w:val="000000"/>
          <w:sz w:val="20"/>
          <w:szCs w:val="20"/>
          <w:lang w:val="en-US" w:eastAsia="zh-CN"/>
        </w:rPr>
        <w:t xml:space="preserve"> of 182 intending males blood donors w</w:t>
      </w:r>
      <w:r w:rsidR="00712113" w:rsidRPr="00B72859">
        <w:rPr>
          <w:rFonts w:ascii="Times New Roman" w:eastAsia="SimSun" w:hAnsi="Times New Roman" w:cs="Times New Roman"/>
          <w:color w:val="000000"/>
          <w:sz w:val="20"/>
          <w:szCs w:val="20"/>
          <w:lang w:val="en-US" w:eastAsia="zh-CN"/>
        </w:rPr>
        <w:t>as</w:t>
      </w:r>
      <w:r w:rsidRPr="00B72859">
        <w:rPr>
          <w:rFonts w:ascii="Times New Roman" w:eastAsia="SimSun" w:hAnsi="Times New Roman" w:cs="Times New Roman"/>
          <w:color w:val="000000"/>
          <w:sz w:val="20"/>
          <w:szCs w:val="20"/>
          <w:lang w:val="en-US" w:eastAsia="zh-CN"/>
        </w:rPr>
        <w:t xml:space="preserve"> screened for HBV. The demographic factors obtained from the donors from both Hospitals and the Overall are shown in </w:t>
      </w:r>
      <w:r w:rsidR="00C3209C" w:rsidRPr="00B72859">
        <w:rPr>
          <w:rFonts w:ascii="Times New Roman" w:eastAsia="SimSun" w:hAnsi="Times New Roman" w:cs="Times New Roman"/>
          <w:color w:val="000000"/>
          <w:sz w:val="20"/>
          <w:szCs w:val="20"/>
          <w:lang w:val="en-US" w:eastAsia="zh-CN"/>
        </w:rPr>
        <w:t>Table 1</w:t>
      </w:r>
      <w:r w:rsidR="006B1B8B" w:rsidRPr="00B72859">
        <w:rPr>
          <w:rFonts w:ascii="Times New Roman" w:eastAsia="SimSun" w:hAnsi="Times New Roman" w:cs="Times New Roman"/>
          <w:color w:val="000000"/>
          <w:sz w:val="20"/>
          <w:szCs w:val="20"/>
          <w:lang w:val="en-US" w:eastAsia="zh-CN"/>
        </w:rPr>
        <w:t>.</w:t>
      </w:r>
    </w:p>
    <w:p w:rsidR="00CC396F" w:rsidRPr="00B72859" w:rsidRDefault="00CC396F" w:rsidP="007F2799">
      <w:pPr>
        <w:snapToGrid w:val="0"/>
        <w:spacing w:after="0" w:line="240" w:lineRule="auto"/>
        <w:ind w:firstLine="425"/>
        <w:contextualSpacing/>
        <w:jc w:val="both"/>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color w:val="000000"/>
          <w:sz w:val="20"/>
          <w:szCs w:val="20"/>
          <w:lang w:val="en-US" w:eastAsia="zh-CN"/>
        </w:rPr>
        <w:t>The relationship of the demographic factors with the screening results are shown in Table 2 with a significant relationship between HBV and Education p-0.025 (p&lt; 0.05).</w:t>
      </w:r>
    </w:p>
    <w:p w:rsidR="008911F9" w:rsidRPr="00B72859" w:rsidRDefault="00CC396F" w:rsidP="007F2799">
      <w:pPr>
        <w:snapToGrid w:val="0"/>
        <w:spacing w:after="0" w:line="240" w:lineRule="auto"/>
        <w:ind w:firstLine="425"/>
        <w:contextualSpacing/>
        <w:jc w:val="both"/>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color w:val="000000"/>
          <w:sz w:val="20"/>
          <w:szCs w:val="20"/>
          <w:lang w:val="en-US" w:eastAsia="zh-CN"/>
        </w:rPr>
        <w:t>Fig 1-3 shows prevalence o</w:t>
      </w:r>
      <w:r w:rsidR="008911F9" w:rsidRPr="00B72859">
        <w:rPr>
          <w:rFonts w:ascii="Times New Roman" w:eastAsia="SimSun" w:hAnsi="Times New Roman" w:cs="Times New Roman"/>
          <w:color w:val="000000"/>
          <w:sz w:val="20"/>
          <w:szCs w:val="20"/>
          <w:lang w:val="en-US" w:eastAsia="zh-CN"/>
        </w:rPr>
        <w:t xml:space="preserve">f </w:t>
      </w:r>
      <w:r w:rsidRPr="00B72859">
        <w:rPr>
          <w:rFonts w:ascii="Times New Roman" w:eastAsia="SimSun" w:hAnsi="Times New Roman" w:cs="Times New Roman"/>
          <w:color w:val="000000"/>
          <w:sz w:val="20"/>
          <w:szCs w:val="20"/>
          <w:lang w:val="en-US" w:eastAsia="zh-CN"/>
        </w:rPr>
        <w:t>from both hospitals</w:t>
      </w:r>
      <w:r w:rsidR="008911F9" w:rsidRPr="00B72859">
        <w:rPr>
          <w:rFonts w:ascii="Times New Roman" w:eastAsia="SimSun" w:hAnsi="Times New Roman" w:cs="Times New Roman"/>
          <w:color w:val="000000"/>
          <w:sz w:val="20"/>
          <w:szCs w:val="20"/>
          <w:lang w:val="en-US" w:eastAsia="zh-CN"/>
        </w:rPr>
        <w:t xml:space="preserve"> n=63 (34.6%), Hospital 1 n= 27 (27%) and Hospital 2 n= 36 (43.9%).</w:t>
      </w:r>
    </w:p>
    <w:p w:rsidR="007F2799" w:rsidRPr="00B72859" w:rsidRDefault="007F2799" w:rsidP="007F2799">
      <w:pPr>
        <w:snapToGrid w:val="0"/>
        <w:spacing w:after="0" w:line="240" w:lineRule="auto"/>
        <w:contextualSpacing/>
        <w:jc w:val="center"/>
        <w:rPr>
          <w:rFonts w:ascii="Times New Roman" w:eastAsia="SimSun" w:hAnsi="Times New Roman" w:cs="Times New Roman"/>
          <w:b/>
          <w:color w:val="000000"/>
          <w:sz w:val="20"/>
          <w:szCs w:val="20"/>
          <w:lang w:val="en-US" w:eastAsia="zh-CN"/>
        </w:rPr>
        <w:sectPr w:rsidR="007F2799" w:rsidRPr="00B72859" w:rsidSect="004323D6">
          <w:headerReference w:type="default" r:id="rId13"/>
          <w:pgSz w:w="12240" w:h="15840"/>
          <w:pgMar w:top="1440" w:right="1440" w:bottom="1440" w:left="1440" w:header="720" w:footer="720" w:gutter="0"/>
          <w:cols w:num="2" w:space="550"/>
          <w:docGrid w:linePitch="360"/>
        </w:sectPr>
      </w:pPr>
    </w:p>
    <w:p w:rsidR="00171FBA" w:rsidRPr="00B72859" w:rsidRDefault="00171FBA" w:rsidP="007F2799">
      <w:pPr>
        <w:snapToGrid w:val="0"/>
        <w:spacing w:after="0" w:line="240" w:lineRule="auto"/>
        <w:contextualSpacing/>
        <w:jc w:val="center"/>
        <w:rPr>
          <w:rFonts w:ascii="Times New Roman" w:eastAsia="SimSun" w:hAnsi="Times New Roman" w:cs="Times New Roman"/>
          <w:b/>
          <w:color w:val="000000"/>
          <w:sz w:val="20"/>
          <w:szCs w:val="20"/>
          <w:lang w:val="en-US" w:eastAsia="zh-CN"/>
        </w:rPr>
      </w:pPr>
    </w:p>
    <w:p w:rsidR="00B72859" w:rsidRDefault="00B72859" w:rsidP="007F2799">
      <w:pPr>
        <w:snapToGrid w:val="0"/>
        <w:spacing w:after="0" w:line="240" w:lineRule="auto"/>
        <w:contextualSpacing/>
        <w:jc w:val="center"/>
        <w:rPr>
          <w:rFonts w:ascii="Times New Roman" w:eastAsiaTheme="minorEastAsia" w:hAnsi="Times New Roman" w:cs="Times New Roman" w:hint="eastAsia"/>
          <w:b/>
          <w:color w:val="000000"/>
          <w:sz w:val="20"/>
          <w:szCs w:val="20"/>
          <w:lang w:val="en-US" w:eastAsia="zh-CN"/>
        </w:rPr>
      </w:pPr>
    </w:p>
    <w:p w:rsidR="00B72859" w:rsidRDefault="00B72859" w:rsidP="007F2799">
      <w:pPr>
        <w:snapToGrid w:val="0"/>
        <w:spacing w:after="0" w:line="240" w:lineRule="auto"/>
        <w:contextualSpacing/>
        <w:jc w:val="center"/>
        <w:rPr>
          <w:rFonts w:ascii="Times New Roman" w:eastAsiaTheme="minorEastAsia" w:hAnsi="Times New Roman" w:cs="Times New Roman" w:hint="eastAsia"/>
          <w:b/>
          <w:color w:val="000000"/>
          <w:sz w:val="20"/>
          <w:szCs w:val="20"/>
          <w:lang w:val="en-US" w:eastAsia="zh-CN"/>
        </w:rPr>
      </w:pPr>
    </w:p>
    <w:p w:rsidR="00A870E6" w:rsidRPr="00B72859" w:rsidRDefault="00A870E6" w:rsidP="007F2799">
      <w:pPr>
        <w:snapToGrid w:val="0"/>
        <w:spacing w:after="0" w:line="240" w:lineRule="auto"/>
        <w:contextualSpacing/>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b/>
          <w:color w:val="000000"/>
          <w:sz w:val="20"/>
          <w:szCs w:val="20"/>
          <w:lang w:val="en-US" w:eastAsia="zh-CN"/>
        </w:rPr>
        <w:t>Table 1</w:t>
      </w:r>
      <w:r w:rsidRPr="00B72859">
        <w:rPr>
          <w:rFonts w:ascii="Times New Roman" w:eastAsia="SimSun" w:hAnsi="Times New Roman" w:cs="Times New Roman"/>
          <w:color w:val="000000"/>
          <w:sz w:val="20"/>
          <w:szCs w:val="20"/>
          <w:lang w:val="en-US" w:eastAsia="zh-CN"/>
        </w:rPr>
        <w:t xml:space="preserve">: The demographic information </w:t>
      </w:r>
      <w:r w:rsidR="008911F9" w:rsidRPr="00B72859">
        <w:rPr>
          <w:rFonts w:ascii="Times New Roman" w:eastAsia="SimSun" w:hAnsi="Times New Roman" w:cs="Times New Roman"/>
          <w:color w:val="000000"/>
          <w:sz w:val="20"/>
          <w:szCs w:val="20"/>
          <w:lang w:val="en-US" w:eastAsia="zh-CN"/>
        </w:rPr>
        <w:t>of the male blood donors in two</w:t>
      </w:r>
      <w:r w:rsidRPr="00B72859">
        <w:rPr>
          <w:rFonts w:ascii="Times New Roman" w:eastAsia="SimSun" w:hAnsi="Times New Roman" w:cs="Times New Roman"/>
          <w:color w:val="000000"/>
          <w:sz w:val="20"/>
          <w:szCs w:val="20"/>
          <w:lang w:val="en-US" w:eastAsia="zh-CN"/>
        </w:rPr>
        <w:t xml:space="preserve"> Hospitals in Port Harcourt</w:t>
      </w:r>
    </w:p>
    <w:tbl>
      <w:tblPr>
        <w:tblStyle w:val="ightshading"/>
        <w:tblW w:w="5000" w:type="pct"/>
        <w:jc w:val="center"/>
        <w:tblCellMar>
          <w:left w:w="57" w:type="dxa"/>
          <w:right w:w="57" w:type="dxa"/>
        </w:tblCellMar>
        <w:tblLook w:val="06A0"/>
      </w:tblPr>
      <w:tblGrid>
        <w:gridCol w:w="3176"/>
        <w:gridCol w:w="2071"/>
        <w:gridCol w:w="1410"/>
        <w:gridCol w:w="1343"/>
        <w:gridCol w:w="1474"/>
      </w:tblGrid>
      <w:tr w:rsidR="00A870E6" w:rsidRPr="00B72859" w:rsidTr="00F10AA0">
        <w:trPr>
          <w:cnfStyle w:val="100000000000"/>
          <w:jc w:val="center"/>
        </w:trPr>
        <w:tc>
          <w:tcPr>
            <w:tcW w:w="1676"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Demographic factors</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Groups</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Hospital 1</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Hospital 2</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Overall</w:t>
            </w:r>
          </w:p>
        </w:tc>
      </w:tr>
      <w:tr w:rsidR="00A870E6" w:rsidRPr="00B72859" w:rsidTr="00F10AA0">
        <w:trPr>
          <w:jc w:val="center"/>
        </w:trPr>
        <w:tc>
          <w:tcPr>
            <w:tcW w:w="1676"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GENDER</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79"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 </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Males</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100 (100%)</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82 (100%)</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182 (100%)</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79"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 </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EDUCATIONAL LEVEL</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Primary School</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26 (26%)</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14 (17.1%)</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40 (22%)</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Secondary School</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29 (29%)</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20 (24.4%)</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49 (26.9%)</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Diploma</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19 (19%)</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23 (28%)</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42 (23.1%)</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Undergraduate</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7 (7%)</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 (1.2%)</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8 (4.4%)</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Graduate</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19 (19%)</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24 (29.3%)</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43 (23.6%)</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79"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 </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OCCUPATIONAL SKILLS</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Unemployed</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18 (18%)</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7 (8.5%)</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25 (13.7%)</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Low Skill</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74 (74%)</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73 (89%)</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147 (80.8%)</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High Skill</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8 (8%)</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 (2.4%)</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10 (5.5%)</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79"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 </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DONOR TYPES</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Family Donor</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62 (62%)</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26 (31.7%)</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89 (48.9%)</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Voluntary Donor</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3 (3%)</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 (4.9%)</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7 (3.8%)</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Paid Donor</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35 (35%)</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52 (63.4%)</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86 (47.3%)</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p>
        </w:tc>
        <w:tc>
          <w:tcPr>
            <w:tcW w:w="779" w:type="pct"/>
            <w:noWrap/>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 </w:t>
            </w:r>
          </w:p>
        </w:tc>
      </w:tr>
      <w:tr w:rsidR="00A870E6" w:rsidRPr="00B72859" w:rsidTr="00F10AA0">
        <w:trPr>
          <w:jc w:val="center"/>
        </w:trPr>
        <w:tc>
          <w:tcPr>
            <w:tcW w:w="1676"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AGE GROUP</w:t>
            </w:r>
          </w:p>
        </w:tc>
        <w:tc>
          <w:tcPr>
            <w:tcW w:w="1093"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21-30 years</w:t>
            </w:r>
          </w:p>
        </w:tc>
        <w:tc>
          <w:tcPr>
            <w:tcW w:w="744"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35 (35%)</w:t>
            </w:r>
          </w:p>
        </w:tc>
        <w:tc>
          <w:tcPr>
            <w:tcW w:w="709" w:type="pct"/>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15 (18.3%)</w:t>
            </w:r>
          </w:p>
        </w:tc>
        <w:tc>
          <w:tcPr>
            <w:tcW w:w="779" w:type="pct"/>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50 (27.5%)</w:t>
            </w:r>
          </w:p>
        </w:tc>
      </w:tr>
      <w:tr w:rsidR="00A870E6" w:rsidRPr="00B72859" w:rsidTr="00F10AA0">
        <w:trPr>
          <w:jc w:val="center"/>
        </w:trPr>
        <w:tc>
          <w:tcPr>
            <w:tcW w:w="1676" w:type="pct"/>
            <w:tcBorders>
              <w:bottom w:val="nil"/>
            </w:tcBorders>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tcBorders>
              <w:bottom w:val="nil"/>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31-40 years</w:t>
            </w:r>
          </w:p>
        </w:tc>
        <w:tc>
          <w:tcPr>
            <w:tcW w:w="744" w:type="pct"/>
            <w:tcBorders>
              <w:bottom w:val="nil"/>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52 (52%)</w:t>
            </w:r>
          </w:p>
        </w:tc>
        <w:tc>
          <w:tcPr>
            <w:tcW w:w="709" w:type="pct"/>
            <w:tcBorders>
              <w:bottom w:val="nil"/>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56 (68.3%)</w:t>
            </w:r>
          </w:p>
        </w:tc>
        <w:tc>
          <w:tcPr>
            <w:tcW w:w="779" w:type="pct"/>
            <w:tcBorders>
              <w:bottom w:val="nil"/>
            </w:tcBorders>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108 (59.3%)</w:t>
            </w:r>
          </w:p>
        </w:tc>
      </w:tr>
      <w:tr w:rsidR="00A870E6" w:rsidRPr="00B72859" w:rsidTr="00F10AA0">
        <w:trPr>
          <w:jc w:val="center"/>
        </w:trPr>
        <w:tc>
          <w:tcPr>
            <w:tcW w:w="1676" w:type="pct"/>
            <w:tcBorders>
              <w:top w:val="nil"/>
              <w:bottom w:val="single" w:sz="4" w:space="0" w:color="auto"/>
            </w:tcBorders>
            <w:vAlign w:val="center"/>
            <w:hideMark/>
          </w:tcPr>
          <w:p w:rsidR="00A870E6" w:rsidRPr="00B72859" w:rsidRDefault="00A870E6" w:rsidP="007F2799">
            <w:pPr>
              <w:pStyle w:val="NoSpacing"/>
              <w:snapToGrid w:val="0"/>
              <w:jc w:val="both"/>
              <w:rPr>
                <w:rFonts w:ascii="Times New Roman" w:hAnsi="Times New Roman" w:cs="Times New Roman"/>
                <w:sz w:val="20"/>
                <w:szCs w:val="20"/>
              </w:rPr>
            </w:pPr>
          </w:p>
        </w:tc>
        <w:tc>
          <w:tcPr>
            <w:tcW w:w="1093" w:type="pct"/>
            <w:tcBorders>
              <w:top w:val="nil"/>
              <w:bottom w:val="single" w:sz="4" w:space="0" w:color="auto"/>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41-50 years</w:t>
            </w:r>
          </w:p>
        </w:tc>
        <w:tc>
          <w:tcPr>
            <w:tcW w:w="744" w:type="pct"/>
            <w:tcBorders>
              <w:top w:val="nil"/>
              <w:bottom w:val="single" w:sz="4" w:space="0" w:color="auto"/>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13 (13%)</w:t>
            </w:r>
          </w:p>
        </w:tc>
        <w:tc>
          <w:tcPr>
            <w:tcW w:w="709" w:type="pct"/>
            <w:tcBorders>
              <w:top w:val="nil"/>
              <w:bottom w:val="single" w:sz="4" w:space="0" w:color="auto"/>
            </w:tcBorders>
            <w:vAlign w:val="center"/>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11 (13.4%)</w:t>
            </w:r>
          </w:p>
        </w:tc>
        <w:tc>
          <w:tcPr>
            <w:tcW w:w="779" w:type="pct"/>
            <w:tcBorders>
              <w:top w:val="nil"/>
              <w:bottom w:val="single" w:sz="4" w:space="0" w:color="auto"/>
            </w:tcBorders>
            <w:vAlign w:val="center"/>
            <w:hideMark/>
          </w:tcPr>
          <w:p w:rsidR="00A870E6" w:rsidRPr="00B72859" w:rsidRDefault="00A870E6" w:rsidP="007F2799">
            <w:pPr>
              <w:pStyle w:val="NoSpacing"/>
              <w:snapToGrid w:val="0"/>
              <w:jc w:val="both"/>
              <w:rPr>
                <w:rFonts w:ascii="Times New Roman" w:hAnsi="Times New Roman" w:cs="Times New Roman"/>
                <w:sz w:val="20"/>
                <w:szCs w:val="20"/>
              </w:rPr>
            </w:pPr>
            <w:r w:rsidRPr="00B72859">
              <w:rPr>
                <w:rFonts w:ascii="Times New Roman" w:hAnsi="Times New Roman" w:cs="Times New Roman"/>
                <w:sz w:val="20"/>
                <w:szCs w:val="20"/>
              </w:rPr>
              <w:t>24 (13.2%)</w:t>
            </w:r>
          </w:p>
        </w:tc>
      </w:tr>
      <w:tr w:rsidR="00A870E6" w:rsidRPr="00B72859" w:rsidTr="00F10AA0">
        <w:trPr>
          <w:jc w:val="center"/>
        </w:trPr>
        <w:tc>
          <w:tcPr>
            <w:tcW w:w="1676" w:type="pct"/>
            <w:tcBorders>
              <w:top w:val="single" w:sz="4" w:space="0" w:color="auto"/>
            </w:tcBorders>
            <w:vAlign w:val="center"/>
            <w:hideMark/>
          </w:tcPr>
          <w:p w:rsidR="00A870E6" w:rsidRPr="00B72859" w:rsidRDefault="00A870E6" w:rsidP="007F2799">
            <w:pPr>
              <w:pStyle w:val="NoSpacing"/>
              <w:snapToGrid w:val="0"/>
              <w:jc w:val="both"/>
              <w:rPr>
                <w:rFonts w:ascii="Times New Roman" w:hAnsi="Times New Roman" w:cs="Times New Roman"/>
                <w:b/>
                <w:bCs/>
                <w:sz w:val="20"/>
                <w:szCs w:val="20"/>
              </w:rPr>
            </w:pPr>
          </w:p>
        </w:tc>
        <w:tc>
          <w:tcPr>
            <w:tcW w:w="1093" w:type="pct"/>
            <w:tcBorders>
              <w:top w:val="single" w:sz="4" w:space="0" w:color="auto"/>
            </w:tcBorders>
            <w:vAlign w:val="center"/>
          </w:tcPr>
          <w:p w:rsidR="00A870E6" w:rsidRPr="00B72859" w:rsidRDefault="00A870E6" w:rsidP="007F2799">
            <w:pPr>
              <w:pStyle w:val="NoSpacing"/>
              <w:snapToGrid w:val="0"/>
              <w:jc w:val="both"/>
              <w:rPr>
                <w:rFonts w:ascii="Times New Roman" w:hAnsi="Times New Roman" w:cs="Times New Roman"/>
                <w:b/>
                <w:bCs/>
                <w:sz w:val="20"/>
                <w:szCs w:val="20"/>
              </w:rPr>
            </w:pPr>
            <w:r w:rsidRPr="00B72859">
              <w:rPr>
                <w:rFonts w:ascii="Times New Roman" w:hAnsi="Times New Roman" w:cs="Times New Roman"/>
                <w:b/>
                <w:bCs/>
                <w:sz w:val="20"/>
                <w:szCs w:val="20"/>
              </w:rPr>
              <w:t>Total</w:t>
            </w:r>
          </w:p>
        </w:tc>
        <w:tc>
          <w:tcPr>
            <w:tcW w:w="744" w:type="pct"/>
            <w:tcBorders>
              <w:top w:val="single" w:sz="4" w:space="0" w:color="auto"/>
            </w:tcBorders>
            <w:vAlign w:val="center"/>
          </w:tcPr>
          <w:p w:rsidR="00A870E6" w:rsidRPr="00B72859" w:rsidRDefault="00A870E6" w:rsidP="007F2799">
            <w:pPr>
              <w:pStyle w:val="NoSpacing"/>
              <w:snapToGrid w:val="0"/>
              <w:jc w:val="both"/>
              <w:rPr>
                <w:rFonts w:ascii="Times New Roman" w:hAnsi="Times New Roman" w:cs="Times New Roman"/>
                <w:b/>
                <w:bCs/>
                <w:sz w:val="20"/>
                <w:szCs w:val="20"/>
              </w:rPr>
            </w:pPr>
            <w:r w:rsidRPr="00B72859">
              <w:rPr>
                <w:rFonts w:ascii="Times New Roman" w:hAnsi="Times New Roman" w:cs="Times New Roman"/>
                <w:b/>
                <w:bCs/>
                <w:sz w:val="20"/>
                <w:szCs w:val="20"/>
              </w:rPr>
              <w:t>100</w:t>
            </w:r>
          </w:p>
        </w:tc>
        <w:tc>
          <w:tcPr>
            <w:tcW w:w="709" w:type="pct"/>
            <w:tcBorders>
              <w:top w:val="single" w:sz="4" w:space="0" w:color="auto"/>
            </w:tcBorders>
            <w:vAlign w:val="center"/>
          </w:tcPr>
          <w:p w:rsidR="00A870E6" w:rsidRPr="00B72859" w:rsidRDefault="00A870E6" w:rsidP="007F2799">
            <w:pPr>
              <w:pStyle w:val="NoSpacing"/>
              <w:snapToGrid w:val="0"/>
              <w:jc w:val="both"/>
              <w:rPr>
                <w:rFonts w:ascii="Times New Roman" w:hAnsi="Times New Roman" w:cs="Times New Roman"/>
                <w:b/>
                <w:bCs/>
                <w:sz w:val="20"/>
                <w:szCs w:val="20"/>
              </w:rPr>
            </w:pPr>
            <w:r w:rsidRPr="00B72859">
              <w:rPr>
                <w:rFonts w:ascii="Times New Roman" w:hAnsi="Times New Roman" w:cs="Times New Roman"/>
                <w:b/>
                <w:bCs/>
                <w:sz w:val="20"/>
                <w:szCs w:val="20"/>
              </w:rPr>
              <w:t>82</w:t>
            </w:r>
          </w:p>
        </w:tc>
        <w:tc>
          <w:tcPr>
            <w:tcW w:w="779" w:type="pct"/>
            <w:tcBorders>
              <w:top w:val="single" w:sz="4" w:space="0" w:color="auto"/>
            </w:tcBorders>
            <w:vAlign w:val="center"/>
            <w:hideMark/>
          </w:tcPr>
          <w:p w:rsidR="00A870E6" w:rsidRPr="00B72859" w:rsidRDefault="00A870E6" w:rsidP="007F2799">
            <w:pPr>
              <w:pStyle w:val="NoSpacing"/>
              <w:snapToGrid w:val="0"/>
              <w:jc w:val="both"/>
              <w:rPr>
                <w:rFonts w:ascii="Times New Roman" w:hAnsi="Times New Roman" w:cs="Times New Roman"/>
                <w:b/>
                <w:bCs/>
                <w:sz w:val="20"/>
                <w:szCs w:val="20"/>
              </w:rPr>
            </w:pPr>
            <w:r w:rsidRPr="00B72859">
              <w:rPr>
                <w:rFonts w:ascii="Times New Roman" w:hAnsi="Times New Roman" w:cs="Times New Roman"/>
                <w:b/>
                <w:bCs/>
                <w:sz w:val="20"/>
                <w:szCs w:val="20"/>
              </w:rPr>
              <w:t>182</w:t>
            </w:r>
          </w:p>
        </w:tc>
      </w:tr>
    </w:tbl>
    <w:p w:rsidR="007F2799" w:rsidRPr="00B72859" w:rsidRDefault="007F2799" w:rsidP="007F2799">
      <w:pPr>
        <w:snapToGrid w:val="0"/>
        <w:spacing w:after="0" w:line="240" w:lineRule="auto"/>
        <w:ind w:firstLine="425"/>
        <w:jc w:val="both"/>
        <w:rPr>
          <w:rFonts w:ascii="Times New Roman" w:eastAsiaTheme="minorEastAsia" w:hAnsi="Times New Roman" w:cs="Times New Roman"/>
          <w:sz w:val="20"/>
          <w:szCs w:val="20"/>
          <w:lang w:eastAsia="zh-CN"/>
        </w:rPr>
      </w:pPr>
    </w:p>
    <w:p w:rsidR="00B72859" w:rsidRDefault="00B72859" w:rsidP="007F2799">
      <w:pPr>
        <w:snapToGrid w:val="0"/>
        <w:spacing w:after="0" w:line="240" w:lineRule="auto"/>
        <w:jc w:val="both"/>
        <w:rPr>
          <w:rFonts w:ascii="Times New Roman" w:eastAsiaTheme="minorEastAsia" w:hAnsi="Times New Roman" w:cs="Times New Roman" w:hint="eastAsia"/>
          <w:sz w:val="20"/>
          <w:szCs w:val="20"/>
          <w:lang w:eastAsia="zh-CN"/>
        </w:rPr>
      </w:pPr>
    </w:p>
    <w:p w:rsidR="00B72859" w:rsidRDefault="00B72859" w:rsidP="007F2799">
      <w:pPr>
        <w:snapToGrid w:val="0"/>
        <w:spacing w:after="0" w:line="240" w:lineRule="auto"/>
        <w:jc w:val="both"/>
        <w:rPr>
          <w:rFonts w:ascii="Times New Roman" w:eastAsiaTheme="minorEastAsia" w:hAnsi="Times New Roman" w:cs="Times New Roman" w:hint="eastAsia"/>
          <w:sz w:val="20"/>
          <w:szCs w:val="20"/>
          <w:lang w:eastAsia="zh-CN"/>
        </w:rPr>
      </w:pPr>
    </w:p>
    <w:p w:rsidR="00B72859" w:rsidRDefault="00B72859" w:rsidP="007F2799">
      <w:pPr>
        <w:snapToGrid w:val="0"/>
        <w:spacing w:after="0" w:line="240" w:lineRule="auto"/>
        <w:jc w:val="both"/>
        <w:rPr>
          <w:rFonts w:ascii="Times New Roman" w:eastAsiaTheme="minorEastAsia" w:hAnsi="Times New Roman" w:cs="Times New Roman" w:hint="eastAsia"/>
          <w:sz w:val="20"/>
          <w:szCs w:val="20"/>
          <w:lang w:eastAsia="zh-CN"/>
        </w:rPr>
      </w:pPr>
    </w:p>
    <w:p w:rsidR="00B72859" w:rsidRDefault="00B72859" w:rsidP="007F2799">
      <w:pPr>
        <w:snapToGrid w:val="0"/>
        <w:spacing w:after="0" w:line="240" w:lineRule="auto"/>
        <w:jc w:val="both"/>
        <w:rPr>
          <w:rFonts w:ascii="Times New Roman" w:eastAsiaTheme="minorEastAsia" w:hAnsi="Times New Roman" w:cs="Times New Roman" w:hint="eastAsia"/>
          <w:sz w:val="20"/>
          <w:szCs w:val="20"/>
          <w:lang w:eastAsia="zh-CN"/>
        </w:rPr>
      </w:pPr>
    </w:p>
    <w:p w:rsidR="007E0D15" w:rsidRPr="00B72859" w:rsidRDefault="00A3457B" w:rsidP="007F2799">
      <w:pPr>
        <w:snapToGrid w:val="0"/>
        <w:spacing w:after="0" w:line="240" w:lineRule="auto"/>
        <w:jc w:val="both"/>
        <w:rPr>
          <w:rFonts w:ascii="Times New Roman" w:hAnsi="Times New Roman" w:cs="Times New Roman"/>
          <w:sz w:val="20"/>
          <w:szCs w:val="20"/>
        </w:rPr>
      </w:pPr>
      <w:r w:rsidRPr="00B72859">
        <w:rPr>
          <w:rFonts w:ascii="Times New Roman" w:hAnsi="Times New Roman" w:cs="Times New Roman"/>
          <w:sz w:val="20"/>
          <w:szCs w:val="20"/>
        </w:rPr>
        <w:lastRenderedPageBreak/>
        <w:t>Table 2</w:t>
      </w:r>
      <w:r w:rsidR="007E0D15"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007E0D15" w:rsidRPr="00B72859">
        <w:rPr>
          <w:rFonts w:ascii="Times New Roman" w:hAnsi="Times New Roman" w:cs="Times New Roman"/>
          <w:sz w:val="20"/>
          <w:szCs w:val="20"/>
        </w:rPr>
        <w:t>Summary of the relationship between the overall HBV prevalence with respect to the demographic factors of the intending male blood donors of both Hospitals.</w:t>
      </w:r>
    </w:p>
    <w:tbl>
      <w:tblPr>
        <w:tblStyle w:val="ightshading"/>
        <w:tblW w:w="5000" w:type="pct"/>
        <w:jc w:val="center"/>
        <w:tblCellMar>
          <w:left w:w="57" w:type="dxa"/>
          <w:right w:w="57" w:type="dxa"/>
        </w:tblCellMar>
        <w:tblLook w:val="0620"/>
      </w:tblPr>
      <w:tblGrid>
        <w:gridCol w:w="4010"/>
        <w:gridCol w:w="1548"/>
        <w:gridCol w:w="932"/>
        <w:gridCol w:w="1137"/>
        <w:gridCol w:w="1847"/>
      </w:tblGrid>
      <w:tr w:rsidR="00FB76D7" w:rsidRPr="00B72859" w:rsidTr="007F2799">
        <w:trPr>
          <w:cnfStyle w:val="100000000000"/>
          <w:tblHeade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b/>
                <w:sz w:val="20"/>
                <w:szCs w:val="20"/>
              </w:rPr>
            </w:pPr>
            <w:r w:rsidRPr="00B72859">
              <w:rPr>
                <w:rFonts w:ascii="Times New Roman" w:eastAsia="Times New Roman" w:hAnsi="Times New Roman" w:cs="Times New Roman"/>
                <w:b/>
                <w:sz w:val="20"/>
                <w:szCs w:val="20"/>
              </w:rPr>
              <w:t>Blood donors (n= 82) Demographic factors</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b/>
                <w:sz w:val="20"/>
                <w:szCs w:val="20"/>
              </w:rPr>
            </w:pPr>
            <w:r w:rsidRPr="00B72859">
              <w:rPr>
                <w:rFonts w:ascii="Times New Roman" w:eastAsia="Times New Roman" w:hAnsi="Times New Roman" w:cs="Times New Roman"/>
                <w:b/>
                <w:sz w:val="20"/>
                <w:szCs w:val="20"/>
              </w:rPr>
              <w:t>categories</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b/>
                <w:sz w:val="20"/>
                <w:szCs w:val="20"/>
              </w:rPr>
            </w:pPr>
            <w:r w:rsidRPr="00B72859">
              <w:rPr>
                <w:rFonts w:ascii="Times New Roman" w:eastAsia="Times New Roman" w:hAnsi="Times New Roman" w:cs="Times New Roman"/>
                <w:b/>
                <w:sz w:val="20"/>
                <w:szCs w:val="20"/>
              </w:rPr>
              <w:t>no tested</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b/>
                <w:sz w:val="20"/>
                <w:szCs w:val="20"/>
              </w:rPr>
            </w:pPr>
            <w:r w:rsidRPr="00B72859">
              <w:rPr>
                <w:rFonts w:ascii="Times New Roman" w:eastAsia="Times New Roman" w:hAnsi="Times New Roman" w:cs="Times New Roman"/>
                <w:b/>
                <w:sz w:val="20"/>
                <w:szCs w:val="20"/>
              </w:rPr>
              <w:t xml:space="preserve">HBV pos </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b/>
                <w:sz w:val="20"/>
                <w:szCs w:val="20"/>
              </w:rPr>
            </w:pPr>
            <w:r w:rsidRPr="00B72859">
              <w:rPr>
                <w:rFonts w:ascii="Times New Roman" w:eastAsia="Times New Roman" w:hAnsi="Times New Roman" w:cs="Times New Roman"/>
                <w:b/>
                <w:sz w:val="20"/>
                <w:szCs w:val="20"/>
              </w:rPr>
              <w:t>Statistics</w:t>
            </w:r>
            <w:r w:rsidR="00F10AA0" w:rsidRPr="00B72859">
              <w:rPr>
                <w:rFonts w:ascii="Times New Roman" w:eastAsia="Times New Roman" w:hAnsi="Times New Roman" w:cs="Times New Roman"/>
                <w:b/>
                <w:sz w:val="20"/>
                <w:szCs w:val="20"/>
              </w:rPr>
              <w:t xml:space="preserve"> </w:t>
            </w:r>
            <w:r w:rsidRPr="00B72859">
              <w:rPr>
                <w:rFonts w:ascii="Times New Roman" w:eastAsia="Times New Roman" w:hAnsi="Times New Roman" w:cs="Times New Roman"/>
                <w:b/>
                <w:sz w:val="20"/>
                <w:szCs w:val="20"/>
              </w:rPr>
              <w:t>(p Value)</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Age</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xml:space="preserve"> 21 – 30</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50</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12 (</w:t>
            </w:r>
            <w:r w:rsidR="006A4F05" w:rsidRPr="00B72859">
              <w:rPr>
                <w:rFonts w:ascii="Times New Roman" w:eastAsia="Times New Roman" w:hAnsi="Times New Roman" w:cs="Times New Roman"/>
                <w:sz w:val="20"/>
                <w:szCs w:val="20"/>
              </w:rPr>
              <w:t>19</w:t>
            </w:r>
            <w:r w:rsidRPr="00B72859">
              <w:rPr>
                <w:rFonts w:ascii="Times New Roman" w:eastAsia="Times New Roman" w:hAnsi="Times New Roman" w:cs="Times New Roman"/>
                <w:sz w:val="20"/>
                <w:szCs w:val="20"/>
              </w:rPr>
              <w:t>%)</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31 – 40</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108</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42</w:t>
            </w:r>
            <w:r w:rsidR="006A4F05" w:rsidRPr="00B72859">
              <w:rPr>
                <w:rFonts w:ascii="Times New Roman" w:eastAsia="Times New Roman" w:hAnsi="Times New Roman" w:cs="Times New Roman"/>
                <w:sz w:val="20"/>
                <w:szCs w:val="20"/>
              </w:rPr>
              <w:t xml:space="preserve"> (66.7%)</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41 – 50</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24</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9</w:t>
            </w:r>
            <w:r w:rsidR="006A4F05" w:rsidRPr="00B72859">
              <w:rPr>
                <w:rFonts w:ascii="Times New Roman" w:eastAsia="Times New Roman" w:hAnsi="Times New Roman" w:cs="Times New Roman"/>
                <w:sz w:val="20"/>
                <w:szCs w:val="20"/>
              </w:rPr>
              <w:t xml:space="preserve"> (14.3%)</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 = 0.178</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Educational level</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Primary</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40</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12</w:t>
            </w:r>
            <w:r w:rsidR="006A4F05" w:rsidRPr="00B72859">
              <w:rPr>
                <w:rFonts w:ascii="Times New Roman" w:eastAsia="Times New Roman" w:hAnsi="Times New Roman" w:cs="Times New Roman"/>
                <w:sz w:val="20"/>
                <w:szCs w:val="20"/>
              </w:rPr>
              <w:t xml:space="preserve"> (19</w:t>
            </w:r>
            <w:r w:rsidR="00A3457B" w:rsidRPr="00B72859">
              <w:rPr>
                <w:rFonts w:ascii="Times New Roman" w:eastAsia="Times New Roman" w:hAnsi="Times New Roman" w:cs="Times New Roman"/>
                <w:sz w:val="20"/>
                <w:szCs w:val="20"/>
              </w:rPr>
              <w:t>.0</w:t>
            </w:r>
            <w:r w:rsidR="006A4F05" w:rsidRPr="00B72859">
              <w:rPr>
                <w:rFonts w:ascii="Times New Roman" w:eastAsia="Times New Roman" w:hAnsi="Times New Roman" w:cs="Times New Roman"/>
                <w:sz w:val="20"/>
                <w:szCs w:val="20"/>
              </w:rPr>
              <w:t>%)</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Secondary</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49</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12</w:t>
            </w:r>
            <w:r w:rsidR="006A4F05" w:rsidRPr="00B72859">
              <w:rPr>
                <w:rFonts w:ascii="Times New Roman" w:eastAsia="Times New Roman" w:hAnsi="Times New Roman" w:cs="Times New Roman"/>
                <w:sz w:val="20"/>
                <w:szCs w:val="20"/>
              </w:rPr>
              <w:t xml:space="preserve"> (19</w:t>
            </w:r>
            <w:r w:rsidR="00A3457B" w:rsidRPr="00B72859">
              <w:rPr>
                <w:rFonts w:ascii="Times New Roman" w:eastAsia="Times New Roman" w:hAnsi="Times New Roman" w:cs="Times New Roman"/>
                <w:sz w:val="20"/>
                <w:szCs w:val="20"/>
              </w:rPr>
              <w:t>.0</w:t>
            </w:r>
            <w:r w:rsidR="006A4F05" w:rsidRPr="00B72859">
              <w:rPr>
                <w:rFonts w:ascii="Times New Roman" w:eastAsia="Times New Roman" w:hAnsi="Times New Roman" w:cs="Times New Roman"/>
                <w:sz w:val="20"/>
                <w:szCs w:val="20"/>
              </w:rPr>
              <w:t>%)</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Diploma</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42</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15</w:t>
            </w:r>
            <w:r w:rsidR="006A4F05" w:rsidRPr="00B72859">
              <w:rPr>
                <w:rFonts w:ascii="Times New Roman" w:eastAsia="Times New Roman" w:hAnsi="Times New Roman" w:cs="Times New Roman"/>
                <w:sz w:val="20"/>
                <w:szCs w:val="20"/>
              </w:rPr>
              <w:t xml:space="preserve"> (23.8%)</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Undergraduates</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8</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w:t>
            </w:r>
            <w:r w:rsidR="006A4F05" w:rsidRPr="00B72859">
              <w:rPr>
                <w:rFonts w:ascii="Times New Roman" w:eastAsia="Times New Roman" w:hAnsi="Times New Roman" w:cs="Times New Roman"/>
                <w:sz w:val="20"/>
                <w:szCs w:val="20"/>
              </w:rPr>
              <w:t xml:space="preserve"> (1.6%)</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Graduates</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43</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23</w:t>
            </w:r>
            <w:r w:rsidR="006A4F05" w:rsidRPr="00B72859">
              <w:rPr>
                <w:rFonts w:ascii="Times New Roman" w:eastAsia="Times New Roman" w:hAnsi="Times New Roman" w:cs="Times New Roman"/>
                <w:sz w:val="20"/>
                <w:szCs w:val="20"/>
              </w:rPr>
              <w:t xml:space="preserve"> (36.5%)</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 = 0.025</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Occupational risk</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Unemployed</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25</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6</w:t>
            </w:r>
            <w:r w:rsidR="006A4F05" w:rsidRPr="00B72859">
              <w:rPr>
                <w:rFonts w:ascii="Times New Roman" w:eastAsia="Times New Roman" w:hAnsi="Times New Roman" w:cs="Times New Roman"/>
                <w:sz w:val="20"/>
                <w:szCs w:val="20"/>
              </w:rPr>
              <w:t xml:space="preserve"> (9.5%)</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Low risk</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147</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51</w:t>
            </w:r>
            <w:r w:rsidR="00A3457B" w:rsidRPr="00B72859">
              <w:rPr>
                <w:rFonts w:ascii="Times New Roman" w:eastAsia="Times New Roman" w:hAnsi="Times New Roman" w:cs="Times New Roman"/>
                <w:sz w:val="20"/>
                <w:szCs w:val="20"/>
              </w:rPr>
              <w:t xml:space="preserve"> (81.0%)</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High risk</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10</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6</w:t>
            </w:r>
            <w:r w:rsidR="00A3457B" w:rsidRPr="00B72859">
              <w:rPr>
                <w:rFonts w:ascii="Times New Roman" w:eastAsia="Times New Roman" w:hAnsi="Times New Roman" w:cs="Times New Roman"/>
                <w:sz w:val="20"/>
                <w:szCs w:val="20"/>
              </w:rPr>
              <w:t xml:space="preserve"> (9.5%)</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 = 0.129</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Donor types</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Paid</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86</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30</w:t>
            </w:r>
            <w:r w:rsidR="00A3457B" w:rsidRPr="00B72859">
              <w:rPr>
                <w:rFonts w:ascii="Times New Roman" w:eastAsia="Times New Roman" w:hAnsi="Times New Roman" w:cs="Times New Roman"/>
                <w:sz w:val="20"/>
                <w:szCs w:val="20"/>
              </w:rPr>
              <w:t xml:space="preserve"> (47.6%)</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xml:space="preserve">Family </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89</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31</w:t>
            </w:r>
            <w:r w:rsidR="00A3457B" w:rsidRPr="00B72859">
              <w:rPr>
                <w:rFonts w:ascii="Times New Roman" w:eastAsia="Times New Roman" w:hAnsi="Times New Roman" w:cs="Times New Roman"/>
                <w:sz w:val="20"/>
                <w:szCs w:val="20"/>
              </w:rPr>
              <w:t xml:space="preserve"> (49.2%)</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r>
      <w:tr w:rsidR="00FB76D7" w:rsidRPr="00B72859" w:rsidTr="00F10AA0">
        <w:trPr>
          <w:jc w:val="center"/>
        </w:trPr>
        <w:tc>
          <w:tcPr>
            <w:tcW w:w="2116"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 </w:t>
            </w:r>
          </w:p>
        </w:tc>
        <w:tc>
          <w:tcPr>
            <w:tcW w:w="817"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Voluntary</w:t>
            </w:r>
          </w:p>
        </w:tc>
        <w:tc>
          <w:tcPr>
            <w:tcW w:w="492"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7</w:t>
            </w:r>
          </w:p>
        </w:tc>
        <w:tc>
          <w:tcPr>
            <w:tcW w:w="600"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2</w:t>
            </w:r>
            <w:r w:rsidR="00A3457B" w:rsidRPr="00B72859">
              <w:rPr>
                <w:rFonts w:ascii="Times New Roman" w:eastAsia="Times New Roman" w:hAnsi="Times New Roman" w:cs="Times New Roman"/>
                <w:sz w:val="20"/>
                <w:szCs w:val="20"/>
              </w:rPr>
              <w:t xml:space="preserve"> (3.2%)</w:t>
            </w:r>
          </w:p>
        </w:tc>
        <w:tc>
          <w:tcPr>
            <w:tcW w:w="975" w:type="pct"/>
            <w:noWrap/>
            <w:vAlign w:val="center"/>
            <w:hideMark/>
          </w:tcPr>
          <w:p w:rsidR="00FB76D7" w:rsidRPr="00B72859" w:rsidRDefault="00FB76D7"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p = 0.943</w:t>
            </w:r>
          </w:p>
        </w:tc>
      </w:tr>
      <w:tr w:rsidR="00A3457B" w:rsidRPr="00B72859" w:rsidTr="00F10AA0">
        <w:trPr>
          <w:jc w:val="center"/>
        </w:trPr>
        <w:tc>
          <w:tcPr>
            <w:tcW w:w="2116" w:type="pct"/>
            <w:noWrap/>
            <w:vAlign w:val="center"/>
            <w:hideMark/>
          </w:tcPr>
          <w:p w:rsidR="00A3457B" w:rsidRPr="00B72859" w:rsidRDefault="00A3457B"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total</w:t>
            </w:r>
          </w:p>
        </w:tc>
        <w:tc>
          <w:tcPr>
            <w:tcW w:w="817" w:type="pct"/>
            <w:noWrap/>
            <w:vAlign w:val="center"/>
            <w:hideMark/>
          </w:tcPr>
          <w:p w:rsidR="00A3457B" w:rsidRPr="00B72859" w:rsidRDefault="00A3457B" w:rsidP="007F2799">
            <w:pPr>
              <w:snapToGrid w:val="0"/>
              <w:spacing w:line="240" w:lineRule="auto"/>
              <w:jc w:val="both"/>
              <w:rPr>
                <w:rFonts w:ascii="Times New Roman" w:eastAsia="Times New Roman" w:hAnsi="Times New Roman" w:cs="Times New Roman"/>
                <w:sz w:val="20"/>
                <w:szCs w:val="20"/>
              </w:rPr>
            </w:pPr>
          </w:p>
        </w:tc>
        <w:tc>
          <w:tcPr>
            <w:tcW w:w="492" w:type="pct"/>
            <w:noWrap/>
            <w:vAlign w:val="center"/>
            <w:hideMark/>
          </w:tcPr>
          <w:p w:rsidR="00A3457B" w:rsidRPr="00B72859" w:rsidRDefault="00A3457B"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182</w:t>
            </w:r>
          </w:p>
        </w:tc>
        <w:tc>
          <w:tcPr>
            <w:tcW w:w="600" w:type="pct"/>
            <w:noWrap/>
            <w:vAlign w:val="center"/>
            <w:hideMark/>
          </w:tcPr>
          <w:p w:rsidR="00A3457B" w:rsidRPr="00B72859" w:rsidRDefault="00A3457B" w:rsidP="007F2799">
            <w:pPr>
              <w:snapToGrid w:val="0"/>
              <w:spacing w:line="240" w:lineRule="auto"/>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63 (34.6%)</w:t>
            </w:r>
          </w:p>
        </w:tc>
        <w:tc>
          <w:tcPr>
            <w:tcW w:w="975" w:type="pct"/>
            <w:noWrap/>
            <w:vAlign w:val="center"/>
            <w:hideMark/>
          </w:tcPr>
          <w:p w:rsidR="00A3457B" w:rsidRPr="00B72859" w:rsidRDefault="00A3457B" w:rsidP="007F2799">
            <w:pPr>
              <w:snapToGrid w:val="0"/>
              <w:spacing w:line="240" w:lineRule="auto"/>
              <w:jc w:val="both"/>
              <w:rPr>
                <w:rFonts w:ascii="Times New Roman" w:eastAsia="Times New Roman" w:hAnsi="Times New Roman" w:cs="Times New Roman"/>
                <w:sz w:val="20"/>
                <w:szCs w:val="20"/>
              </w:rPr>
            </w:pPr>
          </w:p>
        </w:tc>
      </w:tr>
    </w:tbl>
    <w:p w:rsidR="006B1B8B" w:rsidRPr="00B72859" w:rsidRDefault="006B1B8B" w:rsidP="007F2799">
      <w:pPr>
        <w:snapToGrid w:val="0"/>
        <w:spacing w:after="0" w:line="240" w:lineRule="auto"/>
        <w:contextualSpacing/>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noProof/>
          <w:color w:val="000000"/>
          <w:sz w:val="20"/>
          <w:szCs w:val="20"/>
          <w:lang w:val="en-US" w:eastAsia="zh-CN"/>
        </w:rPr>
        <w:drawing>
          <wp:inline distT="0" distB="0" distL="114300" distR="114300">
            <wp:extent cx="4067920" cy="2194560"/>
            <wp:effectExtent l="19050" t="0" r="878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1B8B" w:rsidRPr="00B72859" w:rsidRDefault="009878F2" w:rsidP="007F2799">
      <w:pPr>
        <w:snapToGrid w:val="0"/>
        <w:spacing w:after="0" w:line="240" w:lineRule="auto"/>
        <w:contextualSpacing/>
        <w:jc w:val="both"/>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b/>
          <w:color w:val="000000"/>
          <w:sz w:val="20"/>
          <w:szCs w:val="20"/>
          <w:lang w:val="en-US" w:eastAsia="zh-CN"/>
        </w:rPr>
        <w:t>Fi</w:t>
      </w:r>
      <w:r w:rsidR="0077263D" w:rsidRPr="00B72859">
        <w:rPr>
          <w:rFonts w:ascii="Times New Roman" w:eastAsia="SimSun" w:hAnsi="Times New Roman" w:cs="Times New Roman"/>
          <w:b/>
          <w:color w:val="000000"/>
          <w:sz w:val="20"/>
          <w:szCs w:val="20"/>
          <w:lang w:val="en-US" w:eastAsia="zh-CN"/>
        </w:rPr>
        <w:t xml:space="preserve">g. </w:t>
      </w:r>
      <w:r w:rsidR="006B1B8B" w:rsidRPr="00B72859">
        <w:rPr>
          <w:rFonts w:ascii="Times New Roman" w:eastAsia="SimSun" w:hAnsi="Times New Roman" w:cs="Times New Roman"/>
          <w:b/>
          <w:color w:val="000000"/>
          <w:sz w:val="20"/>
          <w:szCs w:val="20"/>
          <w:lang w:val="en-US" w:eastAsia="zh-CN"/>
        </w:rPr>
        <w:t>1</w:t>
      </w:r>
      <w:r w:rsidR="006B1B8B" w:rsidRPr="00B72859">
        <w:rPr>
          <w:rFonts w:ascii="Times New Roman" w:eastAsia="SimSun" w:hAnsi="Times New Roman" w:cs="Times New Roman"/>
          <w:color w:val="000000"/>
          <w:sz w:val="20"/>
          <w:szCs w:val="20"/>
          <w:lang w:val="en-US" w:eastAsia="zh-CN"/>
        </w:rPr>
        <w:t>: Overall seroprevalence of HBV from intending male blood donors from two Hospitals in Port Harcourt Town, Rivers State</w:t>
      </w:r>
    </w:p>
    <w:p w:rsidR="00A3457B" w:rsidRPr="00B72859" w:rsidRDefault="00A3457B" w:rsidP="007F2799">
      <w:pPr>
        <w:snapToGrid w:val="0"/>
        <w:spacing w:after="0" w:line="240" w:lineRule="auto"/>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noProof/>
          <w:color w:val="000000"/>
          <w:sz w:val="20"/>
          <w:szCs w:val="20"/>
          <w:lang w:val="en-US" w:eastAsia="zh-CN"/>
        </w:rPr>
        <w:drawing>
          <wp:inline distT="0" distB="0" distL="114300" distR="114300">
            <wp:extent cx="3999506" cy="2719346"/>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2C24" w:rsidRPr="00B72859" w:rsidRDefault="00442C24" w:rsidP="007F2799">
      <w:pPr>
        <w:snapToGrid w:val="0"/>
        <w:spacing w:after="0" w:line="240" w:lineRule="auto"/>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b/>
          <w:color w:val="000000"/>
          <w:sz w:val="20"/>
          <w:szCs w:val="20"/>
          <w:lang w:val="en-US" w:eastAsia="zh-CN"/>
        </w:rPr>
        <w:t>Fig</w:t>
      </w:r>
      <w:r w:rsidR="008911F9" w:rsidRPr="00B72859">
        <w:rPr>
          <w:rFonts w:ascii="Times New Roman" w:eastAsia="SimSun" w:hAnsi="Times New Roman" w:cs="Times New Roman"/>
          <w:b/>
          <w:color w:val="000000"/>
          <w:sz w:val="20"/>
          <w:szCs w:val="20"/>
          <w:lang w:val="en-US" w:eastAsia="zh-CN"/>
        </w:rPr>
        <w:t xml:space="preserve"> 2</w:t>
      </w:r>
      <w:r w:rsidRPr="00B72859">
        <w:rPr>
          <w:rFonts w:ascii="Times New Roman" w:eastAsia="SimSun" w:hAnsi="Times New Roman" w:cs="Times New Roman"/>
          <w:color w:val="000000"/>
          <w:sz w:val="20"/>
          <w:szCs w:val="20"/>
          <w:lang w:val="en-US" w:eastAsia="zh-CN"/>
        </w:rPr>
        <w:t>: Seroprevalence of HBV in Hospital 1 in Port Harcourt Town, Rivers State</w:t>
      </w:r>
    </w:p>
    <w:p w:rsidR="00442C24" w:rsidRDefault="00442C24" w:rsidP="007F2799">
      <w:pPr>
        <w:snapToGrid w:val="0"/>
        <w:spacing w:after="0" w:line="240" w:lineRule="auto"/>
        <w:ind w:firstLine="425"/>
        <w:jc w:val="both"/>
        <w:rPr>
          <w:rFonts w:ascii="Times New Roman" w:eastAsiaTheme="minorEastAsia" w:hAnsi="Times New Roman" w:cs="Times New Roman" w:hint="eastAsia"/>
          <w:color w:val="000000"/>
          <w:sz w:val="20"/>
          <w:szCs w:val="20"/>
          <w:lang w:val="en-US" w:eastAsia="zh-CN"/>
        </w:rPr>
      </w:pPr>
    </w:p>
    <w:p w:rsidR="00B72859" w:rsidRPr="00B72859" w:rsidRDefault="00B72859" w:rsidP="007F2799">
      <w:pPr>
        <w:snapToGrid w:val="0"/>
        <w:spacing w:after="0" w:line="240" w:lineRule="auto"/>
        <w:ind w:firstLine="425"/>
        <w:jc w:val="both"/>
        <w:rPr>
          <w:rFonts w:ascii="Times New Roman" w:eastAsiaTheme="minorEastAsia" w:hAnsi="Times New Roman" w:cs="Times New Roman" w:hint="eastAsia"/>
          <w:color w:val="000000"/>
          <w:sz w:val="20"/>
          <w:szCs w:val="20"/>
          <w:lang w:val="en-US" w:eastAsia="zh-CN"/>
        </w:rPr>
      </w:pPr>
    </w:p>
    <w:p w:rsidR="00A3457B" w:rsidRPr="00B72859" w:rsidRDefault="00A3457B" w:rsidP="007F2799">
      <w:pPr>
        <w:snapToGrid w:val="0"/>
        <w:spacing w:after="0" w:line="240" w:lineRule="auto"/>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noProof/>
          <w:color w:val="000000"/>
          <w:sz w:val="20"/>
          <w:szCs w:val="20"/>
          <w:lang w:val="en-US" w:eastAsia="zh-CN"/>
        </w:rPr>
        <w:drawing>
          <wp:inline distT="0" distB="0" distL="114300" distR="114300">
            <wp:extent cx="3996267" cy="2957689"/>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457B" w:rsidRPr="00B72859" w:rsidRDefault="00A3457B" w:rsidP="007F2799">
      <w:pPr>
        <w:snapToGrid w:val="0"/>
        <w:spacing w:after="0" w:line="240" w:lineRule="auto"/>
        <w:jc w:val="center"/>
        <w:rPr>
          <w:rFonts w:ascii="Times New Roman" w:eastAsia="SimSun" w:hAnsi="Times New Roman" w:cs="Times New Roman"/>
          <w:color w:val="000000"/>
          <w:sz w:val="20"/>
          <w:szCs w:val="20"/>
          <w:lang w:val="en-US" w:eastAsia="zh-CN"/>
        </w:rPr>
      </w:pPr>
      <w:r w:rsidRPr="00B72859">
        <w:rPr>
          <w:rFonts w:ascii="Times New Roman" w:eastAsia="SimSun" w:hAnsi="Times New Roman" w:cs="Times New Roman"/>
          <w:b/>
          <w:color w:val="000000"/>
          <w:sz w:val="20"/>
          <w:szCs w:val="20"/>
          <w:lang w:val="en-US" w:eastAsia="zh-CN"/>
        </w:rPr>
        <w:t>Fig</w:t>
      </w:r>
      <w:r w:rsidR="008911F9" w:rsidRPr="00B72859">
        <w:rPr>
          <w:rFonts w:ascii="Times New Roman" w:eastAsia="SimSun" w:hAnsi="Times New Roman" w:cs="Times New Roman"/>
          <w:b/>
          <w:color w:val="000000"/>
          <w:sz w:val="20"/>
          <w:szCs w:val="20"/>
          <w:lang w:val="en-US" w:eastAsia="zh-CN"/>
        </w:rPr>
        <w:t xml:space="preserve"> 3</w:t>
      </w:r>
      <w:r w:rsidRPr="00B72859">
        <w:rPr>
          <w:rFonts w:ascii="Times New Roman" w:eastAsia="SimSun" w:hAnsi="Times New Roman" w:cs="Times New Roman"/>
          <w:color w:val="000000"/>
          <w:sz w:val="20"/>
          <w:szCs w:val="20"/>
          <w:lang w:val="en-US" w:eastAsia="zh-CN"/>
        </w:rPr>
        <w:t>: Seroprevalence of HBV in hospital 2 in Port Harcourt, Rivers State</w:t>
      </w:r>
    </w:p>
    <w:p w:rsidR="006B1B8B" w:rsidRDefault="006B1B8B" w:rsidP="007F2799">
      <w:pPr>
        <w:snapToGrid w:val="0"/>
        <w:spacing w:after="0" w:line="240" w:lineRule="auto"/>
        <w:ind w:firstLine="425"/>
        <w:contextualSpacing/>
        <w:jc w:val="both"/>
        <w:rPr>
          <w:rFonts w:ascii="Times New Roman" w:eastAsiaTheme="minorEastAsia" w:hAnsi="Times New Roman" w:cs="Times New Roman" w:hint="eastAsia"/>
          <w:color w:val="000000"/>
          <w:sz w:val="20"/>
          <w:szCs w:val="20"/>
          <w:lang w:val="en-US" w:eastAsia="zh-CN"/>
        </w:rPr>
      </w:pPr>
    </w:p>
    <w:p w:rsidR="00B72859" w:rsidRPr="00B72859" w:rsidRDefault="00B72859" w:rsidP="007F2799">
      <w:pPr>
        <w:snapToGrid w:val="0"/>
        <w:spacing w:after="0" w:line="240" w:lineRule="auto"/>
        <w:ind w:firstLine="425"/>
        <w:contextualSpacing/>
        <w:jc w:val="both"/>
        <w:rPr>
          <w:rFonts w:ascii="Times New Roman" w:eastAsiaTheme="minorEastAsia" w:hAnsi="Times New Roman" w:cs="Times New Roman" w:hint="eastAsia"/>
          <w:color w:val="000000"/>
          <w:sz w:val="20"/>
          <w:szCs w:val="20"/>
          <w:lang w:val="en-US" w:eastAsia="zh-CN"/>
        </w:rPr>
      </w:pPr>
    </w:p>
    <w:p w:rsidR="007F2799" w:rsidRPr="00B72859" w:rsidRDefault="007F2799" w:rsidP="007F2799">
      <w:pPr>
        <w:snapToGrid w:val="0"/>
        <w:spacing w:after="0" w:line="240" w:lineRule="auto"/>
        <w:contextualSpacing/>
        <w:jc w:val="both"/>
        <w:rPr>
          <w:rFonts w:ascii="Times New Roman" w:eastAsia="SimSun" w:hAnsi="Times New Roman" w:cs="Times New Roman"/>
          <w:b/>
          <w:color w:val="000000"/>
          <w:sz w:val="20"/>
          <w:szCs w:val="20"/>
          <w:lang w:val="en-US" w:eastAsia="zh-CN"/>
        </w:rPr>
        <w:sectPr w:rsidR="007F2799" w:rsidRPr="00B72859" w:rsidSect="00F10AA0">
          <w:type w:val="continuous"/>
          <w:pgSz w:w="12240" w:h="15840"/>
          <w:pgMar w:top="1440" w:right="1440" w:bottom="1440" w:left="1440" w:header="720" w:footer="720" w:gutter="0"/>
          <w:cols w:space="720"/>
          <w:docGrid w:linePitch="360"/>
        </w:sectPr>
      </w:pPr>
    </w:p>
    <w:p w:rsidR="006B1B8B" w:rsidRPr="00B72859" w:rsidRDefault="00E00497" w:rsidP="007F2799">
      <w:pPr>
        <w:snapToGrid w:val="0"/>
        <w:spacing w:after="0" w:line="240" w:lineRule="auto"/>
        <w:contextualSpacing/>
        <w:jc w:val="both"/>
        <w:rPr>
          <w:rFonts w:ascii="Times New Roman" w:eastAsia="SimSun" w:hAnsi="Times New Roman" w:cs="Times New Roman"/>
          <w:b/>
          <w:color w:val="000000"/>
          <w:sz w:val="20"/>
          <w:szCs w:val="20"/>
          <w:lang w:val="en-US" w:eastAsia="zh-CN"/>
        </w:rPr>
      </w:pPr>
      <w:r w:rsidRPr="00B72859">
        <w:rPr>
          <w:rFonts w:ascii="Times New Roman" w:eastAsia="SimSun" w:hAnsi="Times New Roman" w:cs="Times New Roman"/>
          <w:b/>
          <w:color w:val="000000"/>
          <w:sz w:val="20"/>
          <w:szCs w:val="20"/>
          <w:lang w:val="en-US" w:eastAsia="zh-CN"/>
        </w:rPr>
        <w:lastRenderedPageBreak/>
        <w:t xml:space="preserve">4. </w:t>
      </w:r>
      <w:r w:rsidR="00CB55B9" w:rsidRPr="00B72859">
        <w:rPr>
          <w:rFonts w:ascii="Times New Roman" w:eastAsia="SimSun" w:hAnsi="Times New Roman" w:cs="Times New Roman"/>
          <w:b/>
          <w:color w:val="000000"/>
          <w:sz w:val="20"/>
          <w:szCs w:val="20"/>
          <w:lang w:val="en-US" w:eastAsia="zh-CN"/>
        </w:rPr>
        <w:t>Discussion</w:t>
      </w:r>
    </w:p>
    <w:p w:rsidR="007F2799" w:rsidRPr="00B72859" w:rsidRDefault="008F7183" w:rsidP="007F2799">
      <w:pPr>
        <w:snapToGrid w:val="0"/>
        <w:spacing w:after="0" w:line="240" w:lineRule="auto"/>
        <w:ind w:firstLine="425"/>
        <w:contextualSpacing/>
        <w:jc w:val="both"/>
        <w:rPr>
          <w:rFonts w:ascii="Times New Roman" w:hAnsi="Times New Roman" w:cs="Times New Roman"/>
          <w:color w:val="000000" w:themeColor="text1"/>
          <w:sz w:val="20"/>
          <w:szCs w:val="20"/>
        </w:rPr>
      </w:pPr>
      <w:r w:rsidRPr="00B72859">
        <w:rPr>
          <w:rFonts w:ascii="Times New Roman" w:hAnsi="Times New Roman" w:cs="Times New Roman"/>
          <w:color w:val="000000" w:themeColor="text1"/>
          <w:sz w:val="20"/>
          <w:szCs w:val="20"/>
        </w:rPr>
        <w:t>P</w:t>
      </w:r>
      <w:r w:rsidR="00CF6174" w:rsidRPr="00B72859">
        <w:rPr>
          <w:rFonts w:ascii="Times New Roman" w:hAnsi="Times New Roman" w:cs="Times New Roman"/>
          <w:color w:val="000000" w:themeColor="text1"/>
          <w:sz w:val="20"/>
          <w:szCs w:val="20"/>
        </w:rPr>
        <w:t>ost-transfusion</w:t>
      </w:r>
      <w:r w:rsidRPr="00B72859">
        <w:rPr>
          <w:rFonts w:ascii="Times New Roman" w:hAnsi="Times New Roman" w:cs="Times New Roman"/>
          <w:color w:val="000000" w:themeColor="text1"/>
          <w:sz w:val="20"/>
          <w:szCs w:val="20"/>
        </w:rPr>
        <w:t xml:space="preserve"> TTI</w:t>
      </w:r>
      <w:r w:rsidR="00CF6174" w:rsidRPr="00B72859">
        <w:rPr>
          <w:rFonts w:ascii="Times New Roman" w:hAnsi="Times New Roman" w:cs="Times New Roman"/>
          <w:color w:val="000000" w:themeColor="text1"/>
          <w:sz w:val="20"/>
          <w:szCs w:val="20"/>
        </w:rPr>
        <w:t xml:space="preserve"> is the main factor that affects the availability of safe blood for transfusion (Fashola and Otegbayo, 2002). Periodic assessment of TTIs among </w:t>
      </w:r>
      <w:r w:rsidR="00442C24" w:rsidRPr="00B72859">
        <w:rPr>
          <w:rFonts w:ascii="Times New Roman" w:hAnsi="Times New Roman" w:cs="Times New Roman"/>
          <w:color w:val="000000" w:themeColor="text1"/>
          <w:sz w:val="20"/>
          <w:szCs w:val="20"/>
        </w:rPr>
        <w:t xml:space="preserve">supposedly healthy donors is an </w:t>
      </w:r>
      <w:r w:rsidRPr="00B72859">
        <w:rPr>
          <w:rFonts w:ascii="Times New Roman" w:hAnsi="Times New Roman" w:cs="Times New Roman"/>
          <w:color w:val="000000" w:themeColor="text1"/>
          <w:sz w:val="20"/>
          <w:szCs w:val="20"/>
        </w:rPr>
        <w:t xml:space="preserve">important </w:t>
      </w:r>
      <w:r w:rsidR="00CF6174" w:rsidRPr="00B72859">
        <w:rPr>
          <w:rFonts w:ascii="Times New Roman" w:hAnsi="Times New Roman" w:cs="Times New Roman"/>
          <w:color w:val="000000" w:themeColor="text1"/>
          <w:sz w:val="20"/>
          <w:szCs w:val="20"/>
        </w:rPr>
        <w:t>pub</w:t>
      </w:r>
      <w:r w:rsidRPr="00B72859">
        <w:rPr>
          <w:rFonts w:ascii="Times New Roman" w:hAnsi="Times New Roman" w:cs="Times New Roman"/>
          <w:color w:val="000000" w:themeColor="text1"/>
          <w:sz w:val="20"/>
          <w:szCs w:val="20"/>
        </w:rPr>
        <w:t>lic health intervention measure</w:t>
      </w:r>
      <w:r w:rsidR="00CF6174" w:rsidRPr="00B72859">
        <w:rPr>
          <w:rFonts w:ascii="Times New Roman" w:hAnsi="Times New Roman" w:cs="Times New Roman"/>
          <w:color w:val="000000" w:themeColor="text1"/>
          <w:sz w:val="20"/>
          <w:szCs w:val="20"/>
        </w:rPr>
        <w:t xml:space="preserve"> for safe blood units and its product in hospital settings (Mohammed</w:t>
      </w:r>
      <w:r w:rsidR="00CF6174" w:rsidRPr="00B72859">
        <w:rPr>
          <w:rFonts w:ascii="Times New Roman" w:hAnsi="Times New Roman" w:cs="Times New Roman"/>
          <w:i/>
          <w:iCs/>
          <w:color w:val="000000" w:themeColor="text1"/>
          <w:sz w:val="20"/>
          <w:szCs w:val="20"/>
        </w:rPr>
        <w:t xml:space="preserve"> et al.,</w:t>
      </w:r>
      <w:r w:rsidR="00CF6174" w:rsidRPr="00B72859">
        <w:rPr>
          <w:rFonts w:ascii="Times New Roman" w:hAnsi="Times New Roman" w:cs="Times New Roman"/>
          <w:color w:val="000000" w:themeColor="text1"/>
          <w:sz w:val="20"/>
          <w:szCs w:val="20"/>
        </w:rPr>
        <w:t xml:space="preserve"> 2017). </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rPr>
      </w:pPr>
      <w:r w:rsidRPr="00B72859">
        <w:rPr>
          <w:rFonts w:ascii="Times New Roman" w:hAnsi="Times New Roman" w:cs="Times New Roman"/>
          <w:sz w:val="20"/>
          <w:szCs w:val="20"/>
          <w:lang w:val="en-US"/>
        </w:rPr>
        <w:t xml:space="preserve">This study surveyed the prevalence of HBV among intending male donors in two hospitals in Port Harcourt. In this study, a total of 182 donors were screened within study duration. The overall prevalence of HBV </w:t>
      </w:r>
      <w:r w:rsidR="003404E7" w:rsidRPr="00B72859">
        <w:rPr>
          <w:rFonts w:ascii="Times New Roman" w:hAnsi="Times New Roman" w:cs="Times New Roman"/>
          <w:sz w:val="20"/>
          <w:szCs w:val="20"/>
          <w:lang w:val="en-US"/>
        </w:rPr>
        <w:t xml:space="preserve">was </w:t>
      </w:r>
      <w:r w:rsidRPr="00B72859">
        <w:rPr>
          <w:rFonts w:ascii="Times New Roman" w:hAnsi="Times New Roman" w:cs="Times New Roman"/>
          <w:sz w:val="20"/>
          <w:szCs w:val="20"/>
          <w:lang w:val="en-US"/>
        </w:rPr>
        <w:t xml:space="preserve">34.6% which is above the prevalence of 14.52% among 182 male donors reported by Ogbolu </w:t>
      </w:r>
      <w:r w:rsidRPr="00B72859">
        <w:rPr>
          <w:rFonts w:ascii="Times New Roman" w:hAnsi="Times New Roman" w:cs="Times New Roman"/>
          <w:i/>
          <w:iCs/>
          <w:sz w:val="20"/>
          <w:szCs w:val="20"/>
          <w:lang w:val="en-US"/>
        </w:rPr>
        <w:t xml:space="preserve">et al. </w:t>
      </w:r>
      <w:r w:rsidRPr="00B72859">
        <w:rPr>
          <w:rFonts w:ascii="Times New Roman" w:hAnsi="Times New Roman" w:cs="Times New Roman"/>
          <w:sz w:val="20"/>
          <w:szCs w:val="20"/>
          <w:lang w:val="en-US"/>
        </w:rPr>
        <w:t>(2016). In addition, the prevalence was also greater than 4.1 %, 20.3</w:t>
      </w:r>
      <w:r w:rsidR="0077263D" w:rsidRPr="00B72859">
        <w:rPr>
          <w:rFonts w:ascii="Times New Roman" w:hAnsi="Times New Roman" w:cs="Times New Roman"/>
          <w:sz w:val="20"/>
          <w:szCs w:val="20"/>
          <w:lang w:val="en-US"/>
        </w:rPr>
        <w:t>% and</w:t>
      </w:r>
      <w:r w:rsidRPr="00B72859">
        <w:rPr>
          <w:rFonts w:ascii="Times New Roman" w:hAnsi="Times New Roman" w:cs="Times New Roman"/>
          <w:sz w:val="20"/>
          <w:szCs w:val="20"/>
          <w:lang w:val="en-US"/>
        </w:rPr>
        <w:t xml:space="preserve"> 7.5% reported in studies conducted in Calabar (Okoroiwu </w:t>
      </w:r>
      <w:r w:rsidRPr="00B72859">
        <w:rPr>
          <w:rFonts w:ascii="Times New Roman" w:hAnsi="Times New Roman" w:cs="Times New Roman"/>
          <w:i/>
          <w:iCs/>
          <w:sz w:val="20"/>
          <w:szCs w:val="20"/>
          <w:lang w:val="en-US"/>
        </w:rPr>
        <w:t>et al</w:t>
      </w:r>
      <w:r w:rsidRPr="00B72859">
        <w:rPr>
          <w:rFonts w:ascii="Times New Roman" w:hAnsi="Times New Roman" w:cs="Times New Roman"/>
          <w:sz w:val="20"/>
          <w:szCs w:val="20"/>
          <w:lang w:val="en-US"/>
        </w:rPr>
        <w:t>., 2018</w:t>
      </w:r>
      <w:r w:rsidR="0077263D" w:rsidRPr="00B72859">
        <w:rPr>
          <w:rFonts w:ascii="Times New Roman" w:hAnsi="Times New Roman" w:cs="Times New Roman"/>
          <w:sz w:val="20"/>
          <w:szCs w:val="20"/>
          <w:lang w:val="en-US"/>
        </w:rPr>
        <w:t>), Ibadan</w:t>
      </w:r>
      <w:r w:rsidR="00A3457B" w:rsidRPr="00B72859">
        <w:rPr>
          <w:rFonts w:ascii="Times New Roman" w:hAnsi="Times New Roman" w:cs="Times New Roman"/>
          <w:sz w:val="20"/>
          <w:szCs w:val="20"/>
          <w:lang w:val="en-US"/>
        </w:rPr>
        <w:t xml:space="preserve"> (</w:t>
      </w:r>
      <w:r w:rsidRPr="00B72859">
        <w:rPr>
          <w:rFonts w:ascii="Times New Roman" w:hAnsi="Times New Roman" w:cs="Times New Roman"/>
          <w:sz w:val="20"/>
          <w:szCs w:val="20"/>
        </w:rPr>
        <w:t xml:space="preserve">Otegbayo </w:t>
      </w:r>
      <w:r w:rsidRPr="00B72859">
        <w:rPr>
          <w:rFonts w:ascii="Times New Roman" w:hAnsi="Times New Roman" w:cs="Times New Roman"/>
          <w:i/>
          <w:iCs/>
          <w:sz w:val="20"/>
          <w:szCs w:val="20"/>
        </w:rPr>
        <w:t>et al</w:t>
      </w:r>
      <w:r w:rsidRPr="00B72859">
        <w:rPr>
          <w:rFonts w:ascii="Times New Roman" w:hAnsi="Times New Roman" w:cs="Times New Roman"/>
          <w:sz w:val="20"/>
          <w:szCs w:val="20"/>
        </w:rPr>
        <w:t>., 2003</w:t>
      </w:r>
      <w:r w:rsidRPr="00B72859">
        <w:rPr>
          <w:rFonts w:ascii="Times New Roman" w:hAnsi="Times New Roman" w:cs="Times New Roman"/>
          <w:sz w:val="20"/>
          <w:szCs w:val="20"/>
          <w:lang w:val="en-US"/>
        </w:rPr>
        <w:t>) and both Kano and Jos (Ja and Ao 2015; Nwankwo</w:t>
      </w:r>
      <w:r w:rsidRPr="00B72859">
        <w:rPr>
          <w:rFonts w:ascii="Times New Roman" w:hAnsi="Times New Roman" w:cs="Times New Roman"/>
          <w:i/>
          <w:iCs/>
          <w:sz w:val="20"/>
          <w:szCs w:val="20"/>
          <w:lang w:val="en-US"/>
        </w:rPr>
        <w:t xml:space="preserve"> et al.,</w:t>
      </w:r>
      <w:r w:rsidRPr="00B72859">
        <w:rPr>
          <w:rFonts w:ascii="Times New Roman" w:hAnsi="Times New Roman" w:cs="Times New Roman"/>
          <w:sz w:val="20"/>
          <w:szCs w:val="20"/>
          <w:lang w:val="en-US"/>
        </w:rPr>
        <w:t xml:space="preserve"> 2012). </w:t>
      </w:r>
      <w:r w:rsidRPr="00B72859">
        <w:rPr>
          <w:rFonts w:ascii="Times New Roman" w:hAnsi="Times New Roman" w:cs="Times New Roman"/>
          <w:sz w:val="20"/>
          <w:szCs w:val="20"/>
        </w:rPr>
        <w:t xml:space="preserve">However, </w:t>
      </w:r>
      <w:r w:rsidR="004A2AD6" w:rsidRPr="00B72859">
        <w:rPr>
          <w:rFonts w:ascii="Times New Roman" w:hAnsi="Times New Roman" w:cs="Times New Roman"/>
          <w:sz w:val="20"/>
          <w:szCs w:val="20"/>
        </w:rPr>
        <w:t xml:space="preserve">a </w:t>
      </w:r>
      <w:r w:rsidRPr="00B72859">
        <w:rPr>
          <w:rFonts w:ascii="Times New Roman" w:hAnsi="Times New Roman" w:cs="Times New Roman"/>
          <w:sz w:val="20"/>
          <w:szCs w:val="20"/>
        </w:rPr>
        <w:t>lower value (1.67%) has been reported in Port Harcourt (Ejele and Ojule, 2004).</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Furthermore, from other African countries, lower rates were recorded in Ghana, (15.9%), (Williams</w:t>
      </w:r>
      <w:r w:rsidRPr="00B72859">
        <w:rPr>
          <w:rFonts w:ascii="Times New Roman" w:hAnsi="Times New Roman" w:cs="Times New Roman"/>
          <w:i/>
          <w:iCs/>
          <w:sz w:val="20"/>
          <w:szCs w:val="20"/>
          <w:lang w:val="en-US"/>
        </w:rPr>
        <w:t xml:space="preserve"> et al.,</w:t>
      </w:r>
      <w:r w:rsidRPr="00B72859">
        <w:rPr>
          <w:rFonts w:ascii="Times New Roman" w:hAnsi="Times New Roman" w:cs="Times New Roman"/>
          <w:sz w:val="20"/>
          <w:szCs w:val="20"/>
          <w:lang w:val="en-US"/>
        </w:rPr>
        <w:t xml:space="preserve"> 2014), 2.0% in Erit</w:t>
      </w:r>
      <w:r w:rsidR="004A2AD6" w:rsidRPr="00B72859">
        <w:rPr>
          <w:rFonts w:ascii="Times New Roman" w:hAnsi="Times New Roman" w:cs="Times New Roman"/>
          <w:sz w:val="20"/>
          <w:szCs w:val="20"/>
          <w:lang w:val="en-US"/>
        </w:rPr>
        <w:t>r</w:t>
      </w:r>
      <w:r w:rsidRPr="00B72859">
        <w:rPr>
          <w:rFonts w:ascii="Times New Roman" w:hAnsi="Times New Roman" w:cs="Times New Roman"/>
          <w:sz w:val="20"/>
          <w:szCs w:val="20"/>
          <w:lang w:val="en-US"/>
        </w:rPr>
        <w:t xml:space="preserve">ea (Siraj et al., 2017) and Ethiopia 10.9% (Yusuf and Alemayehu, 2016). </w:t>
      </w:r>
      <w:r w:rsidRPr="00B72859">
        <w:rPr>
          <w:rFonts w:ascii="Times New Roman" w:hAnsi="Times New Roman" w:cs="Times New Roman"/>
          <w:sz w:val="20"/>
          <w:szCs w:val="20"/>
        </w:rPr>
        <w:t xml:space="preserve">Prevalence of HBV observed in this study could be ranked high when compared with other Sub-Sahara African countries and regions in Nigeria. </w:t>
      </w:r>
      <w:r w:rsidRPr="00B72859">
        <w:rPr>
          <w:rFonts w:ascii="Times New Roman" w:hAnsi="Times New Roman" w:cs="Times New Roman"/>
          <w:sz w:val="20"/>
          <w:szCs w:val="20"/>
          <w:lang w:val="en-US"/>
        </w:rPr>
        <w:t>The alarming prevalence within Port Harcourt points to a high transmission rate within the city.</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On the effect of demographic factors on HBV prevalence, it was obse</w:t>
      </w:r>
      <w:r w:rsidR="006532B4" w:rsidRPr="00B72859">
        <w:rPr>
          <w:rFonts w:ascii="Times New Roman" w:hAnsi="Times New Roman" w:cs="Times New Roman"/>
          <w:sz w:val="20"/>
          <w:szCs w:val="20"/>
          <w:lang w:val="en-US"/>
        </w:rPr>
        <w:t>r</w:t>
      </w:r>
      <w:r w:rsidRPr="00B72859">
        <w:rPr>
          <w:rFonts w:ascii="Times New Roman" w:hAnsi="Times New Roman" w:cs="Times New Roman"/>
          <w:sz w:val="20"/>
          <w:szCs w:val="20"/>
          <w:lang w:val="en-US"/>
        </w:rPr>
        <w:t xml:space="preserve">ved that donors within 31 - 40 </w:t>
      </w:r>
      <w:r w:rsidRPr="00B72859">
        <w:rPr>
          <w:rFonts w:ascii="Times New Roman" w:hAnsi="Times New Roman" w:cs="Times New Roman"/>
          <w:sz w:val="20"/>
          <w:szCs w:val="20"/>
          <w:lang w:val="en-US"/>
        </w:rPr>
        <w:lastRenderedPageBreak/>
        <w:t xml:space="preserve">years were most affected with </w:t>
      </w:r>
      <w:r w:rsidR="004A2AD6" w:rsidRPr="00B72859">
        <w:rPr>
          <w:rFonts w:ascii="Times New Roman" w:hAnsi="Times New Roman" w:cs="Times New Roman"/>
          <w:sz w:val="20"/>
          <w:szCs w:val="20"/>
          <w:lang w:val="en-US"/>
        </w:rPr>
        <w:t xml:space="preserve">a </w:t>
      </w:r>
      <w:r w:rsidRPr="00B72859">
        <w:rPr>
          <w:rFonts w:ascii="Times New Roman" w:hAnsi="Times New Roman" w:cs="Times New Roman"/>
          <w:sz w:val="20"/>
          <w:szCs w:val="20"/>
          <w:lang w:val="en-US"/>
        </w:rPr>
        <w:t xml:space="preserve">high HBV prevalence of (66.7%). This might be because those in this age group are more sexually active and socially interactive by </w:t>
      </w:r>
      <w:r w:rsidR="006532B4" w:rsidRPr="00B72859">
        <w:rPr>
          <w:rFonts w:ascii="Times New Roman" w:hAnsi="Times New Roman" w:cs="Times New Roman"/>
          <w:sz w:val="20"/>
          <w:szCs w:val="20"/>
          <w:lang w:val="en-US"/>
        </w:rPr>
        <w:t>virtue</w:t>
      </w:r>
      <w:r w:rsidRPr="00B72859">
        <w:rPr>
          <w:rFonts w:ascii="Times New Roman" w:hAnsi="Times New Roman" w:cs="Times New Roman"/>
          <w:sz w:val="20"/>
          <w:szCs w:val="20"/>
          <w:lang w:val="en-US"/>
        </w:rPr>
        <w:t xml:space="preserve"> of being a </w:t>
      </w:r>
      <w:r w:rsidR="0077263D" w:rsidRPr="00B72859">
        <w:rPr>
          <w:rFonts w:ascii="Times New Roman" w:hAnsi="Times New Roman" w:cs="Times New Roman"/>
          <w:sz w:val="20"/>
          <w:szCs w:val="20"/>
          <w:lang w:val="en-US"/>
        </w:rPr>
        <w:t>working-class</w:t>
      </w:r>
      <w:r w:rsidRPr="00B72859">
        <w:rPr>
          <w:rFonts w:ascii="Times New Roman" w:hAnsi="Times New Roman" w:cs="Times New Roman"/>
          <w:sz w:val="20"/>
          <w:szCs w:val="20"/>
          <w:lang w:val="en-US"/>
        </w:rPr>
        <w:t xml:space="preserve"> group, where there is a high possibility for casual and paid sexual relationships. This age group is similar in range to 28-37 reported to have </w:t>
      </w:r>
      <w:r w:rsidR="00712113" w:rsidRPr="00B72859">
        <w:rPr>
          <w:rFonts w:ascii="Times New Roman" w:hAnsi="Times New Roman" w:cs="Times New Roman"/>
          <w:sz w:val="20"/>
          <w:szCs w:val="20"/>
          <w:lang w:val="en-US"/>
        </w:rPr>
        <w:t xml:space="preserve">the </w:t>
      </w:r>
      <w:r w:rsidRPr="00B72859">
        <w:rPr>
          <w:rFonts w:ascii="Times New Roman" w:hAnsi="Times New Roman" w:cs="Times New Roman"/>
          <w:sz w:val="20"/>
          <w:szCs w:val="20"/>
          <w:lang w:val="en-US"/>
        </w:rPr>
        <w:t xml:space="preserve">highest prevalence of HBV in the study by </w:t>
      </w:r>
      <w:r w:rsidRPr="00B72859">
        <w:rPr>
          <w:rFonts w:ascii="Times New Roman" w:hAnsi="Times New Roman" w:cs="Times New Roman"/>
          <w:sz w:val="20"/>
          <w:szCs w:val="20"/>
        </w:rPr>
        <w:t xml:space="preserve">Nwankwo </w:t>
      </w:r>
      <w:r w:rsidRPr="00B72859">
        <w:rPr>
          <w:rFonts w:ascii="Times New Roman" w:hAnsi="Times New Roman" w:cs="Times New Roman"/>
          <w:i/>
          <w:iCs/>
          <w:sz w:val="20"/>
          <w:szCs w:val="20"/>
        </w:rPr>
        <w:t>et al</w:t>
      </w:r>
      <w:r w:rsidRPr="00B72859">
        <w:rPr>
          <w:rFonts w:ascii="Times New Roman" w:hAnsi="Times New Roman" w:cs="Times New Roman"/>
          <w:sz w:val="20"/>
          <w:szCs w:val="20"/>
        </w:rPr>
        <w:t xml:space="preserve"> (2012) in Kano </w:t>
      </w:r>
      <w:r w:rsidRPr="00B72859">
        <w:rPr>
          <w:rFonts w:ascii="Times New Roman" w:hAnsi="Times New Roman" w:cs="Times New Roman"/>
          <w:sz w:val="20"/>
          <w:szCs w:val="20"/>
          <w:lang w:val="en-US"/>
        </w:rPr>
        <w:t xml:space="preserve">and above 31.4% in the 31-40 years age group in the study by Mohammed </w:t>
      </w:r>
      <w:r w:rsidRPr="00B72859">
        <w:rPr>
          <w:rFonts w:ascii="Times New Roman" w:hAnsi="Times New Roman" w:cs="Times New Roman"/>
          <w:i/>
          <w:iCs/>
          <w:sz w:val="20"/>
          <w:szCs w:val="20"/>
          <w:lang w:val="en-US"/>
        </w:rPr>
        <w:t xml:space="preserve">et al </w:t>
      </w:r>
      <w:r w:rsidRPr="00B72859">
        <w:rPr>
          <w:rFonts w:ascii="Times New Roman" w:hAnsi="Times New Roman" w:cs="Times New Roman"/>
          <w:sz w:val="20"/>
          <w:szCs w:val="20"/>
          <w:lang w:val="en-US"/>
        </w:rPr>
        <w:t>(2017) in Bauchi.</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In view of donors' educational qualifications, those with university qualification have highest HBV prevalence of 36.5%. In contrast, the least seropositivity was observed in the undergraduate group</w:t>
      </w:r>
      <w:r w:rsidR="00E00497" w:rsidRPr="00B72859">
        <w:rPr>
          <w:rFonts w:ascii="Times New Roman" w:hAnsi="Times New Roman" w:cs="Times New Roman"/>
          <w:sz w:val="20"/>
          <w:szCs w:val="20"/>
          <w:lang w:val="en-US"/>
        </w:rPr>
        <w:t xml:space="preserve"> with 1.6% prevalence which was</w:t>
      </w:r>
      <w:r w:rsidRPr="00B72859">
        <w:rPr>
          <w:rFonts w:ascii="Times New Roman" w:hAnsi="Times New Roman" w:cs="Times New Roman"/>
          <w:sz w:val="20"/>
          <w:szCs w:val="20"/>
          <w:lang w:val="en-US"/>
        </w:rPr>
        <w:t xml:space="preserve"> also the least observed by Ogbolu et</w:t>
      </w:r>
      <w:r w:rsidRPr="00B72859">
        <w:rPr>
          <w:rFonts w:ascii="Times New Roman" w:hAnsi="Times New Roman" w:cs="Times New Roman"/>
          <w:i/>
          <w:iCs/>
          <w:sz w:val="20"/>
          <w:szCs w:val="20"/>
          <w:lang w:val="en-US"/>
        </w:rPr>
        <w:t xml:space="preserve"> al </w:t>
      </w:r>
      <w:r w:rsidRPr="00B72859">
        <w:rPr>
          <w:rFonts w:ascii="Times New Roman" w:hAnsi="Times New Roman" w:cs="Times New Roman"/>
          <w:sz w:val="20"/>
          <w:szCs w:val="20"/>
          <w:lang w:val="en-US"/>
        </w:rPr>
        <w:t xml:space="preserve">(2016) with 6.25% prevalence among undergraduates. It is possible that low seropositivity observed in the undergraduate group may be a result of recent and free vaccination scheme in </w:t>
      </w:r>
      <w:r w:rsidR="00712113" w:rsidRPr="00B72859">
        <w:rPr>
          <w:rFonts w:ascii="Times New Roman" w:hAnsi="Times New Roman" w:cs="Times New Roman"/>
          <w:sz w:val="20"/>
          <w:szCs w:val="20"/>
          <w:lang w:val="en-US"/>
        </w:rPr>
        <w:t xml:space="preserve">a </w:t>
      </w:r>
      <w:r w:rsidRPr="00B72859">
        <w:rPr>
          <w:rFonts w:ascii="Times New Roman" w:hAnsi="Times New Roman" w:cs="Times New Roman"/>
          <w:sz w:val="20"/>
          <w:szCs w:val="20"/>
          <w:lang w:val="en-US"/>
        </w:rPr>
        <w:t xml:space="preserve">universities health facility in line with immunization drive in Nigeria. </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Donors with low skill occupation were discovered to have the highest HBV prevalence 81%, similarly</w:t>
      </w:r>
      <w:r w:rsidR="004A2AD6" w:rsidRPr="00B72859">
        <w:rPr>
          <w:rFonts w:ascii="Times New Roman" w:hAnsi="Times New Roman" w:cs="Times New Roman"/>
          <w:sz w:val="20"/>
          <w:szCs w:val="20"/>
          <w:lang w:val="en-US"/>
        </w:rPr>
        <w:t>,</w:t>
      </w:r>
      <w:r w:rsidRPr="00B72859">
        <w:rPr>
          <w:rFonts w:ascii="Times New Roman" w:hAnsi="Times New Roman" w:cs="Times New Roman"/>
          <w:sz w:val="20"/>
          <w:szCs w:val="20"/>
          <w:lang w:val="en-US"/>
        </w:rPr>
        <w:t xml:space="preserve"> they had the highest prevalence in the study by Ogbolu </w:t>
      </w:r>
      <w:r w:rsidRPr="00B72859">
        <w:rPr>
          <w:rFonts w:ascii="Times New Roman" w:hAnsi="Times New Roman" w:cs="Times New Roman"/>
          <w:i/>
          <w:iCs/>
          <w:sz w:val="20"/>
          <w:szCs w:val="20"/>
          <w:lang w:val="en-US"/>
        </w:rPr>
        <w:t xml:space="preserve">et al </w:t>
      </w:r>
      <w:r w:rsidRPr="00B72859">
        <w:rPr>
          <w:rFonts w:ascii="Times New Roman" w:hAnsi="Times New Roman" w:cs="Times New Roman"/>
          <w:sz w:val="20"/>
          <w:szCs w:val="20"/>
          <w:lang w:val="en-US"/>
        </w:rPr>
        <w:t xml:space="preserve">(2016) implying that occupational skill is a predisposing factor for acquiring hepatitis B infection. </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 xml:space="preserve">Family replacement donors accounted for (48.9%) of donors and had the highest percentage prevalence of HBV infection (49.2%), followed by paid donors (48.6%). The lowest donor type was voluntary donors, and they had the least HBV </w:t>
      </w:r>
      <w:r w:rsidRPr="00B72859">
        <w:rPr>
          <w:rFonts w:ascii="Times New Roman" w:hAnsi="Times New Roman" w:cs="Times New Roman"/>
          <w:sz w:val="20"/>
          <w:szCs w:val="20"/>
          <w:lang w:val="en-US"/>
        </w:rPr>
        <w:lastRenderedPageBreak/>
        <w:t xml:space="preserve">prevalence of 3.2%. This finding is in consonance with Okoroiwu </w:t>
      </w:r>
      <w:r w:rsidRPr="00B72859">
        <w:rPr>
          <w:rFonts w:ascii="Times New Roman" w:hAnsi="Times New Roman" w:cs="Times New Roman"/>
          <w:i/>
          <w:iCs/>
          <w:sz w:val="20"/>
          <w:szCs w:val="20"/>
          <w:lang w:val="en-US"/>
        </w:rPr>
        <w:t>et al</w:t>
      </w:r>
      <w:r w:rsidRPr="00B72859">
        <w:rPr>
          <w:rFonts w:ascii="Times New Roman" w:hAnsi="Times New Roman" w:cs="Times New Roman"/>
          <w:sz w:val="20"/>
          <w:szCs w:val="20"/>
          <w:lang w:val="en-US"/>
        </w:rPr>
        <w:t xml:space="preserve">. (2018) that reported that the amount of voluntarily donated blood has continued to fall over the years in Nigeria due to logistics and organizational problems associated with the national blood transfusion service. The World Health Organization encourages more voluntary donation because they are </w:t>
      </w:r>
      <w:r w:rsidRPr="00B72859">
        <w:rPr>
          <w:rFonts w:ascii="Times New Roman" w:hAnsi="Times New Roman" w:cs="Times New Roman"/>
          <w:sz w:val="20"/>
          <w:szCs w:val="20"/>
        </w:rPr>
        <w:t xml:space="preserve">less likely to transmit transfusion transmissible-infection than family replacement and commercial donors </w:t>
      </w:r>
      <w:r w:rsidRPr="00B72859">
        <w:rPr>
          <w:rFonts w:ascii="Times New Roman" w:hAnsi="Times New Roman" w:cs="Times New Roman"/>
          <w:sz w:val="20"/>
          <w:szCs w:val="20"/>
          <w:lang w:val="en-US"/>
        </w:rPr>
        <w:t>(W.H.O, 2017).</w:t>
      </w:r>
    </w:p>
    <w:p w:rsidR="007F2799" w:rsidRPr="00B72859" w:rsidRDefault="006B1B8B"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 xml:space="preserve">The only significant link between </w:t>
      </w:r>
      <w:r w:rsidR="004A2AD6" w:rsidRPr="00B72859">
        <w:rPr>
          <w:rFonts w:ascii="Times New Roman" w:hAnsi="Times New Roman" w:cs="Times New Roman"/>
          <w:sz w:val="20"/>
          <w:szCs w:val="20"/>
          <w:lang w:val="en-US"/>
        </w:rPr>
        <w:t xml:space="preserve">the </w:t>
      </w:r>
      <w:r w:rsidRPr="00B72859">
        <w:rPr>
          <w:rFonts w:ascii="Times New Roman" w:hAnsi="Times New Roman" w:cs="Times New Roman"/>
          <w:sz w:val="20"/>
          <w:szCs w:val="20"/>
          <w:lang w:val="en-US"/>
        </w:rPr>
        <w:t xml:space="preserve">prevalence of HBV and demographic factors was found between HBV and educational qualifications of donors with a p value of 0.025 (p&lt;0.05), but the link between HBV and the other demographic factors were found </w:t>
      </w:r>
      <w:r w:rsidR="006532B4" w:rsidRPr="00B72859">
        <w:rPr>
          <w:rFonts w:ascii="Times New Roman" w:hAnsi="Times New Roman" w:cs="Times New Roman"/>
          <w:sz w:val="20"/>
          <w:szCs w:val="20"/>
          <w:lang w:val="en-US"/>
        </w:rPr>
        <w:t xml:space="preserve">to be </w:t>
      </w:r>
      <w:r w:rsidRPr="00B72859">
        <w:rPr>
          <w:rFonts w:ascii="Times New Roman" w:hAnsi="Times New Roman" w:cs="Times New Roman"/>
          <w:sz w:val="20"/>
          <w:szCs w:val="20"/>
          <w:lang w:val="en-US"/>
        </w:rPr>
        <w:t>insignificant.</w:t>
      </w:r>
    </w:p>
    <w:p w:rsidR="007F2799" w:rsidRPr="00B72859" w:rsidRDefault="00FD6189"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A prevalence</w:t>
      </w:r>
      <w:r w:rsidR="00712113" w:rsidRPr="00B72859">
        <w:rPr>
          <w:rFonts w:ascii="Times New Roman" w:hAnsi="Times New Roman" w:cs="Times New Roman"/>
          <w:sz w:val="20"/>
          <w:szCs w:val="20"/>
          <w:lang w:val="en-US"/>
        </w:rPr>
        <w:t xml:space="preserve"> of</w:t>
      </w:r>
      <w:r w:rsidR="00EA31A7" w:rsidRPr="00B72859">
        <w:rPr>
          <w:rFonts w:ascii="Times New Roman" w:hAnsi="Times New Roman" w:cs="Times New Roman"/>
          <w:sz w:val="20"/>
          <w:szCs w:val="20"/>
          <w:lang w:val="en-US"/>
        </w:rPr>
        <w:t xml:space="preserve">74.1% </w:t>
      </w:r>
      <w:r w:rsidR="00341C04" w:rsidRPr="00B72859">
        <w:rPr>
          <w:rFonts w:ascii="Times New Roman" w:hAnsi="Times New Roman" w:cs="Times New Roman"/>
          <w:sz w:val="20"/>
          <w:szCs w:val="20"/>
          <w:lang w:val="en-US"/>
        </w:rPr>
        <w:t xml:space="preserve">of </w:t>
      </w:r>
      <w:r w:rsidR="00EA31A7" w:rsidRPr="00B72859">
        <w:rPr>
          <w:rFonts w:ascii="Times New Roman" w:hAnsi="Times New Roman" w:cs="Times New Roman"/>
          <w:sz w:val="20"/>
          <w:szCs w:val="20"/>
          <w:lang w:val="en-US"/>
        </w:rPr>
        <w:t xml:space="preserve">HBV seropositivity </w:t>
      </w:r>
      <w:r w:rsidR="00341C04" w:rsidRPr="00B72859">
        <w:rPr>
          <w:rFonts w:ascii="Times New Roman" w:hAnsi="Times New Roman" w:cs="Times New Roman"/>
          <w:sz w:val="20"/>
          <w:szCs w:val="20"/>
          <w:lang w:val="en-US"/>
        </w:rPr>
        <w:t>w</w:t>
      </w:r>
      <w:r w:rsidR="00712113" w:rsidRPr="00B72859">
        <w:rPr>
          <w:rFonts w:ascii="Times New Roman" w:hAnsi="Times New Roman" w:cs="Times New Roman"/>
          <w:sz w:val="20"/>
          <w:szCs w:val="20"/>
          <w:lang w:val="en-US"/>
        </w:rPr>
        <w:t>as</w:t>
      </w:r>
      <w:r w:rsidR="00341C04" w:rsidRPr="00B72859">
        <w:rPr>
          <w:rFonts w:ascii="Times New Roman" w:hAnsi="Times New Roman" w:cs="Times New Roman"/>
          <w:sz w:val="20"/>
          <w:szCs w:val="20"/>
          <w:lang w:val="en-US"/>
        </w:rPr>
        <w:t xml:space="preserve"> found In donors with low skill occupation in </w:t>
      </w:r>
      <w:r w:rsidR="00EA31A7" w:rsidRPr="00B72859">
        <w:rPr>
          <w:rFonts w:ascii="Times New Roman" w:hAnsi="Times New Roman" w:cs="Times New Roman"/>
          <w:sz w:val="20"/>
          <w:szCs w:val="20"/>
          <w:lang w:val="en-US"/>
        </w:rPr>
        <w:t xml:space="preserve">Hospital 1. However, </w:t>
      </w:r>
      <w:r w:rsidR="00341C04" w:rsidRPr="00B72859">
        <w:rPr>
          <w:rFonts w:ascii="Times New Roman" w:hAnsi="Times New Roman" w:cs="Times New Roman"/>
          <w:sz w:val="20"/>
          <w:szCs w:val="20"/>
          <w:lang w:val="en-US"/>
        </w:rPr>
        <w:t xml:space="preserve">they </w:t>
      </w:r>
      <w:r w:rsidR="00EA31A7" w:rsidRPr="00B72859">
        <w:rPr>
          <w:rFonts w:ascii="Times New Roman" w:hAnsi="Times New Roman" w:cs="Times New Roman"/>
          <w:sz w:val="20"/>
          <w:szCs w:val="20"/>
          <w:lang w:val="en-US"/>
        </w:rPr>
        <w:t>made</w:t>
      </w:r>
      <w:r w:rsidR="00341C04" w:rsidRPr="00B72859">
        <w:rPr>
          <w:rFonts w:ascii="Times New Roman" w:hAnsi="Times New Roman" w:cs="Times New Roman"/>
          <w:sz w:val="20"/>
          <w:szCs w:val="20"/>
          <w:lang w:val="en-US"/>
        </w:rPr>
        <w:t xml:space="preserve"> up the largest donor populace accounting</w:t>
      </w:r>
      <w:r w:rsidR="00EA31A7" w:rsidRPr="00B72859">
        <w:rPr>
          <w:rFonts w:ascii="Times New Roman" w:hAnsi="Times New Roman" w:cs="Times New Roman"/>
          <w:sz w:val="20"/>
          <w:szCs w:val="20"/>
          <w:lang w:val="en-US"/>
        </w:rPr>
        <w:t xml:space="preserve"> for 86.1% seropositivity of HBV in Hospital 2. Considering sweaty</w:t>
      </w:r>
      <w:r w:rsidR="00341C04" w:rsidRPr="00B72859">
        <w:rPr>
          <w:rFonts w:ascii="Times New Roman" w:hAnsi="Times New Roman" w:cs="Times New Roman"/>
          <w:sz w:val="20"/>
          <w:szCs w:val="20"/>
          <w:lang w:val="en-US"/>
        </w:rPr>
        <w:t xml:space="preserve"> nature of their jobs and</w:t>
      </w:r>
      <w:r w:rsidR="00EA31A7" w:rsidRPr="00B72859">
        <w:rPr>
          <w:rFonts w:ascii="Times New Roman" w:hAnsi="Times New Roman" w:cs="Times New Roman"/>
          <w:sz w:val="20"/>
          <w:szCs w:val="20"/>
          <w:lang w:val="en-US"/>
        </w:rPr>
        <w:t xml:space="preserve"> are usually lowly paid and hence most are paid donors, and some promiscuous (e.g., commercial drivers, farmers, artis</w:t>
      </w:r>
      <w:r w:rsidR="001852ED" w:rsidRPr="00B72859">
        <w:rPr>
          <w:rFonts w:ascii="Times New Roman" w:hAnsi="Times New Roman" w:cs="Times New Roman"/>
          <w:sz w:val="20"/>
          <w:szCs w:val="20"/>
          <w:lang w:val="en-US"/>
        </w:rPr>
        <w:t>ans). The low frequency of HBV</w:t>
      </w:r>
      <w:r w:rsidR="00EA31A7" w:rsidRPr="00B72859">
        <w:rPr>
          <w:rFonts w:ascii="Times New Roman" w:hAnsi="Times New Roman" w:cs="Times New Roman"/>
          <w:sz w:val="20"/>
          <w:szCs w:val="20"/>
          <w:lang w:val="en-US"/>
        </w:rPr>
        <w:t xml:space="preserve"> among the high skill donors might be </w:t>
      </w:r>
      <w:r w:rsidR="00341C04" w:rsidRPr="00B72859">
        <w:rPr>
          <w:rFonts w:ascii="Times New Roman" w:hAnsi="Times New Roman" w:cs="Times New Roman"/>
          <w:sz w:val="20"/>
          <w:szCs w:val="20"/>
          <w:lang w:val="en-US"/>
        </w:rPr>
        <w:t xml:space="preserve">due to enlightenment </w:t>
      </w:r>
      <w:r w:rsidRPr="00B72859">
        <w:rPr>
          <w:rFonts w:ascii="Times New Roman" w:hAnsi="Times New Roman" w:cs="Times New Roman"/>
          <w:sz w:val="20"/>
          <w:szCs w:val="20"/>
          <w:lang w:val="en-US"/>
        </w:rPr>
        <w:t>on</w:t>
      </w:r>
      <w:r w:rsidR="00EA31A7" w:rsidRPr="00B72859">
        <w:rPr>
          <w:rFonts w:ascii="Times New Roman" w:hAnsi="Times New Roman" w:cs="Times New Roman"/>
          <w:sz w:val="20"/>
          <w:szCs w:val="20"/>
          <w:lang w:val="en-US"/>
        </w:rPr>
        <w:t xml:space="preserve"> the risk a</w:t>
      </w:r>
      <w:r w:rsidRPr="00B72859">
        <w:rPr>
          <w:rFonts w:ascii="Times New Roman" w:hAnsi="Times New Roman" w:cs="Times New Roman"/>
          <w:sz w:val="20"/>
          <w:szCs w:val="20"/>
          <w:lang w:val="en-US"/>
        </w:rPr>
        <w:t>nd mode of transmission of this disease</w:t>
      </w:r>
      <w:r w:rsidR="00EA31A7" w:rsidRPr="00B72859">
        <w:rPr>
          <w:rFonts w:ascii="Times New Roman" w:hAnsi="Times New Roman" w:cs="Times New Roman"/>
          <w:sz w:val="20"/>
          <w:szCs w:val="20"/>
          <w:lang w:val="en-US"/>
        </w:rPr>
        <w:t xml:space="preserve">, as they are mostly educated. </w:t>
      </w:r>
    </w:p>
    <w:p w:rsidR="007F2799" w:rsidRPr="00B72859" w:rsidRDefault="00EA31A7" w:rsidP="007F2799">
      <w:pPr>
        <w:snapToGrid w:val="0"/>
        <w:spacing w:after="0" w:line="240" w:lineRule="auto"/>
        <w:ind w:firstLine="425"/>
        <w:contextualSpacing/>
        <w:jc w:val="both"/>
        <w:rPr>
          <w:rFonts w:ascii="Times New Roman" w:hAnsi="Times New Roman" w:cs="Times New Roman"/>
          <w:sz w:val="20"/>
          <w:szCs w:val="20"/>
        </w:rPr>
      </w:pPr>
      <w:r w:rsidRPr="00B72859">
        <w:rPr>
          <w:rFonts w:ascii="Times New Roman" w:hAnsi="Times New Roman" w:cs="Times New Roman"/>
          <w:sz w:val="20"/>
          <w:szCs w:val="20"/>
          <w:lang w:val="en-US"/>
        </w:rPr>
        <w:t>None of the voluntary donors had HBV but 63% of the family donors had HBV while</w:t>
      </w:r>
      <w:r w:rsidR="001852ED" w:rsidRPr="00B72859">
        <w:rPr>
          <w:rFonts w:ascii="Times New Roman" w:hAnsi="Times New Roman" w:cs="Times New Roman"/>
          <w:sz w:val="20"/>
          <w:szCs w:val="20"/>
          <w:lang w:val="en-US"/>
        </w:rPr>
        <w:t xml:space="preserve"> 37% of the paid donors had HBV. </w:t>
      </w:r>
      <w:r w:rsidRPr="00B72859">
        <w:rPr>
          <w:rFonts w:ascii="Times New Roman" w:hAnsi="Times New Roman" w:cs="Times New Roman"/>
          <w:sz w:val="20"/>
          <w:szCs w:val="20"/>
          <w:lang w:val="en-US"/>
        </w:rPr>
        <w:t>Paid donors were the majority</w:t>
      </w:r>
      <w:r w:rsidR="004A2AD6" w:rsidRPr="00B72859">
        <w:rPr>
          <w:rFonts w:ascii="Times New Roman" w:hAnsi="Times New Roman" w:cs="Times New Roman"/>
          <w:sz w:val="20"/>
          <w:szCs w:val="20"/>
          <w:lang w:val="en-US"/>
        </w:rPr>
        <w:t xml:space="preserve"> of</w:t>
      </w:r>
      <w:r w:rsidRPr="00B72859">
        <w:rPr>
          <w:rFonts w:ascii="Times New Roman" w:hAnsi="Times New Roman" w:cs="Times New Roman"/>
          <w:sz w:val="20"/>
          <w:szCs w:val="20"/>
          <w:lang w:val="en-US"/>
        </w:rPr>
        <w:t xml:space="preserve"> 52 (63.4%) among the intending male donors in Hospital 2. Paid donors accounted for 52.8% </w:t>
      </w:r>
      <w:r w:rsidR="001852ED" w:rsidRPr="00B72859">
        <w:rPr>
          <w:rFonts w:ascii="Times New Roman" w:hAnsi="Times New Roman" w:cs="Times New Roman"/>
          <w:sz w:val="20"/>
          <w:szCs w:val="20"/>
          <w:lang w:val="en-US"/>
        </w:rPr>
        <w:t>of HBV seropositivity</w:t>
      </w:r>
      <w:r w:rsidRPr="00B72859">
        <w:rPr>
          <w:rFonts w:ascii="Times New Roman" w:hAnsi="Times New Roman" w:cs="Times New Roman"/>
          <w:sz w:val="20"/>
          <w:szCs w:val="20"/>
          <w:lang w:val="en-US"/>
        </w:rPr>
        <w:t>, while family donors accounted for 38.9% HBV, leaving voluntary donors accounting for 8.3</w:t>
      </w:r>
      <w:r w:rsidR="001852ED" w:rsidRPr="00B72859">
        <w:rPr>
          <w:rFonts w:ascii="Times New Roman" w:hAnsi="Times New Roman" w:cs="Times New Roman"/>
          <w:sz w:val="20"/>
          <w:szCs w:val="20"/>
          <w:lang w:val="en-US"/>
        </w:rPr>
        <w:t>% of HBV</w:t>
      </w:r>
      <w:r w:rsidRPr="00B72859">
        <w:rPr>
          <w:rFonts w:ascii="Times New Roman" w:hAnsi="Times New Roman" w:cs="Times New Roman"/>
          <w:sz w:val="20"/>
          <w:szCs w:val="20"/>
          <w:lang w:val="en-US"/>
        </w:rPr>
        <w:t xml:space="preserve"> seropositi</w:t>
      </w:r>
      <w:r w:rsidR="001852ED" w:rsidRPr="00B72859">
        <w:rPr>
          <w:rFonts w:ascii="Times New Roman" w:hAnsi="Times New Roman" w:cs="Times New Roman"/>
          <w:sz w:val="20"/>
          <w:szCs w:val="20"/>
          <w:lang w:val="en-US"/>
        </w:rPr>
        <w:t>vity in that order</w:t>
      </w:r>
      <w:r w:rsidRPr="00B72859">
        <w:rPr>
          <w:rFonts w:ascii="Times New Roman" w:hAnsi="Times New Roman" w:cs="Times New Roman"/>
          <w:sz w:val="20"/>
          <w:szCs w:val="20"/>
          <w:lang w:val="en-US"/>
        </w:rPr>
        <w:t xml:space="preserve">. </w:t>
      </w:r>
    </w:p>
    <w:p w:rsidR="007F2799" w:rsidRPr="00B72859" w:rsidRDefault="00EA31A7"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 xml:space="preserve">In Hospital 1, the demographic factors of the intending male donors had no </w:t>
      </w:r>
      <w:r w:rsidR="00394144" w:rsidRPr="00B72859">
        <w:rPr>
          <w:rFonts w:ascii="Times New Roman" w:hAnsi="Times New Roman" w:cs="Times New Roman"/>
          <w:sz w:val="20"/>
          <w:szCs w:val="20"/>
          <w:lang w:val="en-US"/>
        </w:rPr>
        <w:t>significant association with HBV</w:t>
      </w:r>
      <w:r w:rsidRPr="00B72859">
        <w:rPr>
          <w:rFonts w:ascii="Times New Roman" w:hAnsi="Times New Roman" w:cs="Times New Roman"/>
          <w:sz w:val="20"/>
          <w:szCs w:val="20"/>
          <w:lang w:val="en-US"/>
        </w:rPr>
        <w:t xml:space="preserve"> prevalence as their p value were greater than 0.05 (p&gt;0.05). However, the educational qualifications of the donors had a significant association with re</w:t>
      </w:r>
      <w:r w:rsidR="00FD6189" w:rsidRPr="00B72859">
        <w:rPr>
          <w:rFonts w:ascii="Times New Roman" w:hAnsi="Times New Roman" w:cs="Times New Roman"/>
          <w:sz w:val="20"/>
          <w:szCs w:val="20"/>
          <w:lang w:val="en-US"/>
        </w:rPr>
        <w:t>spect to HBV frequency (p=0.004</w:t>
      </w:r>
      <w:r w:rsidR="00394144" w:rsidRPr="00B72859">
        <w:rPr>
          <w:rFonts w:ascii="Times New Roman" w:hAnsi="Times New Roman" w:cs="Times New Roman"/>
          <w:sz w:val="20"/>
          <w:szCs w:val="20"/>
          <w:lang w:val="en-US"/>
        </w:rPr>
        <w:t>)</w:t>
      </w:r>
      <w:r w:rsidR="007F2799" w:rsidRPr="00B72859">
        <w:rPr>
          <w:rFonts w:ascii="Times New Roman" w:hAnsi="Times New Roman" w:cs="Times New Roman"/>
          <w:sz w:val="20"/>
          <w:szCs w:val="20"/>
          <w:lang w:val="en-US"/>
        </w:rPr>
        <w:t>. I</w:t>
      </w:r>
      <w:r w:rsidRPr="00B72859">
        <w:rPr>
          <w:rFonts w:ascii="Times New Roman" w:hAnsi="Times New Roman" w:cs="Times New Roman"/>
          <w:sz w:val="20"/>
          <w:szCs w:val="20"/>
          <w:lang w:val="en-US"/>
        </w:rPr>
        <w:t>n Hospital 2, the demographic factors of the intending male donors h</w:t>
      </w:r>
      <w:r w:rsidR="00E00497" w:rsidRPr="00B72859">
        <w:rPr>
          <w:rFonts w:ascii="Times New Roman" w:hAnsi="Times New Roman" w:cs="Times New Roman"/>
          <w:sz w:val="20"/>
          <w:szCs w:val="20"/>
          <w:lang w:val="en-US"/>
        </w:rPr>
        <w:t>ad no significant</w:t>
      </w:r>
      <w:r w:rsidR="00394144" w:rsidRPr="00B72859">
        <w:rPr>
          <w:rFonts w:ascii="Times New Roman" w:hAnsi="Times New Roman" w:cs="Times New Roman"/>
          <w:sz w:val="20"/>
          <w:szCs w:val="20"/>
          <w:lang w:val="en-US"/>
        </w:rPr>
        <w:t xml:space="preserve"> link with HBV</w:t>
      </w:r>
      <w:r w:rsidRPr="00B72859">
        <w:rPr>
          <w:rFonts w:ascii="Times New Roman" w:hAnsi="Times New Roman" w:cs="Times New Roman"/>
          <w:sz w:val="20"/>
          <w:szCs w:val="20"/>
          <w:lang w:val="en-US"/>
        </w:rPr>
        <w:t xml:space="preserve"> frequency as their p value were greater than 0.05 (p&gt;0.05).</w:t>
      </w:r>
    </w:p>
    <w:p w:rsidR="007F2799" w:rsidRPr="00B72859" w:rsidRDefault="00EA31A7"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rPr>
        <w:t xml:space="preserve">In conclusion, </w:t>
      </w:r>
      <w:r w:rsidRPr="00B72859">
        <w:rPr>
          <w:rFonts w:ascii="Times New Roman" w:hAnsi="Times New Roman" w:cs="Times New Roman"/>
          <w:sz w:val="20"/>
          <w:szCs w:val="20"/>
          <w:lang w:val="en-US"/>
        </w:rPr>
        <w:t xml:space="preserve">the </w:t>
      </w:r>
      <w:r w:rsidR="00FB1CCC" w:rsidRPr="00B72859">
        <w:rPr>
          <w:rFonts w:ascii="Times New Roman" w:hAnsi="Times New Roman" w:cs="Times New Roman"/>
          <w:sz w:val="20"/>
          <w:szCs w:val="20"/>
        </w:rPr>
        <w:t>prevalence</w:t>
      </w:r>
      <w:r w:rsidRPr="00B72859">
        <w:rPr>
          <w:rFonts w:ascii="Times New Roman" w:hAnsi="Times New Roman" w:cs="Times New Roman"/>
          <w:sz w:val="20"/>
          <w:szCs w:val="20"/>
        </w:rPr>
        <w:t xml:space="preserve"> of HBV observed in this study </w:t>
      </w:r>
      <w:r w:rsidR="00FD6189" w:rsidRPr="00B72859">
        <w:rPr>
          <w:rFonts w:ascii="Times New Roman" w:hAnsi="Times New Roman" w:cs="Times New Roman"/>
          <w:sz w:val="20"/>
          <w:szCs w:val="20"/>
        </w:rPr>
        <w:t>was higher</w:t>
      </w:r>
      <w:r w:rsidRPr="00B72859">
        <w:rPr>
          <w:rFonts w:ascii="Times New Roman" w:hAnsi="Times New Roman" w:cs="Times New Roman"/>
          <w:sz w:val="20"/>
          <w:szCs w:val="20"/>
        </w:rPr>
        <w:t xml:space="preserve"> when compared with other Sub-Sahara African c</w:t>
      </w:r>
      <w:r w:rsidR="00394144" w:rsidRPr="00B72859">
        <w:rPr>
          <w:rFonts w:ascii="Times New Roman" w:hAnsi="Times New Roman" w:cs="Times New Roman"/>
          <w:sz w:val="20"/>
          <w:szCs w:val="20"/>
        </w:rPr>
        <w:t>ountries and regions in Nigeria</w:t>
      </w:r>
      <w:r w:rsidR="007F2799" w:rsidRPr="00B72859">
        <w:rPr>
          <w:rFonts w:ascii="Times New Roman" w:hAnsi="Times New Roman" w:cs="Times New Roman"/>
          <w:sz w:val="20"/>
          <w:szCs w:val="20"/>
          <w:lang w:val="en-US"/>
        </w:rPr>
        <w:t>. A</w:t>
      </w:r>
      <w:r w:rsidR="00FD6189" w:rsidRPr="00B72859">
        <w:rPr>
          <w:rFonts w:ascii="Times New Roman" w:hAnsi="Times New Roman" w:cs="Times New Roman"/>
          <w:sz w:val="20"/>
          <w:szCs w:val="20"/>
          <w:lang w:val="en-US"/>
        </w:rPr>
        <w:t xml:space="preserve"> low-frequency turnout of voluntary donors as compared to family and commercial donors, as such there is </w:t>
      </w:r>
      <w:r w:rsidR="00712113" w:rsidRPr="00B72859">
        <w:rPr>
          <w:rFonts w:ascii="Times New Roman" w:hAnsi="Times New Roman" w:cs="Times New Roman"/>
          <w:sz w:val="20"/>
          <w:szCs w:val="20"/>
          <w:lang w:val="en-US"/>
        </w:rPr>
        <w:t xml:space="preserve">a </w:t>
      </w:r>
      <w:r w:rsidR="00FD6189" w:rsidRPr="00B72859">
        <w:rPr>
          <w:rFonts w:ascii="Times New Roman" w:hAnsi="Times New Roman" w:cs="Times New Roman"/>
          <w:sz w:val="20"/>
          <w:szCs w:val="20"/>
          <w:lang w:val="en-US"/>
        </w:rPr>
        <w:t>need for public sensitization on encouragement of voluntary blood donations</w:t>
      </w:r>
      <w:r w:rsidR="007F2799" w:rsidRPr="00B72859">
        <w:rPr>
          <w:rFonts w:ascii="Times New Roman" w:hAnsi="Times New Roman" w:cs="Times New Roman"/>
          <w:sz w:val="20"/>
          <w:szCs w:val="20"/>
          <w:lang w:val="en-US"/>
        </w:rPr>
        <w:t>. T</w:t>
      </w:r>
      <w:r w:rsidR="00394144" w:rsidRPr="00B72859">
        <w:rPr>
          <w:rFonts w:ascii="Times New Roman" w:hAnsi="Times New Roman" w:cs="Times New Roman"/>
          <w:sz w:val="20"/>
          <w:szCs w:val="20"/>
          <w:lang w:val="en-US"/>
        </w:rPr>
        <w:t xml:space="preserve">here were no female blood donors as at the time this study was carried out. </w:t>
      </w:r>
    </w:p>
    <w:p w:rsidR="007F2799" w:rsidRPr="00B72859" w:rsidRDefault="00FD6189"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rPr>
        <w:t xml:space="preserve">For as long as HBV remains a public health problem worldwide, the need to screen all blood </w:t>
      </w:r>
      <w:r w:rsidRPr="00B72859">
        <w:rPr>
          <w:rFonts w:ascii="Times New Roman" w:hAnsi="Times New Roman" w:cs="Times New Roman"/>
          <w:sz w:val="20"/>
          <w:szCs w:val="20"/>
        </w:rPr>
        <w:lastRenderedPageBreak/>
        <w:t>donors for circulating antibodies to HBV infection using not only rapid test methods but also advance methods that can detect the pathogens in the window period is necessary</w:t>
      </w:r>
      <w:r w:rsidR="007F2799" w:rsidRPr="00B72859">
        <w:rPr>
          <w:rFonts w:ascii="Times New Roman" w:hAnsi="Times New Roman" w:cs="Times New Roman"/>
          <w:sz w:val="20"/>
          <w:szCs w:val="20"/>
        </w:rPr>
        <w:t>. T</w:t>
      </w:r>
      <w:r w:rsidR="00EA31A7" w:rsidRPr="00B72859">
        <w:rPr>
          <w:rFonts w:ascii="Times New Roman" w:hAnsi="Times New Roman" w:cs="Times New Roman"/>
          <w:sz w:val="20"/>
          <w:szCs w:val="20"/>
        </w:rPr>
        <w:t>he small sample size was a constraint in this study as such, larger population size should be used in further studies.</w:t>
      </w:r>
    </w:p>
    <w:p w:rsidR="007F2799" w:rsidRPr="00B72859" w:rsidRDefault="00EA31A7" w:rsidP="007F2799">
      <w:pPr>
        <w:snapToGrid w:val="0"/>
        <w:spacing w:after="0" w:line="240" w:lineRule="auto"/>
        <w:ind w:firstLine="425"/>
        <w:contextualSpacing/>
        <w:jc w:val="both"/>
        <w:rPr>
          <w:rFonts w:ascii="Times New Roman" w:hAnsi="Times New Roman" w:cs="Times New Roman"/>
          <w:sz w:val="20"/>
          <w:szCs w:val="20"/>
          <w:lang w:val="en-US"/>
        </w:rPr>
      </w:pPr>
      <w:r w:rsidRPr="00B72859">
        <w:rPr>
          <w:rFonts w:ascii="Times New Roman" w:hAnsi="Times New Roman" w:cs="Times New Roman"/>
          <w:sz w:val="20"/>
          <w:szCs w:val="20"/>
          <w:lang w:val="en-US"/>
        </w:rPr>
        <w:t>This s</w:t>
      </w:r>
      <w:r w:rsidR="00592C0A" w:rsidRPr="00B72859">
        <w:rPr>
          <w:rFonts w:ascii="Times New Roman" w:hAnsi="Times New Roman" w:cs="Times New Roman"/>
          <w:sz w:val="20"/>
          <w:szCs w:val="20"/>
          <w:lang w:val="en-US"/>
        </w:rPr>
        <w:t>tudy</w:t>
      </w:r>
      <w:r w:rsidRPr="00B72859">
        <w:rPr>
          <w:rFonts w:ascii="Times New Roman" w:hAnsi="Times New Roman" w:cs="Times New Roman"/>
          <w:sz w:val="20"/>
          <w:szCs w:val="20"/>
          <w:lang w:val="en-US"/>
        </w:rPr>
        <w:t xml:space="preserve"> has contributed to the general knowledge of the relevance of screening blood donors before </w:t>
      </w:r>
      <w:r w:rsidR="004A2AD6" w:rsidRPr="00B72859">
        <w:rPr>
          <w:rFonts w:ascii="Times New Roman" w:hAnsi="Times New Roman" w:cs="Times New Roman"/>
          <w:sz w:val="20"/>
          <w:szCs w:val="20"/>
          <w:lang w:val="en-US"/>
        </w:rPr>
        <w:t xml:space="preserve">a </w:t>
      </w:r>
      <w:r w:rsidRPr="00B72859">
        <w:rPr>
          <w:rFonts w:ascii="Times New Roman" w:hAnsi="Times New Roman" w:cs="Times New Roman"/>
          <w:sz w:val="20"/>
          <w:szCs w:val="20"/>
          <w:lang w:val="en-US"/>
        </w:rPr>
        <w:t>blood transfusion to prevent post</w:t>
      </w:r>
      <w:r w:rsidR="004A2AD6" w:rsidRPr="00B72859">
        <w:rPr>
          <w:rFonts w:ascii="Times New Roman" w:hAnsi="Times New Roman" w:cs="Times New Roman"/>
          <w:sz w:val="20"/>
          <w:szCs w:val="20"/>
          <w:lang w:val="en-US"/>
        </w:rPr>
        <w:t>-</w:t>
      </w:r>
      <w:r w:rsidRPr="00B72859">
        <w:rPr>
          <w:rFonts w:ascii="Times New Roman" w:hAnsi="Times New Roman" w:cs="Times New Roman"/>
          <w:sz w:val="20"/>
          <w:szCs w:val="20"/>
          <w:lang w:val="en-US"/>
        </w:rPr>
        <w:t xml:space="preserve">transfusion infections and possible death. It has pointed to the urgent need for </w:t>
      </w:r>
      <w:r w:rsidR="00712113" w:rsidRPr="00B72859">
        <w:rPr>
          <w:rFonts w:ascii="Times New Roman" w:hAnsi="Times New Roman" w:cs="Times New Roman"/>
          <w:sz w:val="20"/>
          <w:szCs w:val="20"/>
          <w:lang w:val="en-US"/>
        </w:rPr>
        <w:t xml:space="preserve">a </w:t>
      </w:r>
      <w:r w:rsidRPr="00B72859">
        <w:rPr>
          <w:rFonts w:ascii="Times New Roman" w:hAnsi="Times New Roman" w:cs="Times New Roman"/>
          <w:sz w:val="20"/>
          <w:szCs w:val="20"/>
          <w:lang w:val="en-US"/>
        </w:rPr>
        <w:t xml:space="preserve">voluntary donation of blood as this group of donors is proven to be the safest source of blood. It laid emphasis on the risk of untreated HBV disease to blood donors and unsuspecting recipients. The current prevalence </w:t>
      </w:r>
      <w:r w:rsidR="00394144" w:rsidRPr="00B72859">
        <w:rPr>
          <w:rFonts w:ascii="Times New Roman" w:hAnsi="Times New Roman" w:cs="Times New Roman"/>
          <w:sz w:val="20"/>
          <w:szCs w:val="20"/>
          <w:lang w:val="en-US"/>
        </w:rPr>
        <w:t>of HBV</w:t>
      </w:r>
      <w:r w:rsidRPr="00B72859">
        <w:rPr>
          <w:rFonts w:ascii="Times New Roman" w:hAnsi="Times New Roman" w:cs="Times New Roman"/>
          <w:sz w:val="20"/>
          <w:szCs w:val="20"/>
          <w:lang w:val="en-US"/>
        </w:rPr>
        <w:t xml:space="preserve"> status among male donors in a distric</w:t>
      </w:r>
      <w:r w:rsidR="008B6D28" w:rsidRPr="00B72859">
        <w:rPr>
          <w:rFonts w:ascii="Times New Roman" w:hAnsi="Times New Roman" w:cs="Times New Roman"/>
          <w:sz w:val="20"/>
          <w:szCs w:val="20"/>
          <w:lang w:val="en-US"/>
        </w:rPr>
        <w:t>t of Port Harcourt was achieve</w:t>
      </w:r>
      <w:r w:rsidR="007F2799" w:rsidRPr="00B72859">
        <w:rPr>
          <w:rFonts w:ascii="Times New Roman" w:hAnsi="Times New Roman" w:cs="Times New Roman"/>
          <w:sz w:val="20"/>
          <w:szCs w:val="20"/>
          <w:lang w:val="en-US"/>
        </w:rPr>
        <w:t>d.</w:t>
      </w:r>
    </w:p>
    <w:p w:rsidR="001075FC" w:rsidRPr="00B72859" w:rsidRDefault="001075FC" w:rsidP="007F2799">
      <w:pPr>
        <w:snapToGrid w:val="0"/>
        <w:spacing w:after="0" w:line="240" w:lineRule="auto"/>
        <w:ind w:firstLine="425"/>
        <w:contextualSpacing/>
        <w:jc w:val="both"/>
        <w:rPr>
          <w:rFonts w:ascii="Times New Roman" w:hAnsi="Times New Roman" w:cs="Times New Roman"/>
          <w:sz w:val="20"/>
          <w:szCs w:val="20"/>
        </w:rPr>
      </w:pPr>
    </w:p>
    <w:p w:rsidR="001075FC" w:rsidRPr="00B72859" w:rsidRDefault="001075FC" w:rsidP="007F2799">
      <w:pPr>
        <w:snapToGrid w:val="0"/>
        <w:spacing w:after="0" w:line="240" w:lineRule="auto"/>
        <w:contextualSpacing/>
        <w:jc w:val="both"/>
        <w:rPr>
          <w:rFonts w:ascii="Times New Roman" w:hAnsi="Times New Roman" w:cs="Times New Roman"/>
          <w:b/>
          <w:sz w:val="20"/>
          <w:szCs w:val="20"/>
        </w:rPr>
      </w:pPr>
      <w:r w:rsidRPr="00B72859">
        <w:rPr>
          <w:rFonts w:ascii="Times New Roman" w:hAnsi="Times New Roman" w:cs="Times New Roman"/>
          <w:b/>
          <w:sz w:val="20"/>
          <w:szCs w:val="20"/>
        </w:rPr>
        <w:t>References</w:t>
      </w:r>
    </w:p>
    <w:p w:rsidR="001075FC" w:rsidRPr="00B72859" w:rsidRDefault="001075FC"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Ejele,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Ojule,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A.C.</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(2004).</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The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hepatitis-B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surface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antigen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(HBsAg),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prospective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patients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Port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Harcourt,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Nigeria.</w:t>
      </w:r>
      <w:r w:rsidR="00F10AA0" w:rsidRPr="00B72859">
        <w:rPr>
          <w:rFonts w:ascii="Times New Roman" w:hAnsi="Times New Roman" w:cs="Times New Roman"/>
          <w:sz w:val="20"/>
          <w:szCs w:val="20"/>
        </w:rPr>
        <w:t xml:space="preserve"> </w:t>
      </w:r>
      <w:r w:rsidRPr="00B72859">
        <w:rPr>
          <w:rFonts w:ascii="Times New Roman" w:hAnsi="Times New Roman" w:cs="Times New Roman"/>
          <w:i/>
          <w:iCs/>
          <w:sz w:val="20"/>
          <w:szCs w:val="20"/>
        </w:rPr>
        <w:t>Nigerian</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Journal</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of</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Medicine</w:t>
      </w:r>
      <w:r w:rsidRPr="00B72859">
        <w:rPr>
          <w:rFonts w:ascii="Times New Roman" w:hAnsi="Times New Roman" w:cs="Times New Roman"/>
          <w:sz w:val="20"/>
          <w:szCs w:val="20"/>
        </w:rPr>
        <w:t>.13:336–8.</w:t>
      </w:r>
    </w:p>
    <w:p w:rsidR="008F7183" w:rsidRPr="00B72859" w:rsidRDefault="008F7183"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Fairley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CK,</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Read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"Vaccination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against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sexually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transmitted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infections".</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Current</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Opinion</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in</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Infectious</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Diseases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bCs/>
          <w:sz w:val="20"/>
          <w:szCs w:val="20"/>
        </w:rPr>
        <w:t>25</w:t>
      </w:r>
      <w:r w:rsidRPr="00B72859">
        <w:rPr>
          <w:rFonts w:ascii="Times New Roman" w:hAnsi="Times New Roman" w:cs="Times New Roman"/>
          <w:sz w:val="20"/>
          <w:szCs w:val="20"/>
        </w:rPr>
        <w:t>(1):66–72.</w:t>
      </w:r>
    </w:p>
    <w:p w:rsidR="00EE13C0" w:rsidRPr="00B72859" w:rsidRDefault="00EE13C0"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Fasola,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F.A.,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Otegbayo,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(2002).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Post-transfusion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hepatitis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sickle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cell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anaemia;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retrospective-prospective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analysis.</w:t>
      </w:r>
      <w:r w:rsidR="00F10AA0" w:rsidRPr="00B72859">
        <w:rPr>
          <w:rFonts w:ascii="Times New Roman" w:hAnsi="Times New Roman" w:cs="Times New Roman"/>
          <w:sz w:val="20"/>
          <w:szCs w:val="20"/>
        </w:rPr>
        <w:t xml:space="preserve"> </w:t>
      </w:r>
      <w:r w:rsidR="00712113" w:rsidRPr="00B72859">
        <w:rPr>
          <w:rFonts w:ascii="Times New Roman" w:hAnsi="Times New Roman" w:cs="Times New Roman"/>
          <w:i/>
          <w:sz w:val="20"/>
          <w:szCs w:val="20"/>
        </w:rPr>
        <w:t>Nigeria</w:t>
      </w:r>
      <w:r w:rsidR="00F10AA0" w:rsidRPr="00B72859">
        <w:rPr>
          <w:rFonts w:ascii="Times New Roman" w:hAnsi="Times New Roman" w:cs="Times New Roman"/>
          <w:i/>
          <w:sz w:val="20"/>
          <w:szCs w:val="20"/>
        </w:rPr>
        <w:t xml:space="preserve"> </w:t>
      </w:r>
      <w:r w:rsidR="00B72859" w:rsidRPr="00B72859">
        <w:rPr>
          <w:rFonts w:ascii="Times New Roman" w:hAnsi="Times New Roman" w:cs="Times New Roman"/>
          <w:i/>
          <w:sz w:val="20"/>
          <w:szCs w:val="20"/>
        </w:rPr>
        <w:t>Journal of</w:t>
      </w:r>
      <w:r w:rsidR="00F10AA0" w:rsidRPr="00B72859">
        <w:rPr>
          <w:rFonts w:ascii="Times New Roman" w:hAnsi="Times New Roman" w:cs="Times New Roman"/>
          <w:i/>
          <w:sz w:val="20"/>
          <w:szCs w:val="20"/>
        </w:rPr>
        <w:t xml:space="preserve"> </w:t>
      </w:r>
      <w:r w:rsidR="00712113" w:rsidRPr="00B72859">
        <w:rPr>
          <w:rFonts w:ascii="Times New Roman" w:hAnsi="Times New Roman" w:cs="Times New Roman"/>
          <w:i/>
          <w:sz w:val="20"/>
          <w:szCs w:val="20"/>
        </w:rPr>
        <w:t>Clinical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Practices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5:</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16-19.</w:t>
      </w:r>
    </w:p>
    <w:p w:rsidR="008F7183" w:rsidRPr="00B72859" w:rsidRDefault="008F7183"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Hughes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(2000).</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"Drug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injectors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the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cleaning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needles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syringes".</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Europea</w:t>
      </w:r>
      <w:r w:rsidR="007F2799" w:rsidRPr="00B72859">
        <w:rPr>
          <w:rFonts w:ascii="Times New Roman" w:hAnsi="Times New Roman" w:cs="Times New Roman"/>
          <w:i/>
          <w:sz w:val="20"/>
          <w:szCs w:val="20"/>
        </w:rPr>
        <w:t>n A</w:t>
      </w:r>
      <w:r w:rsidRPr="00B72859">
        <w:rPr>
          <w:rFonts w:ascii="Times New Roman" w:hAnsi="Times New Roman" w:cs="Times New Roman"/>
          <w:i/>
          <w:sz w:val="20"/>
          <w:szCs w:val="20"/>
        </w:rPr>
        <w:t>ddiction</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Research.</w:t>
      </w:r>
      <w:r w:rsidRPr="00B72859">
        <w:rPr>
          <w:rFonts w:ascii="Times New Roman" w:hAnsi="Times New Roman" w:cs="Times New Roman"/>
          <w:bCs/>
          <w:sz w:val="20"/>
          <w:szCs w:val="20"/>
        </w:rPr>
        <w:t>6</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20–30.</w:t>
      </w:r>
      <w:r w:rsidR="00F10AA0" w:rsidRPr="00B72859">
        <w:rPr>
          <w:rFonts w:ascii="Times New Roman" w:hAnsi="Times New Roman" w:cs="Times New Roman"/>
          <w:sz w:val="20"/>
          <w:szCs w:val="20"/>
        </w:rPr>
        <w:t xml:space="preserve"> </w:t>
      </w:r>
    </w:p>
    <w:p w:rsidR="001075FC" w:rsidRPr="00B72859" w:rsidRDefault="001075FC"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Hou,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J.,</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Liu,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Z.,</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Gu,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(2005).</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Epidemiology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Prevention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Hepatitis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Virus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International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Journal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of</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Medical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Sciences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50-57.</w:t>
      </w:r>
      <w:r w:rsidR="00F10AA0" w:rsidRPr="00B72859">
        <w:rPr>
          <w:rFonts w:ascii="Times New Roman" w:hAnsi="Times New Roman" w:cs="Times New Roman"/>
          <w:sz w:val="20"/>
          <w:szCs w:val="20"/>
        </w:rPr>
        <w:t xml:space="preserve"> </w:t>
      </w:r>
    </w:p>
    <w:p w:rsidR="001075FC" w:rsidRPr="00B72859" w:rsidRDefault="001075FC"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Ja,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Ao,</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(2015).</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Seroepidemiology</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Some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Transfusion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Transmissible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Viral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Infections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Jos,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North-Central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Nigeria.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iCs/>
          <w:sz w:val="20"/>
          <w:szCs w:val="20"/>
        </w:rPr>
        <w:t>Journal</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of</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Blood</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Cs/>
          <w:sz w:val="20"/>
          <w:szCs w:val="20"/>
        </w:rPr>
        <w:t>and</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Lymph,05</w:t>
      </w:r>
      <w:r w:rsidRPr="00B72859">
        <w:rPr>
          <w:rFonts w:ascii="Times New Roman" w:eastAsia="Times New Roman" w:hAnsi="Times New Roman" w:cs="Times New Roman"/>
          <w:sz w:val="20"/>
          <w:szCs w:val="20"/>
        </w:rPr>
        <w:t>(03).</w:t>
      </w:r>
      <w:r w:rsidR="00F10AA0" w:rsidRPr="00B72859">
        <w:rPr>
          <w:rFonts w:ascii="Times New Roman" w:eastAsia="Times New Roman" w:hAnsi="Times New Roman" w:cs="Times New Roman"/>
          <w:sz w:val="20"/>
          <w:szCs w:val="20"/>
        </w:rPr>
        <w:t xml:space="preserve"> </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Locarnini,</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Hatzakis,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Chen,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Lok,</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(2015).</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Strategies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control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Hepatitis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public</w:t>
      </w:r>
      <w:r w:rsidR="004A2AD6" w:rsidRPr="00B72859">
        <w:rPr>
          <w:rFonts w:ascii="Times New Roman" w:hAnsi="Times New Roman" w:cs="Times New Roman"/>
          <w:sz w:val="20"/>
          <w:szCs w:val="20"/>
        </w:rPr>
        <w:t>l</w:t>
      </w:r>
      <w:r w:rsidRPr="00B72859">
        <w:rPr>
          <w:rFonts w:ascii="Times New Roman" w:hAnsi="Times New Roman" w:cs="Times New Roman"/>
          <w:sz w:val="20"/>
          <w:szCs w:val="20"/>
        </w:rPr>
        <w: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epidemiology,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vaccine,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drugs.</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Journal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Of</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Hepatology</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62: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576-586.</w:t>
      </w:r>
    </w:p>
    <w:p w:rsidR="008911F9" w:rsidRPr="00B72859" w:rsidRDefault="008911F9"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McMahon,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J.</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(2009).</w:t>
      </w:r>
      <w:r w:rsidR="00F10AA0" w:rsidRPr="00B72859">
        <w:rPr>
          <w:rFonts w:ascii="Times New Roman" w:hAnsi="Times New Roman" w:cs="Times New Roman"/>
          <w:sz w:val="20"/>
          <w:szCs w:val="20"/>
        </w:rPr>
        <w:t xml:space="preserve"> </w:t>
      </w:r>
      <w:r w:rsidR="008F7183" w:rsidRPr="00B72859">
        <w:rPr>
          <w:rFonts w:ascii="Times New Roman" w:hAnsi="Times New Roman" w:cs="Times New Roman"/>
          <w:sz w:val="20"/>
          <w:szCs w:val="20"/>
        </w:rPr>
        <w:t>The</w:t>
      </w:r>
      <w:r w:rsidR="00F10AA0" w:rsidRPr="00B72859">
        <w:rPr>
          <w:rFonts w:ascii="Times New Roman" w:hAnsi="Times New Roman" w:cs="Times New Roman"/>
          <w:sz w:val="20"/>
          <w:szCs w:val="20"/>
        </w:rPr>
        <w:t xml:space="preserve"> </w:t>
      </w:r>
      <w:r w:rsidR="008F7183" w:rsidRPr="00B72859">
        <w:rPr>
          <w:rFonts w:ascii="Times New Roman" w:hAnsi="Times New Roman" w:cs="Times New Roman"/>
          <w:sz w:val="20"/>
          <w:szCs w:val="20"/>
        </w:rPr>
        <w:t>natural</w:t>
      </w:r>
      <w:r w:rsidR="00F10AA0" w:rsidRPr="00B72859">
        <w:rPr>
          <w:rFonts w:ascii="Times New Roman" w:hAnsi="Times New Roman" w:cs="Times New Roman"/>
          <w:sz w:val="20"/>
          <w:szCs w:val="20"/>
        </w:rPr>
        <w:t xml:space="preserve"> </w:t>
      </w:r>
      <w:r w:rsidR="008F7183" w:rsidRPr="00B72859">
        <w:rPr>
          <w:rFonts w:ascii="Times New Roman" w:hAnsi="Times New Roman" w:cs="Times New Roman"/>
          <w:sz w:val="20"/>
          <w:szCs w:val="20"/>
        </w:rPr>
        <w:t>history</w:t>
      </w:r>
      <w:r w:rsidR="00F10AA0" w:rsidRPr="00B72859">
        <w:rPr>
          <w:rFonts w:ascii="Times New Roman" w:hAnsi="Times New Roman" w:cs="Times New Roman"/>
          <w:sz w:val="20"/>
          <w:szCs w:val="20"/>
        </w:rPr>
        <w:t xml:space="preserve"> </w:t>
      </w:r>
      <w:r w:rsidR="008F7183"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008F7183" w:rsidRPr="00B72859">
        <w:rPr>
          <w:rFonts w:ascii="Times New Roman" w:hAnsi="Times New Roman" w:cs="Times New Roman"/>
          <w:sz w:val="20"/>
          <w:szCs w:val="20"/>
        </w:rPr>
        <w:t>chronic</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hepatitis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virus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w:t>
      </w:r>
      <w:r w:rsidR="00F10AA0" w:rsidRPr="00B72859">
        <w:rPr>
          <w:rFonts w:ascii="Times New Roman" w:hAnsi="Times New Roman" w:cs="Times New Roman"/>
          <w:sz w:val="20"/>
          <w:szCs w:val="20"/>
        </w:rPr>
        <w:t xml:space="preserve"> </w:t>
      </w:r>
      <w:r w:rsidRPr="00B72859">
        <w:rPr>
          <w:rFonts w:ascii="Times New Roman" w:hAnsi="Times New Roman" w:cs="Times New Roman"/>
          <w:i/>
          <w:iCs/>
          <w:sz w:val="20"/>
          <w:szCs w:val="20"/>
        </w:rPr>
        <w:t>Hepatology.</w:t>
      </w:r>
      <w:r w:rsidR="00F10AA0" w:rsidRPr="00B72859">
        <w:rPr>
          <w:rFonts w:ascii="Times New Roman" w:hAnsi="Times New Roman" w:cs="Times New Roman"/>
          <w:i/>
          <w:iCs/>
          <w:sz w:val="20"/>
          <w:szCs w:val="20"/>
        </w:rPr>
        <w:t xml:space="preserve"> </w:t>
      </w:r>
      <w:r w:rsidRPr="00B72859">
        <w:rPr>
          <w:rFonts w:ascii="Times New Roman" w:hAnsi="Times New Roman" w:cs="Times New Roman"/>
          <w:iCs/>
          <w:sz w:val="20"/>
          <w:szCs w:val="20"/>
        </w:rPr>
        <w:t>49</w:t>
      </w:r>
      <w:r w:rsidRPr="00B72859">
        <w:rPr>
          <w:rFonts w:ascii="Times New Roman" w:hAnsi="Times New Roman" w:cs="Times New Roman"/>
          <w:sz w:val="20"/>
          <w:szCs w:val="20"/>
        </w:rPr>
        <w:t>(5):</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45-55.</w:t>
      </w:r>
      <w:r w:rsidR="00F10AA0" w:rsidRPr="00B72859">
        <w:rPr>
          <w:rFonts w:ascii="Times New Roman" w:hAnsi="Times New Roman" w:cs="Times New Roman"/>
          <w:sz w:val="20"/>
          <w:szCs w:val="20"/>
        </w:rPr>
        <w:t xml:space="preserve"> </w:t>
      </w:r>
    </w:p>
    <w:p w:rsidR="001075FC" w:rsidRPr="00B72859" w:rsidRDefault="001075FC"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Mohammed,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Yusuf,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J.B.,</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Okon,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O.K.,</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Umar,</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M.S.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(2017).</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Seroprevalence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HBV,</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HCV,</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HIV</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among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voluntary</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blood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donors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at</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Tertiary</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Hospital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Bauchi,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Northeastern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Nigeria.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sz w:val="20"/>
          <w:szCs w:val="20"/>
        </w:rPr>
        <w:t>European</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Journal</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of</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Pharmaceutical</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and</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Medical</w:t>
      </w:r>
      <w:r w:rsidR="00F10AA0" w:rsidRPr="00B72859">
        <w:rPr>
          <w:rFonts w:ascii="Times New Roman" w:eastAsia="Times New Roman" w:hAnsi="Times New Roman" w:cs="Times New Roman"/>
          <w:i/>
          <w:sz w:val="20"/>
          <w:szCs w:val="20"/>
        </w:rPr>
        <w:t xml:space="preserve"> </w:t>
      </w:r>
      <w:r w:rsidRPr="00B72859">
        <w:rPr>
          <w:rFonts w:ascii="Times New Roman" w:eastAsia="Times New Roman" w:hAnsi="Times New Roman" w:cs="Times New Roman"/>
          <w:i/>
          <w:sz w:val="20"/>
          <w:szCs w:val="20"/>
        </w:rPr>
        <w:t>Research.</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4(3):</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80-85.</w:t>
      </w:r>
    </w:p>
    <w:p w:rsidR="001075FC" w:rsidRPr="00B72859" w:rsidRDefault="001075FC" w:rsidP="007F2799">
      <w:pPr>
        <w:pStyle w:val="NoSpacing"/>
        <w:numPr>
          <w:ilvl w:val="0"/>
          <w:numId w:val="5"/>
        </w:numPr>
        <w:snapToGrid w:val="0"/>
        <w:jc w:val="both"/>
        <w:rPr>
          <w:rFonts w:ascii="Times New Roman" w:hAnsi="Times New Roman" w:cs="Times New Roman"/>
          <w:sz w:val="20"/>
          <w:szCs w:val="20"/>
          <w:shd w:val="clear" w:color="auto" w:fill="FFFFFF"/>
        </w:rPr>
      </w:pPr>
      <w:r w:rsidRPr="00B72859">
        <w:rPr>
          <w:rFonts w:ascii="Times New Roman" w:hAnsi="Times New Roman" w:cs="Times New Roman"/>
          <w:sz w:val="20"/>
          <w:szCs w:val="20"/>
          <w:shd w:val="clear" w:color="auto" w:fill="FFFFFF"/>
        </w:rPr>
        <w:t>Mollison,</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P.</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L.,</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Engelfriet,</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C.</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P.,</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and</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Contreras,</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M.</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(2005).</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Infectious</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agents</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transmitted</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by</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lastRenderedPageBreak/>
        <w:t>transfusion.</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In</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i/>
          <w:iCs/>
          <w:sz w:val="20"/>
          <w:szCs w:val="20"/>
        </w:rPr>
        <w:t>Mollison's</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Blood</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Transfusion</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in</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Clinical</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Medicine</w:t>
      </w:r>
      <w:r w:rsidR="00F10AA0" w:rsidRPr="00B72859">
        <w:rPr>
          <w:rFonts w:ascii="Times New Roman" w:hAnsi="Times New Roman" w:cs="Times New Roman"/>
          <w:i/>
          <w:iCs/>
          <w:sz w:val="20"/>
          <w:szCs w:val="20"/>
        </w:rPr>
        <w:t xml:space="preserve"> </w:t>
      </w:r>
      <w:r w:rsidRPr="00B72859">
        <w:rPr>
          <w:rFonts w:ascii="Times New Roman" w:hAnsi="Times New Roman" w:cs="Times New Roman"/>
          <w:sz w:val="20"/>
          <w:szCs w:val="20"/>
          <w:shd w:val="clear" w:color="auto" w:fill="FFFFFF"/>
        </w:rPr>
        <w:t>(11th</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ed.,</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pp.</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701-702).</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Pub</w:t>
      </w:r>
      <w:r w:rsidR="004A2AD6" w:rsidRPr="00B72859">
        <w:rPr>
          <w:rFonts w:ascii="Times New Roman" w:hAnsi="Times New Roman" w:cs="Times New Roman"/>
          <w:sz w:val="20"/>
          <w:szCs w:val="20"/>
          <w:shd w:val="clear" w:color="auto" w:fill="FFFFFF"/>
        </w:rPr>
        <w:t>l</w:t>
      </w:r>
      <w:r w:rsidRPr="00B72859">
        <w:rPr>
          <w:rFonts w:ascii="Times New Roman" w:hAnsi="Times New Roman" w:cs="Times New Roman"/>
          <w:sz w:val="20"/>
          <w:szCs w:val="20"/>
          <w:shd w:val="clear" w:color="auto" w:fill="FFFFFF"/>
        </w:rPr>
        <w:t>ishing,</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Massachusets:</w:t>
      </w:r>
      <w:r w:rsidR="00F10AA0" w:rsidRPr="00B72859">
        <w:rPr>
          <w:rFonts w:ascii="Times New Roman" w:hAnsi="Times New Roman" w:cs="Times New Roman"/>
          <w:sz w:val="20"/>
          <w:szCs w:val="20"/>
          <w:shd w:val="clear" w:color="auto" w:fill="FFFFFF"/>
        </w:rPr>
        <w:t xml:space="preserve"> </w:t>
      </w:r>
      <w:r w:rsidRPr="00B72859">
        <w:rPr>
          <w:rFonts w:ascii="Times New Roman" w:hAnsi="Times New Roman" w:cs="Times New Roman"/>
          <w:sz w:val="20"/>
          <w:szCs w:val="20"/>
          <w:shd w:val="clear" w:color="auto" w:fill="FFFFFF"/>
        </w:rPr>
        <w:t>Blackwell.</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Nwankwo,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Mamodu,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Umar,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Musa,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Adeleke,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Seroprevalence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major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blood-borne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Kano,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Nigeria.</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Turkish</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Jou</w:t>
      </w:r>
      <w:r w:rsidR="004A2AD6" w:rsidRPr="00B72859">
        <w:rPr>
          <w:rFonts w:ascii="Times New Roman" w:hAnsi="Times New Roman" w:cs="Times New Roman"/>
          <w:i/>
          <w:sz w:val="20"/>
          <w:szCs w:val="20"/>
        </w:rPr>
        <w:t>r</w:t>
      </w:r>
      <w:r w:rsidRPr="00B72859">
        <w:rPr>
          <w:rFonts w:ascii="Times New Roman" w:hAnsi="Times New Roman" w:cs="Times New Roman"/>
          <w:i/>
          <w:sz w:val="20"/>
          <w:szCs w:val="20"/>
        </w:rPr>
        <w:t>nal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of</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Medical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Sciences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42(2):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337–41.</w:t>
      </w:r>
    </w:p>
    <w:p w:rsidR="001075FC" w:rsidRPr="00B72859" w:rsidRDefault="00647751"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Ogbolu,</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Alli,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Odeleye,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Oluremi,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(2016).</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High</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seroprevalence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asymptomatic</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viral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haemoparasites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among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prospective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blood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donors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Nigeria.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iCs/>
          <w:sz w:val="20"/>
          <w:szCs w:val="20"/>
        </w:rPr>
        <w:t>Asian</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Pacific</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Journal</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of</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Tropical</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Medicine,</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9</w:t>
      </w:r>
      <w:r w:rsidRPr="00B72859">
        <w:rPr>
          <w:rFonts w:ascii="Times New Roman" w:eastAsia="Times New Roman" w:hAnsi="Times New Roman" w:cs="Times New Roman"/>
          <w:sz w:val="20"/>
          <w:szCs w:val="20"/>
        </w:rPr>
        <w:t>(7):</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658-661.</w:t>
      </w:r>
    </w:p>
    <w:p w:rsidR="00FB1CCC"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Okoroiwu,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Okafor,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I.M.,</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Asemota,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Okpokam,</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D.C.</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(2018).</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Seroprevalence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transfusion-transmissible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(HBV,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HCV,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syphilis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HIV)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prospective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tertiary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health</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care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facility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Calabar,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Nigeria;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eleven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years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evaluation.</w:t>
      </w:r>
      <w:r w:rsidR="00F10AA0" w:rsidRPr="00B72859">
        <w:rPr>
          <w:rFonts w:ascii="Times New Roman" w:hAnsi="Times New Roman" w:cs="Times New Roman"/>
          <w:sz w:val="20"/>
          <w:szCs w:val="20"/>
        </w:rPr>
        <w:t xml:space="preserve"> </w:t>
      </w:r>
      <w:r w:rsidRPr="00B72859">
        <w:rPr>
          <w:rFonts w:ascii="Times New Roman" w:hAnsi="Times New Roman" w:cs="Times New Roman"/>
          <w:i/>
          <w:iCs/>
          <w:sz w:val="20"/>
          <w:szCs w:val="20"/>
        </w:rPr>
        <w:t>Bio-Medical</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Clinic</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of</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Public</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Health.</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18:645.</w:t>
      </w:r>
    </w:p>
    <w:p w:rsidR="005F331B" w:rsidRPr="00B72859" w:rsidRDefault="005A50BA"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color w:val="333333"/>
          <w:sz w:val="20"/>
          <w:szCs w:val="20"/>
          <w:shd w:val="clear" w:color="auto" w:fill="FFFFFF"/>
        </w:rPr>
        <w:t>Olayinka,</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T.,</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Nasidi,</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Gidado,</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O.</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P.,</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Shaaibu,</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W.,</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Balogun,</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M.</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S.,</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Oyemakinde,</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Nguku,</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P.,</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Egweunu-Oladejo,</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Musa,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B.</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O.</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P.,</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Aderinola,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M.,</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Ajudua,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00544072" w:rsidRPr="00B72859">
        <w:rPr>
          <w:rFonts w:ascii="Times New Roman" w:hAnsi="Times New Roman" w:cs="Times New Roman"/>
          <w:color w:val="333333"/>
          <w:sz w:val="20"/>
          <w:szCs w:val="20"/>
          <w:shd w:val="clear" w:color="auto" w:fill="FFFFFF"/>
        </w:rPr>
        <w:t>and</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Ajisegiri,</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(2016).</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Seroprevalence</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of</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Hepatitis</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B</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Infection</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in</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Nigeria:</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A</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National</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Survey.</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i/>
          <w:iCs/>
          <w:color w:val="333333"/>
          <w:sz w:val="20"/>
          <w:szCs w:val="20"/>
        </w:rPr>
        <w:t>The</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American</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Journal</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of</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Tropical</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Medicine</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and</w:t>
      </w:r>
      <w:r w:rsidR="00F10AA0" w:rsidRPr="00B72859">
        <w:rPr>
          <w:rFonts w:ascii="Times New Roman" w:hAnsi="Times New Roman" w:cs="Times New Roman"/>
          <w:i/>
          <w:iCs/>
          <w:color w:val="333333"/>
          <w:sz w:val="20"/>
          <w:szCs w:val="20"/>
        </w:rPr>
        <w:t xml:space="preserve"> </w:t>
      </w:r>
      <w:r w:rsidRPr="00B72859">
        <w:rPr>
          <w:rFonts w:ascii="Times New Roman" w:hAnsi="Times New Roman" w:cs="Times New Roman"/>
          <w:i/>
          <w:iCs/>
          <w:color w:val="333333"/>
          <w:sz w:val="20"/>
          <w:szCs w:val="20"/>
        </w:rPr>
        <w:t>Hygiene</w:t>
      </w:r>
      <w:r w:rsidR="00544072" w:rsidRPr="00B72859">
        <w:rPr>
          <w:rFonts w:ascii="Times New Roman" w:hAnsi="Times New Roman" w:cs="Times New Roman"/>
          <w:color w:val="333333"/>
          <w:sz w:val="20"/>
          <w:szCs w:val="20"/>
          <w:shd w:val="clear" w:color="auto" w:fill="FFFFFF"/>
        </w:rPr>
        <w:t>.</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iCs/>
          <w:color w:val="333333"/>
          <w:sz w:val="20"/>
          <w:szCs w:val="20"/>
        </w:rPr>
        <w:t>95</w:t>
      </w:r>
      <w:r w:rsidR="00544072" w:rsidRPr="00B72859">
        <w:rPr>
          <w:rFonts w:ascii="Times New Roman" w:hAnsi="Times New Roman" w:cs="Times New Roman"/>
          <w:color w:val="333333"/>
          <w:sz w:val="20"/>
          <w:szCs w:val="20"/>
          <w:shd w:val="clear" w:color="auto" w:fill="FFFFFF"/>
        </w:rPr>
        <w:t>(4):</w:t>
      </w:r>
      <w:r w:rsidR="00F10AA0" w:rsidRPr="00B72859">
        <w:rPr>
          <w:rFonts w:ascii="Times New Roman" w:hAnsi="Times New Roman" w:cs="Times New Roman"/>
          <w:color w:val="333333"/>
          <w:sz w:val="20"/>
          <w:szCs w:val="20"/>
          <w:shd w:val="clear" w:color="auto" w:fill="FFFFFF"/>
        </w:rPr>
        <w:t xml:space="preserve"> </w:t>
      </w:r>
      <w:r w:rsidRPr="00B72859">
        <w:rPr>
          <w:rFonts w:ascii="Times New Roman" w:hAnsi="Times New Roman" w:cs="Times New Roman"/>
          <w:color w:val="333333"/>
          <w:sz w:val="20"/>
          <w:szCs w:val="20"/>
          <w:shd w:val="clear" w:color="auto" w:fill="FFFFFF"/>
        </w:rPr>
        <w:t>902–907.</w:t>
      </w:r>
      <w:r w:rsidR="00F10AA0" w:rsidRPr="00B72859">
        <w:rPr>
          <w:rFonts w:ascii="Times New Roman" w:hAnsi="Times New Roman" w:cs="Times New Roman"/>
          <w:color w:val="333333"/>
          <w:sz w:val="20"/>
          <w:szCs w:val="20"/>
          <w:shd w:val="clear" w:color="auto" w:fill="FFFFFF"/>
        </w:rPr>
        <w:t xml:space="preserve"> </w:t>
      </w:r>
    </w:p>
    <w:p w:rsidR="00647751" w:rsidRPr="00B72859" w:rsidRDefault="00647751"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Shang,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Seed,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Wang,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Nie,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Farrugia,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(2007).</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Residual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risk</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transfusion-transmitted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viral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infections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Shenzhen,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China,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2001</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through</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2004.</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iCs/>
          <w:sz w:val="20"/>
          <w:szCs w:val="20"/>
        </w:rPr>
        <w:t>Transfusion,47</w:t>
      </w:r>
      <w:r w:rsidRPr="00B72859">
        <w:rPr>
          <w:rFonts w:ascii="Times New Roman" w:eastAsia="Times New Roman" w:hAnsi="Times New Roman" w:cs="Times New Roman"/>
          <w:sz w:val="20"/>
          <w:szCs w:val="20"/>
        </w:rPr>
        <w:t>(3):</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529-539.</w:t>
      </w:r>
      <w:r w:rsidR="00F10AA0" w:rsidRPr="00B72859">
        <w:rPr>
          <w:rFonts w:ascii="Times New Roman" w:eastAsia="Times New Roman" w:hAnsi="Times New Roman" w:cs="Times New Roman"/>
          <w:sz w:val="20"/>
          <w:szCs w:val="20"/>
        </w:rPr>
        <w:t xml:space="preserve"> </w:t>
      </w:r>
    </w:p>
    <w:p w:rsidR="00647751" w:rsidRPr="00B72859" w:rsidRDefault="00647751"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Shepard,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W.,</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Finelli,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Alter,</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M.</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J.</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(2005).</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Global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epidemiology</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hepatitis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virus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lastRenderedPageBreak/>
        <w:t>infection.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iCs/>
          <w:sz w:val="20"/>
          <w:szCs w:val="20"/>
        </w:rPr>
        <w:t>Lancet</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Infectious</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Diseases.</w:t>
      </w:r>
      <w:r w:rsidR="00F10AA0" w:rsidRPr="00B72859">
        <w:rPr>
          <w:rFonts w:ascii="Times New Roman" w:eastAsia="Times New Roman" w:hAnsi="Times New Roman" w:cs="Times New Roman"/>
          <w:i/>
          <w:iCs/>
          <w:sz w:val="20"/>
          <w:szCs w:val="20"/>
        </w:rPr>
        <w:t xml:space="preserve"> </w:t>
      </w:r>
      <w:r w:rsidRPr="00B72859">
        <w:rPr>
          <w:rFonts w:ascii="Times New Roman" w:eastAsia="Times New Roman" w:hAnsi="Times New Roman" w:cs="Times New Roman"/>
          <w:i/>
          <w:iCs/>
          <w:sz w:val="20"/>
          <w:szCs w:val="20"/>
        </w:rPr>
        <w:t>5</w:t>
      </w:r>
      <w:r w:rsidRPr="00B72859">
        <w:rPr>
          <w:rFonts w:ascii="Times New Roman" w:eastAsia="Times New Roman" w:hAnsi="Times New Roman" w:cs="Times New Roman"/>
          <w:sz w:val="20"/>
          <w:szCs w:val="20"/>
        </w:rPr>
        <w:t>(9):</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558-567.</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Siraj,</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Achila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Isaac,</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J.,</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Menghisteab,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Hagos,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Gebremeskel,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Tesfamichael,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(2018).</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Seroprevalence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transfusion-transmissible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National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Transfusion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Service,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Erit</w:t>
      </w:r>
      <w:r w:rsidR="004A2AD6" w:rsidRPr="00B72859">
        <w:rPr>
          <w:rFonts w:ascii="Times New Roman" w:hAnsi="Times New Roman" w:cs="Times New Roman"/>
          <w:sz w:val="20"/>
          <w:szCs w:val="20"/>
        </w:rPr>
        <w:t>r</w:t>
      </w:r>
      <w:r w:rsidRPr="00B72859">
        <w:rPr>
          <w:rFonts w:ascii="Times New Roman" w:hAnsi="Times New Roman" w:cs="Times New Roman"/>
          <w:sz w:val="20"/>
          <w:szCs w:val="20"/>
        </w:rPr>
        <w:t>ea: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seven-year</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retrospective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study.</w:t>
      </w:r>
      <w:r w:rsidR="00F10AA0" w:rsidRPr="00B72859">
        <w:rPr>
          <w:rFonts w:ascii="Times New Roman" w:hAnsi="Times New Roman" w:cs="Times New Roman"/>
          <w:sz w:val="20"/>
          <w:szCs w:val="20"/>
        </w:rPr>
        <w:t xml:space="preserve"> </w:t>
      </w:r>
      <w:r w:rsidRPr="00B72859">
        <w:rPr>
          <w:rFonts w:ascii="Times New Roman" w:hAnsi="Times New Roman" w:cs="Times New Roman"/>
          <w:i/>
          <w:iCs/>
          <w:sz w:val="20"/>
          <w:szCs w:val="20"/>
        </w:rPr>
        <w:t>Bio-Medical</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Clinic</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of</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Infectious</w:t>
      </w:r>
      <w:r w:rsidR="00F10AA0" w:rsidRPr="00B72859">
        <w:rPr>
          <w:rFonts w:ascii="Times New Roman" w:hAnsi="Times New Roman" w:cs="Times New Roman"/>
          <w:i/>
          <w:iCs/>
          <w:sz w:val="20"/>
          <w:szCs w:val="20"/>
        </w:rPr>
        <w:t xml:space="preserve"> </w:t>
      </w:r>
      <w:r w:rsidRPr="00B72859">
        <w:rPr>
          <w:rFonts w:ascii="Times New Roman" w:hAnsi="Times New Roman" w:cs="Times New Roman"/>
          <w:i/>
          <w:iCs/>
          <w:sz w:val="20"/>
          <w:szCs w:val="20"/>
        </w:rPr>
        <w:t>Diseases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18:</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264.</w:t>
      </w:r>
    </w:p>
    <w:p w:rsidR="00647751" w:rsidRPr="00B72859" w:rsidRDefault="00647751" w:rsidP="007F2799">
      <w:pPr>
        <w:pStyle w:val="NoSpacing"/>
        <w:numPr>
          <w:ilvl w:val="0"/>
          <w:numId w:val="5"/>
        </w:numPr>
        <w:snapToGrid w:val="0"/>
        <w:jc w:val="both"/>
        <w:rPr>
          <w:rFonts w:ascii="Times New Roman" w:eastAsia="Times New Roman" w:hAnsi="Times New Roman" w:cs="Times New Roman"/>
          <w:sz w:val="20"/>
          <w:szCs w:val="20"/>
        </w:rPr>
      </w:pPr>
      <w:r w:rsidRPr="00B72859">
        <w:rPr>
          <w:rFonts w:ascii="Times New Roman" w:eastAsia="Times New Roman" w:hAnsi="Times New Roman" w:cs="Times New Roman"/>
          <w:sz w:val="20"/>
          <w:szCs w:val="20"/>
        </w:rPr>
        <w:t>Su,</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Liu,</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L.,</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Wang,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Gui,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X.,</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Zhao,</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M.,</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Tien,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P.,</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Chen,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Z.</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(2003).</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HIV-1</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subtype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dictates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the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AIDS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epidemic</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among</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paid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blood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donors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in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the</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Henan</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and</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Hubei</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provinces</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of</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China.</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i/>
          <w:iCs/>
          <w:sz w:val="20"/>
          <w:szCs w:val="20"/>
        </w:rPr>
        <w:t>Aids.17</w:t>
      </w:r>
      <w:r w:rsidRPr="00B72859">
        <w:rPr>
          <w:rFonts w:ascii="Times New Roman" w:eastAsia="Times New Roman" w:hAnsi="Times New Roman" w:cs="Times New Roman"/>
          <w:sz w:val="20"/>
          <w:szCs w:val="20"/>
        </w:rPr>
        <w:t>(17):</w:t>
      </w:r>
      <w:r w:rsidR="00F10AA0" w:rsidRPr="00B72859">
        <w:rPr>
          <w:rFonts w:ascii="Times New Roman" w:eastAsia="Times New Roman" w:hAnsi="Times New Roman" w:cs="Times New Roman"/>
          <w:sz w:val="20"/>
          <w:szCs w:val="20"/>
        </w:rPr>
        <w:t xml:space="preserve"> </w:t>
      </w:r>
      <w:r w:rsidRPr="00B72859">
        <w:rPr>
          <w:rFonts w:ascii="Times New Roman" w:eastAsia="Times New Roman" w:hAnsi="Times New Roman" w:cs="Times New Roman"/>
          <w:sz w:val="20"/>
          <w:szCs w:val="20"/>
        </w:rPr>
        <w:t>2515-2520.</w:t>
      </w:r>
      <w:r w:rsidR="00F10AA0" w:rsidRPr="00B72859">
        <w:rPr>
          <w:rFonts w:ascii="Times New Roman" w:eastAsia="Times New Roman" w:hAnsi="Times New Roman" w:cs="Times New Roman"/>
          <w:sz w:val="20"/>
          <w:szCs w:val="20"/>
        </w:rPr>
        <w:t xml:space="preserve"> </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Williams,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W.,</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Samuel,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Patrick,</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Ezekiel,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K.V.,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Samuel,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E.K.A.,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Edmund,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Juventus,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B.Z.</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(2014).</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Seroprevalence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HIV,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HBV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HCV</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the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Kintampo</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Municipal.</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Britis</w:t>
      </w:r>
      <w:r w:rsidR="007F2799" w:rsidRPr="00B72859">
        <w:rPr>
          <w:rFonts w:ascii="Times New Roman" w:hAnsi="Times New Roman" w:cs="Times New Roman"/>
          <w:i/>
          <w:sz w:val="20"/>
          <w:szCs w:val="20"/>
        </w:rPr>
        <w:t>h M</w:t>
      </w:r>
      <w:r w:rsidRPr="00B72859">
        <w:rPr>
          <w:rFonts w:ascii="Times New Roman" w:hAnsi="Times New Roman" w:cs="Times New Roman"/>
          <w:i/>
          <w:sz w:val="20"/>
          <w:szCs w:val="20"/>
        </w:rPr>
        <w:t>icrobiology</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Research</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Journal</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4</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(12):</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1491-9.</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World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Health</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Organization.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(2011).</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Global</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Database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Safety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Summary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report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2011</w:t>
      </w:r>
      <w:r w:rsidR="00F10AA0" w:rsidRPr="00B72859">
        <w:rPr>
          <w:rFonts w:ascii="Times New Roman" w:hAnsi="Times New Roman" w:cs="Times New Roman"/>
          <w:sz w:val="20"/>
          <w:szCs w:val="20"/>
        </w:rPr>
        <w:t>. [</w:t>
      </w:r>
      <w:r w:rsidRPr="00B72859">
        <w:rPr>
          <w:rFonts w:ascii="Times New Roman" w:hAnsi="Times New Roman" w:cs="Times New Roman"/>
          <w:sz w:val="20"/>
          <w:szCs w:val="20"/>
        </w:rPr>
        <w:t>Internet]</w:t>
      </w:r>
      <w:r w:rsidR="00F10AA0" w:rsidRPr="00B72859">
        <w:rPr>
          <w:rFonts w:ascii="Times New Roman" w:hAnsi="Times New Roman" w:cs="Times New Roman"/>
          <w:sz w:val="20"/>
          <w:szCs w:val="20"/>
        </w:rPr>
        <w:t xml:space="preserve"> </w:t>
      </w:r>
      <w:r w:rsidRPr="00B72859">
        <w:rPr>
          <w:rFonts w:ascii="Times New Roman" w:eastAsia="SimSun" w:hAnsi="Times New Roman" w:cs="Times New Roman"/>
          <w:sz w:val="20"/>
          <w:szCs w:val="20"/>
        </w:rPr>
        <w:t>https://www.who.int/bloodsafety/global_database/GDBS_Summary_Report_2011.pdf?ua=1</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Retrieved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February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10,</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2018</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World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Health</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Organization.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[Internet]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(2017).</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safety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availability.</w:t>
      </w:r>
      <w:r w:rsidR="00F10AA0" w:rsidRPr="00B72859">
        <w:rPr>
          <w:rFonts w:ascii="Times New Roman" w:hAnsi="Times New Roman" w:cs="Times New Roman"/>
          <w:sz w:val="20"/>
          <w:szCs w:val="20"/>
        </w:rPr>
        <w:t xml:space="preserve"> </w:t>
      </w:r>
      <w:r w:rsidRPr="00B72859">
        <w:rPr>
          <w:rFonts w:ascii="Times New Roman" w:eastAsia="SimSun" w:hAnsi="Times New Roman" w:cs="Times New Roman"/>
          <w:sz w:val="20"/>
          <w:szCs w:val="20"/>
        </w:rPr>
        <w:t>https://www.who.int/news-room/fact-sheets/detail/blood-safety-and-availability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Retrieved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February</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10,</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2018</w:t>
      </w:r>
    </w:p>
    <w:p w:rsidR="00647751" w:rsidRPr="00B72859" w:rsidRDefault="00647751" w:rsidP="007F2799">
      <w:pPr>
        <w:pStyle w:val="NoSpacing"/>
        <w:numPr>
          <w:ilvl w:val="0"/>
          <w:numId w:val="5"/>
        </w:numPr>
        <w:snapToGrid w:val="0"/>
        <w:jc w:val="both"/>
        <w:rPr>
          <w:rFonts w:ascii="Times New Roman" w:hAnsi="Times New Roman" w:cs="Times New Roman"/>
          <w:sz w:val="20"/>
          <w:szCs w:val="20"/>
        </w:rPr>
      </w:pPr>
      <w:r w:rsidRPr="00B72859">
        <w:rPr>
          <w:rFonts w:ascii="Times New Roman" w:hAnsi="Times New Roman" w:cs="Times New Roman"/>
          <w:sz w:val="20"/>
          <w:szCs w:val="20"/>
        </w:rPr>
        <w:t>Yusuf,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M.</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and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Alemayehu,</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(2016).</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Seroprevalence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of</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transfusion</w:t>
      </w:r>
      <w:r w:rsidR="004A2AD6" w:rsidRPr="00B72859">
        <w:rPr>
          <w:rFonts w:ascii="Times New Roman" w:hAnsi="Times New Roman" w:cs="Times New Roman"/>
          <w:sz w:val="20"/>
          <w:szCs w:val="20"/>
        </w:rPr>
        <w:t>-</w:t>
      </w:r>
      <w:r w:rsidRPr="00B72859">
        <w:rPr>
          <w:rFonts w:ascii="Times New Roman" w:hAnsi="Times New Roman" w:cs="Times New Roman"/>
          <w:sz w:val="20"/>
          <w:szCs w:val="20"/>
        </w:rPr>
        <w:t>transmitted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infection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among</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donors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at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Jijiga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blood</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bank,</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Eastern</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Ethiopia:</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retrospective</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4</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years</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study.</w:t>
      </w:r>
      <w:r w:rsidR="00F10AA0" w:rsidRPr="00B72859">
        <w:rPr>
          <w:rFonts w:ascii="Times New Roman" w:hAnsi="Times New Roman" w:cs="Times New Roman"/>
          <w:sz w:val="20"/>
          <w:szCs w:val="20"/>
        </w:rPr>
        <w:t xml:space="preserve"> </w:t>
      </w:r>
      <w:r w:rsidRPr="00B72859">
        <w:rPr>
          <w:rFonts w:ascii="Times New Roman" w:hAnsi="Times New Roman" w:cs="Times New Roman"/>
          <w:i/>
          <w:sz w:val="20"/>
          <w:szCs w:val="20"/>
        </w:rPr>
        <w:t>BioMed</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Central</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Research</w:t>
      </w:r>
      <w:r w:rsidR="00F10AA0" w:rsidRPr="00B72859">
        <w:rPr>
          <w:rFonts w:ascii="Times New Roman" w:hAnsi="Times New Roman" w:cs="Times New Roman"/>
          <w:i/>
          <w:sz w:val="20"/>
          <w:szCs w:val="20"/>
        </w:rPr>
        <w:t xml:space="preserve"> </w:t>
      </w:r>
      <w:r w:rsidRPr="00B72859">
        <w:rPr>
          <w:rFonts w:ascii="Times New Roman" w:hAnsi="Times New Roman" w:cs="Times New Roman"/>
          <w:i/>
          <w:sz w:val="20"/>
          <w:szCs w:val="20"/>
        </w:rPr>
        <w:t>Notes</w:t>
      </w:r>
      <w:r w:rsidRPr="00B72859">
        <w:rPr>
          <w:rFonts w:ascii="Times New Roman" w:hAnsi="Times New Roman" w:cs="Times New Roman"/>
          <w:sz w:val="20"/>
          <w:szCs w:val="20"/>
        </w:rPr>
        <w:t>,</w:t>
      </w:r>
      <w:r w:rsidR="00F10AA0" w:rsidRPr="00B72859">
        <w:rPr>
          <w:rFonts w:ascii="Times New Roman" w:hAnsi="Times New Roman" w:cs="Times New Roman"/>
          <w:sz w:val="20"/>
          <w:szCs w:val="20"/>
        </w:rPr>
        <w:t xml:space="preserve"> </w:t>
      </w:r>
      <w:r w:rsidRPr="00B72859">
        <w:rPr>
          <w:rFonts w:ascii="Times New Roman" w:hAnsi="Times New Roman" w:cs="Times New Roman"/>
          <w:sz w:val="20"/>
          <w:szCs w:val="20"/>
        </w:rPr>
        <w:t>9(129).</w:t>
      </w:r>
    </w:p>
    <w:p w:rsidR="007F2799" w:rsidRPr="00B72859" w:rsidRDefault="007F2799" w:rsidP="007F2799">
      <w:pPr>
        <w:snapToGrid w:val="0"/>
        <w:spacing w:after="0" w:line="240" w:lineRule="auto"/>
        <w:contextualSpacing/>
        <w:jc w:val="both"/>
        <w:rPr>
          <w:rFonts w:ascii="Times New Roman" w:hAnsi="Times New Roman" w:cs="Times New Roman"/>
          <w:b/>
          <w:sz w:val="20"/>
          <w:szCs w:val="20"/>
        </w:rPr>
        <w:sectPr w:rsidR="007F2799" w:rsidRPr="00B72859" w:rsidSect="007F2799">
          <w:type w:val="continuous"/>
          <w:pgSz w:w="12240" w:h="15840"/>
          <w:pgMar w:top="1440" w:right="1440" w:bottom="1440" w:left="1440" w:header="720" w:footer="720" w:gutter="0"/>
          <w:cols w:num="2" w:space="550"/>
          <w:docGrid w:linePitch="360"/>
        </w:sectPr>
      </w:pPr>
    </w:p>
    <w:p w:rsidR="00F10AA0" w:rsidRPr="00B72859" w:rsidRDefault="00F10AA0" w:rsidP="007F2799">
      <w:pPr>
        <w:snapToGrid w:val="0"/>
        <w:spacing w:after="0" w:line="240" w:lineRule="auto"/>
        <w:contextualSpacing/>
        <w:jc w:val="both"/>
        <w:rPr>
          <w:rFonts w:ascii="Times New Roman" w:eastAsiaTheme="minorEastAsia" w:hAnsi="Times New Roman" w:cs="Times New Roman"/>
          <w:b/>
          <w:sz w:val="20"/>
          <w:szCs w:val="20"/>
          <w:lang w:eastAsia="zh-CN"/>
        </w:rPr>
      </w:pPr>
    </w:p>
    <w:p w:rsidR="007F2799" w:rsidRPr="00B72859" w:rsidRDefault="007F2799" w:rsidP="007F2799">
      <w:pPr>
        <w:snapToGrid w:val="0"/>
        <w:spacing w:after="0" w:line="240" w:lineRule="auto"/>
        <w:contextualSpacing/>
        <w:jc w:val="both"/>
        <w:rPr>
          <w:rFonts w:ascii="Times New Roman" w:eastAsiaTheme="minorEastAsia" w:hAnsi="Times New Roman" w:cs="Times New Roman"/>
          <w:b/>
          <w:sz w:val="20"/>
          <w:szCs w:val="20"/>
          <w:lang w:eastAsia="zh-CN"/>
        </w:rPr>
      </w:pPr>
    </w:p>
    <w:p w:rsidR="007F2799" w:rsidRPr="00B72859" w:rsidRDefault="007F2799" w:rsidP="007F2799">
      <w:pPr>
        <w:snapToGrid w:val="0"/>
        <w:spacing w:after="0" w:line="240" w:lineRule="auto"/>
        <w:contextualSpacing/>
        <w:jc w:val="both"/>
        <w:rPr>
          <w:rFonts w:ascii="Times New Roman" w:eastAsiaTheme="minorEastAsia" w:hAnsi="Times New Roman" w:cs="Times New Roman"/>
          <w:b/>
          <w:sz w:val="20"/>
          <w:szCs w:val="20"/>
          <w:lang w:eastAsia="zh-CN"/>
        </w:rPr>
      </w:pPr>
    </w:p>
    <w:p w:rsidR="00647751" w:rsidRPr="00B72859" w:rsidRDefault="00F10AA0" w:rsidP="007F2799">
      <w:pPr>
        <w:snapToGrid w:val="0"/>
        <w:spacing w:after="0" w:line="240" w:lineRule="auto"/>
        <w:contextualSpacing/>
        <w:jc w:val="both"/>
        <w:rPr>
          <w:rFonts w:ascii="Times New Roman" w:hAnsi="Times New Roman" w:cs="Times New Roman"/>
          <w:sz w:val="20"/>
          <w:szCs w:val="20"/>
        </w:rPr>
      </w:pPr>
      <w:r w:rsidRPr="00B72859">
        <w:rPr>
          <w:rFonts w:ascii="Times New Roman" w:hAnsi="Times New Roman" w:cs="Times New Roman"/>
          <w:sz w:val="20"/>
          <w:szCs w:val="20"/>
        </w:rPr>
        <w:t>10/17/2019</w:t>
      </w:r>
    </w:p>
    <w:sectPr w:rsidR="00647751" w:rsidRPr="00B72859" w:rsidSect="00F10AA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88" w:rsidRDefault="00281D88" w:rsidP="00160E2F">
      <w:pPr>
        <w:spacing w:after="0" w:line="240" w:lineRule="auto"/>
      </w:pPr>
      <w:r>
        <w:separator/>
      </w:r>
    </w:p>
  </w:endnote>
  <w:endnote w:type="continuationSeparator" w:id="0">
    <w:p w:rsidR="00281D88" w:rsidRDefault="00281D88" w:rsidP="0016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64" w:rsidRPr="007A5479" w:rsidRDefault="00374E6B" w:rsidP="007A5479">
    <w:pPr>
      <w:spacing w:after="0" w:line="240" w:lineRule="auto"/>
      <w:jc w:val="center"/>
      <w:rPr>
        <w:rFonts w:ascii="Times New Roman" w:hAnsi="Times New Roman" w:cs="Times New Roman"/>
        <w:sz w:val="20"/>
      </w:rPr>
    </w:pPr>
    <w:r w:rsidRPr="007A5479">
      <w:rPr>
        <w:rFonts w:ascii="Times New Roman" w:hAnsi="Times New Roman" w:cs="Times New Roman"/>
        <w:sz w:val="20"/>
      </w:rPr>
      <w:fldChar w:fldCharType="begin"/>
    </w:r>
    <w:r w:rsidR="007A5479" w:rsidRPr="007A5479">
      <w:rPr>
        <w:rFonts w:ascii="Times New Roman" w:hAnsi="Times New Roman" w:cs="Times New Roman"/>
        <w:sz w:val="20"/>
      </w:rPr>
      <w:instrText xml:space="preserve"> page </w:instrText>
    </w:r>
    <w:r w:rsidRPr="007A5479">
      <w:rPr>
        <w:rFonts w:ascii="Times New Roman" w:hAnsi="Times New Roman" w:cs="Times New Roman"/>
        <w:sz w:val="20"/>
      </w:rPr>
      <w:fldChar w:fldCharType="separate"/>
    </w:r>
    <w:r w:rsidR="00B72859">
      <w:rPr>
        <w:rFonts w:ascii="Times New Roman" w:hAnsi="Times New Roman" w:cs="Times New Roman"/>
        <w:noProof/>
        <w:sz w:val="20"/>
      </w:rPr>
      <w:t>6</w:t>
    </w:r>
    <w:r w:rsidRPr="007A547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88" w:rsidRDefault="00281D88" w:rsidP="00160E2F">
      <w:pPr>
        <w:spacing w:after="0" w:line="240" w:lineRule="auto"/>
      </w:pPr>
      <w:r>
        <w:separator/>
      </w:r>
    </w:p>
  </w:footnote>
  <w:footnote w:type="continuationSeparator" w:id="0">
    <w:p w:rsidR="00281D88" w:rsidRDefault="00281D88" w:rsidP="00160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79" w:rsidRPr="004323D6" w:rsidRDefault="004323D6" w:rsidP="004323D6">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D6" w:rsidRPr="007A5479" w:rsidRDefault="004323D6" w:rsidP="007A54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A5479">
      <w:rPr>
        <w:rFonts w:ascii="Times New Roman" w:hAnsi="Times New Roman" w:cs="Times New Roman" w:hint="eastAsia"/>
        <w:sz w:val="20"/>
        <w:szCs w:val="20"/>
      </w:rPr>
      <w:tab/>
    </w:r>
    <w:r w:rsidRPr="007A5479">
      <w:rPr>
        <w:rFonts w:ascii="Times New Roman" w:hAnsi="Times New Roman" w:cs="Times New Roman"/>
        <w:sz w:val="20"/>
        <w:szCs w:val="20"/>
      </w:rPr>
      <w:t>New York Science Journal 201</w:t>
    </w:r>
    <w:r w:rsidRPr="007A5479">
      <w:rPr>
        <w:rFonts w:ascii="Times New Roman" w:hAnsi="Times New Roman" w:cs="Times New Roman" w:hint="eastAsia"/>
        <w:sz w:val="20"/>
        <w:szCs w:val="20"/>
      </w:rPr>
      <w:t>9</w:t>
    </w:r>
    <w:r w:rsidRPr="007A5479">
      <w:rPr>
        <w:rFonts w:ascii="Times New Roman" w:hAnsi="Times New Roman" w:cs="Times New Roman"/>
        <w:sz w:val="20"/>
        <w:szCs w:val="20"/>
      </w:rPr>
      <w:t>;</w:t>
    </w:r>
    <w:r w:rsidRPr="007A5479">
      <w:rPr>
        <w:rFonts w:ascii="Times New Roman" w:hAnsi="Times New Roman" w:cs="Times New Roman" w:hint="eastAsia"/>
        <w:sz w:val="20"/>
        <w:szCs w:val="20"/>
      </w:rPr>
      <w:t>12</w:t>
    </w:r>
    <w:r w:rsidRPr="007A5479">
      <w:rPr>
        <w:rFonts w:ascii="Times New Roman" w:hAnsi="Times New Roman" w:cs="Times New Roman"/>
        <w:sz w:val="20"/>
        <w:szCs w:val="20"/>
      </w:rPr>
      <w:t>(</w:t>
    </w:r>
    <w:r w:rsidRPr="007A5479">
      <w:rPr>
        <w:rFonts w:ascii="Times New Roman" w:hAnsi="Times New Roman" w:cs="Times New Roman" w:hint="eastAsia"/>
        <w:sz w:val="20"/>
        <w:szCs w:val="20"/>
      </w:rPr>
      <w:t>11</w:t>
    </w:r>
    <w:r w:rsidRPr="007A5479">
      <w:rPr>
        <w:rFonts w:ascii="Times New Roman" w:hAnsi="Times New Roman" w:cs="Times New Roman"/>
        <w:sz w:val="20"/>
        <w:szCs w:val="20"/>
      </w:rPr>
      <w:t>)</w:t>
    </w:r>
    <w:r w:rsidRPr="007A5479">
      <w:rPr>
        <w:rFonts w:ascii="Times New Roman" w:hAnsi="Times New Roman" w:cs="Times New Roman"/>
        <w:iCs/>
        <w:sz w:val="20"/>
        <w:szCs w:val="20"/>
      </w:rPr>
      <w:t xml:space="preserve"> </w:t>
    </w:r>
    <w:r w:rsidRPr="007A5479">
      <w:rPr>
        <w:rFonts w:ascii="Times New Roman" w:hAnsi="Times New Roman" w:cs="Times New Roman" w:hint="eastAsia"/>
        <w:iCs/>
        <w:sz w:val="20"/>
        <w:szCs w:val="20"/>
      </w:rPr>
      <w:tab/>
    </w:r>
    <w:r w:rsidRPr="007A5479">
      <w:rPr>
        <w:rFonts w:ascii="Times New Roman" w:hAnsi="Times New Roman" w:cs="Times New Roman"/>
        <w:iCs/>
        <w:sz w:val="20"/>
        <w:szCs w:val="20"/>
      </w:rPr>
      <w:t xml:space="preserve">  </w:t>
    </w:r>
    <w:hyperlink r:id="rId1" w:history="1">
      <w:r w:rsidRPr="007A5479">
        <w:rPr>
          <w:rStyle w:val="Hyperlink"/>
          <w:rFonts w:ascii="Times New Roman" w:hAnsi="Times New Roman"/>
          <w:sz w:val="20"/>
          <w:szCs w:val="20"/>
        </w:rPr>
        <w:t>http://www.sciencepub.net/newyork</w:t>
      </w:r>
    </w:hyperlink>
    <w:r w:rsidRPr="007A5479">
      <w:rPr>
        <w:rFonts w:ascii="Times New Roman" w:hAnsi="Times New Roman" w:cs="Times New Roman" w:hint="eastAsia"/>
        <w:sz w:val="20"/>
      </w:rPr>
      <w:t xml:space="preserve">   </w:t>
    </w:r>
    <w:r w:rsidRPr="007A5479">
      <w:rPr>
        <w:rFonts w:ascii="Times New Roman" w:hAnsi="Times New Roman" w:cs="Times New Roman" w:hint="eastAsia"/>
        <w:b/>
        <w:i/>
        <w:color w:val="FF0000"/>
        <w:sz w:val="20"/>
        <w:szCs w:val="20"/>
        <w:bdr w:val="single" w:sz="4" w:space="0" w:color="FF0000"/>
      </w:rPr>
      <w:t>NYJ</w:t>
    </w:r>
  </w:p>
  <w:p w:rsidR="004323D6" w:rsidRPr="007A5479" w:rsidRDefault="004323D6" w:rsidP="007A547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1F462732"/>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A225B4C"/>
    <w:multiLevelType w:val="hybridMultilevel"/>
    <w:tmpl w:val="615A26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A56DED"/>
    <w:multiLevelType w:val="hybridMultilevel"/>
    <w:tmpl w:val="40DA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8A69F1"/>
    <w:multiLevelType w:val="hybridMultilevel"/>
    <w:tmpl w:val="1204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F26B5"/>
    <w:multiLevelType w:val="hybridMultilevel"/>
    <w:tmpl w:val="757C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IzMDc2sjA1NjQyNTJW0lEKTi0uzszPAykwqgUA0ItH+iwAAAA="/>
  </w:docVars>
  <w:rsids>
    <w:rsidRoot w:val="00D93ED2"/>
    <w:rsid w:val="00076A30"/>
    <w:rsid w:val="000D6F23"/>
    <w:rsid w:val="0010375F"/>
    <w:rsid w:val="001075FC"/>
    <w:rsid w:val="001104D4"/>
    <w:rsid w:val="00160E2F"/>
    <w:rsid w:val="00164FB7"/>
    <w:rsid w:val="00171FBA"/>
    <w:rsid w:val="001852ED"/>
    <w:rsid w:val="001F4098"/>
    <w:rsid w:val="00281D88"/>
    <w:rsid w:val="00290333"/>
    <w:rsid w:val="002B39EB"/>
    <w:rsid w:val="002C71C9"/>
    <w:rsid w:val="002D4808"/>
    <w:rsid w:val="003029A6"/>
    <w:rsid w:val="003404E7"/>
    <w:rsid w:val="00341C04"/>
    <w:rsid w:val="003559EE"/>
    <w:rsid w:val="00374E6B"/>
    <w:rsid w:val="00383155"/>
    <w:rsid w:val="00394144"/>
    <w:rsid w:val="004323D6"/>
    <w:rsid w:val="00442C24"/>
    <w:rsid w:val="00457BC8"/>
    <w:rsid w:val="0048718C"/>
    <w:rsid w:val="004A2AD6"/>
    <w:rsid w:val="00544072"/>
    <w:rsid w:val="00592C0A"/>
    <w:rsid w:val="005A50BA"/>
    <w:rsid w:val="005B7BFB"/>
    <w:rsid w:val="005F331B"/>
    <w:rsid w:val="006049B4"/>
    <w:rsid w:val="006330D6"/>
    <w:rsid w:val="00647751"/>
    <w:rsid w:val="006532B4"/>
    <w:rsid w:val="0066144F"/>
    <w:rsid w:val="006A4F05"/>
    <w:rsid w:val="006B1B8B"/>
    <w:rsid w:val="006B2764"/>
    <w:rsid w:val="00712113"/>
    <w:rsid w:val="00735465"/>
    <w:rsid w:val="0077263D"/>
    <w:rsid w:val="007A5479"/>
    <w:rsid w:val="007E0D15"/>
    <w:rsid w:val="007E6EF7"/>
    <w:rsid w:val="007F2799"/>
    <w:rsid w:val="00823A88"/>
    <w:rsid w:val="00827EF1"/>
    <w:rsid w:val="008911F9"/>
    <w:rsid w:val="008A162C"/>
    <w:rsid w:val="008B6D28"/>
    <w:rsid w:val="008D2D72"/>
    <w:rsid w:val="008F7183"/>
    <w:rsid w:val="00935749"/>
    <w:rsid w:val="009878F2"/>
    <w:rsid w:val="009D6513"/>
    <w:rsid w:val="00A3457B"/>
    <w:rsid w:val="00A870E6"/>
    <w:rsid w:val="00AA39EF"/>
    <w:rsid w:val="00AF25AD"/>
    <w:rsid w:val="00B60281"/>
    <w:rsid w:val="00B67907"/>
    <w:rsid w:val="00B72859"/>
    <w:rsid w:val="00BC363A"/>
    <w:rsid w:val="00BC5D14"/>
    <w:rsid w:val="00C3209C"/>
    <w:rsid w:val="00C362C7"/>
    <w:rsid w:val="00C36343"/>
    <w:rsid w:val="00C834FF"/>
    <w:rsid w:val="00CA661E"/>
    <w:rsid w:val="00CB55B9"/>
    <w:rsid w:val="00CC396F"/>
    <w:rsid w:val="00CF6174"/>
    <w:rsid w:val="00D04C59"/>
    <w:rsid w:val="00D40947"/>
    <w:rsid w:val="00D93ED2"/>
    <w:rsid w:val="00D951B8"/>
    <w:rsid w:val="00E00497"/>
    <w:rsid w:val="00E13FF2"/>
    <w:rsid w:val="00EA31A7"/>
    <w:rsid w:val="00EE13C0"/>
    <w:rsid w:val="00F10AA0"/>
    <w:rsid w:val="00F65938"/>
    <w:rsid w:val="00FB1CCC"/>
    <w:rsid w:val="00FB76D7"/>
    <w:rsid w:val="00FD6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D2"/>
    <w:pPr>
      <w:spacing w:line="240" w:lineRule="exact"/>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ghtshading">
    <w:name w:val="ight shading"/>
    <w:basedOn w:val="TableNormal"/>
    <w:rsid w:val="006B1B8B"/>
    <w:pPr>
      <w:spacing w:after="0" w:line="240" w:lineRule="auto"/>
    </w:pPr>
    <w:rPr>
      <w:rFonts w:ascii="Calibri" w:eastAsia="Calibri" w:hAnsi="Calibri" w:cs="SimSun"/>
      <w:color w:val="00000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tblPr/>
      <w:tcPr>
        <w:tcBorders>
          <w:bottom w:val="single" w:sz="4" w:space="0" w:color="7F7F7F"/>
        </w:tcBorders>
      </w:tcPr>
    </w:tblStylePr>
    <w:tblStylePr w:type="lastRow">
      <w:tblPr/>
      <w:tcPr>
        <w:tcBorders>
          <w:top w:val="single" w:sz="4" w:space="0" w:color="7F7F7F"/>
        </w:tcBorders>
      </w:tc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6B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B8B"/>
    <w:rPr>
      <w:rFonts w:ascii="Tahoma" w:eastAsia="Calibri" w:hAnsi="Tahoma" w:cs="Tahoma"/>
      <w:sz w:val="16"/>
      <w:szCs w:val="16"/>
      <w:lang w:val="en-GB"/>
    </w:rPr>
  </w:style>
  <w:style w:type="paragraph" w:styleId="Header">
    <w:name w:val="header"/>
    <w:basedOn w:val="Normal"/>
    <w:link w:val="HeaderChar"/>
    <w:unhideWhenUsed/>
    <w:rsid w:val="00160E2F"/>
    <w:pPr>
      <w:tabs>
        <w:tab w:val="center" w:pos="4680"/>
        <w:tab w:val="right" w:pos="9360"/>
      </w:tabs>
      <w:spacing w:after="0" w:line="240" w:lineRule="auto"/>
    </w:pPr>
  </w:style>
  <w:style w:type="character" w:customStyle="1" w:styleId="HeaderChar">
    <w:name w:val="Header Char"/>
    <w:basedOn w:val="DefaultParagraphFont"/>
    <w:link w:val="Header"/>
    <w:rsid w:val="00160E2F"/>
    <w:rPr>
      <w:rFonts w:ascii="Calibri" w:eastAsia="Calibri" w:hAnsi="Calibri" w:cs="SimSun"/>
      <w:lang w:val="en-GB"/>
    </w:rPr>
  </w:style>
  <w:style w:type="paragraph" w:styleId="Footer">
    <w:name w:val="footer"/>
    <w:basedOn w:val="Normal"/>
    <w:link w:val="FooterChar"/>
    <w:uiPriority w:val="99"/>
    <w:unhideWhenUsed/>
    <w:rsid w:val="00160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E2F"/>
    <w:rPr>
      <w:rFonts w:ascii="Calibri" w:eastAsia="Calibri" w:hAnsi="Calibri" w:cs="SimSun"/>
      <w:lang w:val="en-GB"/>
    </w:rPr>
  </w:style>
  <w:style w:type="paragraph" w:styleId="ListParagraph">
    <w:name w:val="List Paragraph"/>
    <w:basedOn w:val="Normal"/>
    <w:uiPriority w:val="34"/>
    <w:qFormat/>
    <w:rsid w:val="006049B4"/>
    <w:pPr>
      <w:ind w:left="720"/>
      <w:contextualSpacing/>
    </w:pPr>
  </w:style>
  <w:style w:type="character" w:styleId="Hyperlink">
    <w:name w:val="Hyperlink"/>
    <w:uiPriority w:val="99"/>
    <w:rsid w:val="00647751"/>
    <w:rPr>
      <w:rFonts w:ascii="Calibri" w:eastAsia="SimSun" w:hAnsi="Calibri" w:cs="Times New Roman"/>
      <w:color w:val="0000FF"/>
      <w:u w:val="single"/>
    </w:rPr>
  </w:style>
  <w:style w:type="paragraph" w:styleId="NoSpacing">
    <w:name w:val="No Spacing"/>
    <w:link w:val="NoSpacingChar"/>
    <w:uiPriority w:val="1"/>
    <w:qFormat/>
    <w:rsid w:val="00592C0A"/>
    <w:pPr>
      <w:spacing w:after="0" w:line="240" w:lineRule="auto"/>
    </w:pPr>
    <w:rPr>
      <w:rFonts w:ascii="Calibri" w:eastAsia="Calibri" w:hAnsi="Calibri" w:cs="SimSun"/>
      <w:lang w:val="en-GB"/>
    </w:rPr>
  </w:style>
  <w:style w:type="character" w:customStyle="1" w:styleId="NoSpacingChar">
    <w:name w:val="No Spacing Char"/>
    <w:link w:val="NoSpacing"/>
    <w:uiPriority w:val="1"/>
    <w:locked/>
    <w:rsid w:val="00592C0A"/>
    <w:rPr>
      <w:rFonts w:ascii="Calibri" w:eastAsia="Calibri" w:hAnsi="Calibri" w:cs="SimSun"/>
      <w:lang w:val="en-GB"/>
    </w:rPr>
  </w:style>
</w:styles>
</file>

<file path=word/webSettings.xml><?xml version="1.0" encoding="utf-8"?>
<w:webSettings xmlns:r="http://schemas.openxmlformats.org/officeDocument/2006/relationships" xmlns:w="http://schemas.openxmlformats.org/wordprocessingml/2006/main">
  <w:divs>
    <w:div w:id="1518969">
      <w:bodyDiv w:val="1"/>
      <w:marLeft w:val="0"/>
      <w:marRight w:val="0"/>
      <w:marTop w:val="0"/>
      <w:marBottom w:val="0"/>
      <w:divBdr>
        <w:top w:val="none" w:sz="0" w:space="0" w:color="auto"/>
        <w:left w:val="none" w:sz="0" w:space="0" w:color="auto"/>
        <w:bottom w:val="none" w:sz="0" w:space="0" w:color="auto"/>
        <w:right w:val="none" w:sz="0" w:space="0" w:color="auto"/>
      </w:divBdr>
    </w:div>
    <w:div w:id="10197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eanyi.okonko@uniport.edu.n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dx.doi.org/10.7537/marsnys121119.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1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rotX val="30"/>
      <c:depthPercent val="100"/>
      <c:rAngAx val="1"/>
    </c:view3D>
    <c:plotArea>
      <c:layout/>
      <c:pie3DChart>
        <c:varyColors val="1"/>
        <c:ser>
          <c:idx val="0"/>
          <c:order val="0"/>
          <c:tx>
            <c:strRef>
              <c:f>Sheet1!$B$1</c:f>
              <c:strCache>
                <c:ptCount val="1"/>
                <c:pt idx="0">
                  <c:v>Column1</c:v>
                </c:pt>
              </c:strCache>
            </c:strRef>
          </c:tx>
          <c:dLbls>
            <c:dLbl>
              <c:idx val="0"/>
              <c:layout>
                <c:manualLayout>
                  <c:x val="-6.2597809076682482E-3"/>
                  <c:y val="8.3018867924528297E-2"/>
                </c:manualLayout>
              </c:layout>
              <c:spPr/>
              <c:txPr>
                <a:bodyPr rot="0" vert="horz"/>
                <a:lstStyle/>
                <a:p>
                  <a:pPr>
                    <a:defRPr lang="en-US"/>
                  </a:pPr>
                  <a:endParaRPr lang="en-US"/>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3DD-4D8C-9924-D8E23B8F0B3B}"/>
                </c:ext>
              </c:extLst>
            </c:dLbl>
            <c:dLbl>
              <c:idx val="1"/>
              <c:layout>
                <c:manualLayout>
                  <c:x val="4.7159699892819054E-2"/>
                  <c:y val="-0.10566037735849072"/>
                </c:manualLayout>
              </c:layout>
              <c:spPr/>
              <c:txPr>
                <a:bodyPr rot="0" vert="horz"/>
                <a:lstStyle/>
                <a:p>
                  <a:pPr>
                    <a:defRPr lang="en-US"/>
                  </a:pPr>
                  <a:endParaRPr lang="en-US"/>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DD-4D8C-9924-D8E23B8F0B3B}"/>
                </c:ext>
              </c:extLst>
            </c:dLbl>
            <c:spPr>
              <a:noFill/>
              <a:ln>
                <a:noFill/>
              </a:ln>
              <a:effectLst/>
            </c:spPr>
            <c:txPr>
              <a:bodyPr/>
              <a:lstStyle/>
              <a:p>
                <a:pPr>
                  <a:defRPr lang="en-US"/>
                </a:pPr>
                <a:endParaRPr lang="en-US"/>
              </a:p>
            </c:txPr>
            <c:dLblPos val="outEnd"/>
            <c:showVal val="1"/>
            <c:showCatName val="1"/>
            <c:showLeaderLines val="1"/>
            <c:extLst xmlns:c16r2="http://schemas.microsoft.com/office/drawing/2015/06/chart">
              <c:ext xmlns:c15="http://schemas.microsoft.com/office/drawing/2012/chart" uri="{CE6537A1-D6FC-4f65-9D91-7224C49458BB}"/>
            </c:extLst>
          </c:dLbls>
          <c:cat>
            <c:strRef>
              <c:f>Sheet1!$A$2:$A$3</c:f>
              <c:strCache>
                <c:ptCount val="2"/>
                <c:pt idx="0">
                  <c:v>HBV Negative</c:v>
                </c:pt>
                <c:pt idx="1">
                  <c:v>HBV Positive</c:v>
                </c:pt>
              </c:strCache>
            </c:strRef>
          </c:cat>
          <c:val>
            <c:numRef>
              <c:f>Sheet1!$B$2:$B$3</c:f>
              <c:numCache>
                <c:formatCode>0.00%</c:formatCode>
                <c:ptCount val="2"/>
                <c:pt idx="0">
                  <c:v>0.65400000000000491</c:v>
                </c:pt>
                <c:pt idx="1">
                  <c:v>0.34600000000000036</c:v>
                </c:pt>
              </c:numCache>
            </c:numRef>
          </c:val>
          <c:extLst xmlns:c16r2="http://schemas.microsoft.com/office/drawing/2015/06/chart">
            <c:ext xmlns:c16="http://schemas.microsoft.com/office/drawing/2014/chart" uri="{C3380CC4-5D6E-409C-BE32-E72D297353CC}">
              <c16:uniqueId val="{00000002-43DD-4D8C-9924-D8E23B8F0B3B}"/>
            </c:ext>
          </c:extLst>
        </c:ser>
        <c:dLbls>
          <c:showVal val="1"/>
        </c:dLbls>
      </c:pie3DChart>
    </c:plotArea>
    <c:plotVisOnly val="1"/>
    <c:dispBlanksAs val="zero"/>
  </c:chart>
  <c:spPr>
    <a:ln w="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4"/>
  <c:chart>
    <c:autoTitleDeleted val="1"/>
    <c:view3D>
      <c:rotX val="30"/>
      <c:depthPercent val="100"/>
      <c:rAngAx val="1"/>
    </c:view3D>
    <c:plotArea>
      <c:layout>
        <c:manualLayout>
          <c:layoutTarget val="inner"/>
          <c:xMode val="edge"/>
          <c:yMode val="edge"/>
          <c:x val="9.0627618916057112E-2"/>
          <c:y val="0.1401406171378837"/>
          <c:w val="0.83420903678071545"/>
          <c:h val="0.83391019642464004"/>
        </c:manualLayout>
      </c:layout>
      <c:pie3DChart>
        <c:varyColors val="1"/>
        <c:ser>
          <c:idx val="0"/>
          <c:order val="0"/>
          <c:tx>
            <c:strRef>
              <c:f>Sheet1!$B$1</c:f>
              <c:strCache>
                <c:ptCount val="1"/>
                <c:pt idx="0">
                  <c:v>Column1</c:v>
                </c:pt>
              </c:strCache>
            </c:strRef>
          </c:tx>
          <c:explosion val="9"/>
          <c:dLbls>
            <c:dLbl>
              <c:idx val="0"/>
              <c:tx>
                <c:rich>
                  <a:bodyPr rot="0" vert="horz"/>
                  <a:lstStyle/>
                  <a:p>
                    <a:pPr>
                      <a:defRPr lang="en-US"/>
                    </a:pPr>
                    <a:r>
                      <a:rPr lang="en-US"/>
                      <a:t>HBV Negative, 73%</a:t>
                    </a:r>
                  </a:p>
                </c:rich>
              </c:tx>
              <c:sp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DF-4CF8-9D87-B624C535FE3C}"/>
                </c:ext>
              </c:extLst>
            </c:dLbl>
            <c:dLbl>
              <c:idx val="1"/>
              <c:tx>
                <c:rich>
                  <a:bodyPr rot="0" vert="horz"/>
                  <a:lstStyle/>
                  <a:p>
                    <a:pPr>
                      <a:defRPr lang="en-US"/>
                    </a:pPr>
                    <a:r>
                      <a:rPr lang="en-US"/>
                      <a:t>HBV Positive, 27%</a:t>
                    </a:r>
                  </a:p>
                </c:rich>
              </c:tx>
              <c:sp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DF-4CF8-9D87-B624C535FE3C}"/>
                </c:ext>
              </c:extLst>
            </c:dLbl>
            <c:spPr>
              <a:noFill/>
              <a:ln>
                <a:noFill/>
              </a:ln>
              <a:effectLst/>
            </c:spPr>
            <c:txPr>
              <a:bodyPr/>
              <a:lstStyle/>
              <a:p>
                <a:pPr>
                  <a:defRPr lang="en-US"/>
                </a:pPr>
                <a:endParaRPr lang="en-US"/>
              </a:p>
            </c:txPr>
            <c:dLblPos val="outEnd"/>
            <c:showVal val="1"/>
            <c:showCatName val="1"/>
            <c:showLeaderLines val="1"/>
            <c:extLst xmlns:c16r2="http://schemas.microsoft.com/office/drawing/2015/06/chart">
              <c:ext xmlns:c15="http://schemas.microsoft.com/office/drawing/2012/chart" uri="{CE6537A1-D6FC-4f65-9D91-7224C49458BB}"/>
            </c:extLst>
          </c:dLbls>
          <c:cat>
            <c:strRef>
              <c:f>Sheet1!$A$2:$A$3</c:f>
              <c:strCache>
                <c:ptCount val="2"/>
                <c:pt idx="0">
                  <c:v>HBV Negative</c:v>
                </c:pt>
                <c:pt idx="1">
                  <c:v>HBV Positive</c:v>
                </c:pt>
              </c:strCache>
            </c:strRef>
          </c:cat>
          <c:val>
            <c:numRef>
              <c:f>Sheet1!$B$2:$B$3</c:f>
              <c:numCache>
                <c:formatCode>0.00%</c:formatCode>
                <c:ptCount val="2"/>
                <c:pt idx="0">
                  <c:v>0.73000000000000065</c:v>
                </c:pt>
                <c:pt idx="1">
                  <c:v>0.27</c:v>
                </c:pt>
              </c:numCache>
            </c:numRef>
          </c:val>
          <c:extLst xmlns:c16r2="http://schemas.microsoft.com/office/drawing/2015/06/chart">
            <c:ext xmlns:c16="http://schemas.microsoft.com/office/drawing/2014/chart" uri="{C3380CC4-5D6E-409C-BE32-E72D297353CC}">
              <c16:uniqueId val="{00000002-A4DF-4CF8-9D87-B624C535FE3C}"/>
            </c:ext>
          </c:extLst>
        </c:ser>
        <c:dLbls>
          <c:showVal val="1"/>
        </c:dLbls>
      </c:pie3DChart>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autoTitleDeleted val="1"/>
    <c:view3D>
      <c:rotX val="30"/>
      <c:depthPercent val="100"/>
      <c:rAngAx val="1"/>
    </c:view3D>
    <c:plotArea>
      <c:layout/>
      <c:pie3DChart>
        <c:varyColors val="1"/>
        <c:ser>
          <c:idx val="0"/>
          <c:order val="0"/>
          <c:tx>
            <c:strRef>
              <c:f>Sheet1!$B$1</c:f>
              <c:strCache>
                <c:ptCount val="1"/>
                <c:pt idx="0">
                  <c:v>Column1</c:v>
                </c:pt>
              </c:strCache>
            </c:strRef>
          </c:tx>
          <c:explosion val="3"/>
          <c:dLbls>
            <c:dLbl>
              <c:idx val="0"/>
              <c:layout>
                <c:manualLayout>
                  <c:x val="-2.5641025641026157E-2"/>
                  <c:y val="0.23571779341954494"/>
                </c:manualLayout>
              </c:layout>
              <c:spPr/>
              <c:txPr>
                <a:bodyPr rot="0" vert="horz"/>
                <a:lstStyle/>
                <a:p>
                  <a:pPr>
                    <a:defRPr lang="en-US"/>
                  </a:pPr>
                  <a:endParaRPr lang="en-US"/>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92-4B5A-8899-83D821C06D7D}"/>
                </c:ext>
              </c:extLst>
            </c:dLbl>
            <c:dLbl>
              <c:idx val="1"/>
              <c:layout>
                <c:manualLayout>
                  <c:x val="8.3284793975649737E-2"/>
                  <c:y val="-0.13981267920802537"/>
                </c:manualLayout>
              </c:layout>
              <c:spPr/>
              <c:txPr>
                <a:bodyPr rot="0" vert="horz"/>
                <a:lstStyle/>
                <a:p>
                  <a:pPr>
                    <a:defRPr lang="en-US"/>
                  </a:pPr>
                  <a:endParaRPr lang="en-US"/>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92-4B5A-8899-83D821C06D7D}"/>
                </c:ext>
              </c:extLst>
            </c:dLbl>
            <c:spPr>
              <a:noFill/>
              <a:ln>
                <a:noFill/>
              </a:ln>
              <a:effectLst/>
            </c:spPr>
            <c:txPr>
              <a:bodyPr/>
              <a:lstStyle/>
              <a:p>
                <a:pPr>
                  <a:defRPr lang="en-US"/>
                </a:pPr>
                <a:endParaRPr lang="en-US"/>
              </a:p>
            </c:txPr>
            <c:dLblPos val="outEnd"/>
            <c:showVal val="1"/>
            <c:showCatName val="1"/>
            <c:extLst xmlns:c16r2="http://schemas.microsoft.com/office/drawing/2015/06/chart">
              <c:ext xmlns:c15="http://schemas.microsoft.com/office/drawing/2012/chart" uri="{CE6537A1-D6FC-4f65-9D91-7224C49458BB}"/>
            </c:extLst>
          </c:dLbls>
          <c:cat>
            <c:strRef>
              <c:f>Sheet1!$A$2:$A$3</c:f>
              <c:strCache>
                <c:ptCount val="2"/>
                <c:pt idx="0">
                  <c:v>HBV Negative</c:v>
                </c:pt>
                <c:pt idx="1">
                  <c:v>HBV Positive</c:v>
                </c:pt>
              </c:strCache>
            </c:strRef>
          </c:cat>
          <c:val>
            <c:numRef>
              <c:f>Sheet1!$B$2:$B$3</c:f>
              <c:numCache>
                <c:formatCode>0.00%</c:formatCode>
                <c:ptCount val="2"/>
                <c:pt idx="0">
                  <c:v>0.56100000000000005</c:v>
                </c:pt>
                <c:pt idx="1">
                  <c:v>0.43900000000000133</c:v>
                </c:pt>
              </c:numCache>
            </c:numRef>
          </c:val>
          <c:extLst xmlns:c16r2="http://schemas.microsoft.com/office/drawing/2015/06/chart">
            <c:ext xmlns:c16="http://schemas.microsoft.com/office/drawing/2014/chart" uri="{C3380CC4-5D6E-409C-BE32-E72D297353CC}">
              <c16:uniqueId val="{00000002-4192-4B5A-8899-83D821C06D7D}"/>
            </c:ext>
          </c:extLst>
        </c:ser>
        <c:dLbls>
          <c:showCatName val="1"/>
        </c:dLbls>
      </c:pie3DChart>
    </c:plotArea>
    <c:plotVisOnly val="1"/>
    <c:dispBlanksAs val="zero"/>
  </c:chart>
  <c:spPr>
    <a:noFill/>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869125-3827-4F7F-8A25-BEFF6EDE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2019-10-20T15:08:00Z</dcterms:created>
  <dcterms:modified xsi:type="dcterms:W3CDTF">2019-10-20T17:27:00Z</dcterms:modified>
</cp:coreProperties>
</file>