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DBE" w:rsidRPr="004746EA" w:rsidRDefault="007F0DBE" w:rsidP="00C84485">
      <w:pPr>
        <w:snapToGrid w:val="0"/>
        <w:jc w:val="center"/>
        <w:rPr>
          <w:rFonts w:eastAsiaTheme="minorEastAsia"/>
          <w:b/>
          <w:sz w:val="20"/>
          <w:szCs w:val="20"/>
          <w:lang w:eastAsia="zh-CN"/>
        </w:rPr>
      </w:pPr>
    </w:p>
    <w:p w:rsidR="00850745" w:rsidRPr="004746EA" w:rsidRDefault="00311497" w:rsidP="00C84485">
      <w:pPr>
        <w:snapToGrid w:val="0"/>
        <w:jc w:val="center"/>
        <w:rPr>
          <w:b/>
          <w:sz w:val="20"/>
          <w:szCs w:val="20"/>
        </w:rPr>
      </w:pPr>
      <w:r w:rsidRPr="004746EA">
        <w:rPr>
          <w:b/>
          <w:sz w:val="20"/>
          <w:szCs w:val="20"/>
        </w:rPr>
        <w:t xml:space="preserve">Extraction Wound Healing in Diabetic Patients in </w:t>
      </w:r>
      <w:r w:rsidR="00952E1B" w:rsidRPr="004746EA">
        <w:rPr>
          <w:b/>
          <w:sz w:val="20"/>
          <w:szCs w:val="20"/>
        </w:rPr>
        <w:t>the</w:t>
      </w:r>
      <w:r w:rsidRPr="004746EA">
        <w:rPr>
          <w:b/>
          <w:sz w:val="20"/>
          <w:szCs w:val="20"/>
        </w:rPr>
        <w:t xml:space="preserve"> Saudi Population</w:t>
      </w:r>
    </w:p>
    <w:p w:rsidR="00850745" w:rsidRPr="004746EA" w:rsidRDefault="00850745" w:rsidP="00C84485">
      <w:pPr>
        <w:snapToGrid w:val="0"/>
        <w:jc w:val="center"/>
        <w:rPr>
          <w:b/>
          <w:sz w:val="20"/>
          <w:szCs w:val="20"/>
        </w:rPr>
      </w:pPr>
    </w:p>
    <w:p w:rsidR="00850745" w:rsidRPr="004746EA" w:rsidRDefault="00311497" w:rsidP="00C84485">
      <w:pPr>
        <w:pStyle w:val="BodyText"/>
        <w:snapToGrid w:val="0"/>
        <w:ind w:left="0"/>
        <w:jc w:val="center"/>
        <w:rPr>
          <w:rFonts w:eastAsiaTheme="minorEastAsia"/>
          <w:sz w:val="20"/>
          <w:szCs w:val="20"/>
          <w:vertAlign w:val="superscript"/>
          <w:lang w:eastAsia="zh-CN"/>
        </w:rPr>
      </w:pPr>
      <w:bookmarkStart w:id="0" w:name="_GoBack"/>
      <w:r w:rsidRPr="004746EA">
        <w:rPr>
          <w:sz w:val="20"/>
          <w:szCs w:val="20"/>
        </w:rPr>
        <w:t>Mohammed Al-Ghamdi</w:t>
      </w:r>
      <w:bookmarkEnd w:id="0"/>
      <w:r w:rsidR="00952E1B" w:rsidRPr="004746EA">
        <w:rPr>
          <w:sz w:val="20"/>
          <w:szCs w:val="20"/>
          <w:vertAlign w:val="superscript"/>
        </w:rPr>
        <w:t>1</w:t>
      </w:r>
      <w:r w:rsidRPr="004746EA">
        <w:rPr>
          <w:sz w:val="20"/>
          <w:szCs w:val="20"/>
        </w:rPr>
        <w:t>, Dr. Basem T Jamal</w:t>
      </w:r>
      <w:r w:rsidR="00952E1B" w:rsidRPr="004746EA">
        <w:rPr>
          <w:sz w:val="20"/>
          <w:szCs w:val="20"/>
          <w:vertAlign w:val="superscript"/>
        </w:rPr>
        <w:t>2</w:t>
      </w:r>
      <w:r w:rsidRPr="004746EA">
        <w:rPr>
          <w:sz w:val="20"/>
          <w:szCs w:val="20"/>
        </w:rPr>
        <w:t>, Razan Baabdulla</w:t>
      </w:r>
      <w:r w:rsidR="00952E1B" w:rsidRPr="004746EA">
        <w:rPr>
          <w:sz w:val="20"/>
          <w:szCs w:val="20"/>
        </w:rPr>
        <w:t>h</w:t>
      </w:r>
      <w:r w:rsidR="00952E1B" w:rsidRPr="004746EA">
        <w:rPr>
          <w:sz w:val="20"/>
          <w:szCs w:val="20"/>
          <w:vertAlign w:val="superscript"/>
        </w:rPr>
        <w:t>3</w:t>
      </w:r>
      <w:r w:rsidRPr="004746EA">
        <w:rPr>
          <w:sz w:val="20"/>
          <w:szCs w:val="20"/>
        </w:rPr>
        <w:t>, Lina Mengari</w:t>
      </w:r>
      <w:r w:rsidR="00952E1B" w:rsidRPr="004746EA">
        <w:rPr>
          <w:sz w:val="20"/>
          <w:szCs w:val="20"/>
          <w:vertAlign w:val="superscript"/>
        </w:rPr>
        <w:t>4</w:t>
      </w:r>
    </w:p>
    <w:p w:rsidR="00850745" w:rsidRPr="004746EA" w:rsidRDefault="00850745" w:rsidP="00C84485">
      <w:pPr>
        <w:pStyle w:val="BodyText"/>
        <w:snapToGrid w:val="0"/>
        <w:ind w:left="0"/>
        <w:jc w:val="center"/>
        <w:rPr>
          <w:rFonts w:eastAsiaTheme="minorEastAsia"/>
          <w:sz w:val="20"/>
          <w:szCs w:val="20"/>
          <w:vertAlign w:val="superscript"/>
          <w:lang w:eastAsia="zh-CN"/>
        </w:rPr>
      </w:pPr>
    </w:p>
    <w:p w:rsidR="00952E1B" w:rsidRPr="004746EA" w:rsidRDefault="00952E1B" w:rsidP="00C84485">
      <w:pPr>
        <w:pStyle w:val="BodyText"/>
        <w:snapToGrid w:val="0"/>
        <w:ind w:left="0"/>
        <w:jc w:val="center"/>
        <w:rPr>
          <w:sz w:val="20"/>
          <w:szCs w:val="20"/>
        </w:rPr>
      </w:pPr>
      <w:r w:rsidRPr="004746EA">
        <w:rPr>
          <w:sz w:val="20"/>
          <w:szCs w:val="20"/>
          <w:vertAlign w:val="superscript"/>
        </w:rPr>
        <w:t>1</w:t>
      </w:r>
      <w:r w:rsidR="00311497" w:rsidRPr="004746EA">
        <w:rPr>
          <w:sz w:val="20"/>
          <w:szCs w:val="20"/>
        </w:rPr>
        <w:t>BDS, MSc (OMFS</w:t>
      </w:r>
      <w:r w:rsidR="00850745" w:rsidRPr="004746EA">
        <w:rPr>
          <w:sz w:val="20"/>
          <w:szCs w:val="20"/>
        </w:rPr>
        <w:t xml:space="preserve"> &amp; </w:t>
      </w:r>
      <w:r w:rsidR="00311497" w:rsidRPr="004746EA">
        <w:rPr>
          <w:sz w:val="20"/>
          <w:szCs w:val="20"/>
        </w:rPr>
        <w:t>Anesthesia), FRC</w:t>
      </w:r>
      <w:r w:rsidR="00850745" w:rsidRPr="004746EA">
        <w:rPr>
          <w:sz w:val="20"/>
          <w:szCs w:val="20"/>
        </w:rPr>
        <w:t>D (</w:t>
      </w:r>
      <w:r w:rsidR="00311497" w:rsidRPr="004746EA">
        <w:rPr>
          <w:sz w:val="20"/>
          <w:szCs w:val="20"/>
        </w:rPr>
        <w:t>C), Assistant Professor Oral</w:t>
      </w:r>
      <w:r w:rsidR="00850745" w:rsidRPr="004746EA">
        <w:rPr>
          <w:sz w:val="20"/>
          <w:szCs w:val="20"/>
        </w:rPr>
        <w:t xml:space="preserve"> &amp; </w:t>
      </w:r>
      <w:r w:rsidR="00311497" w:rsidRPr="004746EA">
        <w:rPr>
          <w:sz w:val="20"/>
          <w:szCs w:val="20"/>
        </w:rPr>
        <w:t>Maxillofacial Surgery, Faculty of Dentistry, King Abdul</w:t>
      </w:r>
      <w:r w:rsidR="004746EA">
        <w:rPr>
          <w:rFonts w:eastAsiaTheme="minorEastAsia" w:hint="eastAsia"/>
          <w:sz w:val="20"/>
          <w:szCs w:val="20"/>
          <w:lang w:eastAsia="zh-CN"/>
        </w:rPr>
        <w:t xml:space="preserve"> </w:t>
      </w:r>
      <w:r w:rsidR="00311497" w:rsidRPr="004746EA">
        <w:rPr>
          <w:sz w:val="20"/>
          <w:szCs w:val="20"/>
        </w:rPr>
        <w:t>Aziz University, P.O. Box 20805, Jeddah,</w:t>
      </w:r>
      <w:r w:rsidR="004746EA" w:rsidRPr="004746EA">
        <w:rPr>
          <w:rFonts w:eastAsiaTheme="minorEastAsia" w:hint="eastAsia"/>
          <w:sz w:val="20"/>
          <w:szCs w:val="20"/>
          <w:lang w:eastAsia="zh-CN"/>
        </w:rPr>
        <w:t xml:space="preserve"> </w:t>
      </w:r>
      <w:r w:rsidR="00311497" w:rsidRPr="004746EA">
        <w:rPr>
          <w:sz w:val="20"/>
          <w:szCs w:val="20"/>
        </w:rPr>
        <w:t>Saudi Arabia.</w:t>
      </w:r>
    </w:p>
    <w:p w:rsidR="00952E1B" w:rsidRPr="004746EA" w:rsidRDefault="00952E1B" w:rsidP="00C84485">
      <w:pPr>
        <w:pStyle w:val="BodyText"/>
        <w:snapToGrid w:val="0"/>
        <w:ind w:left="0"/>
        <w:jc w:val="center"/>
        <w:rPr>
          <w:sz w:val="20"/>
          <w:szCs w:val="20"/>
        </w:rPr>
      </w:pPr>
      <w:r w:rsidRPr="004746EA">
        <w:rPr>
          <w:sz w:val="20"/>
          <w:szCs w:val="20"/>
          <w:vertAlign w:val="superscript"/>
        </w:rPr>
        <w:t>2</w:t>
      </w:r>
      <w:r w:rsidR="00311497" w:rsidRPr="004746EA">
        <w:rPr>
          <w:sz w:val="20"/>
          <w:szCs w:val="20"/>
        </w:rPr>
        <w:t>ABOMS</w:t>
      </w:r>
      <w:r w:rsidR="00311497" w:rsidRPr="004746EA">
        <w:rPr>
          <w:b/>
          <w:sz w:val="20"/>
          <w:szCs w:val="20"/>
        </w:rPr>
        <w:t xml:space="preserve">, </w:t>
      </w:r>
      <w:r w:rsidR="00311497" w:rsidRPr="004746EA">
        <w:rPr>
          <w:sz w:val="20"/>
          <w:szCs w:val="20"/>
        </w:rPr>
        <w:t>Associate Professor Oral</w:t>
      </w:r>
      <w:r w:rsidR="00850745" w:rsidRPr="004746EA">
        <w:rPr>
          <w:sz w:val="20"/>
          <w:szCs w:val="20"/>
        </w:rPr>
        <w:t xml:space="preserve"> &amp; </w:t>
      </w:r>
      <w:r w:rsidR="00311497" w:rsidRPr="004746EA">
        <w:rPr>
          <w:sz w:val="20"/>
          <w:szCs w:val="20"/>
        </w:rPr>
        <w:t>Maxillofacial Surgery, Faculty of Dentistry,</w:t>
      </w:r>
      <w:r w:rsidR="00C84485" w:rsidRPr="004746EA">
        <w:rPr>
          <w:rFonts w:eastAsiaTheme="minorEastAsia" w:hint="eastAsia"/>
          <w:sz w:val="20"/>
          <w:szCs w:val="20"/>
          <w:lang w:eastAsia="zh-CN"/>
        </w:rPr>
        <w:t xml:space="preserve"> </w:t>
      </w:r>
      <w:r w:rsidR="00311497" w:rsidRPr="004746EA">
        <w:rPr>
          <w:sz w:val="20"/>
          <w:szCs w:val="20"/>
        </w:rPr>
        <w:t>King Abdul</w:t>
      </w:r>
      <w:r w:rsidR="004746EA">
        <w:rPr>
          <w:rFonts w:eastAsiaTheme="minorEastAsia" w:hint="eastAsia"/>
          <w:sz w:val="20"/>
          <w:szCs w:val="20"/>
          <w:lang w:eastAsia="zh-CN"/>
        </w:rPr>
        <w:t xml:space="preserve"> </w:t>
      </w:r>
      <w:r w:rsidR="00311497" w:rsidRPr="004746EA">
        <w:rPr>
          <w:sz w:val="20"/>
          <w:szCs w:val="20"/>
        </w:rPr>
        <w:t>Aziz University, P.O. Box 20805, Jeddah, Saudi</w:t>
      </w:r>
      <w:r w:rsidR="00622BA4" w:rsidRPr="004746EA">
        <w:rPr>
          <w:rFonts w:eastAsiaTheme="minorEastAsia" w:hint="eastAsia"/>
          <w:sz w:val="20"/>
          <w:szCs w:val="20"/>
          <w:lang w:eastAsia="zh-CN"/>
        </w:rPr>
        <w:t xml:space="preserve"> </w:t>
      </w:r>
      <w:r w:rsidR="00311497" w:rsidRPr="004746EA">
        <w:rPr>
          <w:sz w:val="20"/>
          <w:szCs w:val="20"/>
        </w:rPr>
        <w:t>Arabia.</w:t>
      </w:r>
    </w:p>
    <w:p w:rsidR="00952E1B" w:rsidRPr="004746EA" w:rsidRDefault="00952E1B" w:rsidP="00C84485">
      <w:pPr>
        <w:pStyle w:val="BodyText"/>
        <w:snapToGrid w:val="0"/>
        <w:ind w:left="0"/>
        <w:jc w:val="center"/>
        <w:rPr>
          <w:sz w:val="20"/>
          <w:szCs w:val="20"/>
        </w:rPr>
      </w:pPr>
      <w:r w:rsidRPr="004746EA">
        <w:rPr>
          <w:sz w:val="20"/>
          <w:szCs w:val="20"/>
          <w:vertAlign w:val="superscript"/>
        </w:rPr>
        <w:t>3</w:t>
      </w:r>
      <w:r w:rsidR="00311497" w:rsidRPr="004746EA">
        <w:rPr>
          <w:sz w:val="20"/>
          <w:szCs w:val="20"/>
        </w:rPr>
        <w:t>BDS</w:t>
      </w:r>
      <w:r w:rsidR="00311497" w:rsidRPr="004746EA">
        <w:rPr>
          <w:b/>
          <w:sz w:val="20"/>
          <w:szCs w:val="20"/>
        </w:rPr>
        <w:t xml:space="preserve">, </w:t>
      </w:r>
      <w:r w:rsidR="00311497" w:rsidRPr="004746EA">
        <w:rPr>
          <w:sz w:val="20"/>
          <w:szCs w:val="20"/>
        </w:rPr>
        <w:t>Faculty of Dentistry, King Abdul</w:t>
      </w:r>
      <w:r w:rsidR="00622BA4" w:rsidRPr="004746EA">
        <w:rPr>
          <w:rFonts w:eastAsiaTheme="minorEastAsia" w:hint="eastAsia"/>
          <w:sz w:val="20"/>
          <w:szCs w:val="20"/>
          <w:lang w:eastAsia="zh-CN"/>
        </w:rPr>
        <w:t xml:space="preserve"> </w:t>
      </w:r>
      <w:r w:rsidR="00311497" w:rsidRPr="004746EA">
        <w:rPr>
          <w:sz w:val="20"/>
          <w:szCs w:val="20"/>
        </w:rPr>
        <w:t>Aziz University, P.O. Box 20805, Jeddah,</w:t>
      </w:r>
      <w:r w:rsidR="00622BA4" w:rsidRPr="004746EA">
        <w:rPr>
          <w:rFonts w:eastAsiaTheme="minorEastAsia" w:hint="eastAsia"/>
          <w:sz w:val="20"/>
          <w:szCs w:val="20"/>
          <w:lang w:eastAsia="zh-CN"/>
        </w:rPr>
        <w:t xml:space="preserve"> </w:t>
      </w:r>
      <w:r w:rsidR="00311497" w:rsidRPr="004746EA">
        <w:rPr>
          <w:sz w:val="20"/>
          <w:szCs w:val="20"/>
        </w:rPr>
        <w:t>Saudi Arabia.</w:t>
      </w:r>
    </w:p>
    <w:p w:rsidR="000B7D36" w:rsidRPr="004746EA" w:rsidRDefault="00952E1B" w:rsidP="00C84485">
      <w:pPr>
        <w:pStyle w:val="BodyText"/>
        <w:snapToGrid w:val="0"/>
        <w:ind w:left="0"/>
        <w:jc w:val="center"/>
        <w:rPr>
          <w:sz w:val="20"/>
          <w:szCs w:val="20"/>
        </w:rPr>
      </w:pPr>
      <w:r w:rsidRPr="004746EA">
        <w:rPr>
          <w:sz w:val="20"/>
          <w:szCs w:val="20"/>
          <w:vertAlign w:val="superscript"/>
        </w:rPr>
        <w:t>4</w:t>
      </w:r>
      <w:r w:rsidR="00311497" w:rsidRPr="004746EA">
        <w:rPr>
          <w:sz w:val="20"/>
          <w:szCs w:val="20"/>
        </w:rPr>
        <w:t>BDS</w:t>
      </w:r>
      <w:r w:rsidR="00311497" w:rsidRPr="004746EA">
        <w:rPr>
          <w:b/>
          <w:sz w:val="20"/>
          <w:szCs w:val="20"/>
        </w:rPr>
        <w:t xml:space="preserve">, </w:t>
      </w:r>
      <w:r w:rsidR="00311497" w:rsidRPr="004746EA">
        <w:rPr>
          <w:sz w:val="20"/>
          <w:szCs w:val="20"/>
        </w:rPr>
        <w:t>Faculty of Dentistry, King Abdul</w:t>
      </w:r>
      <w:r w:rsidR="00622BA4" w:rsidRPr="004746EA">
        <w:rPr>
          <w:rFonts w:eastAsiaTheme="minorEastAsia" w:hint="eastAsia"/>
          <w:sz w:val="20"/>
          <w:szCs w:val="20"/>
          <w:lang w:eastAsia="zh-CN"/>
        </w:rPr>
        <w:t xml:space="preserve"> </w:t>
      </w:r>
      <w:r w:rsidR="00311497" w:rsidRPr="004746EA">
        <w:rPr>
          <w:sz w:val="20"/>
          <w:szCs w:val="20"/>
        </w:rPr>
        <w:t>Aziz University, P.O. Box 20805, Jeddah,</w:t>
      </w:r>
      <w:r w:rsidR="00622BA4" w:rsidRPr="004746EA">
        <w:rPr>
          <w:rFonts w:eastAsiaTheme="minorEastAsia" w:hint="eastAsia"/>
          <w:sz w:val="20"/>
          <w:szCs w:val="20"/>
          <w:lang w:eastAsia="zh-CN"/>
        </w:rPr>
        <w:t xml:space="preserve"> </w:t>
      </w:r>
      <w:r w:rsidR="00311497" w:rsidRPr="004746EA">
        <w:rPr>
          <w:sz w:val="20"/>
          <w:szCs w:val="20"/>
        </w:rPr>
        <w:t>Saudi Arabia.</w:t>
      </w:r>
    </w:p>
    <w:p w:rsidR="00850745" w:rsidRPr="004746EA" w:rsidRDefault="009E1116" w:rsidP="00C84485">
      <w:pPr>
        <w:snapToGrid w:val="0"/>
        <w:jc w:val="center"/>
        <w:rPr>
          <w:rFonts w:eastAsiaTheme="minorEastAsia" w:hint="eastAsia"/>
          <w:color w:val="0000CC"/>
          <w:sz w:val="20"/>
          <w:szCs w:val="20"/>
          <w:lang w:eastAsia="zh-CN"/>
        </w:rPr>
      </w:pPr>
      <w:hyperlink r:id="rId8">
        <w:r w:rsidR="00952E1B" w:rsidRPr="004746EA">
          <w:rPr>
            <w:color w:val="0000CC"/>
            <w:sz w:val="20"/>
            <w:szCs w:val="20"/>
            <w:u w:val="single" w:color="0000FF"/>
          </w:rPr>
          <w:t>myalghamdi@kau.edu.sa</w:t>
        </w:r>
      </w:hyperlink>
      <w:r w:rsidR="00952E1B" w:rsidRPr="004746EA">
        <w:rPr>
          <w:color w:val="0000CC"/>
          <w:sz w:val="20"/>
          <w:szCs w:val="20"/>
        </w:rPr>
        <w:t xml:space="preserve">, </w:t>
      </w:r>
      <w:hyperlink r:id="rId9">
        <w:r w:rsidR="00952E1B" w:rsidRPr="004746EA">
          <w:rPr>
            <w:color w:val="0000CC"/>
            <w:sz w:val="20"/>
            <w:szCs w:val="20"/>
            <w:u w:val="single" w:color="0000FF"/>
          </w:rPr>
          <w:t>bjamal@kau.edu.sa</w:t>
        </w:r>
      </w:hyperlink>
      <w:r w:rsidR="00952E1B" w:rsidRPr="004746EA">
        <w:rPr>
          <w:color w:val="0000CC"/>
          <w:sz w:val="20"/>
          <w:szCs w:val="20"/>
        </w:rPr>
        <w:t xml:space="preserve">, </w:t>
      </w:r>
      <w:hyperlink r:id="rId10">
        <w:r w:rsidR="00952E1B" w:rsidRPr="004746EA">
          <w:rPr>
            <w:color w:val="0000CC"/>
            <w:sz w:val="20"/>
            <w:szCs w:val="20"/>
          </w:rPr>
          <w:t>rmsbaabdullah@kau.edu.sa</w:t>
        </w:r>
      </w:hyperlink>
      <w:r w:rsidR="00952E1B" w:rsidRPr="004746EA">
        <w:rPr>
          <w:color w:val="0000CC"/>
          <w:sz w:val="20"/>
          <w:szCs w:val="20"/>
        </w:rPr>
        <w:t>,</w:t>
      </w:r>
      <w:r w:rsidR="00622BA4" w:rsidRPr="004746EA">
        <w:rPr>
          <w:rFonts w:eastAsiaTheme="minorEastAsia" w:hint="eastAsia"/>
          <w:color w:val="0000CC"/>
          <w:sz w:val="20"/>
          <w:szCs w:val="20"/>
          <w:lang w:eastAsia="zh-CN"/>
        </w:rPr>
        <w:t xml:space="preserve"> </w:t>
      </w:r>
      <w:hyperlink r:id="rId11">
        <w:r w:rsidR="00952E1B" w:rsidRPr="004746EA">
          <w:rPr>
            <w:color w:val="0000CC"/>
            <w:sz w:val="20"/>
            <w:szCs w:val="20"/>
          </w:rPr>
          <w:t>Lina.mengari@gmail.com</w:t>
        </w:r>
      </w:hyperlink>
      <w:r w:rsidR="004746EA">
        <w:rPr>
          <w:rFonts w:eastAsiaTheme="minorEastAsia" w:hint="eastAsia"/>
          <w:sz w:val="20"/>
          <w:szCs w:val="20"/>
          <w:lang w:eastAsia="zh-CN"/>
        </w:rPr>
        <w:t xml:space="preserve"> </w:t>
      </w:r>
    </w:p>
    <w:p w:rsidR="00850745" w:rsidRPr="004746EA" w:rsidRDefault="00850745" w:rsidP="00C84485">
      <w:pPr>
        <w:snapToGrid w:val="0"/>
        <w:jc w:val="center"/>
        <w:rPr>
          <w:color w:val="0000CC"/>
          <w:sz w:val="20"/>
          <w:szCs w:val="20"/>
        </w:rPr>
      </w:pPr>
    </w:p>
    <w:p w:rsidR="00850745" w:rsidRPr="004746EA" w:rsidRDefault="00311497" w:rsidP="00C84485">
      <w:pPr>
        <w:snapToGrid w:val="0"/>
        <w:jc w:val="both"/>
        <w:rPr>
          <w:rFonts w:eastAsiaTheme="minorEastAsia"/>
          <w:i/>
          <w:sz w:val="20"/>
          <w:szCs w:val="20"/>
        </w:rPr>
      </w:pPr>
      <w:r w:rsidRPr="004746EA">
        <w:rPr>
          <w:b/>
          <w:sz w:val="20"/>
          <w:szCs w:val="20"/>
        </w:rPr>
        <w:t>Abstract</w:t>
      </w:r>
      <w:r w:rsidR="00952E1B" w:rsidRPr="004746EA">
        <w:rPr>
          <w:b/>
          <w:sz w:val="20"/>
          <w:szCs w:val="20"/>
        </w:rPr>
        <w:t>:</w:t>
      </w:r>
      <w:r w:rsidR="00CD129F" w:rsidRPr="004746EA">
        <w:rPr>
          <w:b/>
          <w:bCs/>
          <w:iCs/>
          <w:sz w:val="20"/>
          <w:szCs w:val="20"/>
        </w:rPr>
        <w:t xml:space="preserve"> </w:t>
      </w:r>
      <w:r w:rsidR="00CD129F" w:rsidRPr="004746EA">
        <w:rPr>
          <w:b/>
          <w:sz w:val="20"/>
          <w:szCs w:val="20"/>
        </w:rPr>
        <w:t>Objectives</w:t>
      </w:r>
      <w:r w:rsidR="00CD129F" w:rsidRPr="004746EA">
        <w:rPr>
          <w:i/>
          <w:sz w:val="20"/>
          <w:szCs w:val="20"/>
        </w:rPr>
        <w:t>:</w:t>
      </w:r>
      <w:r w:rsidR="00CD129F" w:rsidRPr="004746EA">
        <w:rPr>
          <w:color w:val="000000" w:themeColor="text1"/>
          <w:sz w:val="20"/>
          <w:szCs w:val="20"/>
        </w:rPr>
        <w:t xml:space="preserve"> There is scarcity of data,</w:t>
      </w:r>
      <w:r w:rsidR="00622BA4" w:rsidRPr="004746EA">
        <w:rPr>
          <w:rFonts w:eastAsiaTheme="minorEastAsia" w:hint="eastAsia"/>
          <w:color w:val="000000" w:themeColor="text1"/>
          <w:sz w:val="20"/>
          <w:szCs w:val="20"/>
          <w:lang w:eastAsia="zh-CN"/>
        </w:rPr>
        <w:t xml:space="preserve"> </w:t>
      </w:r>
      <w:r w:rsidR="00CD129F" w:rsidRPr="004746EA">
        <w:rPr>
          <w:color w:val="000000" w:themeColor="text1"/>
          <w:sz w:val="20"/>
          <w:szCs w:val="20"/>
        </w:rPr>
        <w:t>in the literature, about wound healing of extraction socket in diabetic patients. This study aims</w:t>
      </w:r>
      <w:r w:rsidR="00622BA4" w:rsidRPr="004746EA">
        <w:rPr>
          <w:rFonts w:eastAsiaTheme="minorEastAsia" w:hint="eastAsia"/>
          <w:color w:val="000000" w:themeColor="text1"/>
          <w:sz w:val="20"/>
          <w:szCs w:val="20"/>
          <w:lang w:eastAsia="zh-CN"/>
        </w:rPr>
        <w:t xml:space="preserve"> </w:t>
      </w:r>
      <w:r w:rsidR="00CD129F" w:rsidRPr="004746EA">
        <w:rPr>
          <w:color w:val="000000" w:themeColor="text1"/>
          <w:sz w:val="20"/>
          <w:szCs w:val="20"/>
        </w:rPr>
        <w:t>at assessing wound healing and associated complications following exodontia and their relation to random blood glucose level and/or smoking in diabetic and non-diabetic patients in the Saudi population.</w:t>
      </w:r>
      <w:r w:rsidR="00622BA4" w:rsidRPr="004746EA">
        <w:rPr>
          <w:rFonts w:eastAsiaTheme="minorEastAsia" w:hint="eastAsia"/>
          <w:color w:val="000000" w:themeColor="text1"/>
          <w:sz w:val="20"/>
          <w:szCs w:val="20"/>
          <w:lang w:eastAsia="zh-CN"/>
        </w:rPr>
        <w:t xml:space="preserve"> </w:t>
      </w:r>
      <w:r w:rsidR="00CD129F" w:rsidRPr="004746EA">
        <w:rPr>
          <w:b/>
          <w:iCs/>
          <w:color w:val="000000" w:themeColor="text1"/>
          <w:sz w:val="20"/>
          <w:szCs w:val="20"/>
        </w:rPr>
        <w:t>Subjects and</w:t>
      </w:r>
      <w:r w:rsidR="00CD129F" w:rsidRPr="004746EA">
        <w:rPr>
          <w:b/>
          <w:sz w:val="20"/>
          <w:szCs w:val="20"/>
        </w:rPr>
        <w:t xml:space="preserve"> Methods:</w:t>
      </w:r>
      <w:r w:rsidR="00622BA4" w:rsidRPr="004746EA">
        <w:rPr>
          <w:rFonts w:eastAsiaTheme="minorEastAsia" w:hint="eastAsia"/>
          <w:b/>
          <w:sz w:val="20"/>
          <w:szCs w:val="20"/>
          <w:lang w:eastAsia="zh-CN"/>
        </w:rPr>
        <w:t xml:space="preserve"> </w:t>
      </w:r>
      <w:r w:rsidR="00CD129F" w:rsidRPr="004746EA">
        <w:rPr>
          <w:color w:val="000000" w:themeColor="text1"/>
          <w:sz w:val="20"/>
          <w:szCs w:val="20"/>
        </w:rPr>
        <w:t>This prospective cross sectional study was based on 40 diabetic and 77 non-diabetic control patients, attending oral surgery clinics in King Abdulaziz University Dental Hospital, Jeddah. Wound healing of extraction sockets</w:t>
      </w:r>
      <w:r w:rsidR="00622BA4" w:rsidRPr="004746EA">
        <w:rPr>
          <w:rFonts w:eastAsiaTheme="minorEastAsia" w:hint="eastAsia"/>
          <w:color w:val="000000" w:themeColor="text1"/>
          <w:sz w:val="20"/>
          <w:szCs w:val="20"/>
          <w:lang w:eastAsia="zh-CN"/>
        </w:rPr>
        <w:t xml:space="preserve"> </w:t>
      </w:r>
      <w:r w:rsidR="00CD129F" w:rsidRPr="004746EA">
        <w:rPr>
          <w:color w:val="000000" w:themeColor="text1"/>
          <w:sz w:val="20"/>
          <w:szCs w:val="20"/>
        </w:rPr>
        <w:t>was assessed one-week postoperatively. Descriptive and bivariate statistics were computed at P-value 0.05</w:t>
      </w:r>
      <w:r w:rsidR="007F0DBE" w:rsidRPr="004746EA">
        <w:rPr>
          <w:color w:val="000000" w:themeColor="text1"/>
          <w:sz w:val="20"/>
          <w:szCs w:val="20"/>
        </w:rPr>
        <w:t xml:space="preserve">. </w:t>
      </w:r>
      <w:r w:rsidR="007F0DBE" w:rsidRPr="004746EA">
        <w:rPr>
          <w:i/>
          <w:sz w:val="20"/>
          <w:szCs w:val="20"/>
        </w:rPr>
        <w:t>R</w:t>
      </w:r>
      <w:r w:rsidR="00CD129F" w:rsidRPr="004746EA">
        <w:rPr>
          <w:i/>
          <w:sz w:val="20"/>
          <w:szCs w:val="20"/>
        </w:rPr>
        <w:t>esults: </w:t>
      </w:r>
      <w:r w:rsidR="00CD129F" w:rsidRPr="004746EA">
        <w:rPr>
          <w:sz w:val="20"/>
          <w:szCs w:val="20"/>
        </w:rPr>
        <w:t>Twenty-seven patients (29.3%) were diabetic and 65 patients non-diabetic while 25 patients were excluded. Females constituted the majority67%, with a mean age of 39.5. Among ten smokers, four were diabetics, none had delayed healing events. Seven female patients non-diabetic patients had delayed healing beyond one week. No statistically significant difference were found between age, gender, blood glucose and smoking and wound healing</w:t>
      </w:r>
      <w:r w:rsidR="00622BA4" w:rsidRPr="004746EA">
        <w:rPr>
          <w:rFonts w:eastAsiaTheme="minorEastAsia" w:hint="eastAsia"/>
          <w:sz w:val="20"/>
          <w:szCs w:val="20"/>
          <w:lang w:eastAsia="zh-CN"/>
        </w:rPr>
        <w:t xml:space="preserve">. </w:t>
      </w:r>
      <w:r w:rsidR="00CD129F" w:rsidRPr="004746EA">
        <w:rPr>
          <w:b/>
          <w:sz w:val="20"/>
          <w:szCs w:val="20"/>
        </w:rPr>
        <w:t>Conclusion</w:t>
      </w:r>
      <w:r w:rsidR="00CD129F" w:rsidRPr="004746EA">
        <w:rPr>
          <w:sz w:val="20"/>
          <w:szCs w:val="20"/>
        </w:rPr>
        <w:t>:</w:t>
      </w:r>
      <w:r w:rsidR="00622BA4" w:rsidRPr="004746EA">
        <w:rPr>
          <w:rFonts w:eastAsiaTheme="minorEastAsia" w:hint="eastAsia"/>
          <w:i/>
          <w:sz w:val="20"/>
          <w:szCs w:val="20"/>
          <w:lang w:eastAsia="zh-CN"/>
        </w:rPr>
        <w:t xml:space="preserve"> </w:t>
      </w:r>
      <w:r w:rsidR="00CD129F" w:rsidRPr="004746EA">
        <w:rPr>
          <w:sz w:val="20"/>
          <w:szCs w:val="20"/>
        </w:rPr>
        <w:t xml:space="preserve">Although all of the events of delayed healing occurred in the non-diabetic control group, the difference was not statistically significant (p =0.076). The association between smoking and diabetes in regard to delayed healing was not statistically significant (p =0.106). </w:t>
      </w:r>
    </w:p>
    <w:p w:rsidR="00C84485" w:rsidRPr="004746EA" w:rsidRDefault="00C84485" w:rsidP="00C84485">
      <w:pPr>
        <w:snapToGrid w:val="0"/>
        <w:jc w:val="both"/>
        <w:rPr>
          <w:b/>
          <w:sz w:val="20"/>
          <w:szCs w:val="20"/>
        </w:rPr>
      </w:pPr>
      <w:r w:rsidRPr="004746EA">
        <w:rPr>
          <w:bCs/>
          <w:sz w:val="20"/>
          <w:szCs w:val="20"/>
        </w:rPr>
        <w:t>[</w:t>
      </w:r>
      <w:r w:rsidRPr="004746EA">
        <w:rPr>
          <w:sz w:val="20"/>
          <w:szCs w:val="20"/>
        </w:rPr>
        <w:t>Mohammed Al-Ghamdi, Dr. Basem T Jamal, Razan Baabdullah, Lina Mengar.</w:t>
      </w:r>
      <w:r w:rsidRPr="004746EA">
        <w:rPr>
          <w:rFonts w:eastAsiaTheme="minorEastAsia" w:hint="eastAsia"/>
          <w:b/>
          <w:bCs/>
          <w:sz w:val="20"/>
          <w:szCs w:val="20"/>
          <w:lang w:bidi="fa-IR"/>
        </w:rPr>
        <w:t xml:space="preserve"> </w:t>
      </w:r>
      <w:r w:rsidRPr="004746EA">
        <w:rPr>
          <w:b/>
          <w:sz w:val="20"/>
          <w:szCs w:val="20"/>
        </w:rPr>
        <w:t>Extraction Wound Healing in Diabetic Patients in the Saudi Population</w:t>
      </w:r>
      <w:r w:rsidRPr="004746EA">
        <w:rPr>
          <w:b/>
          <w:bCs/>
          <w:sz w:val="20"/>
          <w:szCs w:val="20"/>
          <w:lang w:bidi="fa-IR"/>
        </w:rPr>
        <w:t>.</w:t>
      </w:r>
      <w:r w:rsidRPr="004746EA">
        <w:rPr>
          <w:bCs/>
          <w:i/>
          <w:sz w:val="20"/>
          <w:szCs w:val="20"/>
        </w:rPr>
        <w:t xml:space="preserve"> N Y Sci J</w:t>
      </w:r>
      <w:r w:rsidRPr="004746EA">
        <w:rPr>
          <w:bCs/>
          <w:sz w:val="20"/>
          <w:szCs w:val="20"/>
        </w:rPr>
        <w:t xml:space="preserve"> </w:t>
      </w:r>
      <w:r w:rsidRPr="004746EA">
        <w:rPr>
          <w:sz w:val="20"/>
          <w:szCs w:val="20"/>
        </w:rPr>
        <w:t>201</w:t>
      </w:r>
      <w:r w:rsidRPr="004746EA">
        <w:rPr>
          <w:rFonts w:hint="eastAsia"/>
          <w:sz w:val="20"/>
          <w:szCs w:val="20"/>
        </w:rPr>
        <w:t>9</w:t>
      </w:r>
      <w:r w:rsidRPr="004746EA">
        <w:rPr>
          <w:sz w:val="20"/>
          <w:szCs w:val="20"/>
        </w:rPr>
        <w:t>;</w:t>
      </w:r>
      <w:r w:rsidRPr="004746EA">
        <w:rPr>
          <w:rFonts w:hint="eastAsia"/>
          <w:sz w:val="20"/>
          <w:szCs w:val="20"/>
        </w:rPr>
        <w:t>12</w:t>
      </w:r>
      <w:r w:rsidRPr="004746EA">
        <w:rPr>
          <w:sz w:val="20"/>
          <w:szCs w:val="20"/>
        </w:rPr>
        <w:t>(</w:t>
      </w:r>
      <w:r w:rsidRPr="004746EA">
        <w:rPr>
          <w:rFonts w:hint="eastAsia"/>
          <w:sz w:val="20"/>
          <w:szCs w:val="20"/>
        </w:rPr>
        <w:t>11</w:t>
      </w:r>
      <w:r w:rsidRPr="004746EA">
        <w:rPr>
          <w:sz w:val="20"/>
          <w:szCs w:val="20"/>
        </w:rPr>
        <w:t>):</w:t>
      </w:r>
      <w:r w:rsidR="0029583F" w:rsidRPr="004746EA">
        <w:rPr>
          <w:noProof/>
          <w:color w:val="000000"/>
          <w:sz w:val="20"/>
          <w:szCs w:val="20"/>
        </w:rPr>
        <w:t>7-12</w:t>
      </w:r>
      <w:r w:rsidRPr="004746EA">
        <w:rPr>
          <w:sz w:val="20"/>
          <w:szCs w:val="20"/>
        </w:rPr>
        <w:t xml:space="preserve">]. </w:t>
      </w:r>
      <w:r w:rsidRPr="004746EA">
        <w:rPr>
          <w:iCs/>
          <w:color w:val="000000"/>
          <w:sz w:val="20"/>
          <w:szCs w:val="20"/>
        </w:rPr>
        <w:t>ISSN 1554-0200 (print); ISSN 2375-723X (online)</w:t>
      </w:r>
      <w:r w:rsidRPr="004746EA">
        <w:rPr>
          <w:sz w:val="20"/>
          <w:szCs w:val="20"/>
        </w:rPr>
        <w:t xml:space="preserve">. </w:t>
      </w:r>
      <w:hyperlink r:id="rId12" w:history="1">
        <w:r w:rsidRPr="004746EA">
          <w:rPr>
            <w:rStyle w:val="Hyperlink"/>
            <w:color w:val="0000FF"/>
            <w:sz w:val="20"/>
            <w:szCs w:val="20"/>
          </w:rPr>
          <w:t>http://www.sciencepub.net/newyork</w:t>
        </w:r>
      </w:hyperlink>
      <w:r w:rsidRPr="004746EA">
        <w:rPr>
          <w:sz w:val="20"/>
          <w:szCs w:val="20"/>
        </w:rPr>
        <w:t xml:space="preserve">. </w:t>
      </w:r>
      <w:r w:rsidRPr="004746EA">
        <w:rPr>
          <w:rFonts w:eastAsiaTheme="minorEastAsia" w:hint="eastAsia"/>
          <w:sz w:val="20"/>
          <w:szCs w:val="20"/>
          <w:lang w:eastAsia="zh-CN"/>
        </w:rPr>
        <w:t>2</w:t>
      </w:r>
      <w:r w:rsidRPr="004746EA">
        <w:rPr>
          <w:rFonts w:hint="eastAsia"/>
          <w:sz w:val="20"/>
          <w:szCs w:val="20"/>
        </w:rPr>
        <w:t xml:space="preserve">. </w:t>
      </w:r>
      <w:r w:rsidRPr="004746EA">
        <w:rPr>
          <w:color w:val="000000"/>
          <w:sz w:val="20"/>
          <w:szCs w:val="20"/>
          <w:shd w:val="clear" w:color="auto" w:fill="FFFFFF"/>
        </w:rPr>
        <w:t>doi:</w:t>
      </w:r>
      <w:hyperlink r:id="rId13" w:history="1">
        <w:r w:rsidRPr="004746EA">
          <w:rPr>
            <w:rStyle w:val="Hyperlink"/>
            <w:color w:val="0000FF"/>
            <w:sz w:val="20"/>
            <w:szCs w:val="20"/>
            <w:shd w:val="clear" w:color="auto" w:fill="FFFFFF"/>
          </w:rPr>
          <w:t>10.7537/mars</w:t>
        </w:r>
        <w:r w:rsidRPr="004746EA">
          <w:rPr>
            <w:rStyle w:val="Hyperlink"/>
            <w:rFonts w:hint="eastAsia"/>
            <w:color w:val="0000FF"/>
            <w:sz w:val="20"/>
            <w:szCs w:val="20"/>
            <w:shd w:val="clear" w:color="auto" w:fill="FFFFFF"/>
          </w:rPr>
          <w:t>nys121119.</w:t>
        </w:r>
        <w:r w:rsidRPr="004746EA">
          <w:rPr>
            <w:rStyle w:val="Hyperlink"/>
            <w:color w:val="0000FF"/>
            <w:sz w:val="20"/>
            <w:szCs w:val="20"/>
            <w:shd w:val="clear" w:color="auto" w:fill="FFFFFF"/>
          </w:rPr>
          <w:t>0</w:t>
        </w:r>
        <w:r w:rsidRPr="004746EA">
          <w:rPr>
            <w:rStyle w:val="Hyperlink"/>
            <w:rFonts w:eastAsiaTheme="minorEastAsia" w:hint="eastAsia"/>
            <w:color w:val="0000FF"/>
            <w:sz w:val="20"/>
            <w:szCs w:val="20"/>
            <w:shd w:val="clear" w:color="auto" w:fill="FFFFFF"/>
            <w:lang w:eastAsia="zh-CN"/>
          </w:rPr>
          <w:t>2</w:t>
        </w:r>
      </w:hyperlink>
      <w:r w:rsidRPr="004746EA">
        <w:rPr>
          <w:color w:val="000000"/>
          <w:sz w:val="20"/>
          <w:szCs w:val="20"/>
          <w:shd w:val="clear" w:color="auto" w:fill="FFFFFF"/>
        </w:rPr>
        <w:t>.</w:t>
      </w:r>
    </w:p>
    <w:p w:rsidR="00952E1B" w:rsidRPr="004746EA" w:rsidRDefault="00952E1B" w:rsidP="00C84485">
      <w:pPr>
        <w:pStyle w:val="BodyText"/>
        <w:snapToGrid w:val="0"/>
        <w:ind w:left="0"/>
        <w:jc w:val="both"/>
        <w:rPr>
          <w:b/>
          <w:sz w:val="20"/>
          <w:szCs w:val="20"/>
        </w:rPr>
      </w:pPr>
    </w:p>
    <w:p w:rsidR="00952E1B" w:rsidRPr="004746EA" w:rsidRDefault="00952E1B" w:rsidP="00C84485">
      <w:pPr>
        <w:pStyle w:val="BodyText"/>
        <w:snapToGrid w:val="0"/>
        <w:ind w:left="0"/>
        <w:jc w:val="both"/>
        <w:rPr>
          <w:sz w:val="20"/>
          <w:szCs w:val="20"/>
        </w:rPr>
      </w:pPr>
      <w:r w:rsidRPr="004746EA">
        <w:rPr>
          <w:b/>
          <w:sz w:val="20"/>
          <w:szCs w:val="20"/>
        </w:rPr>
        <w:t>Keywords</w:t>
      </w:r>
      <w:r w:rsidRPr="004746EA">
        <w:rPr>
          <w:sz w:val="20"/>
          <w:szCs w:val="20"/>
        </w:rPr>
        <w:t>: Post extraction wound, wound healing, diabetics, oral wounds and diabetes, extraction wounds and diabetes</w:t>
      </w:r>
    </w:p>
    <w:p w:rsidR="00952E1B" w:rsidRPr="004746EA" w:rsidRDefault="00952E1B" w:rsidP="00C84485">
      <w:pPr>
        <w:pStyle w:val="Heading1"/>
        <w:snapToGrid w:val="0"/>
        <w:ind w:left="0"/>
        <w:jc w:val="both"/>
        <w:rPr>
          <w:sz w:val="20"/>
          <w:szCs w:val="20"/>
        </w:rPr>
      </w:pPr>
    </w:p>
    <w:p w:rsidR="00C84485" w:rsidRPr="004746EA" w:rsidRDefault="00C84485" w:rsidP="00C84485">
      <w:pPr>
        <w:pStyle w:val="Heading1"/>
        <w:snapToGrid w:val="0"/>
        <w:ind w:left="0"/>
        <w:jc w:val="both"/>
        <w:rPr>
          <w:sz w:val="20"/>
          <w:szCs w:val="20"/>
        </w:rPr>
        <w:sectPr w:rsidR="00C84485" w:rsidRPr="004746EA" w:rsidSect="0029583F">
          <w:headerReference w:type="default" r:id="rId14"/>
          <w:footerReference w:type="default" r:id="rId15"/>
          <w:type w:val="continuous"/>
          <w:pgSz w:w="12240" w:h="15840"/>
          <w:pgMar w:top="1440" w:right="1440" w:bottom="1440" w:left="1440" w:header="720" w:footer="720" w:gutter="0"/>
          <w:pgNumType w:start="7"/>
          <w:cols w:space="720"/>
          <w:docGrid w:linePitch="299"/>
        </w:sectPr>
      </w:pPr>
    </w:p>
    <w:p w:rsidR="000B7D36" w:rsidRPr="004746EA" w:rsidRDefault="00952E1B" w:rsidP="00C84485">
      <w:pPr>
        <w:pStyle w:val="Heading1"/>
        <w:snapToGrid w:val="0"/>
        <w:ind w:left="0"/>
        <w:jc w:val="both"/>
        <w:rPr>
          <w:sz w:val="20"/>
          <w:szCs w:val="20"/>
        </w:rPr>
      </w:pPr>
      <w:r w:rsidRPr="004746EA">
        <w:rPr>
          <w:sz w:val="20"/>
          <w:szCs w:val="20"/>
        </w:rPr>
        <w:lastRenderedPageBreak/>
        <w:t xml:space="preserve">1. </w:t>
      </w:r>
      <w:r w:rsidR="00311497" w:rsidRPr="004746EA">
        <w:rPr>
          <w:sz w:val="20"/>
          <w:szCs w:val="20"/>
        </w:rPr>
        <w:t>Introduction</w:t>
      </w:r>
    </w:p>
    <w:p w:rsidR="00F419A5" w:rsidRPr="004746EA" w:rsidRDefault="00F419A5" w:rsidP="00C84485">
      <w:pPr>
        <w:snapToGrid w:val="0"/>
        <w:ind w:firstLine="425"/>
        <w:jc w:val="both"/>
        <w:rPr>
          <w:b/>
          <w:sz w:val="20"/>
          <w:szCs w:val="20"/>
        </w:rPr>
      </w:pPr>
      <w:r w:rsidRPr="004746EA">
        <w:rPr>
          <w:sz w:val="20"/>
          <w:szCs w:val="20"/>
        </w:rPr>
        <w:t xml:space="preserve">Diabetes and hyperglycemia-related factors have been linked to both acute and chronic impaired wound healing. A large body of evidence indicates that </w:t>
      </w:r>
      <w:r w:rsidRPr="004746EA">
        <w:rPr>
          <w:color w:val="000000"/>
          <w:sz w:val="20"/>
          <w:szCs w:val="20"/>
          <w:shd w:val="clear" w:color="auto" w:fill="FFFFFF"/>
        </w:rPr>
        <w:t xml:space="preserve">altered vascular, neuropathic, and immunological functions contribute to the altered wound healing process </w:t>
      </w:r>
      <w:r w:rsidR="009E1116" w:rsidRPr="004746EA">
        <w:rPr>
          <w:color w:val="000000"/>
          <w:sz w:val="20"/>
          <w:szCs w:val="20"/>
          <w:shd w:val="clear" w:color="auto" w:fill="FFFFFF"/>
        </w:rPr>
        <w:fldChar w:fldCharType="begin" w:fldLock="1"/>
      </w:r>
      <w:r w:rsidRPr="004746EA">
        <w:rPr>
          <w:color w:val="000000"/>
          <w:sz w:val="20"/>
          <w:szCs w:val="20"/>
          <w:shd w:val="clear" w:color="auto" w:fill="FFFFFF"/>
        </w:rPr>
        <w:instrText>ADDIN CSL_CITATION { "citationItems" : [ { "id" : "ITEM-1", "itemData" : { "DOI" : "10.4093/dmj.2012.36.1.64", "ISSN" : "2233-6079", "PMID" : "22363923", "abstract" : "BACKGROUND: We investigated the prevalence of diabetic autonomic neuropathy (DAN) and vestibular dysfunction (VD) in diabetic patients with peripheral neuropathy. METHODS: Thirty-five diabetic patients with peripheral neuropathy were enrolled from August 2008 to July 2009. All subjects underwent autonomic function tests. Nineteen of the patients (54.3%) underwent videonystagmography. RESULTS: Diabetic autonomic neuropathy was observed in 28 patients (80%). A mild degree of autonomic failure was observed in 18 patients (64.3%), and a moderate degree of autonomic failure was observed in ten patients (35.7%). Factors related to DAN included diabetic nephropathy (P=0.032), degree of chronic kidney disease (P=0.003), and duration of diabetes (P=0.044). Vestibular dysfunction was observed in 11 of 19 patients (57.9%). There was no significant association between DAN and VD. CONCLUSION: Diabetic autonomic neuropathy was observed in 28 diabetic patients (80%) with peripheral neuropathy. Vestibular dysfunction was observed in nearly 60% of diabetic patients with peripheral neuropathy who complained of dizziness but showed no significant association with DAN. Diabetic patients who complained of dizziness need to examine both autonomic function and vestibular function.", "author" : [ { "dropping-particle" : "", "family" : "Kim", "given" : "Soo Kyoung", "non-dropping-particle" : "", "parse-names" : false, "suffix" : "" }, { "dropping-particle" : "", "family" : "Lee", "given" : "Kyeong Ju", "non-dropping-particle" : "", "parse-names" : false, "suffix" : "" }, { "dropping-particle" : "", "family" : "Hahm", "given" : "Jong Ryeal", "non-dropping-particle" : "", "parse-names" : false, "suffix" : "" }, { "dropping-particle" : "", "family" : "Lee", "given" : "Sang Min", "non-dropping-particle" : "", "parse-names" : false, "suffix" : "" }, { "dropping-particle" : "", "family" : "Jung", "given" : "Tae Sik", "non-dropping-particle" : "", "parse-names" : false, "suffix" : "" }, { "dropping-particle" : "", "family" : "Jung", "given" : "Jung Hwa", "non-dropping-particle" : "", "parse-names" : false, "suffix" : "" }, { "dropping-particle" : "", "family" : "Kim", "given" : "Sungsu", "non-dropping-particle" : "", "parse-names" : false, "suffix" : "" }, { "dropping-particle" : "", "family" : "Kim", "given" : "Deok Ryong", "non-dropping-particle" : "", "parse-names" : false, "suffix" : "" }, { "dropping-particle" : "", "family" : "Ahn", "given" : "Seong-Ki", "non-dropping-particle" : "", "parse-names" : false, "suffix" : "" }, { "dropping-particle" : "", "family" : "Choi", "given" : "Won-Hee", "non-dropping-particle" : "", "parse-names" : false, "suffix" : "" }, { "dropping-particle" : "Il", "family" : "Chung", "given" : "Soon", "non-dropping-particle" : "", "parse-names" : false, "suffix" : "" } ], "container-title" : "Diabetes &amp; Metabolism Journal", "id" : "ITEM-1", "issue" : "1", "issued" : { "date-parts" : [ [ "2012" ] ] }, "page" : "64", "title" : "Clinical Significance of the Presence of Autonomic and Vestibular Dysfunction in Diabetic Patients with Peripheral Neuropathy", "type" : "article-journal", "volume" : "36" }, "uris" : [ "http://www.mendeley.com/documents/?uuid=723c49a1-fa46-4df4-8d6e-79d0fcc5e364" ] } ], "mendeley" : { "formattedCitation" : "(1)", "plainTextFormattedCitation" : "(1)", "previouslyFormattedCitation" : "(Kim et al. 2012)" }, "properties" : { "noteIndex" : 0 }, "schema" : "https://github.com/citation-style-language/schema/raw/master/csl-citation.json" }</w:instrText>
      </w:r>
      <w:r w:rsidR="009E1116" w:rsidRPr="004746EA">
        <w:rPr>
          <w:color w:val="000000"/>
          <w:sz w:val="20"/>
          <w:szCs w:val="20"/>
          <w:shd w:val="clear" w:color="auto" w:fill="FFFFFF"/>
        </w:rPr>
        <w:fldChar w:fldCharType="separate"/>
      </w:r>
      <w:r w:rsidRPr="004746EA">
        <w:rPr>
          <w:noProof/>
          <w:color w:val="000000"/>
          <w:sz w:val="20"/>
          <w:szCs w:val="20"/>
          <w:shd w:val="clear" w:color="auto" w:fill="FFFFFF"/>
        </w:rPr>
        <w:t>(1)</w:t>
      </w:r>
      <w:r w:rsidR="009E1116" w:rsidRPr="004746EA">
        <w:rPr>
          <w:color w:val="000000"/>
          <w:sz w:val="20"/>
          <w:szCs w:val="20"/>
          <w:shd w:val="clear" w:color="auto" w:fill="FFFFFF"/>
        </w:rPr>
        <w:fldChar w:fldCharType="end"/>
      </w:r>
      <w:r w:rsidR="009E1116" w:rsidRPr="004746EA">
        <w:rPr>
          <w:color w:val="000000"/>
          <w:sz w:val="20"/>
          <w:szCs w:val="20"/>
          <w:shd w:val="clear" w:color="auto" w:fill="FFFFFF"/>
        </w:rPr>
        <w:fldChar w:fldCharType="begin" w:fldLock="1"/>
      </w:r>
      <w:r w:rsidRPr="004746EA">
        <w:rPr>
          <w:color w:val="000000"/>
          <w:sz w:val="20"/>
          <w:szCs w:val="20"/>
          <w:shd w:val="clear" w:color="auto" w:fill="FFFFFF"/>
        </w:rPr>
        <w:instrText>ADDIN CSL_CITATION { "citationItems" : [ { "id" : "ITEM-1", "itemData" : { "DOI" : "10.1155/2012/918267", "ISBN" : "2090-2832 (Electronic)\\r2090-2824 (Linking)", "ISSN" : "20902824", "PMID" : "22611498", "abstract" : "Diabetes mellitus (DM) is a chronic metabolic disorder characterized by inappropriate hyperglycemia due to lack of or resistance to insulin. Patients with DM are frequently afflicted with ischemic vascular disease or wound healing defect. It is well known that type 2\u2009DM causes amplification of the atherosclerotic process, endothelial cell dysfunction, glycosylation of extracellular matrix proteins, and vascular denervation. These complications ultimately lead to impairment of neovascularization and diabetic wound healing. Therapeutic angiogenesis remains an attractive treatment modality for chronic ischemic disorders including PAD and/or diabetic wound healing. Many experimental studies have identified better approaches for diabetic cardiovascular complications, however, successful clinical translation has been limited possibly due to the narrow therapeutic targets of these agents or the lack of rigorous evaluation of pathology and therapeutic mechanisms in experimental models of disease. This paper discusses the current body of evidence identifying endothelial dysfunction and impaired angiogenesis during diabetes.", "author" : [ { "dropping-particle" : "", "family" : "Kolluru", "given" : "Gopi Krishna", "non-dropping-particle" : "", "parse-names" : false, "suffix" : "" }, { "dropping-particle" : "", "family" : "Bir", "given" : "Shyamal C.", "non-dropping-particle" : "", "parse-names" : false, "suffix" : "" }, { "dropping-particle" : "", "family" : "Kevil", "given" : "Christopher G.", "non-dropping-particle" : "", "parse-names" : false, "suffix" : "" } ], "container-title" : "International Journal of Vascular Medicine", "id" : "ITEM-1", "issue" : "Figure 1", "issued" : { "date-parts" : [ [ "2012" ] ] }, "title" : "Endothelial dysfunction and diabetes: Effects on angiogenesis, vascular remodeling, and wound healing", "type" : "article-journal", "volume" : "2012" }, "uris" : [ "http://www.mendeley.com/documents/?uuid=ff1f6853-73c5-4011-8f5a-b3f051a6e02c" ] } ], "mendeley" : { "formattedCitation" : "(2)", "plainTextFormattedCitation" : "(2)", "previouslyFormattedCitation" : "(Kolluru et al. 2012)" }, "properties" : { "noteIndex" : 0 }, "schema" : "https://github.com/citation-style-language/schema/raw/master/csl-citation.json" }</w:instrText>
      </w:r>
      <w:r w:rsidR="009E1116" w:rsidRPr="004746EA">
        <w:rPr>
          <w:color w:val="000000"/>
          <w:sz w:val="20"/>
          <w:szCs w:val="20"/>
          <w:shd w:val="clear" w:color="auto" w:fill="FFFFFF"/>
        </w:rPr>
        <w:fldChar w:fldCharType="separate"/>
      </w:r>
      <w:r w:rsidRPr="004746EA">
        <w:rPr>
          <w:noProof/>
          <w:color w:val="000000"/>
          <w:sz w:val="20"/>
          <w:szCs w:val="20"/>
          <w:shd w:val="clear" w:color="auto" w:fill="FFFFFF"/>
        </w:rPr>
        <w:t>(2)</w:t>
      </w:r>
      <w:r w:rsidR="009E1116" w:rsidRPr="004746EA">
        <w:rPr>
          <w:color w:val="000000"/>
          <w:sz w:val="20"/>
          <w:szCs w:val="20"/>
          <w:shd w:val="clear" w:color="auto" w:fill="FFFFFF"/>
        </w:rPr>
        <w:fldChar w:fldCharType="end"/>
      </w:r>
      <w:r w:rsidR="009E1116" w:rsidRPr="004746EA">
        <w:rPr>
          <w:color w:val="000000"/>
          <w:sz w:val="20"/>
          <w:szCs w:val="20"/>
          <w:shd w:val="clear" w:color="auto" w:fill="FFFFFF"/>
        </w:rPr>
        <w:fldChar w:fldCharType="begin" w:fldLock="1"/>
      </w:r>
      <w:r w:rsidRPr="004746EA">
        <w:rPr>
          <w:color w:val="000000"/>
          <w:sz w:val="20"/>
          <w:szCs w:val="20"/>
          <w:shd w:val="clear" w:color="auto" w:fill="FFFFFF"/>
        </w:rPr>
        <w:instrText>ADDIN CSL_CITATION { "citationItems" : [ { "id" : "ITEM-1", "itemData" : { "DOI" : "10.1161/01.CIR.102.2.185", "ISBN" : "1524-4539 (Electronic)\r1524-4539 (Linking)", "ISSN" : "0009-7322", "PMID" : "10889129", "abstract" : "BACKGROUND: Vascular endothelial growth factor-A (VEGF-A) acts on endothelial cells and monocytes, 2 cell types that participate in the angiogenic and arteriogenic process in vivo. Thus far, it has not been possible to identify differences in individual responses to VEGF-A stimulation because of the lack of an ex vivo assay. METHODS AND RESULTS: We report a chemotaxis assay using isolated monocytes from individual diabetic patients and from healthy, age-matched volunteers. The chemotactic response of individual monocyte preparations to VEGF-A, as mediated via Flt-1, was quantitatively assessed using a modified Boyden chamber. Although the migration of monocytes from healthy volunteers could be stimulated with VEGF-A (1 ng/mL) to a median of 148.4% of the control value (25th and 75th percentiles, 136% and 170%), monocytes from diabetic patients could not be stimulated with VEGF-A (median, 91.1% of unstimulated controls; 25th and 75th percentiles, 83% and 98%; P&lt;0.0001). In contrast, the response of monocytes to the chemoattractant formylMetLeuPhe remained intact in diabetic patients. The VEGF-A-inducible kinase activity of Flt-1, as assessed by in vitro kinase assays, remained intact in monocytes from diabetic patients. Moreover, the serum level of VEGF-A, as assessed by immunoradiometric assay, was significantly elevated in diabetic patients. CONCLUSIONS: The cellular response of monocytes to VEGF-A is attenuated in diabetic patients because of a downstream signal transduction defect. These data suggest that monocytes are important in arteriogenesis and that their ability to migrate might be critical to the arteriogenic response. Thus, we resolved a fundamental mechanism involved in the problem of impaired collateral formation in diabetic patients.", "author" : [ { "dropping-particle" : "", "family" : "Waltenberger", "given" : "J", "non-dropping-particle" : "", "parse-names" : false, "suffix" : "" }, { "dropping-particle" : "", "family" : "Lange", "given" : "J", "non-dropping-particle" : "", "parse-names" : false, "suffix" : "" }, { "dropping-particle" : "", "family" : "Kranz", "given" : "a", "non-dropping-particle" : "", "parse-names" : false, "suffix" : "" } ], "container-title" : "Circulation", "id" : "ITEM-1", "issue" : "2", "issued" : { "date-parts" : [ [ "2000" ] ] }, "page" : "185-190", "title" : "Vascular endothelial growth factor-A-induced chemotaxis of monocytes is attenuated in patients with diabetes mellitus: A potential predictor for the individual capacity to develop collaterals.", "type" : "article-journal", "volume" : "102" }, "uris" : [ "http://www.mendeley.com/documents/?uuid=38e42f58-9e79-450d-9af7-881f5a801017" ] } ], "mendeley" : { "formattedCitation" : "(3)", "plainTextFormattedCitation" : "(3)", "previouslyFormattedCitation" : "(Waltenberger et al. 2000)" }, "properties" : { "noteIndex" : 0 }, "schema" : "https://github.com/citation-style-language/schema/raw/master/csl-citation.json" }</w:instrText>
      </w:r>
      <w:r w:rsidR="009E1116" w:rsidRPr="004746EA">
        <w:rPr>
          <w:color w:val="000000"/>
          <w:sz w:val="20"/>
          <w:szCs w:val="20"/>
          <w:shd w:val="clear" w:color="auto" w:fill="FFFFFF"/>
        </w:rPr>
        <w:fldChar w:fldCharType="separate"/>
      </w:r>
      <w:r w:rsidRPr="004746EA">
        <w:rPr>
          <w:noProof/>
          <w:color w:val="000000"/>
          <w:sz w:val="20"/>
          <w:szCs w:val="20"/>
          <w:shd w:val="clear" w:color="auto" w:fill="FFFFFF"/>
        </w:rPr>
        <w:t>(3)</w:t>
      </w:r>
      <w:r w:rsidR="009E1116" w:rsidRPr="004746EA">
        <w:rPr>
          <w:color w:val="000000"/>
          <w:sz w:val="20"/>
          <w:szCs w:val="20"/>
          <w:shd w:val="clear" w:color="auto" w:fill="FFFFFF"/>
        </w:rPr>
        <w:fldChar w:fldCharType="end"/>
      </w:r>
      <w:r w:rsidR="007F0DBE" w:rsidRPr="004746EA">
        <w:rPr>
          <w:color w:val="000000"/>
          <w:sz w:val="20"/>
          <w:szCs w:val="20"/>
          <w:shd w:val="clear" w:color="auto" w:fill="FFFFFF"/>
        </w:rPr>
        <w:t xml:space="preserve">. </w:t>
      </w:r>
      <w:r w:rsidR="007F0DBE" w:rsidRPr="004746EA">
        <w:rPr>
          <w:sz w:val="20"/>
          <w:szCs w:val="20"/>
        </w:rPr>
        <w:t>I</w:t>
      </w:r>
      <w:r w:rsidRPr="004746EA">
        <w:rPr>
          <w:sz w:val="20"/>
          <w:szCs w:val="20"/>
        </w:rPr>
        <w:t>n Saudi Arabia, as of 2011,</w:t>
      </w:r>
      <w:r w:rsidR="004746EA" w:rsidRPr="004746EA">
        <w:rPr>
          <w:rFonts w:eastAsiaTheme="minorEastAsia" w:hint="eastAsia"/>
          <w:sz w:val="20"/>
          <w:szCs w:val="20"/>
          <w:lang w:eastAsia="zh-CN"/>
        </w:rPr>
        <w:t xml:space="preserve"> </w:t>
      </w:r>
      <w:r w:rsidRPr="004746EA">
        <w:rPr>
          <w:sz w:val="20"/>
          <w:szCs w:val="20"/>
        </w:rPr>
        <w:t>30% of 6024 subjects had type 2 diabetes</w:t>
      </w:r>
      <w:r w:rsidR="009E1116" w:rsidRPr="004746EA">
        <w:rPr>
          <w:sz w:val="20"/>
          <w:szCs w:val="20"/>
        </w:rPr>
        <w:fldChar w:fldCharType="begin" w:fldLock="1"/>
      </w:r>
      <w:r w:rsidRPr="004746EA">
        <w:rPr>
          <w:sz w:val="20"/>
          <w:szCs w:val="20"/>
        </w:rPr>
        <w:instrText>ADDIN CSL_CITATION { "citationItems" : [ { "id" : "ITEM-1", "itemData" : { "DOI" : "10.4103/0256-4947.75773", "ISSN" : "0975-4466", "PMID" : "21245594", "abstract" : "BACKGROUND AND OBJECTIVES: Quantifying the prevalence of diabetes mellitus is important to allow for rational planning and allocation of resources. Therefore, we designed this study to determine the prevalence of diabetes among Saudi nationals.\n\nDESIGN AND SETTING: A cross-sectional study among patients attending a primary care clinic in June 2009.\n\nPATIENTS AND METHODS: Patients were interviewed with structured questionnaires to determine the presence of diabetes by questioning for history of the disease, and charts were reviewed to document any diabetic therapies that the patients may have undergone in the past or were undergoing at that time.\n\nRESULTS: Of 6024 subjects, diabetes mellitus was present in 1792 (30%) patients. The mean (SD) age of the patients was 55.3 (13.2) years. The prevalence of diabetes was 34.1% in males and 27.6% in females (P&lt;.0001). The mean (SD) age for onset of diabetes in males and females was 57.5 (13.1) and 53.4 (13.1) years, respectively (P&lt;.0001). Females &lt;50 years old had a higher prevalence than males in the corresponding age range-34.1% and 25.1%, respectively (P&lt;.0001). The prevalence of diabetes decreased in patients older than 70 years. The prevalence of body mass index of \u226525 was 72.5%. Among patients with diabetes, the prevalence of body mass index of \u226525 was 85.7% (P&lt;.0001). There was a higher prevalence of obesity (body mass index, \u226525) in females (87.7%) as compared to males (83.1%) (P=.008).\n\nCONCLUSION: The prevalence of diabetes is high among the Saudi population and represents a major clinical and public health problem. A national prevention program to prevent diabetes and address the modifiable risk factors at the community level, targeting high-risk groups, should be implemented soon.", "author" : [ { "dropping-particle" : "", "family" : "Alqurashi", "given" : "Khalid A", "non-dropping-particle" : "", "parse-names" : false, "suffix" : "" }, { "dropping-particle" : "", "family" : "Aljabri", "given" : "Khalid S", "non-dropping-particle" : "", "parse-names" : false, "suffix" : "" }, { "dropping-particle" : "", "family" : "Bokhari", "given" : "Samia A", "non-dropping-particle" : "", "parse-names" : false, "suffix" : "" } ], "container-title" : "Annals of Saudi medicine", "id" : "ITEM-1", "issue" : "1", "issued" : { "date-parts" : [ [ "0", "1" ] ] }, "page" : "19-23", "title" : "Prevalence of diabetes mellitus in a Saudi community.", "type" : "article-journal", "volume" : "31" }, "uris" : [ "http://www.mendeley.com/documents/?uuid=0b3b3bc5-b502-498d-b8a2-2191bdd13b70" ] } ], "mendeley" : { "formattedCitation" : "(4)", "plainTextFormattedCitation" : "(4)", "previouslyFormattedCitation" : "(Alqurashi et al.)" }, "properties" : { "noteIndex" : 0 }, "schema" : "https://github.com/citation-style-language/schema/raw/master/csl-citation.json" }</w:instrText>
      </w:r>
      <w:r w:rsidR="009E1116" w:rsidRPr="004746EA">
        <w:rPr>
          <w:sz w:val="20"/>
          <w:szCs w:val="20"/>
        </w:rPr>
        <w:fldChar w:fldCharType="separate"/>
      </w:r>
      <w:r w:rsidRPr="004746EA">
        <w:rPr>
          <w:noProof/>
          <w:sz w:val="20"/>
          <w:szCs w:val="20"/>
        </w:rPr>
        <w:t>(4)</w:t>
      </w:r>
      <w:r w:rsidR="009E1116" w:rsidRPr="004746EA">
        <w:rPr>
          <w:sz w:val="20"/>
          <w:szCs w:val="20"/>
        </w:rPr>
        <w:fldChar w:fldCharType="end"/>
      </w:r>
      <w:r w:rsidRPr="004746EA">
        <w:rPr>
          <w:sz w:val="20"/>
          <w:szCs w:val="20"/>
        </w:rPr>
        <w:t>.</w:t>
      </w:r>
    </w:p>
    <w:p w:rsidR="00F419A5" w:rsidRPr="004746EA" w:rsidRDefault="00F419A5" w:rsidP="00C84485">
      <w:pPr>
        <w:snapToGrid w:val="0"/>
        <w:ind w:firstLine="425"/>
        <w:jc w:val="both"/>
        <w:rPr>
          <w:sz w:val="20"/>
          <w:szCs w:val="20"/>
        </w:rPr>
      </w:pPr>
      <w:r w:rsidRPr="004746EA">
        <w:rPr>
          <w:sz w:val="20"/>
          <w:szCs w:val="20"/>
        </w:rPr>
        <w:t>Poor glycemic control increases the prevalence of microvascular and macrovascular complications. In an 11-year follow-up study, hypertriglyceridemia considered as a risk factor of coronary heart disease mortality in diabetic patients or patients with impaired glucose tolerance</w:t>
      </w:r>
      <w:r w:rsidR="009E1116" w:rsidRPr="004746EA">
        <w:rPr>
          <w:sz w:val="20"/>
          <w:szCs w:val="20"/>
        </w:rPr>
        <w:fldChar w:fldCharType="begin" w:fldLock="1"/>
      </w:r>
      <w:r w:rsidRPr="004746EA">
        <w:rPr>
          <w:sz w:val="20"/>
          <w:szCs w:val="20"/>
        </w:rPr>
        <w:instrText>ADDIN CSL_CITATION { "citationItems" : [ { "id" : "ITEM-1", "itemData" : { "ISSN" : "0012-186X", "PMID" : "2666216", "abstract" : "The Paris Prospective Study is a long-term investigation of the incidence of coronary heart disease in a large population of working men. The first follow-up examination involved 7,038 men, aged 43-54 years. Subjects with impaired glucose tolerance or diabetes (n = 943) were selected from the total population for a separate analysis of coronary heart disease mortality risk factors. During a mean follow-up of 11 years, 26 of these 943 subjects with abnormal glucose tolerance died from coronary heart disease. Univariate analysis showed that plasma triglyceride level (p less than 0.006), plasma cholesterol level (p less than 0.02), and plasma insulin level both fasting and 2-h post-glucose load (p less than 0.02), were significantly higher in subjects who died from coronary heart disease compared to those who did not. In multivariate regression analysis using the Cox model, plasma triglyceride level was the only factor positively and significantly associated with coronary death. The distribution of plasma triglyceride levels was clearly higher for the subjects who died from coronary heart disease compared to those who did not die from this cause or were alive at the end of the follow-up. This new epidemiological evidence that hypertriglyceridaemia is an important predictor of coronary heart disease mortality in subjects with impaired glucose tolerance or diabetes suggests a possible role of dyslipidaemia in the excessive occurrence of atherosclerotic vascular disease in this category of subjects.", "author" : [ { "dropping-particle" : "", "family" : "Fontbonne", "given" : "A", "non-dropping-particle" : "", "parse-names" : false, "suffix" : "" }, { "dropping-particle" : "", "family" : "Eschw\u00e8ge", "given" : "E", "non-dropping-particle" : "", "parse-names" : false, "suffix" : "" }, { "dropping-particle" : "", "family" : "Cambien", "given" : "F", "non-dropping-particle" : "", "parse-names" : false, "suffix" : "" }, { "dropping-particle" : "", "family" : "Richard", "given" : "J L", "non-dropping-particle" : "", "parse-names" : false, "suffix" : "" }, { "dropping-particle" : "", "family" : "Ducimeti\u00e8re", "given" : "P", "non-dropping-particle" : "", "parse-names" : false, "suffix" : "" }, { "dropping-particle" : "", "family" : "Thibult", "given" : "N", "non-dropping-particle" : "", "parse-names" : false, "suffix" : "" }, { "dropping-particle" : "", "family" : "Warnet", "given" : "J M", "non-dropping-particle" : "", "parse-names" : false, "suffix" : "" }, { "dropping-particle" : "", "family" : "Claude", "given" : "J R", "non-dropping-particle" : "", "parse-names" : false, "suffix" : "" }, { "dropping-particle" : "", "family" : "Rosselin", "given" : "G E", "non-dropping-particle" : "", "parse-names" : false, "suffix" : "" } ], "container-title" : "Diabetologia", "id" : "ITEM-1", "issue" : "5", "issued" : { "date-parts" : [ [ "1989", "5" ] ] }, "page" : "300-4", "title" : "Hypertriglyceridaemia as a risk factor of coronary heart disease mortality in subjects with impaired glucose tolerance or diabetes. Results from the 11-year follow-up of the Paris Prospective Study.", "type" : "article-journal", "volume" : "32" }, "uris" : [ "http://www.mendeley.com/documents/?uuid=575451bc-2aa8-4bcc-9033-3e11f3660a1d" ] } ], "mendeley" : { "formattedCitation" : "(5)", "plainTextFormattedCitation" : "(5)", "previouslyFormattedCitation" : "(Fontbonne et al. 1989)" }, "properties" : { "noteIndex" : 0 }, "schema" : "https://github.com/citation-style-language/schema/raw/master/csl-citation.json" }</w:instrText>
      </w:r>
      <w:r w:rsidR="009E1116" w:rsidRPr="004746EA">
        <w:rPr>
          <w:sz w:val="20"/>
          <w:szCs w:val="20"/>
        </w:rPr>
        <w:fldChar w:fldCharType="separate"/>
      </w:r>
      <w:r w:rsidRPr="004746EA">
        <w:rPr>
          <w:noProof/>
          <w:sz w:val="20"/>
          <w:szCs w:val="20"/>
        </w:rPr>
        <w:t>(5)</w:t>
      </w:r>
      <w:r w:rsidR="009E1116" w:rsidRPr="004746EA">
        <w:rPr>
          <w:sz w:val="20"/>
          <w:szCs w:val="20"/>
        </w:rPr>
        <w:fldChar w:fldCharType="end"/>
      </w:r>
      <w:r w:rsidR="007F0DBE" w:rsidRPr="004746EA">
        <w:rPr>
          <w:sz w:val="20"/>
          <w:szCs w:val="20"/>
        </w:rPr>
        <w:t>. M</w:t>
      </w:r>
      <w:r w:rsidRPr="004746EA">
        <w:rPr>
          <w:sz w:val="20"/>
          <w:szCs w:val="20"/>
        </w:rPr>
        <w:t xml:space="preserve">icrovascular complications underlie much of the increased prevalence of diabetic retinopathy, diabetic nephropathy and diabetic neuropathy. </w:t>
      </w:r>
    </w:p>
    <w:p w:rsidR="00F419A5" w:rsidRPr="004746EA" w:rsidRDefault="00F419A5" w:rsidP="00C84485">
      <w:pPr>
        <w:snapToGrid w:val="0"/>
        <w:ind w:firstLine="425"/>
        <w:jc w:val="both"/>
        <w:rPr>
          <w:sz w:val="20"/>
          <w:szCs w:val="20"/>
        </w:rPr>
      </w:pPr>
      <w:r w:rsidRPr="004746EA">
        <w:rPr>
          <w:sz w:val="20"/>
          <w:szCs w:val="20"/>
        </w:rPr>
        <w:t xml:space="preserve">Hyperglycemia contributes to endothelial cell dysfunction, which in turn impairs angiogenic properties that’s vital for tissue development and wound healing (5). Wound healing in diabetic patients </w:t>
      </w:r>
      <w:r w:rsidRPr="004746EA">
        <w:rPr>
          <w:sz w:val="20"/>
          <w:szCs w:val="20"/>
        </w:rPr>
        <w:lastRenderedPageBreak/>
        <w:t>is defective because of the attenuation in immune cell response and impaired angiogenesis. The latter is directly proportional to the duration of diabetes</w:t>
      </w:r>
      <w:r w:rsidR="009E1116" w:rsidRPr="004746EA">
        <w:rPr>
          <w:sz w:val="20"/>
          <w:szCs w:val="20"/>
        </w:rPr>
        <w:fldChar w:fldCharType="begin" w:fldLock="1"/>
      </w:r>
      <w:r w:rsidRPr="004746EA">
        <w:rPr>
          <w:sz w:val="20"/>
          <w:szCs w:val="20"/>
        </w:rPr>
        <w:instrText>ADDIN CSL_CITATION { "citationItems" : [ { "id" : "ITEM-1", "itemData" : { "DOI" : "10.1161/01.CIR.102.2.185", "ISBN" : "1524-4539 (Electronic)\r1524-4539 (Linking)", "ISSN" : "0009-7322", "PMID" : "10889129", "abstract" : "BACKGROUND: Vascular endothelial growth factor-A (VEGF-A) acts on endothelial cells and monocytes, 2 cell types that participate in the angiogenic and arteriogenic process in vivo. Thus far, it has not been possible to identify differences in individual responses to VEGF-A stimulation because of the lack of an ex vivo assay. METHODS AND RESULTS: We report a chemotaxis assay using isolated monocytes from individual diabetic patients and from healthy, age-matched volunteers. The chemotactic response of individual monocyte preparations to VEGF-A, as mediated via Flt-1, was quantitatively assessed using a modified Boyden chamber. Although the migration of monocytes from healthy volunteers could be stimulated with VEGF-A (1 ng/mL) to a median of 148.4% of the control value (25th and 75th percentiles, 136% and 170%), monocytes from diabetic patients could not be stimulated with VEGF-A (median, 91.1% of unstimulated controls; 25th and 75th percentiles, 83% and 98%; P&lt;0.0001). In contrast, the response of monocytes to the chemoattractant formylMetLeuPhe remained intact in diabetic patients. The VEGF-A-inducible kinase activity of Flt-1, as assessed by in vitro kinase assays, remained intact in monocytes from diabetic patients. Moreover, the serum level of VEGF-A, as assessed by immunoradiometric assay, was significantly elevated in diabetic patients. CONCLUSIONS: The cellular response of monocytes to VEGF-A is attenuated in diabetic patients because of a downstream signal transduction defect. These data suggest that monocytes are important in arteriogenesis and that their ability to migrate might be critical to the arteriogenic response. Thus, we resolved a fundamental mechanism involved in the problem of impaired collateral formation in diabetic patients.", "author" : [ { "dropping-particle" : "", "family" : "Waltenberger", "given" : "J", "non-dropping-particle" : "", "parse-names" : false, "suffix" : "" }, { "dropping-particle" : "", "family" : "Lange", "given" : "J", "non-dropping-particle" : "", "parse-names" : false, "suffix" : "" }, { "dropping-particle" : "", "family" : "Kranz", "given" : "a", "non-dropping-particle" : "", "parse-names" : false, "suffix" : "" } ], "container-title" : "Circulation", "id" : "ITEM-1", "issue" : "2", "issued" : { "date-parts" : [ [ "2000" ] ] }, "page" : "185-190", "title" : "Vascular endothelial growth factor-A-induced chemotaxis of monocytes is attenuated in patients with diabetes mellitus: A potential predictor for the individual capacity to develop collaterals.", "type" : "article-journal", "volume" : "102" }, "uris" : [ "http://www.mendeley.com/documents/?uuid=38e42f58-9e79-450d-9af7-881f5a801017" ] } ], "mendeley" : { "formattedCitation" : "(3)", "plainTextFormattedCitation" : "(3)", "previouslyFormattedCitation" : "(Waltenberger et al. 2000)" }, "properties" : { "noteIndex" : 0 }, "schema" : "https://github.com/citation-style-language/schema/raw/master/csl-citation.json" }</w:instrText>
      </w:r>
      <w:r w:rsidR="009E1116" w:rsidRPr="004746EA">
        <w:rPr>
          <w:sz w:val="20"/>
          <w:szCs w:val="20"/>
        </w:rPr>
        <w:fldChar w:fldCharType="separate"/>
      </w:r>
      <w:r w:rsidRPr="004746EA">
        <w:rPr>
          <w:noProof/>
          <w:sz w:val="20"/>
          <w:szCs w:val="20"/>
        </w:rPr>
        <w:t>(3)</w:t>
      </w:r>
      <w:r w:rsidR="009E1116" w:rsidRPr="004746EA">
        <w:rPr>
          <w:sz w:val="20"/>
          <w:szCs w:val="20"/>
        </w:rPr>
        <w:fldChar w:fldCharType="end"/>
      </w:r>
      <w:r w:rsidRPr="004746EA">
        <w:rPr>
          <w:sz w:val="20"/>
          <w:szCs w:val="20"/>
        </w:rPr>
        <w:t>.</w:t>
      </w:r>
    </w:p>
    <w:p w:rsidR="00F419A5" w:rsidRPr="004746EA" w:rsidRDefault="00F419A5" w:rsidP="00C84485">
      <w:pPr>
        <w:snapToGrid w:val="0"/>
        <w:ind w:firstLine="425"/>
        <w:jc w:val="both"/>
        <w:rPr>
          <w:color w:val="FF0000"/>
          <w:sz w:val="20"/>
          <w:szCs w:val="20"/>
        </w:rPr>
      </w:pPr>
      <w:r w:rsidRPr="004746EA">
        <w:rPr>
          <w:sz w:val="20"/>
          <w:szCs w:val="20"/>
        </w:rPr>
        <w:t>In a study conducted by the Centers for Disease Control and Prevention (CDC), it was observed that poor glycemic control was most common among patients depending on insulin therapy alone or patients depending oninsulin therapy and oral hypoglycemic. Diabetic patients who reported the use of oral medications only or no use of medications exhibited better glycemic control compared with those depending on insulin therapy alone or insulin therapy with oral hypoglycemic. Also, elderly aged ≥65 years were less likely to have poor glycemic control compared with adults aged 18-39 years</w:t>
      </w:r>
      <w:r w:rsidR="009E1116" w:rsidRPr="004746EA">
        <w:rPr>
          <w:sz w:val="20"/>
          <w:szCs w:val="20"/>
        </w:rPr>
        <w:fldChar w:fldCharType="begin" w:fldLock="1"/>
      </w:r>
      <w:r w:rsidRPr="004746EA">
        <w:rPr>
          <w:sz w:val="20"/>
          <w:szCs w:val="20"/>
        </w:rPr>
        <w:instrText>ADDIN CSL_CITATION { "citationItems" : [ { "id" : "ITEM-1", "itemData" : { "id" : "ITEM-1", "issued" : { "date-parts" : [ [ "0" ] ] }, "language" : "eng", "title" : "Characteristics Associated with Poor Glycemic Control Among Adults with Self-Reported Diagnosed Diabetes \u2014 National Health and Nutrition Examination Survey, United States, 2007\u20132010", "type" : "article-journal" }, "uris" : [ "http://www.mendeley.com/documents/?uuid=b1e9e5cf-f832-428e-91b5-ae90a909046b" ] } ], "mendeley" : { "formattedCitation" : "(6)", "plainTextFormattedCitation" : "(6)", "previouslyFormattedCitation" : "(Anon n.d.)" }, "properties" : { "noteIndex" : 0 }, "schema" : "https://github.com/citation-style-language/schema/raw/master/csl-citation.json" }</w:instrText>
      </w:r>
      <w:r w:rsidR="009E1116" w:rsidRPr="004746EA">
        <w:rPr>
          <w:sz w:val="20"/>
          <w:szCs w:val="20"/>
        </w:rPr>
        <w:fldChar w:fldCharType="separate"/>
      </w:r>
      <w:r w:rsidRPr="004746EA">
        <w:rPr>
          <w:noProof/>
          <w:sz w:val="20"/>
          <w:szCs w:val="20"/>
        </w:rPr>
        <w:t>(6)</w:t>
      </w:r>
      <w:r w:rsidR="009E1116" w:rsidRPr="004746EA">
        <w:rPr>
          <w:sz w:val="20"/>
          <w:szCs w:val="20"/>
        </w:rPr>
        <w:fldChar w:fldCharType="end"/>
      </w:r>
      <w:r w:rsidRPr="004746EA">
        <w:rPr>
          <w:sz w:val="20"/>
          <w:szCs w:val="20"/>
        </w:rPr>
        <w:t xml:space="preserve">. </w:t>
      </w:r>
    </w:p>
    <w:p w:rsidR="0029583F" w:rsidRPr="004746EA" w:rsidRDefault="00F419A5" w:rsidP="00C84485">
      <w:pPr>
        <w:snapToGrid w:val="0"/>
        <w:ind w:firstLine="425"/>
        <w:jc w:val="both"/>
        <w:rPr>
          <w:rFonts w:eastAsiaTheme="minorEastAsia"/>
          <w:sz w:val="20"/>
          <w:szCs w:val="20"/>
          <w:lang w:eastAsia="zh-CN"/>
        </w:rPr>
        <w:sectPr w:rsidR="0029583F" w:rsidRPr="004746EA" w:rsidSect="00C84485">
          <w:type w:val="continuous"/>
          <w:pgSz w:w="12240" w:h="15840"/>
          <w:pgMar w:top="1440" w:right="1440" w:bottom="1440" w:left="1440" w:header="720" w:footer="720" w:gutter="0"/>
          <w:cols w:num="2" w:space="550"/>
          <w:docGrid w:linePitch="299"/>
        </w:sectPr>
      </w:pPr>
      <w:r w:rsidRPr="004746EA">
        <w:rPr>
          <w:sz w:val="20"/>
          <w:szCs w:val="20"/>
        </w:rPr>
        <w:t xml:space="preserve">In an experimental study on rats who were divided into 3 groups; rats with poor-controlled insulin-dependent diabetes mellitus, rats with well-controlled insulin-dependent diabetes mellitus, and a control group. Rats in the first group experienced a delay in wound healing following dental extraction </w:t>
      </w:r>
    </w:p>
    <w:p w:rsidR="00F419A5" w:rsidRPr="004746EA" w:rsidRDefault="00F419A5" w:rsidP="0029583F">
      <w:pPr>
        <w:snapToGrid w:val="0"/>
        <w:jc w:val="both"/>
        <w:rPr>
          <w:sz w:val="20"/>
          <w:szCs w:val="20"/>
        </w:rPr>
      </w:pPr>
      <w:r w:rsidRPr="004746EA">
        <w:rPr>
          <w:sz w:val="20"/>
          <w:szCs w:val="20"/>
        </w:rPr>
        <w:lastRenderedPageBreak/>
        <w:t xml:space="preserve">when compared to rats in the second and third groups </w:t>
      </w:r>
      <w:r w:rsidR="009E1116" w:rsidRPr="004746EA">
        <w:rPr>
          <w:sz w:val="20"/>
          <w:szCs w:val="20"/>
        </w:rPr>
        <w:fldChar w:fldCharType="begin" w:fldLock="1"/>
      </w:r>
      <w:r w:rsidRPr="004746EA">
        <w:rPr>
          <w:sz w:val="20"/>
          <w:szCs w:val="20"/>
        </w:rPr>
        <w:instrText>ADDIN CSL_CITATION { "citationItems" : [ { "id" : "ITEM-1", "itemData" : { "ISSN" : "0278-2391", "PMID" : "8811819", "abstract" : "PURPOSE: This study was undertaken to examine the healing of molar tooth extraction sockets in the streptozotocin-treated, diabetic rat.\n\nMATERIALS AND METHODS: Insulin-dependent diabetes mellitus was induced in a group of mature Sprague-Dawley rats by injecting streptozotocin. Control animals were injected with citrate buffer only. A third group of rats were also injected with streptozotocin, but the diabetes was controlled by daily injections of insulin. After 2 weeks, all of the rats underwent extraction of the right maxillary molar teeth under general anesthesia. The rats were killed at varying intervals and the maxilla and calvaria recovered in continuity. Tissue sections were stained with hematoxylin-eosin and periodic acid-Schiff (PAS), the latter to identify diabetic microangiopathy.\n\nRESULTS: At 10 days after tooth extraction in the control and insulin-streptozotocin-treated rats, thick collagen fibers formed a pretrabecular scaffold that dictated the direction of the forming trabeculae. The collagen fibers in the diabetic socket were thin and scanty, and formed a narrow layer in the apical part. There was no evidence of diabetic microangiopathy in the extraction sockets of diabetic, insulin-treated diabetic, or normal rats.\n\nCONCLUSION: These histologic observations suggest that in uncontrolled, insulin-dependent diabetes, the formation of the collagenous framework in the tooth extraction socket is inhibited, resulting in delayed healing and increased alveolar destruction.", "author" : [ { "dropping-particle" : "", "family" : "Devlin", "given" : "H", "non-dropping-particle" : "", "parse-names" : false, "suffix" : "" }, { "dropping-particle" : "", "family" : "Garland", "given" : "H", "non-dropping-particle" : "", "parse-names" : false, "suffix" : "" }, { "dropping-particle" : "", "family" : "Sloan", "given" : "P", "non-dropping-particle" : "", "parse-names" : false, "suffix" : "" } ], "container-title" : "Journal of oral and maxillofacial surgery : official journal of the American Association of Oral and Maxillofacial Surgeons", "id" : "ITEM-1", "issue" : "9", "issued" : { "date-parts" : [ [ "1996", "9" ] ] }, "page" : "1087-91", "title" : "Healing of tooth extraction sockets in experimental diabetes mellitus.", "type" : "article-journal", "volume" : "54" }, "uris" : [ "http://www.mendeley.com/documents/?uuid=932efa92-bec9-4bdb-b316-47e716eac1c8" ] } ], "mendeley" : { "formattedCitation" : "(7)", "plainTextFormattedCitation" : "(7)", "previouslyFormattedCitation" : "(Devlin et al. 1996)" }, "properties" : { "noteIndex" : 0 }, "schema" : "https://github.com/citation-style-language/schema/raw/master/csl-citation.json" }</w:instrText>
      </w:r>
      <w:r w:rsidR="009E1116" w:rsidRPr="004746EA">
        <w:rPr>
          <w:sz w:val="20"/>
          <w:szCs w:val="20"/>
        </w:rPr>
        <w:fldChar w:fldCharType="separate"/>
      </w:r>
      <w:r w:rsidRPr="004746EA">
        <w:rPr>
          <w:noProof/>
          <w:sz w:val="20"/>
          <w:szCs w:val="20"/>
        </w:rPr>
        <w:t>(7)</w:t>
      </w:r>
      <w:r w:rsidR="009E1116" w:rsidRPr="004746EA">
        <w:rPr>
          <w:sz w:val="20"/>
          <w:szCs w:val="20"/>
        </w:rPr>
        <w:fldChar w:fldCharType="end"/>
      </w:r>
      <w:r w:rsidRPr="004746EA">
        <w:rPr>
          <w:sz w:val="20"/>
          <w:szCs w:val="20"/>
        </w:rPr>
        <w:t>.</w:t>
      </w:r>
    </w:p>
    <w:p w:rsidR="00F419A5" w:rsidRPr="004746EA" w:rsidRDefault="00F419A5" w:rsidP="00C84485">
      <w:pPr>
        <w:adjustRightInd w:val="0"/>
        <w:snapToGrid w:val="0"/>
        <w:ind w:firstLine="425"/>
        <w:jc w:val="both"/>
        <w:rPr>
          <w:sz w:val="20"/>
          <w:szCs w:val="20"/>
        </w:rPr>
      </w:pPr>
      <w:r w:rsidRPr="004746EA">
        <w:rPr>
          <w:sz w:val="20"/>
          <w:szCs w:val="20"/>
        </w:rPr>
        <w:t xml:space="preserve">While the literature clearly establishes that diabetics experience delayed healing of skin wounds, there is lack of data regarding wound healing status of intraoral wounds and extraction sockets in diabetics. At the time of publication of this paper, only two studies were conducted to assess the healing status following dental extractions. The first was a study conducted </w:t>
      </w:r>
      <w:r w:rsidR="004746EA" w:rsidRPr="004746EA">
        <w:rPr>
          <w:sz w:val="20"/>
          <w:szCs w:val="20"/>
        </w:rPr>
        <w:t>in the</w:t>
      </w:r>
      <w:r w:rsidRPr="004746EA">
        <w:rPr>
          <w:sz w:val="20"/>
          <w:szCs w:val="20"/>
        </w:rPr>
        <w:t xml:space="preserve"> United States at 2010 and both types of diabetes were assessed in regard to healing status of extraction sockets but no control group was involved</w:t>
      </w:r>
      <w:r w:rsidR="009E1116" w:rsidRPr="004746EA">
        <w:rPr>
          <w:sz w:val="20"/>
          <w:szCs w:val="20"/>
        </w:rPr>
        <w:fldChar w:fldCharType="begin" w:fldLock="1"/>
      </w:r>
      <w:r w:rsidRPr="004746EA">
        <w:rPr>
          <w:sz w:val="20"/>
          <w:szCs w:val="20"/>
        </w:rPr>
        <w:instrText>ADDIN CSL_CITATION { "citationItems" : [ { "id" : "ITEM-1", "itemData" : { "DOI" : "10.1016/j.joms.2010.05.006", "ISSN" : "02782391", "PMID" : "20950911", "abstract" : "Purpose: The aim of this study was to determine whether glycemic control influences healing after tooth extractions. Materials and Methods: We enrolled 115 diabetic patients who required dental extractions in this prospective observer-blinded study. Epithelialization of extraction sites was assessed relative to the patient's history, non-fasting blood glucose levels, and glycosylated hemoglobin levels. Results: Of 115 patients, 78 had 1- and 2-week follow-up data. There was no statistically significant difference in the rate of postextraction epithelialization between diabetic patients based on preoperative blood glucose levels, hemoglobin A1c levels, or patient history. Only the size of the extraction site at days 0 and 7 was predictive of future epithelialization. Conclusions: Glycemic control did not influence postextraction healing in diabetic patients. Recommendations for management of the diabetic patient requiring extractions are discussed. \u00a9 2010 American Association of Oral and Maxillofacial Surgeons.", "author" : [ { "dropping-particle" : "", "family" : "Aronovich", "given" : "Sharon", "non-dropping-particle" : "", "parse-names" : false, "suffix" : "" }, { "dropping-particle" : "", "family" : "Skope", "given" : "Leonard W.", "non-dropping-particle" : "", "parse-names" : false, "suffix" : "" }, { "dropping-particle" : "", "family" : "Kelly", "given" : "John P W", "non-dropping-particle" : "", "parse-names" : false, "suffix" : "" }, { "dropping-particle" : "", "family" : "Kyriakides", "given" : "Tassos C.", "non-dropping-particle" : "", "parse-names" : false, "suffix" : "" } ], "container-title" : "Journal of Oral and Maxillofacial Surgery", "id" : "ITEM-1", "issue" : "12", "issued" : { "date-parts" : [ [ "2010" ] ] }, "page" : "2955-2961", "publisher" : "Elsevier Inc.", "title" : "The relationship of glycemic control to the outcomes of dental extractions", "type" : "article-journal", "volume" : "68" }, "uris" : [ "http://www.mendeley.com/documents/?uuid=1a2be7d1-6a87-4a70-9e8b-e74336ee9d28" ] } ], "mendeley" : { "formattedCitation" : "(8)", "plainTextFormattedCitation" : "(8)", "previouslyFormattedCitation" : "(Aronovich et al. 2010)" }, "properties" : { "noteIndex" : 0 }, "schema" : "https://github.com/citation-style-language/schema/raw/master/csl-citation.json" }</w:instrText>
      </w:r>
      <w:r w:rsidR="009E1116" w:rsidRPr="004746EA">
        <w:rPr>
          <w:sz w:val="20"/>
          <w:szCs w:val="20"/>
        </w:rPr>
        <w:fldChar w:fldCharType="separate"/>
      </w:r>
      <w:r w:rsidRPr="004746EA">
        <w:rPr>
          <w:noProof/>
          <w:sz w:val="20"/>
          <w:szCs w:val="20"/>
        </w:rPr>
        <w:t>(8)</w:t>
      </w:r>
      <w:r w:rsidR="009E1116" w:rsidRPr="004746EA">
        <w:rPr>
          <w:sz w:val="20"/>
          <w:szCs w:val="20"/>
        </w:rPr>
        <w:fldChar w:fldCharType="end"/>
      </w:r>
      <w:r w:rsidRPr="004746EA">
        <w:rPr>
          <w:sz w:val="20"/>
          <w:szCs w:val="20"/>
        </w:rPr>
        <w:t>. The second study was conducted in 2013 and only patients with type 2 diabetes and on oral hypoglycemics were evaluated compared to a control group</w:t>
      </w:r>
      <w:r w:rsidR="009E1116" w:rsidRPr="004746EA">
        <w:rPr>
          <w:sz w:val="20"/>
          <w:szCs w:val="20"/>
        </w:rPr>
        <w:fldChar w:fldCharType="begin" w:fldLock="1"/>
      </w:r>
      <w:r w:rsidRPr="004746EA">
        <w:rPr>
          <w:sz w:val="20"/>
          <w:szCs w:val="20"/>
        </w:rPr>
        <w:instrText>ADDIN CSL_CITATION { "citationItems" : [ { "id" : "ITEM-1", "itemData" : { "DOI" : "10.1111/adj.12029", "ISBN" : "0045-0421", "ISSN" : "00450421", "PMID" : "23441797", "abstract" : "BACKGROUND: The aim of this study was to determine whether there is a difference in delayed healing following dental extractions for Type 2 diabetics on oral hypoglycaemics and non-diabetic patients.\\n\\nMETHODS: Prospective patients referred for dental extractions were recruited into two groups: known diabetics and non-diabetics with no conditions associated with poor healing. All had a random blood glucose level (BGL). Extractions were performed using local anaesthesia. Delayed healing cases were identified and statistical evaluation performed to identify risk factors.\\n\\nRESULTS: There were 224 Type 2 diabetics on oral hypoglycaemics (BGL 7.51, range 4.1-17.4) and 232 non-diabetics. The diabetic group were older, more males and less smokers than the control group. Twenty-eight patients, 12 (5%) diabetic and 16 (7%) control group, had socket healing delayed for more than one week but all healed in four weeks. There were no statistical differences between delayed healing and age, gender, diabetic state, BGL or smoking. The younger control group had more healing problems.\\n\\nCONCLUSIONS: The traditional view that diabetics have increased delayed healing was not supported. Type 2 diabetics on oral hypoglycaemics should be treated the same as non-diabetic patients for extractions.", "author" : [ { "dropping-particle" : "", "family" : "Huang", "given" : "S.", "non-dropping-particle" : "", "parse-names" : false, "suffix" : "" }, { "dropping-particle" : "", "family" : "Dang", "given" : "H.", "non-dropping-particle" : "", "parse-names" : false, "suffix" : "" }, { "dropping-particle" : "", "family" : "Huynh", "given" : "W.", "non-dropping-particle" : "", "parse-names" : false, "suffix" : "" }, { "dropping-particle" : "", "family" : "Sambrook", "given" : "P. J.", "non-dropping-particle" : "", "parse-names" : false, "suffix" : "" }, { "dropping-particle" : "", "family" : "Goss", "given" : "a. N.", "non-dropping-particle" : "", "parse-names" : false, "suffix" : "" } ], "container-title" : "Australian Dental Journal", "id" : "ITEM-1", "issue" : "1", "issued" : { "date-parts" : [ [ "2013" ] ] }, "page" : "89-93", "title" : "The healing of dental extraction sockets in patients with Type 2 diabetes on oral hypoglycaemics: A prospective cohort", "type" : "article-journal", "volume" : "58" }, "uris" : [ "http://www.mendeley.com/documents/?uuid=8672557d-8ba7-4fac-a66b-2fc17af5ebae" ] } ], "mendeley" : { "formattedCitation" : "(9)", "plainTextFormattedCitation" : "(9)", "previouslyFormattedCitation" : "(Huang et al. 2013)" }, "properties" : { "noteIndex" : 0 }, "schema" : "https://github.com/citation-style-language/schema/raw/master/csl-citation.json" }</w:instrText>
      </w:r>
      <w:r w:rsidR="009E1116" w:rsidRPr="004746EA">
        <w:rPr>
          <w:sz w:val="20"/>
          <w:szCs w:val="20"/>
        </w:rPr>
        <w:fldChar w:fldCharType="separate"/>
      </w:r>
      <w:r w:rsidRPr="004746EA">
        <w:rPr>
          <w:noProof/>
          <w:sz w:val="20"/>
          <w:szCs w:val="20"/>
        </w:rPr>
        <w:t>(9)</w:t>
      </w:r>
      <w:r w:rsidR="009E1116" w:rsidRPr="004746EA">
        <w:rPr>
          <w:sz w:val="20"/>
          <w:szCs w:val="20"/>
        </w:rPr>
        <w:fldChar w:fldCharType="end"/>
      </w:r>
      <w:r w:rsidRPr="004746EA">
        <w:rPr>
          <w:sz w:val="20"/>
          <w:szCs w:val="20"/>
        </w:rPr>
        <w:t>. Both studies found no difference in healing.</w:t>
      </w:r>
    </w:p>
    <w:p w:rsidR="00F419A5" w:rsidRPr="004746EA" w:rsidRDefault="00F419A5" w:rsidP="00C84485">
      <w:pPr>
        <w:adjustRightInd w:val="0"/>
        <w:snapToGrid w:val="0"/>
        <w:ind w:firstLine="425"/>
        <w:jc w:val="both"/>
        <w:rPr>
          <w:sz w:val="20"/>
          <w:szCs w:val="20"/>
        </w:rPr>
      </w:pPr>
      <w:r w:rsidRPr="004746EA">
        <w:rPr>
          <w:color w:val="000000" w:themeColor="text1"/>
          <w:sz w:val="20"/>
          <w:szCs w:val="20"/>
        </w:rPr>
        <w:t>This study is aiming to assess and investigate the wound healing status following exodontia in diabetic patients compared to non-diabetic patients in the Saudi population and whether the difference in a random blood glucose level or smoking status is associated with certain wound healing complications.</w:t>
      </w:r>
    </w:p>
    <w:p w:rsidR="00F419A5" w:rsidRPr="004746EA" w:rsidRDefault="00F419A5" w:rsidP="00C84485">
      <w:pPr>
        <w:adjustRightInd w:val="0"/>
        <w:snapToGrid w:val="0"/>
        <w:jc w:val="both"/>
        <w:rPr>
          <w:b/>
          <w:sz w:val="20"/>
          <w:szCs w:val="20"/>
        </w:rPr>
      </w:pPr>
    </w:p>
    <w:p w:rsidR="00F419A5" w:rsidRPr="004746EA" w:rsidRDefault="00F419A5" w:rsidP="00C84485">
      <w:pPr>
        <w:adjustRightInd w:val="0"/>
        <w:snapToGrid w:val="0"/>
        <w:jc w:val="both"/>
        <w:rPr>
          <w:b/>
          <w:sz w:val="20"/>
          <w:szCs w:val="20"/>
        </w:rPr>
      </w:pPr>
      <w:r w:rsidRPr="004746EA">
        <w:rPr>
          <w:b/>
          <w:sz w:val="20"/>
          <w:szCs w:val="20"/>
        </w:rPr>
        <w:t>2. Materials and Methods</w:t>
      </w:r>
    </w:p>
    <w:p w:rsidR="00F419A5" w:rsidRPr="004746EA" w:rsidRDefault="00F419A5" w:rsidP="00C84485">
      <w:pPr>
        <w:adjustRightInd w:val="0"/>
        <w:snapToGrid w:val="0"/>
        <w:ind w:firstLine="425"/>
        <w:jc w:val="both"/>
        <w:rPr>
          <w:b/>
          <w:sz w:val="20"/>
          <w:szCs w:val="20"/>
        </w:rPr>
      </w:pPr>
      <w:r w:rsidRPr="004746EA">
        <w:rPr>
          <w:color w:val="000000" w:themeColor="text1"/>
          <w:sz w:val="20"/>
          <w:szCs w:val="20"/>
        </w:rPr>
        <w:t>This is a prospective study that was conducted in the oral surgery clinic at the Dental Hospital of King Abdul</w:t>
      </w:r>
      <w:r w:rsidR="004746EA" w:rsidRPr="004746EA">
        <w:rPr>
          <w:rFonts w:eastAsiaTheme="minorEastAsia" w:hint="eastAsia"/>
          <w:color w:val="000000" w:themeColor="text1"/>
          <w:sz w:val="20"/>
          <w:szCs w:val="20"/>
          <w:lang w:eastAsia="zh-CN"/>
        </w:rPr>
        <w:t xml:space="preserve"> </w:t>
      </w:r>
      <w:r w:rsidRPr="004746EA">
        <w:rPr>
          <w:color w:val="000000" w:themeColor="text1"/>
          <w:sz w:val="20"/>
          <w:szCs w:val="20"/>
        </w:rPr>
        <w:t>Aziz University, Jeddah, Saudi Arabia during the period from 2014 – 2015 academic year. Ethical approval was obtained from the Ethical Research Committee at the Faculty of Dentistry, King Abdul</w:t>
      </w:r>
      <w:r w:rsidR="004746EA" w:rsidRPr="004746EA">
        <w:rPr>
          <w:rFonts w:eastAsiaTheme="minorEastAsia" w:hint="eastAsia"/>
          <w:color w:val="000000" w:themeColor="text1"/>
          <w:sz w:val="20"/>
          <w:szCs w:val="20"/>
          <w:lang w:eastAsia="zh-CN"/>
        </w:rPr>
        <w:t xml:space="preserve"> </w:t>
      </w:r>
      <w:r w:rsidRPr="004746EA">
        <w:rPr>
          <w:color w:val="000000" w:themeColor="text1"/>
          <w:sz w:val="20"/>
          <w:szCs w:val="20"/>
        </w:rPr>
        <w:t>Aziz University.</w:t>
      </w:r>
    </w:p>
    <w:p w:rsidR="00F419A5" w:rsidRPr="004746EA" w:rsidRDefault="00F419A5" w:rsidP="00C84485">
      <w:pPr>
        <w:adjustRightInd w:val="0"/>
        <w:snapToGrid w:val="0"/>
        <w:ind w:firstLine="425"/>
        <w:jc w:val="both"/>
        <w:rPr>
          <w:color w:val="000000" w:themeColor="text1"/>
          <w:sz w:val="20"/>
          <w:szCs w:val="20"/>
        </w:rPr>
      </w:pPr>
      <w:r w:rsidRPr="004746EA">
        <w:rPr>
          <w:color w:val="000000" w:themeColor="text1"/>
          <w:sz w:val="20"/>
          <w:szCs w:val="20"/>
        </w:rPr>
        <w:t xml:space="preserve">One hundred and seventeen patients who needed an exodontia procedure were enrolled in the research project. Patients were then categorized into two groups; patients with history of any type of diabetes and a non-diabetic control group who have no conditions that affects or undermines healing. Exclusion criteria included conditions that may </w:t>
      </w:r>
      <w:r w:rsidR="004746EA" w:rsidRPr="004746EA">
        <w:rPr>
          <w:color w:val="000000" w:themeColor="text1"/>
          <w:sz w:val="20"/>
          <w:szCs w:val="20"/>
        </w:rPr>
        <w:t>affect or</w:t>
      </w:r>
      <w:r w:rsidRPr="004746EA">
        <w:rPr>
          <w:color w:val="000000" w:themeColor="text1"/>
          <w:sz w:val="20"/>
          <w:szCs w:val="20"/>
        </w:rPr>
        <w:t xml:space="preserve"> impair wound healing such as immunodeficiency disorders, recent use of systemic steroids or antibiotics, bisphosphonate therapy, anticoagulant or antiplatelet therapy, chemotherapy, radiation therapy, systemic dental infection and oral and maxillofacial pathology.</w:t>
      </w:r>
    </w:p>
    <w:p w:rsidR="00F419A5" w:rsidRPr="004746EA" w:rsidRDefault="00F419A5" w:rsidP="00C84485">
      <w:pPr>
        <w:adjustRightInd w:val="0"/>
        <w:snapToGrid w:val="0"/>
        <w:ind w:firstLine="425"/>
        <w:jc w:val="both"/>
        <w:rPr>
          <w:color w:val="000000" w:themeColor="text1"/>
          <w:sz w:val="20"/>
          <w:szCs w:val="20"/>
        </w:rPr>
      </w:pPr>
      <w:r w:rsidRPr="004746EA">
        <w:rPr>
          <w:color w:val="000000" w:themeColor="text1"/>
          <w:sz w:val="20"/>
          <w:szCs w:val="20"/>
        </w:rPr>
        <w:t>Detailed medical history was registered using a questionnaire, which included demographics and medical history, current medications, history of smoking, onset of diabetes (in years), and treatment for diabetes. Preoperative random non-fasting blood glucose levels (BGL) were obtained and registered using a glucometer.</w:t>
      </w:r>
    </w:p>
    <w:p w:rsidR="00F419A5" w:rsidRPr="004746EA" w:rsidRDefault="00F419A5" w:rsidP="00C84485">
      <w:pPr>
        <w:adjustRightInd w:val="0"/>
        <w:snapToGrid w:val="0"/>
        <w:ind w:firstLine="425"/>
        <w:jc w:val="both"/>
        <w:rPr>
          <w:color w:val="000000" w:themeColor="text1"/>
          <w:sz w:val="20"/>
          <w:szCs w:val="20"/>
        </w:rPr>
      </w:pPr>
      <w:r w:rsidRPr="004746EA">
        <w:rPr>
          <w:color w:val="000000" w:themeColor="text1"/>
          <w:sz w:val="20"/>
          <w:szCs w:val="20"/>
        </w:rPr>
        <w:t>All patients underwent non-surgical extractions that was performed either an OMFS staff or in oral surgery teaching clinics under the supervision of one of the OMFS staff.</w:t>
      </w:r>
    </w:p>
    <w:p w:rsidR="00850745" w:rsidRPr="004746EA" w:rsidRDefault="00F419A5" w:rsidP="00C84485">
      <w:pPr>
        <w:adjustRightInd w:val="0"/>
        <w:snapToGrid w:val="0"/>
        <w:ind w:firstLine="425"/>
        <w:jc w:val="both"/>
        <w:rPr>
          <w:color w:val="000000" w:themeColor="text1"/>
          <w:sz w:val="20"/>
          <w:szCs w:val="20"/>
        </w:rPr>
      </w:pPr>
      <w:r w:rsidRPr="004746EA">
        <w:rPr>
          <w:color w:val="000000" w:themeColor="text1"/>
          <w:sz w:val="20"/>
          <w:szCs w:val="20"/>
        </w:rPr>
        <w:t xml:space="preserve">One-week follow-up was obtained by phone calls </w:t>
      </w:r>
      <w:r w:rsidRPr="004746EA">
        <w:rPr>
          <w:color w:val="000000" w:themeColor="text1"/>
          <w:sz w:val="20"/>
          <w:szCs w:val="20"/>
        </w:rPr>
        <w:lastRenderedPageBreak/>
        <w:t>and appointments</w:t>
      </w:r>
      <w:r w:rsidR="004746EA" w:rsidRPr="004746EA">
        <w:rPr>
          <w:rFonts w:eastAsiaTheme="minorEastAsia" w:hint="eastAsia"/>
          <w:color w:val="000000" w:themeColor="text1"/>
          <w:sz w:val="20"/>
          <w:szCs w:val="20"/>
          <w:lang w:eastAsia="zh-CN"/>
        </w:rPr>
        <w:t xml:space="preserve"> </w:t>
      </w:r>
      <w:r w:rsidRPr="004746EA">
        <w:rPr>
          <w:color w:val="000000" w:themeColor="text1"/>
          <w:sz w:val="20"/>
          <w:szCs w:val="20"/>
        </w:rPr>
        <w:t xml:space="preserve">were given when needed. Patients were asked about extraction socket status whether it is showing exposed bone or covered with tissues and infection signs including swelling, pus or fever. Furthermore, patients who experienced severe pain, halitosis, empty socket, bare bone and expected to have dry socket were instructed to attend for a follow-up appointment for proper management. Numerical pain rating scale was used as well for pain assessment. </w:t>
      </w:r>
    </w:p>
    <w:p w:rsidR="00F419A5" w:rsidRPr="004746EA" w:rsidRDefault="00F419A5" w:rsidP="00C84485">
      <w:pPr>
        <w:adjustRightInd w:val="0"/>
        <w:snapToGrid w:val="0"/>
        <w:ind w:firstLine="425"/>
        <w:jc w:val="both"/>
        <w:rPr>
          <w:color w:val="000000" w:themeColor="text1"/>
          <w:sz w:val="20"/>
          <w:szCs w:val="20"/>
        </w:rPr>
      </w:pPr>
      <w:r w:rsidRPr="004746EA">
        <w:rPr>
          <w:sz w:val="20"/>
          <w:szCs w:val="20"/>
        </w:rPr>
        <w:t>Data were analyzed using IBM SPSS software, version 22.0. Analysis of multivariate regression was used. The healing status was compared between diabetic patients and the control group with regard to the preoperative BGL and medical condition as obtained using the questionnaire. Also, age, gender, smoking status and onset of diabetes were assessed whether they affect healing. Results were interpreted to be statistically significant if they have a P-value of less than 0.05.</w:t>
      </w:r>
    </w:p>
    <w:p w:rsidR="00F419A5" w:rsidRPr="004746EA" w:rsidRDefault="00F419A5" w:rsidP="00C84485">
      <w:pPr>
        <w:adjustRightInd w:val="0"/>
        <w:snapToGrid w:val="0"/>
        <w:ind w:firstLine="425"/>
        <w:jc w:val="both"/>
        <w:rPr>
          <w:sz w:val="20"/>
          <w:szCs w:val="20"/>
        </w:rPr>
      </w:pPr>
    </w:p>
    <w:p w:rsidR="00F419A5" w:rsidRPr="004746EA" w:rsidRDefault="00F419A5" w:rsidP="00C84485">
      <w:pPr>
        <w:adjustRightInd w:val="0"/>
        <w:snapToGrid w:val="0"/>
        <w:jc w:val="both"/>
        <w:rPr>
          <w:b/>
          <w:sz w:val="20"/>
          <w:szCs w:val="20"/>
        </w:rPr>
      </w:pPr>
      <w:r w:rsidRPr="004746EA">
        <w:rPr>
          <w:b/>
          <w:sz w:val="20"/>
          <w:szCs w:val="20"/>
        </w:rPr>
        <w:t>3. Results</w:t>
      </w:r>
    </w:p>
    <w:p w:rsidR="00850745" w:rsidRPr="004746EA" w:rsidRDefault="00F419A5" w:rsidP="00C84485">
      <w:pPr>
        <w:adjustRightInd w:val="0"/>
        <w:snapToGrid w:val="0"/>
        <w:ind w:firstLine="425"/>
        <w:jc w:val="both"/>
        <w:rPr>
          <w:sz w:val="20"/>
          <w:szCs w:val="20"/>
        </w:rPr>
      </w:pPr>
      <w:r w:rsidRPr="004746EA">
        <w:rPr>
          <w:sz w:val="20"/>
          <w:szCs w:val="20"/>
        </w:rPr>
        <w:t xml:space="preserve">Of 117 patients, 8 patients were lost to follow-up and 1 patient was excluded because of her low random BGL that was 50 mg/dl and none of them were diabetic. Sixteen more patients were excluded because of the medications they were taking (antibiotics, analgesics, systemic steroids, anticoagulant, antiplatelet, radiotherapy, and chemotherapy), 13 of them were diabetics. </w:t>
      </w:r>
    </w:p>
    <w:p w:rsidR="00F419A5" w:rsidRPr="004746EA" w:rsidRDefault="00F419A5" w:rsidP="00C84485">
      <w:pPr>
        <w:adjustRightInd w:val="0"/>
        <w:snapToGrid w:val="0"/>
        <w:ind w:firstLine="425"/>
        <w:jc w:val="both"/>
        <w:rPr>
          <w:b/>
          <w:sz w:val="20"/>
          <w:szCs w:val="20"/>
        </w:rPr>
      </w:pPr>
      <w:r w:rsidRPr="004746EA">
        <w:rPr>
          <w:sz w:val="20"/>
          <w:szCs w:val="20"/>
        </w:rPr>
        <w:t>Of the remaining 92 patients, 27 were known type 2 diabetics on diet, oral hypoglycemic, insulin, or both; only one of them was a known type 1 diabetic as presented in Table 1. Sixty-five patients were in the non-diabetic control group</w:t>
      </w:r>
      <w:r w:rsidR="007F0DBE" w:rsidRPr="004746EA">
        <w:rPr>
          <w:sz w:val="20"/>
          <w:szCs w:val="20"/>
        </w:rPr>
        <w:t>. O</w:t>
      </w:r>
      <w:r w:rsidRPr="004746EA">
        <w:rPr>
          <w:sz w:val="20"/>
          <w:szCs w:val="20"/>
        </w:rPr>
        <w:t>f the patients, 82 had preoperative BGL of 180 mg/dl or less and 10 had BGL greater than 180 mg/dl (mean, 117.69 mg/dl; range, 57 -303 mg/dl)</w:t>
      </w:r>
      <w:r w:rsidR="007F0DBE" w:rsidRPr="004746EA">
        <w:rPr>
          <w:sz w:val="20"/>
          <w:szCs w:val="20"/>
        </w:rPr>
        <w:t>. E</w:t>
      </w:r>
      <w:r w:rsidRPr="004746EA">
        <w:rPr>
          <w:sz w:val="20"/>
          <w:szCs w:val="20"/>
        </w:rPr>
        <w:t>ighteen of the diabetic group had a BGL of 180 mg/dl or less; the remaining nine patients had a BGL more than 180 mg/dl. All patients in the non-diabetic control group had a BGL of 180 mg/dl or less, only one of them had a BGL more than 180 mg/dl [Table 2].</w:t>
      </w:r>
    </w:p>
    <w:p w:rsidR="00F419A5" w:rsidRPr="004746EA" w:rsidRDefault="00F419A5" w:rsidP="00C84485">
      <w:pPr>
        <w:adjustRightInd w:val="0"/>
        <w:snapToGrid w:val="0"/>
        <w:ind w:firstLine="425"/>
        <w:jc w:val="both"/>
        <w:rPr>
          <w:color w:val="000000"/>
          <w:sz w:val="20"/>
          <w:szCs w:val="20"/>
        </w:rPr>
      </w:pPr>
      <w:r w:rsidRPr="004746EA">
        <w:rPr>
          <w:color w:val="000000"/>
          <w:sz w:val="20"/>
          <w:szCs w:val="20"/>
        </w:rPr>
        <w:t xml:space="preserve">Among </w:t>
      </w:r>
      <w:r w:rsidRPr="004746EA">
        <w:rPr>
          <w:sz w:val="20"/>
          <w:szCs w:val="20"/>
        </w:rPr>
        <w:t>92 patients</w:t>
      </w:r>
      <w:r w:rsidRPr="004746EA">
        <w:rPr>
          <w:color w:val="000000"/>
          <w:sz w:val="20"/>
          <w:szCs w:val="20"/>
        </w:rPr>
        <w:t>, 67% of them were females and t</w:t>
      </w:r>
      <w:r w:rsidRPr="004746EA">
        <w:rPr>
          <w:color w:val="231F20"/>
          <w:sz w:val="20"/>
          <w:szCs w:val="20"/>
        </w:rPr>
        <w:t xml:space="preserve">he mean age of the patients was </w:t>
      </w:r>
      <w:r w:rsidRPr="004746EA">
        <w:rPr>
          <w:color w:val="000000"/>
          <w:sz w:val="20"/>
          <w:szCs w:val="20"/>
        </w:rPr>
        <w:t xml:space="preserve">39.45 </w:t>
      </w:r>
      <w:r w:rsidRPr="004746EA">
        <w:rPr>
          <w:sz w:val="20"/>
          <w:szCs w:val="20"/>
        </w:rPr>
        <w:t xml:space="preserve">years (range, 8-80 years). The age, gender, BGL, and smoking status in relation to delayed healing are presented in Table 1. Only ten patients were smokers (10.8%); four of them were diabetics. None of the ten smokers had delayed healing events. The association between smoking and diabetes in regard to delayed healing was not found to be statistically significant (p = 0.106). Only seven patients had healing delayed beyond one week as they were followed up clinically; all of them were females in the non-diabetic control group. Although all of the events of delayed healing occurred in the non-diabetic control group, the </w:t>
      </w:r>
      <w:r w:rsidRPr="004746EA">
        <w:rPr>
          <w:sz w:val="20"/>
          <w:szCs w:val="20"/>
        </w:rPr>
        <w:lastRenderedPageBreak/>
        <w:t xml:space="preserve">difference was not statistically significant (p = </w:t>
      </w:r>
      <w:r w:rsidRPr="004746EA">
        <w:rPr>
          <w:bCs/>
          <w:sz w:val="20"/>
          <w:szCs w:val="20"/>
        </w:rPr>
        <w:t xml:space="preserve">0.076). </w:t>
      </w:r>
      <w:r w:rsidRPr="004746EA">
        <w:rPr>
          <w:sz w:val="20"/>
          <w:szCs w:val="20"/>
        </w:rPr>
        <w:t xml:space="preserve">There were no cases of infection, osteomyelitis or osteonecrosis of the jaws. The diabetic group was older with more females and less smokers. They had no delayed healing events. </w:t>
      </w:r>
    </w:p>
    <w:p w:rsidR="00F419A5" w:rsidRPr="004746EA" w:rsidRDefault="00F419A5" w:rsidP="00C84485">
      <w:pPr>
        <w:adjustRightInd w:val="0"/>
        <w:snapToGrid w:val="0"/>
        <w:ind w:firstLine="425"/>
        <w:jc w:val="both"/>
        <w:rPr>
          <w:color w:val="000000"/>
          <w:sz w:val="20"/>
          <w:szCs w:val="20"/>
        </w:rPr>
      </w:pPr>
      <w:r w:rsidRPr="004746EA">
        <w:rPr>
          <w:sz w:val="20"/>
          <w:szCs w:val="20"/>
        </w:rPr>
        <w:t>The relationship between delayed healing and preoperative random BGL is presented in Table 3. There was no statistically significant difference in assessment of delayed healing and other factors: age, gender (p = 0.056), smoking status (p = 0.37), and the presence of periapical pathology (p = 0.457,) or preoperative infection (p = 0.504). Likewise, there was no significant difference between surgical and non-</w:t>
      </w:r>
      <w:r w:rsidRPr="004746EA">
        <w:rPr>
          <w:sz w:val="20"/>
          <w:szCs w:val="20"/>
        </w:rPr>
        <w:lastRenderedPageBreak/>
        <w:t>surgical extraction in relation to healing status (p = 0.088). Closed exodontia was performed in all patients except in three patients where surgical extraction was indicated. Extraction was performed by OMFS staff, interns, and sixth and fifth year students as presented in Table 4. The events of delayed healing in relation to level of experience are also demonstrated in Table 5</w:t>
      </w:r>
      <w:r w:rsidR="007F0DBE" w:rsidRPr="004746EA">
        <w:rPr>
          <w:sz w:val="20"/>
          <w:szCs w:val="20"/>
        </w:rPr>
        <w:t>. I</w:t>
      </w:r>
      <w:r w:rsidRPr="004746EA">
        <w:rPr>
          <w:sz w:val="20"/>
          <w:szCs w:val="20"/>
        </w:rPr>
        <w:t xml:space="preserve">ntraoperative complications occurred in 8 patients and are summarized in Table 6. These intraoperative complications did not affect healing status (p = 0.585). All events of postoperative complications occurred other than delayed healing are summarized in Table 7. </w:t>
      </w:r>
    </w:p>
    <w:p w:rsidR="00C84485" w:rsidRPr="004746EA" w:rsidRDefault="00C84485" w:rsidP="00C84485">
      <w:pPr>
        <w:adjustRightInd w:val="0"/>
        <w:snapToGrid w:val="0"/>
        <w:jc w:val="center"/>
        <w:rPr>
          <w:b/>
          <w:bCs/>
          <w:sz w:val="20"/>
          <w:szCs w:val="20"/>
        </w:rPr>
        <w:sectPr w:rsidR="00C84485" w:rsidRPr="004746EA" w:rsidSect="0029583F">
          <w:headerReference w:type="default" r:id="rId16"/>
          <w:pgSz w:w="12240" w:h="15840"/>
          <w:pgMar w:top="1440" w:right="1440" w:bottom="1440" w:left="1440" w:header="720" w:footer="720" w:gutter="0"/>
          <w:cols w:num="2" w:space="550"/>
          <w:docGrid w:linePitch="299"/>
        </w:sectPr>
      </w:pPr>
    </w:p>
    <w:p w:rsidR="00F419A5" w:rsidRPr="004746EA" w:rsidRDefault="00F419A5" w:rsidP="00C84485">
      <w:pPr>
        <w:adjustRightInd w:val="0"/>
        <w:snapToGrid w:val="0"/>
        <w:jc w:val="center"/>
        <w:rPr>
          <w:b/>
          <w:bCs/>
          <w:sz w:val="20"/>
          <w:szCs w:val="20"/>
        </w:rPr>
      </w:pPr>
    </w:p>
    <w:p w:rsidR="00F419A5" w:rsidRPr="004746EA" w:rsidRDefault="00F419A5" w:rsidP="00C84485">
      <w:pPr>
        <w:adjustRightInd w:val="0"/>
        <w:snapToGrid w:val="0"/>
        <w:jc w:val="center"/>
        <w:rPr>
          <w:sz w:val="20"/>
          <w:szCs w:val="20"/>
        </w:rPr>
      </w:pPr>
      <w:r w:rsidRPr="004746EA">
        <w:rPr>
          <w:b/>
          <w:bCs/>
          <w:sz w:val="20"/>
          <w:szCs w:val="20"/>
        </w:rPr>
        <w:t>Table 1. Distribution (%) of diabetic patients according to diabetic medications</w:t>
      </w:r>
    </w:p>
    <w:tbl>
      <w:tblPr>
        <w:tblStyle w:val="LightShading1"/>
        <w:tblW w:w="5000" w:type="pct"/>
        <w:jc w:val="center"/>
        <w:tblCellMar>
          <w:left w:w="57" w:type="dxa"/>
          <w:right w:w="57" w:type="dxa"/>
        </w:tblCellMar>
        <w:tblLook w:val="04A0"/>
      </w:tblPr>
      <w:tblGrid>
        <w:gridCol w:w="6670"/>
        <w:gridCol w:w="2804"/>
      </w:tblGrid>
      <w:tr w:rsidR="00F419A5" w:rsidRPr="004746EA" w:rsidTr="00850745">
        <w:trPr>
          <w:cnfStyle w:val="100000000000"/>
          <w:jc w:val="center"/>
        </w:trPr>
        <w:tc>
          <w:tcPr>
            <w:cnfStyle w:val="001000000000"/>
            <w:tcW w:w="3520" w:type="pct"/>
            <w:vAlign w:val="center"/>
          </w:tcPr>
          <w:p w:rsidR="00F419A5" w:rsidRPr="004746EA" w:rsidRDefault="00F419A5" w:rsidP="00C84485">
            <w:pPr>
              <w:snapToGrid w:val="0"/>
              <w:jc w:val="both"/>
              <w:outlineLvl w:val="0"/>
              <w:rPr>
                <w:b w:val="0"/>
                <w:sz w:val="20"/>
                <w:szCs w:val="20"/>
              </w:rPr>
            </w:pPr>
            <w:r w:rsidRPr="004746EA">
              <w:rPr>
                <w:b w:val="0"/>
                <w:sz w:val="20"/>
                <w:szCs w:val="20"/>
              </w:rPr>
              <w:t>Medication</w:t>
            </w:r>
          </w:p>
        </w:tc>
        <w:tc>
          <w:tcPr>
            <w:tcW w:w="1480" w:type="pct"/>
            <w:vAlign w:val="center"/>
          </w:tcPr>
          <w:p w:rsidR="00F419A5" w:rsidRPr="004746EA" w:rsidRDefault="00F419A5" w:rsidP="00C84485">
            <w:pPr>
              <w:snapToGrid w:val="0"/>
              <w:jc w:val="both"/>
              <w:outlineLvl w:val="0"/>
              <w:cnfStyle w:val="100000000000"/>
              <w:rPr>
                <w:b w:val="0"/>
                <w:sz w:val="20"/>
                <w:szCs w:val="20"/>
              </w:rPr>
            </w:pPr>
            <w:r w:rsidRPr="004746EA">
              <w:rPr>
                <w:b w:val="0"/>
                <w:sz w:val="20"/>
                <w:szCs w:val="20"/>
              </w:rPr>
              <w:t>Number (%)</w:t>
            </w:r>
          </w:p>
        </w:tc>
      </w:tr>
      <w:tr w:rsidR="00F419A5" w:rsidRPr="004746EA" w:rsidTr="00850745">
        <w:trPr>
          <w:cnfStyle w:val="000000100000"/>
          <w:jc w:val="center"/>
        </w:trPr>
        <w:tc>
          <w:tcPr>
            <w:cnfStyle w:val="001000000000"/>
            <w:tcW w:w="3520" w:type="pct"/>
            <w:shd w:val="clear" w:color="auto" w:fill="auto"/>
            <w:vAlign w:val="center"/>
          </w:tcPr>
          <w:p w:rsidR="00F419A5" w:rsidRPr="00764C7B" w:rsidRDefault="00F419A5" w:rsidP="00C84485">
            <w:pPr>
              <w:snapToGrid w:val="0"/>
              <w:jc w:val="both"/>
              <w:outlineLvl w:val="0"/>
              <w:rPr>
                <w:rFonts w:eastAsiaTheme="minorEastAsia" w:hint="eastAsia"/>
                <w:b w:val="0"/>
                <w:sz w:val="20"/>
                <w:szCs w:val="20"/>
                <w:lang w:eastAsia="zh-CN"/>
              </w:rPr>
            </w:pPr>
            <w:r w:rsidRPr="004746EA">
              <w:rPr>
                <w:b w:val="0"/>
                <w:sz w:val="20"/>
                <w:szCs w:val="20"/>
              </w:rPr>
              <w:t>Diet only (no medications)</w:t>
            </w:r>
          </w:p>
        </w:tc>
        <w:tc>
          <w:tcPr>
            <w:tcW w:w="1480" w:type="pct"/>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r w:rsidRPr="004746EA">
              <w:rPr>
                <w:bCs/>
                <w:sz w:val="20"/>
                <w:szCs w:val="20"/>
              </w:rPr>
              <w:t>2 (2.2)</w:t>
            </w:r>
          </w:p>
        </w:tc>
      </w:tr>
      <w:tr w:rsidR="00F419A5" w:rsidRPr="004746EA" w:rsidTr="00850745">
        <w:trPr>
          <w:jc w:val="center"/>
        </w:trPr>
        <w:tc>
          <w:tcPr>
            <w:cnfStyle w:val="001000000000"/>
            <w:tcW w:w="3520" w:type="pc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Oral hypoglycemics</w:t>
            </w:r>
          </w:p>
        </w:tc>
        <w:tc>
          <w:tcPr>
            <w:tcW w:w="1480" w:type="pct"/>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16 (17.4)</w:t>
            </w:r>
          </w:p>
        </w:tc>
      </w:tr>
      <w:tr w:rsidR="00F419A5" w:rsidRPr="004746EA" w:rsidTr="00850745">
        <w:trPr>
          <w:cnfStyle w:val="000000100000"/>
          <w:jc w:val="center"/>
        </w:trPr>
        <w:tc>
          <w:tcPr>
            <w:cnfStyle w:val="001000000000"/>
            <w:tcW w:w="3520" w:type="pc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Insulin</w:t>
            </w:r>
          </w:p>
        </w:tc>
        <w:tc>
          <w:tcPr>
            <w:tcW w:w="1480" w:type="pct"/>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r w:rsidRPr="004746EA">
              <w:rPr>
                <w:bCs/>
                <w:sz w:val="20"/>
                <w:szCs w:val="20"/>
              </w:rPr>
              <w:t>4 (4.3)</w:t>
            </w:r>
          </w:p>
        </w:tc>
      </w:tr>
      <w:tr w:rsidR="00F419A5" w:rsidRPr="004746EA" w:rsidTr="00850745">
        <w:trPr>
          <w:jc w:val="center"/>
        </w:trPr>
        <w:tc>
          <w:tcPr>
            <w:cnfStyle w:val="001000000000"/>
            <w:tcW w:w="3520" w:type="pc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Oral hypoglycemics and insulin</w:t>
            </w:r>
          </w:p>
        </w:tc>
        <w:tc>
          <w:tcPr>
            <w:tcW w:w="1480" w:type="pct"/>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5 (5.4)</w:t>
            </w:r>
          </w:p>
        </w:tc>
      </w:tr>
      <w:tr w:rsidR="00F419A5" w:rsidRPr="004746EA" w:rsidTr="00850745">
        <w:trPr>
          <w:cnfStyle w:val="000000100000"/>
          <w:jc w:val="center"/>
        </w:trPr>
        <w:tc>
          <w:tcPr>
            <w:cnfStyle w:val="001000000000"/>
            <w:tcW w:w="3520" w:type="pc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Total</w:t>
            </w:r>
          </w:p>
        </w:tc>
        <w:tc>
          <w:tcPr>
            <w:tcW w:w="1480" w:type="pct"/>
            <w:shd w:val="clear" w:color="auto" w:fill="auto"/>
            <w:vAlign w:val="center"/>
          </w:tcPr>
          <w:p w:rsidR="00F419A5" w:rsidRPr="004746EA" w:rsidRDefault="00F419A5" w:rsidP="00C84485">
            <w:pPr>
              <w:snapToGrid w:val="0"/>
              <w:jc w:val="both"/>
              <w:cnfStyle w:val="000000100000"/>
              <w:rPr>
                <w:bCs/>
                <w:sz w:val="20"/>
                <w:szCs w:val="20"/>
              </w:rPr>
            </w:pPr>
            <w:r w:rsidRPr="004746EA">
              <w:rPr>
                <w:bCs/>
                <w:sz w:val="20"/>
                <w:szCs w:val="20"/>
              </w:rPr>
              <w:t>27 (100)</w:t>
            </w:r>
          </w:p>
        </w:tc>
      </w:tr>
    </w:tbl>
    <w:p w:rsidR="00F419A5" w:rsidRPr="004746EA" w:rsidRDefault="00F419A5" w:rsidP="00C84485">
      <w:pPr>
        <w:snapToGrid w:val="0"/>
        <w:jc w:val="center"/>
        <w:outlineLvl w:val="0"/>
        <w:rPr>
          <w:b/>
          <w:bCs/>
          <w:sz w:val="20"/>
          <w:szCs w:val="20"/>
        </w:rPr>
      </w:pPr>
    </w:p>
    <w:p w:rsidR="00F419A5" w:rsidRPr="004746EA" w:rsidRDefault="00F419A5" w:rsidP="00C84485">
      <w:pPr>
        <w:snapToGrid w:val="0"/>
        <w:jc w:val="center"/>
        <w:outlineLvl w:val="0"/>
        <w:rPr>
          <w:b/>
          <w:bCs/>
          <w:sz w:val="20"/>
          <w:szCs w:val="20"/>
        </w:rPr>
      </w:pPr>
      <w:r w:rsidRPr="004746EA">
        <w:rPr>
          <w:b/>
          <w:bCs/>
          <w:sz w:val="20"/>
          <w:szCs w:val="20"/>
        </w:rPr>
        <w:t>Table 2. Assessment of demographics in relation to healing status</w:t>
      </w:r>
    </w:p>
    <w:tbl>
      <w:tblPr>
        <w:tblStyle w:val="LightShading1"/>
        <w:tblW w:w="5000" w:type="pct"/>
        <w:jc w:val="center"/>
        <w:tblCellMar>
          <w:left w:w="57" w:type="dxa"/>
          <w:right w:w="57" w:type="dxa"/>
        </w:tblCellMar>
        <w:tblLook w:val="04A0"/>
      </w:tblPr>
      <w:tblGrid>
        <w:gridCol w:w="1335"/>
        <w:gridCol w:w="362"/>
        <w:gridCol w:w="656"/>
        <w:gridCol w:w="335"/>
        <w:gridCol w:w="362"/>
        <w:gridCol w:w="534"/>
        <w:gridCol w:w="589"/>
        <w:gridCol w:w="589"/>
        <w:gridCol w:w="457"/>
        <w:gridCol w:w="669"/>
        <w:gridCol w:w="388"/>
        <w:gridCol w:w="390"/>
        <w:gridCol w:w="849"/>
        <w:gridCol w:w="1633"/>
        <w:gridCol w:w="163"/>
        <w:gridCol w:w="163"/>
      </w:tblGrid>
      <w:tr w:rsidR="00850745" w:rsidRPr="004746EA" w:rsidTr="00850745">
        <w:trPr>
          <w:gridAfter w:val="1"/>
          <w:cnfStyle w:val="100000000000"/>
          <w:wAfter w:w="86" w:type="pct"/>
          <w:jc w:val="center"/>
        </w:trPr>
        <w:tc>
          <w:tcPr>
            <w:cnfStyle w:val="001000000000"/>
            <w:tcW w:w="704" w:type="pct"/>
            <w:vMerge w:val="restar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Group</w:t>
            </w:r>
          </w:p>
        </w:tc>
        <w:tc>
          <w:tcPr>
            <w:tcW w:w="191" w:type="pct"/>
            <w:vMerge w:val="restart"/>
            <w:shd w:val="clear" w:color="auto" w:fill="auto"/>
            <w:vAlign w:val="center"/>
          </w:tcPr>
          <w:p w:rsidR="00F419A5" w:rsidRPr="004746EA" w:rsidRDefault="00F419A5" w:rsidP="00C84485">
            <w:pPr>
              <w:snapToGrid w:val="0"/>
              <w:jc w:val="both"/>
              <w:outlineLvl w:val="0"/>
              <w:cnfStyle w:val="100000000000"/>
              <w:rPr>
                <w:b w:val="0"/>
                <w:sz w:val="20"/>
                <w:szCs w:val="20"/>
              </w:rPr>
            </w:pPr>
            <w:r w:rsidRPr="004746EA">
              <w:rPr>
                <w:b w:val="0"/>
                <w:sz w:val="20"/>
                <w:szCs w:val="20"/>
              </w:rPr>
              <w:t>n</w:t>
            </w:r>
          </w:p>
        </w:tc>
        <w:tc>
          <w:tcPr>
            <w:tcW w:w="346" w:type="pct"/>
            <w:shd w:val="clear" w:color="auto" w:fill="auto"/>
            <w:vAlign w:val="center"/>
          </w:tcPr>
          <w:p w:rsidR="00F419A5" w:rsidRPr="004746EA" w:rsidRDefault="00F419A5" w:rsidP="00C84485">
            <w:pPr>
              <w:snapToGrid w:val="0"/>
              <w:jc w:val="both"/>
              <w:outlineLvl w:val="0"/>
              <w:cnfStyle w:val="100000000000"/>
              <w:rPr>
                <w:b w:val="0"/>
                <w:sz w:val="20"/>
                <w:szCs w:val="20"/>
              </w:rPr>
            </w:pPr>
            <w:r w:rsidRPr="004746EA">
              <w:rPr>
                <w:b w:val="0"/>
                <w:sz w:val="20"/>
                <w:szCs w:val="20"/>
              </w:rPr>
              <w:t>Age</w:t>
            </w:r>
          </w:p>
        </w:tc>
        <w:tc>
          <w:tcPr>
            <w:tcW w:w="650" w:type="pct"/>
            <w:gridSpan w:val="3"/>
            <w:shd w:val="clear" w:color="auto" w:fill="auto"/>
            <w:vAlign w:val="center"/>
          </w:tcPr>
          <w:p w:rsidR="00F419A5" w:rsidRPr="004746EA" w:rsidRDefault="00F419A5" w:rsidP="00C84485">
            <w:pPr>
              <w:snapToGrid w:val="0"/>
              <w:jc w:val="both"/>
              <w:outlineLvl w:val="0"/>
              <w:cnfStyle w:val="100000000000"/>
              <w:rPr>
                <w:b w:val="0"/>
                <w:sz w:val="20"/>
                <w:szCs w:val="20"/>
              </w:rPr>
            </w:pPr>
            <w:r w:rsidRPr="004746EA">
              <w:rPr>
                <w:b w:val="0"/>
                <w:sz w:val="20"/>
                <w:szCs w:val="20"/>
              </w:rPr>
              <w:t>Gender</w:t>
            </w:r>
          </w:p>
        </w:tc>
        <w:tc>
          <w:tcPr>
            <w:tcW w:w="622" w:type="pct"/>
            <w:gridSpan w:val="2"/>
            <w:shd w:val="clear" w:color="auto" w:fill="auto"/>
            <w:vAlign w:val="center"/>
          </w:tcPr>
          <w:p w:rsidR="00F419A5" w:rsidRPr="004746EA" w:rsidRDefault="00F419A5" w:rsidP="00C84485">
            <w:pPr>
              <w:snapToGrid w:val="0"/>
              <w:jc w:val="both"/>
              <w:outlineLvl w:val="0"/>
              <w:cnfStyle w:val="100000000000"/>
              <w:rPr>
                <w:b w:val="0"/>
                <w:sz w:val="20"/>
                <w:szCs w:val="20"/>
              </w:rPr>
            </w:pPr>
            <w:r w:rsidRPr="004746EA">
              <w:rPr>
                <w:b w:val="0"/>
                <w:sz w:val="20"/>
                <w:szCs w:val="20"/>
              </w:rPr>
              <w:t>BGL ≤ 180</w:t>
            </w:r>
          </w:p>
        </w:tc>
        <w:tc>
          <w:tcPr>
            <w:tcW w:w="799" w:type="pct"/>
            <w:gridSpan w:val="3"/>
            <w:shd w:val="clear" w:color="auto" w:fill="auto"/>
            <w:vAlign w:val="center"/>
          </w:tcPr>
          <w:p w:rsidR="00F419A5" w:rsidRPr="004746EA" w:rsidRDefault="00F419A5" w:rsidP="00C84485">
            <w:pPr>
              <w:snapToGrid w:val="0"/>
              <w:jc w:val="both"/>
              <w:outlineLvl w:val="0"/>
              <w:cnfStyle w:val="100000000000"/>
              <w:rPr>
                <w:b w:val="0"/>
                <w:sz w:val="20"/>
                <w:szCs w:val="20"/>
              </w:rPr>
            </w:pPr>
            <w:r w:rsidRPr="004746EA">
              <w:rPr>
                <w:b w:val="0"/>
                <w:sz w:val="20"/>
                <w:szCs w:val="20"/>
              </w:rPr>
              <w:t>BGL &gt;180</w:t>
            </w:r>
          </w:p>
        </w:tc>
        <w:tc>
          <w:tcPr>
            <w:tcW w:w="653" w:type="pct"/>
            <w:gridSpan w:val="2"/>
            <w:shd w:val="clear" w:color="auto" w:fill="auto"/>
            <w:vAlign w:val="center"/>
          </w:tcPr>
          <w:p w:rsidR="00F419A5" w:rsidRPr="004746EA" w:rsidRDefault="00F419A5" w:rsidP="00C84485">
            <w:pPr>
              <w:snapToGrid w:val="0"/>
              <w:jc w:val="both"/>
              <w:outlineLvl w:val="0"/>
              <w:cnfStyle w:val="100000000000"/>
              <w:rPr>
                <w:b w:val="0"/>
                <w:sz w:val="20"/>
                <w:szCs w:val="20"/>
              </w:rPr>
            </w:pPr>
            <w:r w:rsidRPr="004746EA">
              <w:rPr>
                <w:b w:val="0"/>
                <w:sz w:val="20"/>
                <w:szCs w:val="20"/>
              </w:rPr>
              <w:t>Smoker</w:t>
            </w:r>
          </w:p>
        </w:tc>
        <w:tc>
          <w:tcPr>
            <w:tcW w:w="948" w:type="pct"/>
            <w:gridSpan w:val="2"/>
            <w:shd w:val="clear" w:color="auto" w:fill="auto"/>
            <w:vAlign w:val="center"/>
          </w:tcPr>
          <w:p w:rsidR="00F419A5" w:rsidRPr="004746EA" w:rsidRDefault="00F419A5" w:rsidP="00C84485">
            <w:pPr>
              <w:snapToGrid w:val="0"/>
              <w:jc w:val="both"/>
              <w:outlineLvl w:val="0"/>
              <w:cnfStyle w:val="100000000000"/>
              <w:rPr>
                <w:b w:val="0"/>
                <w:sz w:val="20"/>
                <w:szCs w:val="20"/>
              </w:rPr>
            </w:pPr>
            <w:r w:rsidRPr="004746EA">
              <w:rPr>
                <w:b w:val="0"/>
                <w:sz w:val="20"/>
                <w:szCs w:val="20"/>
              </w:rPr>
              <w:t>Delayed healing</w:t>
            </w:r>
          </w:p>
        </w:tc>
      </w:tr>
      <w:tr w:rsidR="00850745" w:rsidRPr="004746EA" w:rsidTr="00850745">
        <w:trPr>
          <w:cnfStyle w:val="000000100000"/>
          <w:jc w:val="center"/>
        </w:trPr>
        <w:tc>
          <w:tcPr>
            <w:cnfStyle w:val="001000000000"/>
            <w:tcW w:w="704" w:type="pct"/>
            <w:vMerge/>
            <w:tcBorders>
              <w:bottom w:val="single" w:sz="4" w:space="0" w:color="auto"/>
            </w:tcBorders>
            <w:shd w:val="clear" w:color="auto" w:fill="auto"/>
            <w:vAlign w:val="center"/>
          </w:tcPr>
          <w:p w:rsidR="00F419A5" w:rsidRPr="004746EA" w:rsidRDefault="00F419A5" w:rsidP="00C84485">
            <w:pPr>
              <w:snapToGrid w:val="0"/>
              <w:jc w:val="both"/>
              <w:outlineLvl w:val="0"/>
              <w:rPr>
                <w:b w:val="0"/>
                <w:sz w:val="20"/>
                <w:szCs w:val="20"/>
              </w:rPr>
            </w:pPr>
          </w:p>
        </w:tc>
        <w:tc>
          <w:tcPr>
            <w:tcW w:w="191" w:type="pct"/>
            <w:vMerge/>
            <w:tcBorders>
              <w:bottom w:val="single" w:sz="4" w:space="0" w:color="auto"/>
            </w:tcBorders>
            <w:shd w:val="clear" w:color="auto" w:fill="auto"/>
            <w:vAlign w:val="center"/>
          </w:tcPr>
          <w:p w:rsidR="00F419A5" w:rsidRPr="004746EA" w:rsidRDefault="00F419A5" w:rsidP="00C84485">
            <w:pPr>
              <w:snapToGrid w:val="0"/>
              <w:jc w:val="both"/>
              <w:outlineLvl w:val="0"/>
              <w:cnfStyle w:val="000000100000"/>
              <w:rPr>
                <w:b/>
                <w:sz w:val="20"/>
                <w:szCs w:val="20"/>
              </w:rPr>
            </w:pPr>
          </w:p>
        </w:tc>
        <w:tc>
          <w:tcPr>
            <w:tcW w:w="346" w:type="pct"/>
            <w:tcBorders>
              <w:bottom w:val="single" w:sz="4" w:space="0" w:color="auto"/>
            </w:tcBorders>
            <w:shd w:val="clear" w:color="auto" w:fill="auto"/>
            <w:vAlign w:val="center"/>
          </w:tcPr>
          <w:p w:rsidR="00F419A5" w:rsidRPr="004746EA" w:rsidRDefault="00F419A5" w:rsidP="00C84485">
            <w:pPr>
              <w:snapToGrid w:val="0"/>
              <w:jc w:val="both"/>
              <w:outlineLvl w:val="0"/>
              <w:cnfStyle w:val="000000100000"/>
              <w:rPr>
                <w:b/>
                <w:sz w:val="20"/>
                <w:szCs w:val="20"/>
              </w:rPr>
            </w:pPr>
            <w:r w:rsidRPr="004746EA">
              <w:rPr>
                <w:bCs/>
                <w:sz w:val="20"/>
                <w:szCs w:val="20"/>
              </w:rPr>
              <w:t>Mean</w:t>
            </w:r>
          </w:p>
        </w:tc>
        <w:tc>
          <w:tcPr>
            <w:tcW w:w="177" w:type="pct"/>
            <w:tcBorders>
              <w:bottom w:val="single" w:sz="4" w:space="0" w:color="auto"/>
            </w:tcBorders>
            <w:shd w:val="clear" w:color="auto" w:fill="auto"/>
            <w:vAlign w:val="center"/>
          </w:tcPr>
          <w:p w:rsidR="00F419A5" w:rsidRPr="004746EA" w:rsidRDefault="00F419A5" w:rsidP="00C84485">
            <w:pPr>
              <w:snapToGrid w:val="0"/>
              <w:jc w:val="both"/>
              <w:outlineLvl w:val="0"/>
              <w:cnfStyle w:val="000000100000"/>
              <w:rPr>
                <w:sz w:val="20"/>
                <w:szCs w:val="20"/>
              </w:rPr>
            </w:pPr>
          </w:p>
        </w:tc>
        <w:tc>
          <w:tcPr>
            <w:tcW w:w="191" w:type="pct"/>
            <w:tcBorders>
              <w:bottom w:val="single" w:sz="4" w:space="0" w:color="auto"/>
            </w:tcBorders>
            <w:shd w:val="clear" w:color="auto" w:fill="auto"/>
            <w:vAlign w:val="center"/>
          </w:tcPr>
          <w:p w:rsidR="00F419A5" w:rsidRPr="004746EA" w:rsidRDefault="00F419A5" w:rsidP="00C84485">
            <w:pPr>
              <w:snapToGrid w:val="0"/>
              <w:jc w:val="both"/>
              <w:outlineLvl w:val="0"/>
              <w:cnfStyle w:val="000000100000"/>
              <w:rPr>
                <w:sz w:val="20"/>
                <w:szCs w:val="20"/>
              </w:rPr>
            </w:pPr>
            <w:r w:rsidRPr="004746EA">
              <w:rPr>
                <w:sz w:val="20"/>
                <w:szCs w:val="20"/>
              </w:rPr>
              <w:t>n</w:t>
            </w:r>
          </w:p>
        </w:tc>
        <w:tc>
          <w:tcPr>
            <w:tcW w:w="282" w:type="pct"/>
            <w:tcBorders>
              <w:bottom w:val="single" w:sz="4" w:space="0" w:color="auto"/>
            </w:tcBorders>
            <w:shd w:val="clear" w:color="auto" w:fill="auto"/>
            <w:vAlign w:val="center"/>
          </w:tcPr>
          <w:p w:rsidR="00F419A5" w:rsidRPr="004746EA" w:rsidRDefault="00F419A5" w:rsidP="00C84485">
            <w:pPr>
              <w:snapToGrid w:val="0"/>
              <w:jc w:val="both"/>
              <w:outlineLvl w:val="0"/>
              <w:cnfStyle w:val="000000100000"/>
              <w:rPr>
                <w:sz w:val="20"/>
                <w:szCs w:val="20"/>
              </w:rPr>
            </w:pPr>
            <w:r w:rsidRPr="004746EA">
              <w:rPr>
                <w:sz w:val="20"/>
                <w:szCs w:val="20"/>
              </w:rPr>
              <w:t>%</w:t>
            </w:r>
          </w:p>
        </w:tc>
        <w:tc>
          <w:tcPr>
            <w:tcW w:w="311" w:type="pct"/>
            <w:tcBorders>
              <w:bottom w:val="single" w:sz="4" w:space="0" w:color="auto"/>
            </w:tcBorders>
            <w:shd w:val="clear" w:color="auto" w:fill="auto"/>
            <w:vAlign w:val="center"/>
          </w:tcPr>
          <w:p w:rsidR="00F419A5" w:rsidRPr="004746EA" w:rsidRDefault="00F419A5" w:rsidP="00C84485">
            <w:pPr>
              <w:snapToGrid w:val="0"/>
              <w:jc w:val="both"/>
              <w:outlineLvl w:val="0"/>
              <w:cnfStyle w:val="000000100000"/>
              <w:rPr>
                <w:sz w:val="20"/>
                <w:szCs w:val="20"/>
              </w:rPr>
            </w:pPr>
            <w:r w:rsidRPr="004746EA">
              <w:rPr>
                <w:sz w:val="20"/>
                <w:szCs w:val="20"/>
              </w:rPr>
              <w:t>n</w:t>
            </w:r>
          </w:p>
        </w:tc>
        <w:tc>
          <w:tcPr>
            <w:tcW w:w="311" w:type="pct"/>
            <w:tcBorders>
              <w:bottom w:val="single" w:sz="4" w:space="0" w:color="auto"/>
            </w:tcBorders>
            <w:shd w:val="clear" w:color="auto" w:fill="auto"/>
            <w:vAlign w:val="center"/>
          </w:tcPr>
          <w:p w:rsidR="00F419A5" w:rsidRPr="004746EA" w:rsidRDefault="00F419A5" w:rsidP="00C84485">
            <w:pPr>
              <w:snapToGrid w:val="0"/>
              <w:jc w:val="both"/>
              <w:outlineLvl w:val="0"/>
              <w:cnfStyle w:val="000000100000"/>
              <w:rPr>
                <w:sz w:val="20"/>
                <w:szCs w:val="20"/>
              </w:rPr>
            </w:pPr>
            <w:r w:rsidRPr="004746EA">
              <w:rPr>
                <w:sz w:val="20"/>
                <w:szCs w:val="20"/>
              </w:rPr>
              <w:t>%</w:t>
            </w:r>
          </w:p>
        </w:tc>
        <w:tc>
          <w:tcPr>
            <w:tcW w:w="241" w:type="pct"/>
            <w:tcBorders>
              <w:bottom w:val="single" w:sz="4" w:space="0" w:color="auto"/>
            </w:tcBorders>
            <w:shd w:val="clear" w:color="auto" w:fill="auto"/>
            <w:vAlign w:val="center"/>
          </w:tcPr>
          <w:p w:rsidR="00F419A5" w:rsidRPr="004746EA" w:rsidRDefault="00F419A5" w:rsidP="00C84485">
            <w:pPr>
              <w:snapToGrid w:val="0"/>
              <w:jc w:val="both"/>
              <w:outlineLvl w:val="0"/>
              <w:cnfStyle w:val="000000100000"/>
              <w:rPr>
                <w:sz w:val="20"/>
                <w:szCs w:val="20"/>
              </w:rPr>
            </w:pPr>
            <w:r w:rsidRPr="004746EA">
              <w:rPr>
                <w:sz w:val="20"/>
                <w:szCs w:val="20"/>
              </w:rPr>
              <w:t>n</w:t>
            </w:r>
          </w:p>
        </w:tc>
        <w:tc>
          <w:tcPr>
            <w:tcW w:w="353" w:type="pct"/>
            <w:tcBorders>
              <w:bottom w:val="single" w:sz="4" w:space="0" w:color="auto"/>
            </w:tcBorders>
            <w:shd w:val="clear" w:color="auto" w:fill="auto"/>
            <w:vAlign w:val="center"/>
          </w:tcPr>
          <w:p w:rsidR="00F419A5" w:rsidRPr="004746EA" w:rsidRDefault="00F419A5" w:rsidP="00C84485">
            <w:pPr>
              <w:snapToGrid w:val="0"/>
              <w:jc w:val="both"/>
              <w:outlineLvl w:val="0"/>
              <w:cnfStyle w:val="000000100000"/>
              <w:rPr>
                <w:sz w:val="20"/>
                <w:szCs w:val="20"/>
              </w:rPr>
            </w:pPr>
            <w:r w:rsidRPr="004746EA">
              <w:rPr>
                <w:sz w:val="20"/>
                <w:szCs w:val="20"/>
              </w:rPr>
              <w:t>%</w:t>
            </w:r>
          </w:p>
        </w:tc>
        <w:tc>
          <w:tcPr>
            <w:tcW w:w="411" w:type="pct"/>
            <w:gridSpan w:val="2"/>
            <w:tcBorders>
              <w:bottom w:val="single" w:sz="4" w:space="0" w:color="auto"/>
            </w:tcBorders>
            <w:shd w:val="clear" w:color="auto" w:fill="auto"/>
            <w:vAlign w:val="center"/>
          </w:tcPr>
          <w:p w:rsidR="00F419A5" w:rsidRPr="004746EA" w:rsidRDefault="00F419A5" w:rsidP="00C84485">
            <w:pPr>
              <w:snapToGrid w:val="0"/>
              <w:jc w:val="both"/>
              <w:outlineLvl w:val="0"/>
              <w:cnfStyle w:val="000000100000"/>
              <w:rPr>
                <w:sz w:val="20"/>
                <w:szCs w:val="20"/>
              </w:rPr>
            </w:pPr>
            <w:r w:rsidRPr="004746EA">
              <w:rPr>
                <w:sz w:val="20"/>
                <w:szCs w:val="20"/>
              </w:rPr>
              <w:t>n</w:t>
            </w:r>
          </w:p>
        </w:tc>
        <w:tc>
          <w:tcPr>
            <w:tcW w:w="448" w:type="pct"/>
            <w:tcBorders>
              <w:bottom w:val="single" w:sz="4" w:space="0" w:color="auto"/>
            </w:tcBorders>
            <w:shd w:val="clear" w:color="auto" w:fill="auto"/>
            <w:vAlign w:val="center"/>
          </w:tcPr>
          <w:p w:rsidR="00F419A5" w:rsidRPr="004746EA" w:rsidRDefault="00F419A5" w:rsidP="00C84485">
            <w:pPr>
              <w:snapToGrid w:val="0"/>
              <w:jc w:val="both"/>
              <w:outlineLvl w:val="0"/>
              <w:cnfStyle w:val="000000100000"/>
              <w:rPr>
                <w:sz w:val="20"/>
                <w:szCs w:val="20"/>
              </w:rPr>
            </w:pPr>
            <w:r w:rsidRPr="004746EA">
              <w:rPr>
                <w:sz w:val="20"/>
                <w:szCs w:val="20"/>
              </w:rPr>
              <w:t>%</w:t>
            </w:r>
          </w:p>
        </w:tc>
        <w:tc>
          <w:tcPr>
            <w:tcW w:w="862" w:type="pct"/>
            <w:tcBorders>
              <w:bottom w:val="single" w:sz="4" w:space="0" w:color="auto"/>
            </w:tcBorders>
            <w:shd w:val="clear" w:color="auto" w:fill="auto"/>
            <w:vAlign w:val="center"/>
          </w:tcPr>
          <w:p w:rsidR="00F419A5" w:rsidRPr="004746EA" w:rsidRDefault="00F419A5" w:rsidP="00C84485">
            <w:pPr>
              <w:snapToGrid w:val="0"/>
              <w:jc w:val="both"/>
              <w:outlineLvl w:val="0"/>
              <w:cnfStyle w:val="000000100000"/>
              <w:rPr>
                <w:sz w:val="20"/>
                <w:szCs w:val="20"/>
              </w:rPr>
            </w:pPr>
            <w:r w:rsidRPr="004746EA">
              <w:rPr>
                <w:sz w:val="20"/>
                <w:szCs w:val="20"/>
              </w:rPr>
              <w:t>n</w:t>
            </w:r>
          </w:p>
        </w:tc>
        <w:tc>
          <w:tcPr>
            <w:tcW w:w="171" w:type="pct"/>
            <w:gridSpan w:val="2"/>
            <w:tcBorders>
              <w:bottom w:val="single" w:sz="4" w:space="0" w:color="auto"/>
            </w:tcBorders>
            <w:shd w:val="clear" w:color="auto" w:fill="auto"/>
            <w:vAlign w:val="center"/>
          </w:tcPr>
          <w:p w:rsidR="00F419A5" w:rsidRPr="004746EA" w:rsidRDefault="00F419A5" w:rsidP="00C84485">
            <w:pPr>
              <w:snapToGrid w:val="0"/>
              <w:jc w:val="both"/>
              <w:outlineLvl w:val="0"/>
              <w:cnfStyle w:val="000000100000"/>
              <w:rPr>
                <w:sz w:val="20"/>
                <w:szCs w:val="20"/>
              </w:rPr>
            </w:pPr>
            <w:r w:rsidRPr="004746EA">
              <w:rPr>
                <w:sz w:val="20"/>
                <w:szCs w:val="20"/>
              </w:rPr>
              <w:t>%</w:t>
            </w:r>
          </w:p>
        </w:tc>
      </w:tr>
      <w:tr w:rsidR="00850745" w:rsidRPr="004746EA" w:rsidTr="00850745">
        <w:trPr>
          <w:jc w:val="center"/>
        </w:trPr>
        <w:tc>
          <w:tcPr>
            <w:cnfStyle w:val="001000000000"/>
            <w:tcW w:w="704" w:type="pct"/>
            <w:vMerge w:val="restart"/>
            <w:tcBorders>
              <w:top w:val="single" w:sz="4" w:space="0" w:color="auto"/>
            </w:tcBorders>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Non-diabetic</w:t>
            </w:r>
          </w:p>
        </w:tc>
        <w:tc>
          <w:tcPr>
            <w:tcW w:w="191" w:type="pct"/>
            <w:vMerge w:val="restart"/>
            <w:tcBorders>
              <w:top w:val="single" w:sz="4" w:space="0" w:color="auto"/>
            </w:tcBorders>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65</w:t>
            </w:r>
          </w:p>
        </w:tc>
        <w:tc>
          <w:tcPr>
            <w:tcW w:w="346" w:type="pct"/>
            <w:vMerge w:val="restart"/>
            <w:tcBorders>
              <w:top w:val="single" w:sz="4" w:space="0" w:color="auto"/>
            </w:tcBorders>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34</w:t>
            </w:r>
          </w:p>
        </w:tc>
        <w:tc>
          <w:tcPr>
            <w:tcW w:w="177" w:type="pct"/>
            <w:tcBorders>
              <w:top w:val="single" w:sz="4" w:space="0" w:color="auto"/>
            </w:tcBorders>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M</w:t>
            </w:r>
          </w:p>
        </w:tc>
        <w:tc>
          <w:tcPr>
            <w:tcW w:w="191" w:type="pct"/>
            <w:tcBorders>
              <w:top w:val="single" w:sz="4" w:space="0" w:color="auto"/>
            </w:tcBorders>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17</w:t>
            </w:r>
          </w:p>
        </w:tc>
        <w:tc>
          <w:tcPr>
            <w:tcW w:w="282" w:type="pct"/>
            <w:tcBorders>
              <w:top w:val="single" w:sz="4" w:space="0" w:color="auto"/>
            </w:tcBorders>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26.1</w:t>
            </w:r>
          </w:p>
        </w:tc>
        <w:tc>
          <w:tcPr>
            <w:tcW w:w="311" w:type="pct"/>
            <w:vMerge w:val="restart"/>
            <w:tcBorders>
              <w:top w:val="single" w:sz="4" w:space="0" w:color="auto"/>
            </w:tcBorders>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64</w:t>
            </w:r>
          </w:p>
        </w:tc>
        <w:tc>
          <w:tcPr>
            <w:tcW w:w="311" w:type="pct"/>
            <w:vMerge w:val="restart"/>
            <w:tcBorders>
              <w:top w:val="single" w:sz="4" w:space="0" w:color="auto"/>
            </w:tcBorders>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78</w:t>
            </w:r>
          </w:p>
        </w:tc>
        <w:tc>
          <w:tcPr>
            <w:tcW w:w="241" w:type="pct"/>
            <w:vMerge w:val="restart"/>
            <w:tcBorders>
              <w:top w:val="single" w:sz="4" w:space="0" w:color="auto"/>
            </w:tcBorders>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1</w:t>
            </w:r>
          </w:p>
        </w:tc>
        <w:tc>
          <w:tcPr>
            <w:tcW w:w="353" w:type="pct"/>
            <w:vMerge w:val="restart"/>
            <w:tcBorders>
              <w:top w:val="single" w:sz="4" w:space="0" w:color="auto"/>
            </w:tcBorders>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10</w:t>
            </w:r>
          </w:p>
        </w:tc>
        <w:tc>
          <w:tcPr>
            <w:tcW w:w="411" w:type="pct"/>
            <w:gridSpan w:val="2"/>
            <w:vMerge w:val="restart"/>
            <w:tcBorders>
              <w:top w:val="single" w:sz="4" w:space="0" w:color="auto"/>
            </w:tcBorders>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6</w:t>
            </w:r>
          </w:p>
        </w:tc>
        <w:tc>
          <w:tcPr>
            <w:tcW w:w="448" w:type="pct"/>
            <w:vMerge w:val="restart"/>
            <w:tcBorders>
              <w:top w:val="single" w:sz="4" w:space="0" w:color="auto"/>
            </w:tcBorders>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60</w:t>
            </w:r>
          </w:p>
        </w:tc>
        <w:tc>
          <w:tcPr>
            <w:tcW w:w="862" w:type="pct"/>
            <w:vMerge w:val="restart"/>
            <w:tcBorders>
              <w:top w:val="single" w:sz="4" w:space="0" w:color="auto"/>
            </w:tcBorders>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7</w:t>
            </w:r>
          </w:p>
        </w:tc>
        <w:tc>
          <w:tcPr>
            <w:tcW w:w="171" w:type="pct"/>
            <w:gridSpan w:val="2"/>
            <w:vMerge w:val="restart"/>
            <w:tcBorders>
              <w:top w:val="single" w:sz="4" w:space="0" w:color="auto"/>
            </w:tcBorders>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7</w:t>
            </w:r>
          </w:p>
        </w:tc>
      </w:tr>
      <w:tr w:rsidR="00850745" w:rsidRPr="004746EA" w:rsidTr="00850745">
        <w:trPr>
          <w:cnfStyle w:val="000000100000"/>
          <w:jc w:val="center"/>
        </w:trPr>
        <w:tc>
          <w:tcPr>
            <w:cnfStyle w:val="001000000000"/>
            <w:tcW w:w="704" w:type="pct"/>
            <w:vMerge/>
            <w:shd w:val="clear" w:color="auto" w:fill="auto"/>
            <w:vAlign w:val="center"/>
          </w:tcPr>
          <w:p w:rsidR="00F419A5" w:rsidRPr="004746EA" w:rsidRDefault="00F419A5" w:rsidP="00C84485">
            <w:pPr>
              <w:snapToGrid w:val="0"/>
              <w:jc w:val="both"/>
              <w:outlineLvl w:val="0"/>
              <w:rPr>
                <w:b w:val="0"/>
                <w:sz w:val="20"/>
                <w:szCs w:val="20"/>
              </w:rPr>
            </w:pPr>
          </w:p>
        </w:tc>
        <w:tc>
          <w:tcPr>
            <w:tcW w:w="191" w:type="pct"/>
            <w:vMerge/>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p>
        </w:tc>
        <w:tc>
          <w:tcPr>
            <w:tcW w:w="346" w:type="pct"/>
            <w:vMerge/>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p>
        </w:tc>
        <w:tc>
          <w:tcPr>
            <w:tcW w:w="177" w:type="pct"/>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r w:rsidRPr="004746EA">
              <w:rPr>
                <w:bCs/>
                <w:sz w:val="20"/>
                <w:szCs w:val="20"/>
              </w:rPr>
              <w:t>F</w:t>
            </w:r>
          </w:p>
        </w:tc>
        <w:tc>
          <w:tcPr>
            <w:tcW w:w="191" w:type="pct"/>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r w:rsidRPr="004746EA">
              <w:rPr>
                <w:bCs/>
                <w:sz w:val="20"/>
                <w:szCs w:val="20"/>
              </w:rPr>
              <w:t>48</w:t>
            </w:r>
          </w:p>
        </w:tc>
        <w:tc>
          <w:tcPr>
            <w:tcW w:w="282" w:type="pct"/>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r w:rsidRPr="004746EA">
              <w:rPr>
                <w:bCs/>
                <w:sz w:val="20"/>
                <w:szCs w:val="20"/>
              </w:rPr>
              <w:t>73.8</w:t>
            </w:r>
          </w:p>
        </w:tc>
        <w:tc>
          <w:tcPr>
            <w:tcW w:w="311" w:type="pct"/>
            <w:vMerge/>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p>
        </w:tc>
        <w:tc>
          <w:tcPr>
            <w:tcW w:w="311" w:type="pct"/>
            <w:vMerge/>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p>
        </w:tc>
        <w:tc>
          <w:tcPr>
            <w:tcW w:w="241" w:type="pct"/>
            <w:vMerge/>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p>
        </w:tc>
        <w:tc>
          <w:tcPr>
            <w:tcW w:w="353" w:type="pct"/>
            <w:vMerge/>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p>
        </w:tc>
        <w:tc>
          <w:tcPr>
            <w:tcW w:w="411" w:type="pct"/>
            <w:gridSpan w:val="2"/>
            <w:vMerge/>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p>
        </w:tc>
        <w:tc>
          <w:tcPr>
            <w:tcW w:w="448" w:type="pct"/>
            <w:vMerge/>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p>
        </w:tc>
        <w:tc>
          <w:tcPr>
            <w:tcW w:w="862" w:type="pct"/>
            <w:vMerge/>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p>
        </w:tc>
        <w:tc>
          <w:tcPr>
            <w:tcW w:w="171" w:type="pct"/>
            <w:gridSpan w:val="2"/>
            <w:vMerge/>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p>
        </w:tc>
      </w:tr>
      <w:tr w:rsidR="00850745" w:rsidRPr="004746EA" w:rsidTr="00850745">
        <w:trPr>
          <w:jc w:val="center"/>
        </w:trPr>
        <w:tc>
          <w:tcPr>
            <w:cnfStyle w:val="001000000000"/>
            <w:tcW w:w="704" w:type="pct"/>
            <w:vMerge w:val="restar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Diabetic</w:t>
            </w:r>
          </w:p>
        </w:tc>
        <w:tc>
          <w:tcPr>
            <w:tcW w:w="191" w:type="pct"/>
            <w:vMerge w:val="restart"/>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27</w:t>
            </w:r>
          </w:p>
        </w:tc>
        <w:tc>
          <w:tcPr>
            <w:tcW w:w="346" w:type="pct"/>
            <w:vMerge w:val="restart"/>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52</w:t>
            </w:r>
          </w:p>
        </w:tc>
        <w:tc>
          <w:tcPr>
            <w:tcW w:w="177" w:type="pct"/>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M</w:t>
            </w:r>
          </w:p>
        </w:tc>
        <w:tc>
          <w:tcPr>
            <w:tcW w:w="191" w:type="pct"/>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13</w:t>
            </w:r>
          </w:p>
        </w:tc>
        <w:tc>
          <w:tcPr>
            <w:tcW w:w="282" w:type="pct"/>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48.1</w:t>
            </w:r>
          </w:p>
        </w:tc>
        <w:tc>
          <w:tcPr>
            <w:tcW w:w="311" w:type="pct"/>
            <w:vMerge w:val="restart"/>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18</w:t>
            </w:r>
          </w:p>
        </w:tc>
        <w:tc>
          <w:tcPr>
            <w:tcW w:w="311" w:type="pct"/>
            <w:vMerge w:val="restart"/>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22</w:t>
            </w:r>
          </w:p>
        </w:tc>
        <w:tc>
          <w:tcPr>
            <w:tcW w:w="241" w:type="pct"/>
            <w:vMerge w:val="restart"/>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9</w:t>
            </w:r>
          </w:p>
        </w:tc>
        <w:tc>
          <w:tcPr>
            <w:tcW w:w="353" w:type="pct"/>
            <w:vMerge w:val="restart"/>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90</w:t>
            </w:r>
          </w:p>
        </w:tc>
        <w:tc>
          <w:tcPr>
            <w:tcW w:w="411" w:type="pct"/>
            <w:gridSpan w:val="2"/>
            <w:vMerge w:val="restart"/>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4</w:t>
            </w:r>
            <w:r w:rsidRPr="004746EA">
              <w:rPr>
                <w:bCs/>
                <w:sz w:val="20"/>
                <w:szCs w:val="20"/>
              </w:rPr>
              <w:tab/>
            </w:r>
          </w:p>
        </w:tc>
        <w:tc>
          <w:tcPr>
            <w:tcW w:w="448" w:type="pct"/>
            <w:vMerge w:val="restart"/>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40</w:t>
            </w:r>
          </w:p>
        </w:tc>
        <w:tc>
          <w:tcPr>
            <w:tcW w:w="862" w:type="pct"/>
            <w:vMerge w:val="restart"/>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0</w:t>
            </w:r>
          </w:p>
        </w:tc>
        <w:tc>
          <w:tcPr>
            <w:tcW w:w="171" w:type="pct"/>
            <w:gridSpan w:val="2"/>
            <w:vMerge w:val="restart"/>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0</w:t>
            </w:r>
          </w:p>
        </w:tc>
      </w:tr>
      <w:tr w:rsidR="00850745" w:rsidRPr="004746EA" w:rsidTr="00850745">
        <w:trPr>
          <w:cnfStyle w:val="000000100000"/>
          <w:jc w:val="center"/>
        </w:trPr>
        <w:tc>
          <w:tcPr>
            <w:cnfStyle w:val="001000000000"/>
            <w:tcW w:w="704" w:type="pct"/>
            <w:vMerge/>
            <w:shd w:val="clear" w:color="auto" w:fill="auto"/>
            <w:vAlign w:val="center"/>
          </w:tcPr>
          <w:p w:rsidR="00F419A5" w:rsidRPr="004746EA" w:rsidRDefault="00F419A5" w:rsidP="00C84485">
            <w:pPr>
              <w:snapToGrid w:val="0"/>
              <w:jc w:val="both"/>
              <w:outlineLvl w:val="0"/>
              <w:rPr>
                <w:b w:val="0"/>
                <w:sz w:val="20"/>
                <w:szCs w:val="20"/>
              </w:rPr>
            </w:pPr>
          </w:p>
        </w:tc>
        <w:tc>
          <w:tcPr>
            <w:tcW w:w="191" w:type="pct"/>
            <w:vMerge/>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p>
        </w:tc>
        <w:tc>
          <w:tcPr>
            <w:tcW w:w="346" w:type="pct"/>
            <w:vMerge/>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p>
        </w:tc>
        <w:tc>
          <w:tcPr>
            <w:tcW w:w="177" w:type="pct"/>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r w:rsidRPr="004746EA">
              <w:rPr>
                <w:bCs/>
                <w:sz w:val="20"/>
                <w:szCs w:val="20"/>
              </w:rPr>
              <w:t>F</w:t>
            </w:r>
          </w:p>
        </w:tc>
        <w:tc>
          <w:tcPr>
            <w:tcW w:w="191" w:type="pct"/>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r w:rsidRPr="004746EA">
              <w:rPr>
                <w:bCs/>
                <w:sz w:val="20"/>
                <w:szCs w:val="20"/>
              </w:rPr>
              <w:t>14</w:t>
            </w:r>
          </w:p>
        </w:tc>
        <w:tc>
          <w:tcPr>
            <w:tcW w:w="282" w:type="pct"/>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r w:rsidRPr="004746EA">
              <w:rPr>
                <w:bCs/>
                <w:sz w:val="20"/>
                <w:szCs w:val="20"/>
              </w:rPr>
              <w:t>51.8</w:t>
            </w:r>
          </w:p>
        </w:tc>
        <w:tc>
          <w:tcPr>
            <w:tcW w:w="311" w:type="pct"/>
            <w:vMerge/>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p>
        </w:tc>
        <w:tc>
          <w:tcPr>
            <w:tcW w:w="311" w:type="pct"/>
            <w:vMerge/>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p>
        </w:tc>
        <w:tc>
          <w:tcPr>
            <w:tcW w:w="241" w:type="pct"/>
            <w:vMerge/>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p>
        </w:tc>
        <w:tc>
          <w:tcPr>
            <w:tcW w:w="353" w:type="pct"/>
            <w:vMerge/>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p>
        </w:tc>
        <w:tc>
          <w:tcPr>
            <w:tcW w:w="411" w:type="pct"/>
            <w:gridSpan w:val="2"/>
            <w:vMerge/>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p>
        </w:tc>
        <w:tc>
          <w:tcPr>
            <w:tcW w:w="448" w:type="pct"/>
            <w:vMerge/>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p>
        </w:tc>
        <w:tc>
          <w:tcPr>
            <w:tcW w:w="862" w:type="pct"/>
            <w:vMerge/>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p>
        </w:tc>
        <w:tc>
          <w:tcPr>
            <w:tcW w:w="171" w:type="pct"/>
            <w:gridSpan w:val="2"/>
            <w:vMerge/>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p>
        </w:tc>
      </w:tr>
    </w:tbl>
    <w:p w:rsidR="00F419A5" w:rsidRPr="004746EA" w:rsidRDefault="00F419A5" w:rsidP="00C84485">
      <w:pPr>
        <w:snapToGrid w:val="0"/>
        <w:jc w:val="center"/>
        <w:outlineLvl w:val="0"/>
        <w:rPr>
          <w:b/>
          <w:bCs/>
          <w:sz w:val="20"/>
          <w:szCs w:val="20"/>
        </w:rPr>
      </w:pPr>
    </w:p>
    <w:p w:rsidR="00F419A5" w:rsidRPr="004746EA" w:rsidRDefault="00F419A5" w:rsidP="00C84485">
      <w:pPr>
        <w:snapToGrid w:val="0"/>
        <w:jc w:val="center"/>
        <w:outlineLvl w:val="0"/>
        <w:rPr>
          <w:b/>
          <w:bCs/>
          <w:sz w:val="20"/>
          <w:szCs w:val="20"/>
        </w:rPr>
      </w:pPr>
      <w:r w:rsidRPr="004746EA">
        <w:rPr>
          <w:b/>
          <w:bCs/>
          <w:sz w:val="20"/>
          <w:szCs w:val="20"/>
        </w:rPr>
        <w:t>Table 3. Relationship between BGL and delayed healing</w:t>
      </w:r>
    </w:p>
    <w:tbl>
      <w:tblPr>
        <w:tblStyle w:val="LightShading1"/>
        <w:tblW w:w="5000" w:type="pct"/>
        <w:jc w:val="center"/>
        <w:tblCellMar>
          <w:left w:w="57" w:type="dxa"/>
          <w:right w:w="57" w:type="dxa"/>
        </w:tblCellMar>
        <w:tblLook w:val="04A0"/>
      </w:tblPr>
      <w:tblGrid>
        <w:gridCol w:w="4101"/>
        <w:gridCol w:w="1591"/>
        <w:gridCol w:w="2327"/>
        <w:gridCol w:w="1455"/>
      </w:tblGrid>
      <w:tr w:rsidR="00F419A5" w:rsidRPr="004746EA" w:rsidTr="00850745">
        <w:trPr>
          <w:cnfStyle w:val="100000000000"/>
          <w:jc w:val="center"/>
        </w:trPr>
        <w:tc>
          <w:tcPr>
            <w:cnfStyle w:val="001000000000"/>
            <w:tcW w:w="2164" w:type="pc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BGL</w:t>
            </w:r>
          </w:p>
        </w:tc>
        <w:tc>
          <w:tcPr>
            <w:tcW w:w="839" w:type="pct"/>
            <w:shd w:val="clear" w:color="auto" w:fill="auto"/>
            <w:vAlign w:val="center"/>
          </w:tcPr>
          <w:p w:rsidR="00F419A5" w:rsidRPr="004746EA" w:rsidRDefault="00F419A5" w:rsidP="00C84485">
            <w:pPr>
              <w:snapToGrid w:val="0"/>
              <w:jc w:val="both"/>
              <w:outlineLvl w:val="0"/>
              <w:cnfStyle w:val="100000000000"/>
              <w:rPr>
                <w:b w:val="0"/>
                <w:sz w:val="20"/>
                <w:szCs w:val="20"/>
              </w:rPr>
            </w:pPr>
            <w:r w:rsidRPr="004746EA">
              <w:rPr>
                <w:b w:val="0"/>
                <w:sz w:val="20"/>
                <w:szCs w:val="20"/>
              </w:rPr>
              <w:t>Diabetic</w:t>
            </w:r>
          </w:p>
        </w:tc>
        <w:tc>
          <w:tcPr>
            <w:tcW w:w="1228" w:type="pct"/>
            <w:shd w:val="clear" w:color="auto" w:fill="auto"/>
            <w:vAlign w:val="center"/>
          </w:tcPr>
          <w:p w:rsidR="00F419A5" w:rsidRPr="004746EA" w:rsidRDefault="00F419A5" w:rsidP="00C84485">
            <w:pPr>
              <w:snapToGrid w:val="0"/>
              <w:jc w:val="both"/>
              <w:outlineLvl w:val="0"/>
              <w:cnfStyle w:val="100000000000"/>
              <w:rPr>
                <w:b w:val="0"/>
                <w:sz w:val="20"/>
                <w:szCs w:val="20"/>
              </w:rPr>
            </w:pPr>
            <w:r w:rsidRPr="004746EA">
              <w:rPr>
                <w:b w:val="0"/>
                <w:sz w:val="20"/>
                <w:szCs w:val="20"/>
              </w:rPr>
              <w:t>Non-diabetic</w:t>
            </w:r>
          </w:p>
        </w:tc>
        <w:tc>
          <w:tcPr>
            <w:tcW w:w="768" w:type="pct"/>
            <w:vAlign w:val="center"/>
          </w:tcPr>
          <w:p w:rsidR="00F419A5" w:rsidRPr="004746EA" w:rsidRDefault="00F419A5" w:rsidP="00C84485">
            <w:pPr>
              <w:snapToGrid w:val="0"/>
              <w:jc w:val="both"/>
              <w:outlineLvl w:val="0"/>
              <w:cnfStyle w:val="100000000000"/>
              <w:rPr>
                <w:b w:val="0"/>
                <w:sz w:val="20"/>
                <w:szCs w:val="20"/>
              </w:rPr>
            </w:pPr>
            <w:r w:rsidRPr="004746EA">
              <w:rPr>
                <w:b w:val="0"/>
                <w:sz w:val="20"/>
                <w:szCs w:val="20"/>
              </w:rPr>
              <w:t>P-value</w:t>
            </w:r>
          </w:p>
        </w:tc>
      </w:tr>
      <w:tr w:rsidR="00F419A5" w:rsidRPr="004746EA" w:rsidTr="00850745">
        <w:trPr>
          <w:cnfStyle w:val="000000100000"/>
          <w:jc w:val="center"/>
        </w:trPr>
        <w:tc>
          <w:tcPr>
            <w:cnfStyle w:val="001000000000"/>
            <w:tcW w:w="2164" w:type="pc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180 mg/dL or less</w:t>
            </w:r>
          </w:p>
        </w:tc>
        <w:tc>
          <w:tcPr>
            <w:tcW w:w="839" w:type="pct"/>
            <w:shd w:val="clear" w:color="auto" w:fill="auto"/>
            <w:vAlign w:val="center"/>
          </w:tcPr>
          <w:p w:rsidR="00F419A5" w:rsidRPr="004746EA" w:rsidRDefault="00F419A5" w:rsidP="00C84485">
            <w:pPr>
              <w:snapToGrid w:val="0"/>
              <w:jc w:val="both"/>
              <w:outlineLvl w:val="0"/>
              <w:cnfStyle w:val="000000100000"/>
              <w:rPr>
                <w:sz w:val="20"/>
                <w:szCs w:val="20"/>
              </w:rPr>
            </w:pPr>
            <w:r w:rsidRPr="004746EA">
              <w:rPr>
                <w:sz w:val="20"/>
                <w:szCs w:val="20"/>
              </w:rPr>
              <w:t>0 (0%)</w:t>
            </w:r>
          </w:p>
        </w:tc>
        <w:tc>
          <w:tcPr>
            <w:tcW w:w="1228" w:type="pct"/>
            <w:shd w:val="clear" w:color="auto" w:fill="auto"/>
            <w:vAlign w:val="center"/>
          </w:tcPr>
          <w:p w:rsidR="00F419A5" w:rsidRPr="004746EA" w:rsidRDefault="00F419A5" w:rsidP="00C84485">
            <w:pPr>
              <w:snapToGrid w:val="0"/>
              <w:jc w:val="both"/>
              <w:outlineLvl w:val="0"/>
              <w:cnfStyle w:val="000000100000"/>
              <w:rPr>
                <w:sz w:val="20"/>
                <w:szCs w:val="20"/>
              </w:rPr>
            </w:pPr>
            <w:r w:rsidRPr="004746EA">
              <w:rPr>
                <w:sz w:val="20"/>
                <w:szCs w:val="20"/>
              </w:rPr>
              <w:t>6 (7.3%)</w:t>
            </w:r>
          </w:p>
        </w:tc>
        <w:tc>
          <w:tcPr>
            <w:tcW w:w="768" w:type="pct"/>
            <w:vMerge w:val="restart"/>
            <w:shd w:val="clear" w:color="auto" w:fill="auto"/>
            <w:vAlign w:val="center"/>
          </w:tcPr>
          <w:p w:rsidR="00F419A5" w:rsidRPr="004746EA" w:rsidRDefault="00F419A5" w:rsidP="00C84485">
            <w:pPr>
              <w:snapToGrid w:val="0"/>
              <w:jc w:val="both"/>
              <w:outlineLvl w:val="0"/>
              <w:cnfStyle w:val="000000100000"/>
              <w:rPr>
                <w:sz w:val="20"/>
                <w:szCs w:val="20"/>
              </w:rPr>
            </w:pPr>
            <w:r w:rsidRPr="004746EA">
              <w:rPr>
                <w:sz w:val="20"/>
                <w:szCs w:val="20"/>
              </w:rPr>
              <w:t>0.763</w:t>
            </w:r>
          </w:p>
        </w:tc>
      </w:tr>
      <w:tr w:rsidR="00F419A5" w:rsidRPr="004746EA" w:rsidTr="00850745">
        <w:trPr>
          <w:jc w:val="center"/>
        </w:trPr>
        <w:tc>
          <w:tcPr>
            <w:cnfStyle w:val="001000000000"/>
            <w:tcW w:w="2164" w:type="pc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 xml:space="preserve">Greater than 180 mg/dL </w:t>
            </w:r>
          </w:p>
        </w:tc>
        <w:tc>
          <w:tcPr>
            <w:tcW w:w="839" w:type="pct"/>
            <w:shd w:val="clear" w:color="auto" w:fill="auto"/>
            <w:vAlign w:val="center"/>
          </w:tcPr>
          <w:p w:rsidR="00F419A5" w:rsidRPr="004746EA" w:rsidRDefault="00F419A5" w:rsidP="00C84485">
            <w:pPr>
              <w:snapToGrid w:val="0"/>
              <w:jc w:val="both"/>
              <w:outlineLvl w:val="0"/>
              <w:cnfStyle w:val="000000000000"/>
              <w:rPr>
                <w:sz w:val="20"/>
                <w:szCs w:val="20"/>
              </w:rPr>
            </w:pPr>
            <w:r w:rsidRPr="004746EA">
              <w:rPr>
                <w:sz w:val="20"/>
                <w:szCs w:val="20"/>
              </w:rPr>
              <w:t>0 (0%)</w:t>
            </w:r>
          </w:p>
        </w:tc>
        <w:tc>
          <w:tcPr>
            <w:tcW w:w="1228" w:type="pct"/>
            <w:shd w:val="clear" w:color="auto" w:fill="auto"/>
            <w:vAlign w:val="center"/>
          </w:tcPr>
          <w:p w:rsidR="00F419A5" w:rsidRPr="004746EA" w:rsidRDefault="00F419A5" w:rsidP="00C84485">
            <w:pPr>
              <w:snapToGrid w:val="0"/>
              <w:jc w:val="both"/>
              <w:outlineLvl w:val="0"/>
              <w:cnfStyle w:val="000000000000"/>
              <w:rPr>
                <w:sz w:val="20"/>
                <w:szCs w:val="20"/>
              </w:rPr>
            </w:pPr>
            <w:r w:rsidRPr="004746EA">
              <w:rPr>
                <w:sz w:val="20"/>
                <w:szCs w:val="20"/>
              </w:rPr>
              <w:t>1 (10%)</w:t>
            </w:r>
          </w:p>
        </w:tc>
        <w:tc>
          <w:tcPr>
            <w:tcW w:w="768" w:type="pct"/>
            <w:vMerge/>
            <w:shd w:val="clear" w:color="auto" w:fill="auto"/>
            <w:vAlign w:val="center"/>
          </w:tcPr>
          <w:p w:rsidR="00F419A5" w:rsidRPr="004746EA" w:rsidRDefault="00F419A5" w:rsidP="00C84485">
            <w:pPr>
              <w:snapToGrid w:val="0"/>
              <w:jc w:val="both"/>
              <w:outlineLvl w:val="0"/>
              <w:cnfStyle w:val="000000000000"/>
              <w:rPr>
                <w:sz w:val="20"/>
                <w:szCs w:val="20"/>
              </w:rPr>
            </w:pPr>
          </w:p>
        </w:tc>
      </w:tr>
    </w:tbl>
    <w:p w:rsidR="00F419A5" w:rsidRPr="004746EA" w:rsidRDefault="00F419A5" w:rsidP="00C84485">
      <w:pPr>
        <w:snapToGrid w:val="0"/>
        <w:jc w:val="center"/>
        <w:outlineLvl w:val="0"/>
        <w:rPr>
          <w:b/>
          <w:bCs/>
          <w:sz w:val="20"/>
          <w:szCs w:val="20"/>
        </w:rPr>
      </w:pPr>
    </w:p>
    <w:p w:rsidR="00F419A5" w:rsidRPr="004746EA" w:rsidRDefault="00F419A5" w:rsidP="00C84485">
      <w:pPr>
        <w:snapToGrid w:val="0"/>
        <w:jc w:val="center"/>
        <w:outlineLvl w:val="0"/>
        <w:rPr>
          <w:b/>
          <w:bCs/>
          <w:sz w:val="20"/>
          <w:szCs w:val="20"/>
        </w:rPr>
      </w:pPr>
      <w:r w:rsidRPr="004746EA">
        <w:rPr>
          <w:b/>
          <w:bCs/>
          <w:sz w:val="20"/>
          <w:szCs w:val="20"/>
        </w:rPr>
        <w:t>Table 4. Distribution (%) of operators who performed the extraction</w:t>
      </w:r>
    </w:p>
    <w:tbl>
      <w:tblPr>
        <w:tblStyle w:val="LightShading1"/>
        <w:tblW w:w="5000" w:type="pct"/>
        <w:jc w:val="center"/>
        <w:tblCellMar>
          <w:left w:w="57" w:type="dxa"/>
          <w:right w:w="57" w:type="dxa"/>
        </w:tblCellMar>
        <w:tblLook w:val="04A0"/>
      </w:tblPr>
      <w:tblGrid>
        <w:gridCol w:w="5626"/>
        <w:gridCol w:w="3848"/>
      </w:tblGrid>
      <w:tr w:rsidR="00F419A5" w:rsidRPr="004746EA" w:rsidTr="00850745">
        <w:trPr>
          <w:cnfStyle w:val="100000000000"/>
          <w:jc w:val="center"/>
        </w:trPr>
        <w:tc>
          <w:tcPr>
            <w:cnfStyle w:val="001000000000"/>
            <w:tcW w:w="2969" w:type="pct"/>
            <w:vAlign w:val="center"/>
          </w:tcPr>
          <w:p w:rsidR="00F419A5" w:rsidRPr="004746EA" w:rsidRDefault="00F419A5" w:rsidP="00C84485">
            <w:pPr>
              <w:snapToGrid w:val="0"/>
              <w:jc w:val="both"/>
              <w:outlineLvl w:val="0"/>
              <w:rPr>
                <w:b w:val="0"/>
                <w:sz w:val="20"/>
                <w:szCs w:val="20"/>
              </w:rPr>
            </w:pPr>
            <w:r w:rsidRPr="004746EA">
              <w:rPr>
                <w:b w:val="0"/>
                <w:sz w:val="20"/>
                <w:szCs w:val="20"/>
              </w:rPr>
              <w:t>Operator</w:t>
            </w:r>
          </w:p>
        </w:tc>
        <w:tc>
          <w:tcPr>
            <w:tcW w:w="2031" w:type="pct"/>
            <w:vAlign w:val="center"/>
          </w:tcPr>
          <w:p w:rsidR="00F419A5" w:rsidRPr="004746EA" w:rsidRDefault="00F419A5" w:rsidP="00C84485">
            <w:pPr>
              <w:snapToGrid w:val="0"/>
              <w:jc w:val="both"/>
              <w:outlineLvl w:val="0"/>
              <w:cnfStyle w:val="100000000000"/>
              <w:rPr>
                <w:b w:val="0"/>
                <w:sz w:val="20"/>
                <w:szCs w:val="20"/>
              </w:rPr>
            </w:pPr>
            <w:r w:rsidRPr="004746EA">
              <w:rPr>
                <w:b w:val="0"/>
                <w:sz w:val="20"/>
                <w:szCs w:val="20"/>
              </w:rPr>
              <w:t>Number (%)</w:t>
            </w:r>
          </w:p>
        </w:tc>
      </w:tr>
      <w:tr w:rsidR="00F419A5" w:rsidRPr="004746EA" w:rsidTr="00850745">
        <w:trPr>
          <w:cnfStyle w:val="000000100000"/>
          <w:jc w:val="center"/>
        </w:trPr>
        <w:tc>
          <w:tcPr>
            <w:cnfStyle w:val="001000000000"/>
            <w:tcW w:w="2969" w:type="pc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Staff</w:t>
            </w:r>
          </w:p>
        </w:tc>
        <w:tc>
          <w:tcPr>
            <w:tcW w:w="2031" w:type="pct"/>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r w:rsidRPr="004746EA">
              <w:rPr>
                <w:bCs/>
                <w:sz w:val="20"/>
                <w:szCs w:val="20"/>
              </w:rPr>
              <w:t>5 (5.4)</w:t>
            </w:r>
          </w:p>
        </w:tc>
      </w:tr>
      <w:tr w:rsidR="00F419A5" w:rsidRPr="004746EA" w:rsidTr="00850745">
        <w:trPr>
          <w:jc w:val="center"/>
        </w:trPr>
        <w:tc>
          <w:tcPr>
            <w:cnfStyle w:val="001000000000"/>
            <w:tcW w:w="2969" w:type="pc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Interns</w:t>
            </w:r>
          </w:p>
        </w:tc>
        <w:tc>
          <w:tcPr>
            <w:tcW w:w="2031" w:type="pct"/>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17 (18.5)</w:t>
            </w:r>
          </w:p>
        </w:tc>
      </w:tr>
      <w:tr w:rsidR="00F419A5" w:rsidRPr="004746EA" w:rsidTr="00850745">
        <w:trPr>
          <w:cnfStyle w:val="000000100000"/>
          <w:jc w:val="center"/>
        </w:trPr>
        <w:tc>
          <w:tcPr>
            <w:cnfStyle w:val="001000000000"/>
            <w:tcW w:w="2969" w:type="pc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Sixth year students</w:t>
            </w:r>
          </w:p>
        </w:tc>
        <w:tc>
          <w:tcPr>
            <w:tcW w:w="2031" w:type="pct"/>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r w:rsidRPr="004746EA">
              <w:rPr>
                <w:bCs/>
                <w:sz w:val="20"/>
                <w:szCs w:val="20"/>
              </w:rPr>
              <w:t>31 (33.7)</w:t>
            </w:r>
          </w:p>
        </w:tc>
      </w:tr>
      <w:tr w:rsidR="00F419A5" w:rsidRPr="004746EA" w:rsidTr="00850745">
        <w:trPr>
          <w:jc w:val="center"/>
        </w:trPr>
        <w:tc>
          <w:tcPr>
            <w:cnfStyle w:val="001000000000"/>
            <w:tcW w:w="2969" w:type="pc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Fifth year students</w:t>
            </w:r>
          </w:p>
        </w:tc>
        <w:tc>
          <w:tcPr>
            <w:tcW w:w="2031" w:type="pct"/>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39 (42.4)</w:t>
            </w:r>
          </w:p>
        </w:tc>
      </w:tr>
      <w:tr w:rsidR="00F419A5" w:rsidRPr="004746EA" w:rsidTr="00850745">
        <w:trPr>
          <w:cnfStyle w:val="000000100000"/>
          <w:jc w:val="center"/>
        </w:trPr>
        <w:tc>
          <w:tcPr>
            <w:cnfStyle w:val="001000000000"/>
            <w:tcW w:w="2969" w:type="pc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Total</w:t>
            </w:r>
          </w:p>
        </w:tc>
        <w:tc>
          <w:tcPr>
            <w:tcW w:w="2031" w:type="pct"/>
            <w:shd w:val="clear" w:color="auto" w:fill="auto"/>
            <w:vAlign w:val="center"/>
          </w:tcPr>
          <w:p w:rsidR="00F419A5" w:rsidRPr="004746EA" w:rsidRDefault="00F419A5" w:rsidP="00C84485">
            <w:pPr>
              <w:snapToGrid w:val="0"/>
              <w:jc w:val="both"/>
              <w:cnfStyle w:val="000000100000"/>
              <w:rPr>
                <w:bCs/>
                <w:sz w:val="20"/>
                <w:szCs w:val="20"/>
              </w:rPr>
            </w:pPr>
            <w:r w:rsidRPr="004746EA">
              <w:rPr>
                <w:bCs/>
                <w:sz w:val="20"/>
                <w:szCs w:val="20"/>
              </w:rPr>
              <w:t>92 (100)</w:t>
            </w:r>
          </w:p>
        </w:tc>
      </w:tr>
    </w:tbl>
    <w:p w:rsidR="00F419A5" w:rsidRPr="004746EA" w:rsidRDefault="00F419A5" w:rsidP="00C84485">
      <w:pPr>
        <w:snapToGrid w:val="0"/>
        <w:jc w:val="center"/>
        <w:outlineLvl w:val="0"/>
        <w:rPr>
          <w:b/>
          <w:bCs/>
          <w:sz w:val="20"/>
          <w:szCs w:val="20"/>
        </w:rPr>
      </w:pPr>
    </w:p>
    <w:p w:rsidR="00F419A5" w:rsidRPr="004746EA" w:rsidRDefault="00F419A5" w:rsidP="00C84485">
      <w:pPr>
        <w:snapToGrid w:val="0"/>
        <w:jc w:val="center"/>
        <w:outlineLvl w:val="0"/>
        <w:rPr>
          <w:b/>
          <w:bCs/>
          <w:sz w:val="20"/>
          <w:szCs w:val="20"/>
        </w:rPr>
      </w:pPr>
      <w:r w:rsidRPr="004746EA">
        <w:rPr>
          <w:b/>
          <w:bCs/>
          <w:sz w:val="20"/>
          <w:szCs w:val="20"/>
        </w:rPr>
        <w:t>Table 5. Distribution (%) of operators who performed the extraction in relation to healing status</w:t>
      </w:r>
    </w:p>
    <w:tbl>
      <w:tblPr>
        <w:tblStyle w:val="LightShading1"/>
        <w:tblW w:w="5000" w:type="pct"/>
        <w:jc w:val="center"/>
        <w:tblCellMar>
          <w:left w:w="57" w:type="dxa"/>
          <w:right w:w="57" w:type="dxa"/>
        </w:tblCellMar>
        <w:tblLook w:val="04A0"/>
      </w:tblPr>
      <w:tblGrid>
        <w:gridCol w:w="2541"/>
        <w:gridCol w:w="2228"/>
        <w:gridCol w:w="2272"/>
        <w:gridCol w:w="1239"/>
        <w:gridCol w:w="1194"/>
      </w:tblGrid>
      <w:tr w:rsidR="00F419A5" w:rsidRPr="004746EA" w:rsidTr="00850745">
        <w:trPr>
          <w:cnfStyle w:val="100000000000"/>
          <w:jc w:val="center"/>
        </w:trPr>
        <w:tc>
          <w:tcPr>
            <w:cnfStyle w:val="001000000000"/>
            <w:tcW w:w="1341" w:type="pct"/>
            <w:vMerge w:val="restart"/>
            <w:tcBorders>
              <w:bottom w:val="single" w:sz="4" w:space="0" w:color="auto"/>
            </w:tcBorders>
            <w:vAlign w:val="center"/>
          </w:tcPr>
          <w:p w:rsidR="00F419A5" w:rsidRPr="004746EA" w:rsidRDefault="00F419A5" w:rsidP="00C84485">
            <w:pPr>
              <w:snapToGrid w:val="0"/>
              <w:jc w:val="both"/>
              <w:outlineLvl w:val="0"/>
              <w:rPr>
                <w:b w:val="0"/>
                <w:bCs w:val="0"/>
                <w:sz w:val="20"/>
                <w:szCs w:val="20"/>
              </w:rPr>
            </w:pPr>
            <w:r w:rsidRPr="004746EA">
              <w:rPr>
                <w:b w:val="0"/>
                <w:bCs w:val="0"/>
                <w:sz w:val="20"/>
                <w:szCs w:val="20"/>
              </w:rPr>
              <w:t>Operator</w:t>
            </w:r>
          </w:p>
        </w:tc>
        <w:tc>
          <w:tcPr>
            <w:tcW w:w="2375" w:type="pct"/>
            <w:gridSpan w:val="2"/>
            <w:tcBorders>
              <w:bottom w:val="single" w:sz="4" w:space="0" w:color="auto"/>
            </w:tcBorders>
            <w:vAlign w:val="center"/>
          </w:tcPr>
          <w:p w:rsidR="00F419A5" w:rsidRPr="004746EA" w:rsidRDefault="00F419A5" w:rsidP="00C84485">
            <w:pPr>
              <w:snapToGrid w:val="0"/>
              <w:jc w:val="both"/>
              <w:outlineLvl w:val="0"/>
              <w:cnfStyle w:val="100000000000"/>
              <w:rPr>
                <w:b w:val="0"/>
                <w:bCs w:val="0"/>
                <w:sz w:val="20"/>
                <w:szCs w:val="20"/>
              </w:rPr>
            </w:pPr>
            <w:r w:rsidRPr="004746EA">
              <w:rPr>
                <w:b w:val="0"/>
                <w:bCs w:val="0"/>
                <w:sz w:val="20"/>
                <w:szCs w:val="20"/>
              </w:rPr>
              <w:t>Healing Status</w:t>
            </w:r>
          </w:p>
        </w:tc>
        <w:tc>
          <w:tcPr>
            <w:tcW w:w="654" w:type="pct"/>
            <w:vMerge w:val="restart"/>
            <w:tcBorders>
              <w:bottom w:val="single" w:sz="4" w:space="0" w:color="auto"/>
            </w:tcBorders>
            <w:vAlign w:val="center"/>
          </w:tcPr>
          <w:p w:rsidR="00F419A5" w:rsidRPr="004746EA" w:rsidRDefault="00F419A5" w:rsidP="00C84485">
            <w:pPr>
              <w:snapToGrid w:val="0"/>
              <w:jc w:val="both"/>
              <w:outlineLvl w:val="0"/>
              <w:cnfStyle w:val="100000000000"/>
              <w:rPr>
                <w:b w:val="0"/>
                <w:bCs w:val="0"/>
                <w:sz w:val="20"/>
                <w:szCs w:val="20"/>
              </w:rPr>
            </w:pPr>
            <w:r w:rsidRPr="004746EA">
              <w:rPr>
                <w:b w:val="0"/>
                <w:bCs w:val="0"/>
                <w:sz w:val="20"/>
                <w:szCs w:val="20"/>
              </w:rPr>
              <w:t>Total</w:t>
            </w:r>
          </w:p>
        </w:tc>
        <w:tc>
          <w:tcPr>
            <w:tcW w:w="631" w:type="pct"/>
            <w:vMerge w:val="restart"/>
            <w:tcBorders>
              <w:bottom w:val="single" w:sz="4" w:space="0" w:color="auto"/>
            </w:tcBorders>
            <w:vAlign w:val="center"/>
          </w:tcPr>
          <w:p w:rsidR="00F419A5" w:rsidRPr="004746EA" w:rsidRDefault="00F419A5" w:rsidP="00C84485">
            <w:pPr>
              <w:snapToGrid w:val="0"/>
              <w:jc w:val="both"/>
              <w:outlineLvl w:val="0"/>
              <w:cnfStyle w:val="100000000000"/>
              <w:rPr>
                <w:b w:val="0"/>
                <w:bCs w:val="0"/>
                <w:sz w:val="20"/>
                <w:szCs w:val="20"/>
              </w:rPr>
            </w:pPr>
            <w:r w:rsidRPr="004746EA">
              <w:rPr>
                <w:b w:val="0"/>
                <w:bCs w:val="0"/>
                <w:sz w:val="20"/>
                <w:szCs w:val="20"/>
              </w:rPr>
              <w:t>P-Value</w:t>
            </w:r>
          </w:p>
        </w:tc>
      </w:tr>
      <w:tr w:rsidR="00F419A5" w:rsidRPr="004746EA" w:rsidTr="00850745">
        <w:trPr>
          <w:cnfStyle w:val="000000100000"/>
          <w:jc w:val="center"/>
        </w:trPr>
        <w:tc>
          <w:tcPr>
            <w:cnfStyle w:val="001000000000"/>
            <w:tcW w:w="1341" w:type="pct"/>
            <w:vMerge/>
            <w:tcBorders>
              <w:top w:val="single" w:sz="4" w:space="0" w:color="auto"/>
              <w:bottom w:val="single" w:sz="4" w:space="0" w:color="auto"/>
            </w:tcBorders>
            <w:vAlign w:val="center"/>
          </w:tcPr>
          <w:p w:rsidR="00F419A5" w:rsidRPr="004746EA" w:rsidRDefault="00F419A5" w:rsidP="00C84485">
            <w:pPr>
              <w:snapToGrid w:val="0"/>
              <w:jc w:val="both"/>
              <w:outlineLvl w:val="0"/>
              <w:rPr>
                <w:b w:val="0"/>
                <w:bCs w:val="0"/>
                <w:sz w:val="20"/>
                <w:szCs w:val="20"/>
              </w:rPr>
            </w:pPr>
          </w:p>
        </w:tc>
        <w:tc>
          <w:tcPr>
            <w:tcW w:w="1176" w:type="pct"/>
            <w:tcBorders>
              <w:top w:val="single" w:sz="4" w:space="0" w:color="auto"/>
              <w:bottom w:val="single" w:sz="4" w:space="0" w:color="auto"/>
            </w:tcBorders>
            <w:shd w:val="clear" w:color="auto" w:fill="auto"/>
            <w:vAlign w:val="center"/>
          </w:tcPr>
          <w:p w:rsidR="00F419A5" w:rsidRPr="004746EA" w:rsidRDefault="00F419A5" w:rsidP="00C84485">
            <w:pPr>
              <w:snapToGrid w:val="0"/>
              <w:jc w:val="both"/>
              <w:outlineLvl w:val="0"/>
              <w:cnfStyle w:val="000000100000"/>
              <w:rPr>
                <w:bCs/>
                <w:sz w:val="20"/>
                <w:szCs w:val="20"/>
              </w:rPr>
            </w:pPr>
            <w:r w:rsidRPr="004746EA">
              <w:rPr>
                <w:bCs/>
                <w:sz w:val="20"/>
                <w:szCs w:val="20"/>
              </w:rPr>
              <w:t>Epithelialization</w:t>
            </w:r>
          </w:p>
        </w:tc>
        <w:tc>
          <w:tcPr>
            <w:tcW w:w="1199" w:type="pct"/>
            <w:tcBorders>
              <w:top w:val="single" w:sz="4" w:space="0" w:color="auto"/>
              <w:bottom w:val="single" w:sz="4" w:space="0" w:color="auto"/>
            </w:tcBorders>
            <w:shd w:val="clear" w:color="auto" w:fill="auto"/>
            <w:vAlign w:val="center"/>
          </w:tcPr>
          <w:p w:rsidR="00F419A5" w:rsidRPr="004746EA" w:rsidRDefault="00F419A5" w:rsidP="00C84485">
            <w:pPr>
              <w:snapToGrid w:val="0"/>
              <w:jc w:val="both"/>
              <w:outlineLvl w:val="0"/>
              <w:cnfStyle w:val="000000100000"/>
              <w:rPr>
                <w:bCs/>
                <w:sz w:val="20"/>
                <w:szCs w:val="20"/>
              </w:rPr>
            </w:pPr>
            <w:r w:rsidRPr="004746EA">
              <w:rPr>
                <w:bCs/>
                <w:sz w:val="20"/>
                <w:szCs w:val="20"/>
              </w:rPr>
              <w:t>Delayed Healing</w:t>
            </w:r>
          </w:p>
        </w:tc>
        <w:tc>
          <w:tcPr>
            <w:tcW w:w="654" w:type="pct"/>
            <w:vMerge/>
            <w:tcBorders>
              <w:top w:val="single" w:sz="4" w:space="0" w:color="auto"/>
              <w:bottom w:val="single" w:sz="4" w:space="0" w:color="auto"/>
            </w:tcBorders>
            <w:vAlign w:val="center"/>
          </w:tcPr>
          <w:p w:rsidR="00F419A5" w:rsidRPr="004746EA" w:rsidRDefault="00F419A5" w:rsidP="00C84485">
            <w:pPr>
              <w:snapToGrid w:val="0"/>
              <w:jc w:val="both"/>
              <w:outlineLvl w:val="0"/>
              <w:cnfStyle w:val="000000100000"/>
              <w:rPr>
                <w:bCs/>
                <w:sz w:val="20"/>
                <w:szCs w:val="20"/>
              </w:rPr>
            </w:pPr>
          </w:p>
        </w:tc>
        <w:tc>
          <w:tcPr>
            <w:tcW w:w="631" w:type="pct"/>
            <w:vMerge/>
            <w:tcBorders>
              <w:top w:val="single" w:sz="4" w:space="0" w:color="auto"/>
              <w:bottom w:val="single" w:sz="4" w:space="0" w:color="auto"/>
            </w:tcBorders>
            <w:vAlign w:val="center"/>
          </w:tcPr>
          <w:p w:rsidR="00F419A5" w:rsidRPr="004746EA" w:rsidRDefault="00F419A5" w:rsidP="00C84485">
            <w:pPr>
              <w:snapToGrid w:val="0"/>
              <w:jc w:val="both"/>
              <w:outlineLvl w:val="0"/>
              <w:cnfStyle w:val="000000100000"/>
              <w:rPr>
                <w:bCs/>
                <w:sz w:val="20"/>
                <w:szCs w:val="20"/>
              </w:rPr>
            </w:pPr>
          </w:p>
        </w:tc>
      </w:tr>
      <w:tr w:rsidR="00F419A5" w:rsidRPr="004746EA" w:rsidTr="00850745">
        <w:trPr>
          <w:jc w:val="center"/>
        </w:trPr>
        <w:tc>
          <w:tcPr>
            <w:cnfStyle w:val="001000000000"/>
            <w:tcW w:w="1341" w:type="pct"/>
            <w:tcBorders>
              <w:top w:val="single" w:sz="4" w:space="0" w:color="auto"/>
              <w:bottom w:val="nil"/>
            </w:tcBorders>
            <w:shd w:val="clear" w:color="auto" w:fill="auto"/>
            <w:vAlign w:val="center"/>
          </w:tcPr>
          <w:p w:rsidR="00F419A5" w:rsidRPr="004746EA" w:rsidRDefault="00F419A5" w:rsidP="00C84485">
            <w:pPr>
              <w:snapToGrid w:val="0"/>
              <w:jc w:val="both"/>
              <w:outlineLvl w:val="0"/>
              <w:rPr>
                <w:b w:val="0"/>
                <w:bCs w:val="0"/>
                <w:sz w:val="20"/>
                <w:szCs w:val="20"/>
              </w:rPr>
            </w:pPr>
            <w:r w:rsidRPr="004746EA">
              <w:rPr>
                <w:b w:val="0"/>
                <w:bCs w:val="0"/>
                <w:sz w:val="20"/>
                <w:szCs w:val="20"/>
              </w:rPr>
              <w:t>Staff</w:t>
            </w:r>
          </w:p>
        </w:tc>
        <w:tc>
          <w:tcPr>
            <w:tcW w:w="1176" w:type="pct"/>
            <w:tcBorders>
              <w:top w:val="single" w:sz="4" w:space="0" w:color="auto"/>
              <w:bottom w:val="nil"/>
            </w:tcBorders>
            <w:shd w:val="clear" w:color="auto" w:fill="auto"/>
            <w:vAlign w:val="center"/>
          </w:tcPr>
          <w:p w:rsidR="00F419A5" w:rsidRPr="004746EA" w:rsidRDefault="00F419A5" w:rsidP="00C84485">
            <w:pPr>
              <w:snapToGrid w:val="0"/>
              <w:jc w:val="both"/>
              <w:outlineLvl w:val="0"/>
              <w:cnfStyle w:val="000000000000"/>
              <w:rPr>
                <w:bCs/>
                <w:sz w:val="20"/>
                <w:szCs w:val="20"/>
              </w:rPr>
            </w:pPr>
            <w:r w:rsidRPr="004746EA">
              <w:rPr>
                <w:bCs/>
                <w:sz w:val="20"/>
                <w:szCs w:val="20"/>
              </w:rPr>
              <w:t>5 (100)</w:t>
            </w:r>
          </w:p>
        </w:tc>
        <w:tc>
          <w:tcPr>
            <w:tcW w:w="1199" w:type="pct"/>
            <w:tcBorders>
              <w:top w:val="single" w:sz="4" w:space="0" w:color="auto"/>
              <w:bottom w:val="nil"/>
            </w:tcBorders>
            <w:shd w:val="clear" w:color="auto" w:fill="auto"/>
            <w:vAlign w:val="center"/>
          </w:tcPr>
          <w:p w:rsidR="00F419A5" w:rsidRPr="004746EA" w:rsidRDefault="00F419A5" w:rsidP="00C84485">
            <w:pPr>
              <w:snapToGrid w:val="0"/>
              <w:jc w:val="both"/>
              <w:outlineLvl w:val="0"/>
              <w:cnfStyle w:val="000000000000"/>
              <w:rPr>
                <w:bCs/>
                <w:sz w:val="20"/>
                <w:szCs w:val="20"/>
              </w:rPr>
            </w:pPr>
            <w:r w:rsidRPr="004746EA">
              <w:rPr>
                <w:bCs/>
                <w:sz w:val="20"/>
                <w:szCs w:val="20"/>
              </w:rPr>
              <w:t>0 (0.0)</w:t>
            </w:r>
          </w:p>
        </w:tc>
        <w:tc>
          <w:tcPr>
            <w:tcW w:w="654" w:type="pct"/>
            <w:tcBorders>
              <w:top w:val="single" w:sz="4" w:space="0" w:color="auto"/>
              <w:bottom w:val="nil"/>
            </w:tcBorders>
            <w:shd w:val="clear" w:color="auto" w:fill="auto"/>
            <w:vAlign w:val="center"/>
          </w:tcPr>
          <w:p w:rsidR="00F419A5" w:rsidRPr="004746EA" w:rsidRDefault="00F419A5" w:rsidP="00C84485">
            <w:pPr>
              <w:snapToGrid w:val="0"/>
              <w:jc w:val="both"/>
              <w:outlineLvl w:val="0"/>
              <w:cnfStyle w:val="000000000000"/>
              <w:rPr>
                <w:bCs/>
                <w:sz w:val="20"/>
                <w:szCs w:val="20"/>
              </w:rPr>
            </w:pPr>
            <w:r w:rsidRPr="004746EA">
              <w:rPr>
                <w:bCs/>
                <w:sz w:val="20"/>
                <w:szCs w:val="20"/>
              </w:rPr>
              <w:t>5 (100)</w:t>
            </w:r>
          </w:p>
        </w:tc>
        <w:tc>
          <w:tcPr>
            <w:tcW w:w="631" w:type="pct"/>
            <w:vMerge w:val="restart"/>
            <w:tcBorders>
              <w:top w:val="single" w:sz="4" w:space="0" w:color="auto"/>
              <w:bottom w:val="nil"/>
            </w:tcBorders>
            <w:shd w:val="clear" w:color="auto" w:fill="auto"/>
            <w:vAlign w:val="center"/>
          </w:tcPr>
          <w:p w:rsidR="00F419A5" w:rsidRPr="004746EA" w:rsidRDefault="00F419A5" w:rsidP="00C84485">
            <w:pPr>
              <w:snapToGrid w:val="0"/>
              <w:jc w:val="both"/>
              <w:outlineLvl w:val="0"/>
              <w:cnfStyle w:val="000000000000"/>
              <w:rPr>
                <w:bCs/>
                <w:sz w:val="20"/>
                <w:szCs w:val="20"/>
              </w:rPr>
            </w:pPr>
            <w:r w:rsidRPr="004746EA">
              <w:rPr>
                <w:bCs/>
                <w:sz w:val="20"/>
                <w:szCs w:val="20"/>
              </w:rPr>
              <w:t>0.111</w:t>
            </w:r>
          </w:p>
        </w:tc>
      </w:tr>
      <w:tr w:rsidR="00F419A5" w:rsidRPr="004746EA" w:rsidTr="00850745">
        <w:trPr>
          <w:cnfStyle w:val="000000100000"/>
          <w:jc w:val="center"/>
        </w:trPr>
        <w:tc>
          <w:tcPr>
            <w:cnfStyle w:val="001000000000"/>
            <w:tcW w:w="1341" w:type="pct"/>
            <w:tcBorders>
              <w:top w:val="nil"/>
            </w:tcBorders>
            <w:shd w:val="clear" w:color="auto" w:fill="auto"/>
            <w:vAlign w:val="center"/>
          </w:tcPr>
          <w:p w:rsidR="00F419A5" w:rsidRPr="004746EA" w:rsidRDefault="00F419A5" w:rsidP="00C84485">
            <w:pPr>
              <w:snapToGrid w:val="0"/>
              <w:jc w:val="both"/>
              <w:outlineLvl w:val="0"/>
              <w:rPr>
                <w:b w:val="0"/>
                <w:bCs w:val="0"/>
                <w:sz w:val="20"/>
                <w:szCs w:val="20"/>
              </w:rPr>
            </w:pPr>
            <w:r w:rsidRPr="004746EA">
              <w:rPr>
                <w:b w:val="0"/>
                <w:bCs w:val="0"/>
                <w:sz w:val="20"/>
                <w:szCs w:val="20"/>
              </w:rPr>
              <w:t>Interns</w:t>
            </w:r>
          </w:p>
        </w:tc>
        <w:tc>
          <w:tcPr>
            <w:tcW w:w="1176" w:type="pct"/>
            <w:tcBorders>
              <w:top w:val="nil"/>
            </w:tcBorders>
            <w:shd w:val="clear" w:color="auto" w:fill="auto"/>
            <w:vAlign w:val="center"/>
          </w:tcPr>
          <w:p w:rsidR="00F419A5" w:rsidRPr="004746EA" w:rsidRDefault="00F419A5" w:rsidP="00C84485">
            <w:pPr>
              <w:snapToGrid w:val="0"/>
              <w:jc w:val="both"/>
              <w:outlineLvl w:val="0"/>
              <w:cnfStyle w:val="000000100000"/>
              <w:rPr>
                <w:bCs/>
                <w:sz w:val="20"/>
                <w:szCs w:val="20"/>
              </w:rPr>
            </w:pPr>
            <w:r w:rsidRPr="004746EA">
              <w:rPr>
                <w:bCs/>
                <w:sz w:val="20"/>
                <w:szCs w:val="20"/>
              </w:rPr>
              <w:t>17 (100)</w:t>
            </w:r>
          </w:p>
        </w:tc>
        <w:tc>
          <w:tcPr>
            <w:tcW w:w="1199" w:type="pct"/>
            <w:tcBorders>
              <w:top w:val="nil"/>
            </w:tcBorders>
            <w:shd w:val="clear" w:color="auto" w:fill="auto"/>
            <w:vAlign w:val="center"/>
          </w:tcPr>
          <w:p w:rsidR="00F419A5" w:rsidRPr="004746EA" w:rsidRDefault="00F419A5" w:rsidP="00C84485">
            <w:pPr>
              <w:snapToGrid w:val="0"/>
              <w:jc w:val="both"/>
              <w:outlineLvl w:val="0"/>
              <w:cnfStyle w:val="000000100000"/>
              <w:rPr>
                <w:bCs/>
                <w:sz w:val="20"/>
                <w:szCs w:val="20"/>
              </w:rPr>
            </w:pPr>
            <w:r w:rsidRPr="004746EA">
              <w:rPr>
                <w:bCs/>
                <w:sz w:val="20"/>
                <w:szCs w:val="20"/>
              </w:rPr>
              <w:t>0 (0.0)</w:t>
            </w:r>
          </w:p>
        </w:tc>
        <w:tc>
          <w:tcPr>
            <w:tcW w:w="654" w:type="pct"/>
            <w:tcBorders>
              <w:top w:val="nil"/>
            </w:tcBorders>
            <w:shd w:val="clear" w:color="auto" w:fill="auto"/>
            <w:vAlign w:val="center"/>
          </w:tcPr>
          <w:p w:rsidR="00F419A5" w:rsidRPr="004746EA" w:rsidRDefault="00F419A5" w:rsidP="00C84485">
            <w:pPr>
              <w:snapToGrid w:val="0"/>
              <w:jc w:val="both"/>
              <w:outlineLvl w:val="0"/>
              <w:cnfStyle w:val="000000100000"/>
              <w:rPr>
                <w:bCs/>
                <w:sz w:val="20"/>
                <w:szCs w:val="20"/>
              </w:rPr>
            </w:pPr>
            <w:r w:rsidRPr="004746EA">
              <w:rPr>
                <w:bCs/>
                <w:sz w:val="20"/>
                <w:szCs w:val="20"/>
              </w:rPr>
              <w:t>17 (100)</w:t>
            </w:r>
          </w:p>
        </w:tc>
        <w:tc>
          <w:tcPr>
            <w:tcW w:w="631" w:type="pct"/>
            <w:vMerge/>
            <w:tcBorders>
              <w:top w:val="nil"/>
            </w:tcBorders>
            <w:shd w:val="clear" w:color="auto" w:fill="auto"/>
            <w:vAlign w:val="center"/>
          </w:tcPr>
          <w:p w:rsidR="00F419A5" w:rsidRPr="004746EA" w:rsidRDefault="00F419A5" w:rsidP="00C84485">
            <w:pPr>
              <w:snapToGrid w:val="0"/>
              <w:jc w:val="both"/>
              <w:outlineLvl w:val="0"/>
              <w:cnfStyle w:val="000000100000"/>
              <w:rPr>
                <w:bCs/>
                <w:sz w:val="20"/>
                <w:szCs w:val="20"/>
              </w:rPr>
            </w:pPr>
          </w:p>
        </w:tc>
      </w:tr>
      <w:tr w:rsidR="00F419A5" w:rsidRPr="004746EA" w:rsidTr="00850745">
        <w:trPr>
          <w:jc w:val="center"/>
        </w:trPr>
        <w:tc>
          <w:tcPr>
            <w:cnfStyle w:val="001000000000"/>
            <w:tcW w:w="1341" w:type="pct"/>
            <w:shd w:val="clear" w:color="auto" w:fill="auto"/>
            <w:vAlign w:val="center"/>
          </w:tcPr>
          <w:p w:rsidR="00F419A5" w:rsidRPr="004746EA" w:rsidRDefault="00F419A5" w:rsidP="00C84485">
            <w:pPr>
              <w:snapToGrid w:val="0"/>
              <w:jc w:val="both"/>
              <w:outlineLvl w:val="0"/>
              <w:rPr>
                <w:b w:val="0"/>
                <w:bCs w:val="0"/>
                <w:sz w:val="20"/>
                <w:szCs w:val="20"/>
              </w:rPr>
            </w:pPr>
            <w:r w:rsidRPr="004746EA">
              <w:rPr>
                <w:b w:val="0"/>
                <w:bCs w:val="0"/>
                <w:sz w:val="20"/>
                <w:szCs w:val="20"/>
              </w:rPr>
              <w:t>Sixth year students</w:t>
            </w:r>
          </w:p>
        </w:tc>
        <w:tc>
          <w:tcPr>
            <w:tcW w:w="1176" w:type="pct"/>
            <w:shd w:val="clear" w:color="auto" w:fill="auto"/>
            <w:vAlign w:val="center"/>
          </w:tcPr>
          <w:p w:rsidR="00F419A5" w:rsidRPr="004746EA" w:rsidRDefault="00F419A5" w:rsidP="00C84485">
            <w:pPr>
              <w:snapToGrid w:val="0"/>
              <w:jc w:val="both"/>
              <w:outlineLvl w:val="0"/>
              <w:cnfStyle w:val="000000000000"/>
              <w:rPr>
                <w:bCs/>
                <w:sz w:val="20"/>
                <w:szCs w:val="20"/>
              </w:rPr>
            </w:pPr>
            <w:r w:rsidRPr="004746EA">
              <w:rPr>
                <w:bCs/>
                <w:sz w:val="20"/>
                <w:szCs w:val="20"/>
              </w:rPr>
              <w:t>30 (96.8)</w:t>
            </w:r>
          </w:p>
        </w:tc>
        <w:tc>
          <w:tcPr>
            <w:tcW w:w="1199" w:type="pct"/>
            <w:shd w:val="clear" w:color="auto" w:fill="auto"/>
            <w:vAlign w:val="center"/>
          </w:tcPr>
          <w:p w:rsidR="00F419A5" w:rsidRPr="004746EA" w:rsidRDefault="00F419A5" w:rsidP="00C84485">
            <w:pPr>
              <w:snapToGrid w:val="0"/>
              <w:jc w:val="both"/>
              <w:outlineLvl w:val="0"/>
              <w:cnfStyle w:val="000000000000"/>
              <w:rPr>
                <w:bCs/>
                <w:sz w:val="20"/>
                <w:szCs w:val="20"/>
              </w:rPr>
            </w:pPr>
            <w:r w:rsidRPr="004746EA">
              <w:rPr>
                <w:bCs/>
                <w:sz w:val="20"/>
                <w:szCs w:val="20"/>
              </w:rPr>
              <w:t>1 (3.2)</w:t>
            </w:r>
          </w:p>
        </w:tc>
        <w:tc>
          <w:tcPr>
            <w:tcW w:w="654" w:type="pct"/>
            <w:shd w:val="clear" w:color="auto" w:fill="auto"/>
            <w:vAlign w:val="center"/>
          </w:tcPr>
          <w:p w:rsidR="00F419A5" w:rsidRPr="004746EA" w:rsidRDefault="00F419A5" w:rsidP="00C84485">
            <w:pPr>
              <w:snapToGrid w:val="0"/>
              <w:jc w:val="both"/>
              <w:outlineLvl w:val="0"/>
              <w:cnfStyle w:val="000000000000"/>
              <w:rPr>
                <w:bCs/>
                <w:sz w:val="20"/>
                <w:szCs w:val="20"/>
              </w:rPr>
            </w:pPr>
            <w:r w:rsidRPr="004746EA">
              <w:rPr>
                <w:bCs/>
                <w:sz w:val="20"/>
                <w:szCs w:val="20"/>
              </w:rPr>
              <w:t>31 (100)</w:t>
            </w:r>
          </w:p>
        </w:tc>
        <w:tc>
          <w:tcPr>
            <w:tcW w:w="631" w:type="pct"/>
            <w:vMerge/>
            <w:shd w:val="clear" w:color="auto" w:fill="auto"/>
            <w:vAlign w:val="center"/>
          </w:tcPr>
          <w:p w:rsidR="00F419A5" w:rsidRPr="004746EA" w:rsidRDefault="00F419A5" w:rsidP="00C84485">
            <w:pPr>
              <w:snapToGrid w:val="0"/>
              <w:jc w:val="both"/>
              <w:outlineLvl w:val="0"/>
              <w:cnfStyle w:val="000000000000"/>
              <w:rPr>
                <w:bCs/>
                <w:sz w:val="20"/>
                <w:szCs w:val="20"/>
              </w:rPr>
            </w:pPr>
          </w:p>
        </w:tc>
      </w:tr>
      <w:tr w:rsidR="00F419A5" w:rsidRPr="004746EA" w:rsidTr="00850745">
        <w:trPr>
          <w:cnfStyle w:val="000000100000"/>
          <w:jc w:val="center"/>
        </w:trPr>
        <w:tc>
          <w:tcPr>
            <w:cnfStyle w:val="001000000000"/>
            <w:tcW w:w="1341" w:type="pct"/>
            <w:shd w:val="clear" w:color="auto" w:fill="auto"/>
            <w:vAlign w:val="center"/>
          </w:tcPr>
          <w:p w:rsidR="00F419A5" w:rsidRPr="004746EA" w:rsidRDefault="00F419A5" w:rsidP="00C84485">
            <w:pPr>
              <w:snapToGrid w:val="0"/>
              <w:jc w:val="both"/>
              <w:outlineLvl w:val="0"/>
              <w:rPr>
                <w:b w:val="0"/>
                <w:bCs w:val="0"/>
                <w:sz w:val="20"/>
                <w:szCs w:val="20"/>
              </w:rPr>
            </w:pPr>
            <w:r w:rsidRPr="004746EA">
              <w:rPr>
                <w:b w:val="0"/>
                <w:bCs w:val="0"/>
                <w:sz w:val="20"/>
                <w:szCs w:val="20"/>
              </w:rPr>
              <w:t>Fifth year students</w:t>
            </w:r>
          </w:p>
        </w:tc>
        <w:tc>
          <w:tcPr>
            <w:tcW w:w="1176" w:type="pct"/>
            <w:shd w:val="clear" w:color="auto" w:fill="auto"/>
            <w:vAlign w:val="center"/>
          </w:tcPr>
          <w:p w:rsidR="00F419A5" w:rsidRPr="004746EA" w:rsidRDefault="00F419A5" w:rsidP="00C84485">
            <w:pPr>
              <w:snapToGrid w:val="0"/>
              <w:jc w:val="both"/>
              <w:outlineLvl w:val="0"/>
              <w:cnfStyle w:val="000000100000"/>
              <w:rPr>
                <w:bCs/>
                <w:sz w:val="20"/>
                <w:szCs w:val="20"/>
              </w:rPr>
            </w:pPr>
            <w:r w:rsidRPr="004746EA">
              <w:rPr>
                <w:bCs/>
                <w:sz w:val="20"/>
                <w:szCs w:val="20"/>
              </w:rPr>
              <w:t>33 (84.6)</w:t>
            </w:r>
          </w:p>
        </w:tc>
        <w:tc>
          <w:tcPr>
            <w:tcW w:w="1199" w:type="pct"/>
            <w:shd w:val="clear" w:color="auto" w:fill="auto"/>
            <w:vAlign w:val="center"/>
          </w:tcPr>
          <w:p w:rsidR="00F419A5" w:rsidRPr="004746EA" w:rsidRDefault="00F419A5" w:rsidP="00C84485">
            <w:pPr>
              <w:snapToGrid w:val="0"/>
              <w:jc w:val="both"/>
              <w:outlineLvl w:val="0"/>
              <w:cnfStyle w:val="000000100000"/>
              <w:rPr>
                <w:bCs/>
                <w:sz w:val="20"/>
                <w:szCs w:val="20"/>
              </w:rPr>
            </w:pPr>
            <w:r w:rsidRPr="004746EA">
              <w:rPr>
                <w:bCs/>
                <w:sz w:val="20"/>
                <w:szCs w:val="20"/>
              </w:rPr>
              <w:t>6 (15.4)</w:t>
            </w:r>
          </w:p>
        </w:tc>
        <w:tc>
          <w:tcPr>
            <w:tcW w:w="654" w:type="pct"/>
            <w:shd w:val="clear" w:color="auto" w:fill="auto"/>
            <w:vAlign w:val="center"/>
          </w:tcPr>
          <w:p w:rsidR="00F419A5" w:rsidRPr="004746EA" w:rsidRDefault="00F419A5" w:rsidP="00C84485">
            <w:pPr>
              <w:snapToGrid w:val="0"/>
              <w:jc w:val="both"/>
              <w:outlineLvl w:val="0"/>
              <w:cnfStyle w:val="000000100000"/>
              <w:rPr>
                <w:bCs/>
                <w:sz w:val="20"/>
                <w:szCs w:val="20"/>
              </w:rPr>
            </w:pPr>
            <w:r w:rsidRPr="004746EA">
              <w:rPr>
                <w:bCs/>
                <w:sz w:val="20"/>
                <w:szCs w:val="20"/>
              </w:rPr>
              <w:t>39 (100)</w:t>
            </w:r>
          </w:p>
        </w:tc>
        <w:tc>
          <w:tcPr>
            <w:tcW w:w="631" w:type="pct"/>
            <w:vMerge/>
            <w:shd w:val="clear" w:color="auto" w:fill="auto"/>
            <w:vAlign w:val="center"/>
          </w:tcPr>
          <w:p w:rsidR="00F419A5" w:rsidRPr="004746EA" w:rsidRDefault="00F419A5" w:rsidP="00C84485">
            <w:pPr>
              <w:snapToGrid w:val="0"/>
              <w:jc w:val="both"/>
              <w:outlineLvl w:val="0"/>
              <w:cnfStyle w:val="000000100000"/>
              <w:rPr>
                <w:bCs/>
                <w:sz w:val="20"/>
                <w:szCs w:val="20"/>
              </w:rPr>
            </w:pPr>
          </w:p>
        </w:tc>
      </w:tr>
      <w:tr w:rsidR="00F419A5" w:rsidRPr="004746EA" w:rsidTr="00850745">
        <w:trPr>
          <w:jc w:val="center"/>
        </w:trPr>
        <w:tc>
          <w:tcPr>
            <w:cnfStyle w:val="001000000000"/>
            <w:tcW w:w="1341" w:type="pct"/>
            <w:shd w:val="clear" w:color="auto" w:fill="auto"/>
            <w:vAlign w:val="center"/>
          </w:tcPr>
          <w:p w:rsidR="00F419A5" w:rsidRPr="004746EA" w:rsidRDefault="00F419A5" w:rsidP="00C84485">
            <w:pPr>
              <w:snapToGrid w:val="0"/>
              <w:jc w:val="both"/>
              <w:outlineLvl w:val="0"/>
              <w:rPr>
                <w:b w:val="0"/>
                <w:bCs w:val="0"/>
                <w:sz w:val="20"/>
                <w:szCs w:val="20"/>
              </w:rPr>
            </w:pPr>
            <w:r w:rsidRPr="004746EA">
              <w:rPr>
                <w:b w:val="0"/>
                <w:bCs w:val="0"/>
                <w:sz w:val="20"/>
                <w:szCs w:val="20"/>
              </w:rPr>
              <w:t>Total</w:t>
            </w:r>
          </w:p>
        </w:tc>
        <w:tc>
          <w:tcPr>
            <w:tcW w:w="1176" w:type="pct"/>
            <w:shd w:val="clear" w:color="auto" w:fill="auto"/>
            <w:vAlign w:val="center"/>
          </w:tcPr>
          <w:p w:rsidR="00F419A5" w:rsidRPr="004746EA" w:rsidRDefault="00F419A5" w:rsidP="00C84485">
            <w:pPr>
              <w:snapToGrid w:val="0"/>
              <w:jc w:val="both"/>
              <w:outlineLvl w:val="0"/>
              <w:cnfStyle w:val="000000000000"/>
              <w:rPr>
                <w:bCs/>
                <w:sz w:val="20"/>
                <w:szCs w:val="20"/>
              </w:rPr>
            </w:pPr>
            <w:r w:rsidRPr="004746EA">
              <w:rPr>
                <w:bCs/>
                <w:sz w:val="20"/>
                <w:szCs w:val="20"/>
              </w:rPr>
              <w:t>85 (92.4)</w:t>
            </w:r>
          </w:p>
        </w:tc>
        <w:tc>
          <w:tcPr>
            <w:tcW w:w="1199" w:type="pct"/>
            <w:shd w:val="clear" w:color="auto" w:fill="auto"/>
            <w:vAlign w:val="center"/>
          </w:tcPr>
          <w:p w:rsidR="00F419A5" w:rsidRPr="004746EA" w:rsidRDefault="00F419A5" w:rsidP="00C84485">
            <w:pPr>
              <w:snapToGrid w:val="0"/>
              <w:jc w:val="both"/>
              <w:outlineLvl w:val="0"/>
              <w:cnfStyle w:val="000000000000"/>
              <w:rPr>
                <w:bCs/>
                <w:sz w:val="20"/>
                <w:szCs w:val="20"/>
              </w:rPr>
            </w:pPr>
            <w:r w:rsidRPr="004746EA">
              <w:rPr>
                <w:bCs/>
                <w:sz w:val="20"/>
                <w:szCs w:val="20"/>
              </w:rPr>
              <w:t>7 (7.6)</w:t>
            </w:r>
          </w:p>
        </w:tc>
        <w:tc>
          <w:tcPr>
            <w:tcW w:w="654" w:type="pct"/>
            <w:shd w:val="clear" w:color="auto" w:fill="auto"/>
            <w:vAlign w:val="center"/>
          </w:tcPr>
          <w:p w:rsidR="00F419A5" w:rsidRPr="004746EA" w:rsidRDefault="00F419A5" w:rsidP="00C84485">
            <w:pPr>
              <w:snapToGrid w:val="0"/>
              <w:jc w:val="both"/>
              <w:outlineLvl w:val="0"/>
              <w:cnfStyle w:val="000000000000"/>
              <w:rPr>
                <w:bCs/>
                <w:sz w:val="20"/>
                <w:szCs w:val="20"/>
              </w:rPr>
            </w:pPr>
            <w:r w:rsidRPr="004746EA">
              <w:rPr>
                <w:bCs/>
                <w:sz w:val="20"/>
                <w:szCs w:val="20"/>
              </w:rPr>
              <w:t>92 (100)</w:t>
            </w:r>
          </w:p>
        </w:tc>
        <w:tc>
          <w:tcPr>
            <w:tcW w:w="631" w:type="pct"/>
            <w:vMerge/>
            <w:shd w:val="clear" w:color="auto" w:fill="auto"/>
            <w:vAlign w:val="center"/>
          </w:tcPr>
          <w:p w:rsidR="00F419A5" w:rsidRPr="004746EA" w:rsidRDefault="00F419A5" w:rsidP="00C84485">
            <w:pPr>
              <w:snapToGrid w:val="0"/>
              <w:jc w:val="both"/>
              <w:outlineLvl w:val="0"/>
              <w:cnfStyle w:val="000000000000"/>
              <w:rPr>
                <w:bCs/>
                <w:sz w:val="20"/>
                <w:szCs w:val="20"/>
              </w:rPr>
            </w:pPr>
          </w:p>
        </w:tc>
      </w:tr>
    </w:tbl>
    <w:p w:rsidR="007F0DBE" w:rsidRPr="004746EA" w:rsidRDefault="007F0DBE">
      <w:pPr>
        <w:rPr>
          <w:b/>
          <w:bCs/>
          <w:sz w:val="20"/>
          <w:szCs w:val="20"/>
        </w:rPr>
      </w:pPr>
      <w:r w:rsidRPr="004746EA">
        <w:rPr>
          <w:b/>
          <w:bCs/>
          <w:sz w:val="20"/>
          <w:szCs w:val="20"/>
        </w:rPr>
        <w:br w:type="page"/>
      </w:r>
    </w:p>
    <w:p w:rsidR="00F419A5" w:rsidRPr="004746EA" w:rsidRDefault="00F419A5" w:rsidP="00C84485">
      <w:pPr>
        <w:snapToGrid w:val="0"/>
        <w:jc w:val="center"/>
        <w:outlineLvl w:val="0"/>
        <w:rPr>
          <w:b/>
          <w:bCs/>
          <w:sz w:val="20"/>
          <w:szCs w:val="20"/>
        </w:rPr>
      </w:pPr>
      <w:r w:rsidRPr="004746EA">
        <w:rPr>
          <w:b/>
          <w:bCs/>
          <w:sz w:val="20"/>
          <w:szCs w:val="20"/>
        </w:rPr>
        <w:lastRenderedPageBreak/>
        <w:t>Table 6. Distribution of intraoperative complications</w:t>
      </w:r>
    </w:p>
    <w:tbl>
      <w:tblPr>
        <w:tblStyle w:val="LightShading1"/>
        <w:tblW w:w="5000" w:type="pct"/>
        <w:jc w:val="center"/>
        <w:tblCellMar>
          <w:left w:w="57" w:type="dxa"/>
          <w:right w:w="57" w:type="dxa"/>
        </w:tblCellMar>
        <w:tblLook w:val="04A0"/>
      </w:tblPr>
      <w:tblGrid>
        <w:gridCol w:w="7179"/>
        <w:gridCol w:w="2295"/>
      </w:tblGrid>
      <w:tr w:rsidR="00F419A5" w:rsidRPr="004746EA" w:rsidTr="00850745">
        <w:trPr>
          <w:cnfStyle w:val="100000000000"/>
          <w:jc w:val="center"/>
        </w:trPr>
        <w:tc>
          <w:tcPr>
            <w:cnfStyle w:val="001000000000"/>
            <w:tcW w:w="3789" w:type="pct"/>
            <w:vAlign w:val="center"/>
          </w:tcPr>
          <w:p w:rsidR="00F419A5" w:rsidRPr="004746EA" w:rsidRDefault="00F419A5" w:rsidP="00C84485">
            <w:pPr>
              <w:snapToGrid w:val="0"/>
              <w:jc w:val="both"/>
              <w:outlineLvl w:val="0"/>
              <w:rPr>
                <w:b w:val="0"/>
                <w:sz w:val="20"/>
                <w:szCs w:val="20"/>
              </w:rPr>
            </w:pPr>
            <w:r w:rsidRPr="004746EA">
              <w:rPr>
                <w:b w:val="0"/>
                <w:sz w:val="20"/>
                <w:szCs w:val="20"/>
              </w:rPr>
              <w:t>Intraoperative complications</w:t>
            </w:r>
          </w:p>
        </w:tc>
        <w:tc>
          <w:tcPr>
            <w:tcW w:w="1211" w:type="pct"/>
            <w:vAlign w:val="center"/>
          </w:tcPr>
          <w:p w:rsidR="00F419A5" w:rsidRPr="004746EA" w:rsidRDefault="00F419A5" w:rsidP="00C84485">
            <w:pPr>
              <w:snapToGrid w:val="0"/>
              <w:jc w:val="both"/>
              <w:outlineLvl w:val="0"/>
              <w:cnfStyle w:val="100000000000"/>
              <w:rPr>
                <w:b w:val="0"/>
                <w:sz w:val="20"/>
                <w:szCs w:val="20"/>
              </w:rPr>
            </w:pPr>
            <w:r w:rsidRPr="004746EA">
              <w:rPr>
                <w:b w:val="0"/>
                <w:sz w:val="20"/>
                <w:szCs w:val="20"/>
              </w:rPr>
              <w:t>Number</w:t>
            </w:r>
          </w:p>
        </w:tc>
      </w:tr>
      <w:tr w:rsidR="00F419A5" w:rsidRPr="004746EA" w:rsidTr="00850745">
        <w:trPr>
          <w:cnfStyle w:val="000000100000"/>
          <w:jc w:val="center"/>
        </w:trPr>
        <w:tc>
          <w:tcPr>
            <w:cnfStyle w:val="001000000000"/>
            <w:tcW w:w="3789" w:type="pc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Oroantral communication</w:t>
            </w:r>
          </w:p>
        </w:tc>
        <w:tc>
          <w:tcPr>
            <w:tcW w:w="1211" w:type="pct"/>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r w:rsidRPr="004746EA">
              <w:rPr>
                <w:bCs/>
                <w:sz w:val="20"/>
                <w:szCs w:val="20"/>
              </w:rPr>
              <w:t xml:space="preserve">2 </w:t>
            </w:r>
          </w:p>
        </w:tc>
      </w:tr>
      <w:tr w:rsidR="00F419A5" w:rsidRPr="004746EA" w:rsidTr="00850745">
        <w:trPr>
          <w:jc w:val="center"/>
        </w:trPr>
        <w:tc>
          <w:tcPr>
            <w:cnfStyle w:val="001000000000"/>
            <w:tcW w:w="3789" w:type="pc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Tooth fracture</w:t>
            </w:r>
          </w:p>
        </w:tc>
        <w:tc>
          <w:tcPr>
            <w:tcW w:w="1211" w:type="pct"/>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 xml:space="preserve">3 </w:t>
            </w:r>
          </w:p>
        </w:tc>
      </w:tr>
      <w:tr w:rsidR="00F419A5" w:rsidRPr="004746EA" w:rsidTr="00850745">
        <w:trPr>
          <w:cnfStyle w:val="000000100000"/>
          <w:jc w:val="center"/>
        </w:trPr>
        <w:tc>
          <w:tcPr>
            <w:cnfStyle w:val="001000000000"/>
            <w:tcW w:w="3789" w:type="pc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Buccal bone fracture</w:t>
            </w:r>
          </w:p>
        </w:tc>
        <w:tc>
          <w:tcPr>
            <w:tcW w:w="1211" w:type="pct"/>
            <w:shd w:val="clear" w:color="auto" w:fill="auto"/>
            <w:vAlign w:val="center"/>
          </w:tcPr>
          <w:p w:rsidR="00F419A5" w:rsidRPr="004746EA" w:rsidRDefault="00F419A5" w:rsidP="00C84485">
            <w:pPr>
              <w:widowControl w:val="0"/>
              <w:autoSpaceDE w:val="0"/>
              <w:autoSpaceDN w:val="0"/>
              <w:adjustRightInd w:val="0"/>
              <w:snapToGrid w:val="0"/>
              <w:jc w:val="both"/>
              <w:cnfStyle w:val="000000100000"/>
              <w:rPr>
                <w:bCs/>
                <w:sz w:val="20"/>
                <w:szCs w:val="20"/>
              </w:rPr>
            </w:pPr>
            <w:r w:rsidRPr="004746EA">
              <w:rPr>
                <w:bCs/>
                <w:sz w:val="20"/>
                <w:szCs w:val="20"/>
              </w:rPr>
              <w:t xml:space="preserve">1 </w:t>
            </w:r>
          </w:p>
        </w:tc>
      </w:tr>
      <w:tr w:rsidR="00F419A5" w:rsidRPr="004746EA" w:rsidTr="00850745">
        <w:trPr>
          <w:jc w:val="center"/>
        </w:trPr>
        <w:tc>
          <w:tcPr>
            <w:cnfStyle w:val="001000000000"/>
            <w:tcW w:w="3789" w:type="pc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Presyncope</w:t>
            </w:r>
          </w:p>
        </w:tc>
        <w:tc>
          <w:tcPr>
            <w:tcW w:w="1211" w:type="pct"/>
            <w:shd w:val="clear" w:color="auto" w:fill="auto"/>
            <w:vAlign w:val="center"/>
          </w:tcPr>
          <w:p w:rsidR="00F419A5" w:rsidRPr="004746EA" w:rsidRDefault="00F419A5" w:rsidP="00C84485">
            <w:pPr>
              <w:widowControl w:val="0"/>
              <w:autoSpaceDE w:val="0"/>
              <w:autoSpaceDN w:val="0"/>
              <w:adjustRightInd w:val="0"/>
              <w:snapToGrid w:val="0"/>
              <w:jc w:val="both"/>
              <w:cnfStyle w:val="000000000000"/>
              <w:rPr>
                <w:bCs/>
                <w:sz w:val="20"/>
                <w:szCs w:val="20"/>
              </w:rPr>
            </w:pPr>
            <w:r w:rsidRPr="004746EA">
              <w:rPr>
                <w:bCs/>
                <w:sz w:val="20"/>
                <w:szCs w:val="20"/>
              </w:rPr>
              <w:t xml:space="preserve">1 </w:t>
            </w:r>
          </w:p>
        </w:tc>
      </w:tr>
      <w:tr w:rsidR="00F419A5" w:rsidRPr="004746EA" w:rsidTr="00850745">
        <w:trPr>
          <w:cnfStyle w:val="000000100000"/>
          <w:jc w:val="center"/>
        </w:trPr>
        <w:tc>
          <w:tcPr>
            <w:cnfStyle w:val="001000000000"/>
            <w:tcW w:w="3789" w:type="pc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Tremor</w:t>
            </w:r>
          </w:p>
        </w:tc>
        <w:tc>
          <w:tcPr>
            <w:tcW w:w="1211" w:type="pct"/>
            <w:shd w:val="clear" w:color="auto" w:fill="auto"/>
            <w:vAlign w:val="center"/>
          </w:tcPr>
          <w:p w:rsidR="00F419A5" w:rsidRPr="004746EA" w:rsidRDefault="00F419A5" w:rsidP="00C84485">
            <w:pPr>
              <w:snapToGrid w:val="0"/>
              <w:jc w:val="both"/>
              <w:cnfStyle w:val="000000100000"/>
              <w:rPr>
                <w:bCs/>
                <w:sz w:val="20"/>
                <w:szCs w:val="20"/>
              </w:rPr>
            </w:pPr>
            <w:r w:rsidRPr="004746EA">
              <w:rPr>
                <w:bCs/>
                <w:sz w:val="20"/>
                <w:szCs w:val="20"/>
              </w:rPr>
              <w:t xml:space="preserve">1 </w:t>
            </w:r>
          </w:p>
        </w:tc>
      </w:tr>
      <w:tr w:rsidR="00F419A5" w:rsidRPr="004746EA" w:rsidTr="00850745">
        <w:trPr>
          <w:jc w:val="center"/>
        </w:trPr>
        <w:tc>
          <w:tcPr>
            <w:cnfStyle w:val="001000000000"/>
            <w:tcW w:w="3789" w:type="pc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Total</w:t>
            </w:r>
          </w:p>
        </w:tc>
        <w:tc>
          <w:tcPr>
            <w:tcW w:w="1211" w:type="pct"/>
            <w:shd w:val="clear" w:color="auto" w:fill="auto"/>
            <w:vAlign w:val="center"/>
          </w:tcPr>
          <w:p w:rsidR="00F419A5" w:rsidRPr="004746EA" w:rsidRDefault="00F419A5" w:rsidP="00C84485">
            <w:pPr>
              <w:snapToGrid w:val="0"/>
              <w:jc w:val="both"/>
              <w:cnfStyle w:val="000000000000"/>
              <w:rPr>
                <w:bCs/>
                <w:sz w:val="20"/>
                <w:szCs w:val="20"/>
              </w:rPr>
            </w:pPr>
            <w:r w:rsidRPr="004746EA">
              <w:rPr>
                <w:bCs/>
                <w:sz w:val="20"/>
                <w:szCs w:val="20"/>
              </w:rPr>
              <w:t xml:space="preserve">8 </w:t>
            </w:r>
          </w:p>
        </w:tc>
      </w:tr>
    </w:tbl>
    <w:p w:rsidR="00F419A5" w:rsidRPr="004746EA" w:rsidRDefault="00F419A5" w:rsidP="00C84485">
      <w:pPr>
        <w:snapToGrid w:val="0"/>
        <w:jc w:val="center"/>
        <w:outlineLvl w:val="0"/>
        <w:rPr>
          <w:b/>
          <w:bCs/>
          <w:sz w:val="20"/>
          <w:szCs w:val="20"/>
        </w:rPr>
      </w:pPr>
    </w:p>
    <w:p w:rsidR="00F419A5" w:rsidRPr="004746EA" w:rsidRDefault="00F419A5" w:rsidP="00C84485">
      <w:pPr>
        <w:snapToGrid w:val="0"/>
        <w:jc w:val="center"/>
        <w:outlineLvl w:val="0"/>
        <w:rPr>
          <w:b/>
          <w:bCs/>
          <w:sz w:val="20"/>
          <w:szCs w:val="20"/>
        </w:rPr>
      </w:pPr>
      <w:r w:rsidRPr="004746EA">
        <w:rPr>
          <w:b/>
          <w:bCs/>
          <w:sz w:val="20"/>
          <w:szCs w:val="20"/>
        </w:rPr>
        <w:t>Table 7. Distribution of postoperative complications other than delayed healing</w:t>
      </w:r>
    </w:p>
    <w:tbl>
      <w:tblPr>
        <w:tblStyle w:val="LightShading1"/>
        <w:tblW w:w="5000" w:type="pct"/>
        <w:jc w:val="center"/>
        <w:tblCellMar>
          <w:left w:w="57" w:type="dxa"/>
          <w:right w:w="57" w:type="dxa"/>
        </w:tblCellMar>
        <w:tblLook w:val="04A0"/>
      </w:tblPr>
      <w:tblGrid>
        <w:gridCol w:w="2067"/>
        <w:gridCol w:w="705"/>
        <w:gridCol w:w="1245"/>
        <w:gridCol w:w="1343"/>
        <w:gridCol w:w="4114"/>
      </w:tblGrid>
      <w:tr w:rsidR="00F419A5" w:rsidRPr="004746EA" w:rsidTr="00850745">
        <w:trPr>
          <w:cnfStyle w:val="100000000000"/>
          <w:jc w:val="center"/>
        </w:trPr>
        <w:tc>
          <w:tcPr>
            <w:cnfStyle w:val="001000000000"/>
            <w:tcW w:w="1091" w:type="pc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Event</w:t>
            </w:r>
          </w:p>
        </w:tc>
        <w:tc>
          <w:tcPr>
            <w:tcW w:w="372" w:type="pct"/>
            <w:shd w:val="clear" w:color="auto" w:fill="auto"/>
            <w:vAlign w:val="center"/>
          </w:tcPr>
          <w:p w:rsidR="00F419A5" w:rsidRPr="004746EA" w:rsidRDefault="00F419A5" w:rsidP="00C84485">
            <w:pPr>
              <w:snapToGrid w:val="0"/>
              <w:jc w:val="both"/>
              <w:outlineLvl w:val="0"/>
              <w:cnfStyle w:val="100000000000"/>
              <w:rPr>
                <w:b w:val="0"/>
                <w:sz w:val="20"/>
                <w:szCs w:val="20"/>
              </w:rPr>
            </w:pPr>
            <w:r w:rsidRPr="004746EA">
              <w:rPr>
                <w:b w:val="0"/>
                <w:sz w:val="20"/>
                <w:szCs w:val="20"/>
              </w:rPr>
              <w:t>Gender</w:t>
            </w:r>
          </w:p>
        </w:tc>
        <w:tc>
          <w:tcPr>
            <w:tcW w:w="657" w:type="pct"/>
            <w:shd w:val="clear" w:color="auto" w:fill="auto"/>
            <w:vAlign w:val="center"/>
          </w:tcPr>
          <w:p w:rsidR="00F419A5" w:rsidRPr="004746EA" w:rsidRDefault="00F419A5" w:rsidP="00C84485">
            <w:pPr>
              <w:snapToGrid w:val="0"/>
              <w:jc w:val="both"/>
              <w:outlineLvl w:val="0"/>
              <w:cnfStyle w:val="100000000000"/>
              <w:rPr>
                <w:b w:val="0"/>
                <w:sz w:val="20"/>
                <w:szCs w:val="20"/>
              </w:rPr>
            </w:pPr>
            <w:r w:rsidRPr="004746EA">
              <w:rPr>
                <w:b w:val="0"/>
                <w:sz w:val="20"/>
                <w:szCs w:val="20"/>
              </w:rPr>
              <w:t>Random BGL</w:t>
            </w:r>
          </w:p>
        </w:tc>
        <w:tc>
          <w:tcPr>
            <w:tcW w:w="709" w:type="pct"/>
            <w:shd w:val="clear" w:color="auto" w:fill="auto"/>
            <w:vAlign w:val="center"/>
          </w:tcPr>
          <w:p w:rsidR="00F419A5" w:rsidRPr="004746EA" w:rsidRDefault="00F419A5" w:rsidP="00C84485">
            <w:pPr>
              <w:snapToGrid w:val="0"/>
              <w:jc w:val="both"/>
              <w:outlineLvl w:val="0"/>
              <w:cnfStyle w:val="100000000000"/>
              <w:rPr>
                <w:b w:val="0"/>
                <w:sz w:val="20"/>
                <w:szCs w:val="20"/>
              </w:rPr>
            </w:pPr>
            <w:r w:rsidRPr="004746EA">
              <w:rPr>
                <w:b w:val="0"/>
                <w:sz w:val="20"/>
                <w:szCs w:val="20"/>
              </w:rPr>
              <w:t>Smoking status</w:t>
            </w:r>
          </w:p>
        </w:tc>
        <w:tc>
          <w:tcPr>
            <w:tcW w:w="2171" w:type="pct"/>
            <w:shd w:val="clear" w:color="auto" w:fill="auto"/>
            <w:vAlign w:val="center"/>
          </w:tcPr>
          <w:p w:rsidR="00F419A5" w:rsidRPr="004746EA" w:rsidRDefault="00F419A5" w:rsidP="00C84485">
            <w:pPr>
              <w:snapToGrid w:val="0"/>
              <w:jc w:val="both"/>
              <w:outlineLvl w:val="0"/>
              <w:cnfStyle w:val="100000000000"/>
              <w:rPr>
                <w:b w:val="0"/>
                <w:sz w:val="20"/>
                <w:szCs w:val="20"/>
              </w:rPr>
            </w:pPr>
            <w:r w:rsidRPr="004746EA">
              <w:rPr>
                <w:b w:val="0"/>
                <w:sz w:val="20"/>
                <w:szCs w:val="20"/>
              </w:rPr>
              <w:t>Group</w:t>
            </w:r>
          </w:p>
        </w:tc>
      </w:tr>
      <w:tr w:rsidR="00F419A5" w:rsidRPr="004746EA" w:rsidTr="00850745">
        <w:trPr>
          <w:cnfStyle w:val="000000100000"/>
          <w:jc w:val="center"/>
        </w:trPr>
        <w:tc>
          <w:tcPr>
            <w:cnfStyle w:val="001000000000"/>
            <w:tcW w:w="1091" w:type="pc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 xml:space="preserve">Numbness of the tongue </w:t>
            </w:r>
          </w:p>
        </w:tc>
        <w:tc>
          <w:tcPr>
            <w:tcW w:w="372" w:type="pct"/>
            <w:shd w:val="clear" w:color="auto" w:fill="auto"/>
            <w:vAlign w:val="center"/>
          </w:tcPr>
          <w:p w:rsidR="00F419A5" w:rsidRPr="004746EA" w:rsidRDefault="00F419A5" w:rsidP="00C84485">
            <w:pPr>
              <w:snapToGrid w:val="0"/>
              <w:jc w:val="both"/>
              <w:outlineLvl w:val="0"/>
              <w:cnfStyle w:val="000000100000"/>
              <w:rPr>
                <w:sz w:val="20"/>
                <w:szCs w:val="20"/>
              </w:rPr>
            </w:pPr>
            <w:r w:rsidRPr="004746EA">
              <w:rPr>
                <w:sz w:val="20"/>
                <w:szCs w:val="20"/>
              </w:rPr>
              <w:t>Female</w:t>
            </w:r>
          </w:p>
        </w:tc>
        <w:tc>
          <w:tcPr>
            <w:tcW w:w="657" w:type="pct"/>
            <w:shd w:val="clear" w:color="auto" w:fill="auto"/>
            <w:vAlign w:val="center"/>
          </w:tcPr>
          <w:p w:rsidR="00F419A5" w:rsidRPr="004746EA" w:rsidRDefault="00F419A5" w:rsidP="00C84485">
            <w:pPr>
              <w:snapToGrid w:val="0"/>
              <w:jc w:val="both"/>
              <w:outlineLvl w:val="0"/>
              <w:cnfStyle w:val="000000100000"/>
              <w:rPr>
                <w:sz w:val="20"/>
                <w:szCs w:val="20"/>
              </w:rPr>
            </w:pPr>
            <w:r w:rsidRPr="004746EA">
              <w:rPr>
                <w:sz w:val="20"/>
                <w:szCs w:val="20"/>
              </w:rPr>
              <w:t>95 mg/dl</w:t>
            </w:r>
          </w:p>
        </w:tc>
        <w:tc>
          <w:tcPr>
            <w:tcW w:w="709" w:type="pct"/>
            <w:shd w:val="clear" w:color="auto" w:fill="auto"/>
            <w:vAlign w:val="center"/>
          </w:tcPr>
          <w:p w:rsidR="00F419A5" w:rsidRPr="004746EA" w:rsidRDefault="00F419A5" w:rsidP="00C84485">
            <w:pPr>
              <w:snapToGrid w:val="0"/>
              <w:jc w:val="both"/>
              <w:outlineLvl w:val="0"/>
              <w:cnfStyle w:val="000000100000"/>
              <w:rPr>
                <w:sz w:val="20"/>
                <w:szCs w:val="20"/>
              </w:rPr>
            </w:pPr>
            <w:r w:rsidRPr="004746EA">
              <w:rPr>
                <w:sz w:val="20"/>
                <w:szCs w:val="20"/>
              </w:rPr>
              <w:t>Non-smoker</w:t>
            </w:r>
          </w:p>
        </w:tc>
        <w:tc>
          <w:tcPr>
            <w:tcW w:w="2171" w:type="pct"/>
            <w:shd w:val="clear" w:color="auto" w:fill="auto"/>
            <w:vAlign w:val="center"/>
          </w:tcPr>
          <w:p w:rsidR="00F419A5" w:rsidRPr="004746EA" w:rsidRDefault="00F419A5" w:rsidP="00C84485">
            <w:pPr>
              <w:snapToGrid w:val="0"/>
              <w:jc w:val="both"/>
              <w:outlineLvl w:val="0"/>
              <w:cnfStyle w:val="000000100000"/>
              <w:rPr>
                <w:sz w:val="20"/>
                <w:szCs w:val="20"/>
              </w:rPr>
            </w:pPr>
            <w:r w:rsidRPr="004746EA">
              <w:rPr>
                <w:sz w:val="20"/>
                <w:szCs w:val="20"/>
              </w:rPr>
              <w:t>Non-diabetic</w:t>
            </w:r>
          </w:p>
        </w:tc>
      </w:tr>
      <w:tr w:rsidR="00F419A5" w:rsidRPr="004746EA" w:rsidTr="00850745">
        <w:trPr>
          <w:jc w:val="center"/>
        </w:trPr>
        <w:tc>
          <w:tcPr>
            <w:cnfStyle w:val="001000000000"/>
            <w:tcW w:w="1091" w:type="pc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 xml:space="preserve">Trismus </w:t>
            </w:r>
          </w:p>
        </w:tc>
        <w:tc>
          <w:tcPr>
            <w:tcW w:w="372" w:type="pct"/>
            <w:shd w:val="clear" w:color="auto" w:fill="auto"/>
            <w:vAlign w:val="center"/>
          </w:tcPr>
          <w:p w:rsidR="00F419A5" w:rsidRPr="004746EA" w:rsidRDefault="00F419A5" w:rsidP="00C84485">
            <w:pPr>
              <w:snapToGrid w:val="0"/>
              <w:jc w:val="both"/>
              <w:outlineLvl w:val="0"/>
              <w:cnfStyle w:val="000000000000"/>
              <w:rPr>
                <w:sz w:val="20"/>
                <w:szCs w:val="20"/>
              </w:rPr>
            </w:pPr>
            <w:r w:rsidRPr="004746EA">
              <w:rPr>
                <w:sz w:val="20"/>
                <w:szCs w:val="20"/>
              </w:rPr>
              <w:t>Male</w:t>
            </w:r>
          </w:p>
        </w:tc>
        <w:tc>
          <w:tcPr>
            <w:tcW w:w="657" w:type="pct"/>
            <w:shd w:val="clear" w:color="auto" w:fill="auto"/>
            <w:vAlign w:val="center"/>
          </w:tcPr>
          <w:p w:rsidR="00F419A5" w:rsidRPr="004746EA" w:rsidRDefault="00F419A5" w:rsidP="00C84485">
            <w:pPr>
              <w:snapToGrid w:val="0"/>
              <w:jc w:val="both"/>
              <w:outlineLvl w:val="0"/>
              <w:cnfStyle w:val="000000000000"/>
              <w:rPr>
                <w:sz w:val="20"/>
                <w:szCs w:val="20"/>
              </w:rPr>
            </w:pPr>
            <w:r w:rsidRPr="004746EA">
              <w:rPr>
                <w:sz w:val="20"/>
                <w:szCs w:val="20"/>
              </w:rPr>
              <w:t>154 mg/dl</w:t>
            </w:r>
          </w:p>
        </w:tc>
        <w:tc>
          <w:tcPr>
            <w:tcW w:w="709" w:type="pct"/>
            <w:shd w:val="clear" w:color="auto" w:fill="auto"/>
            <w:vAlign w:val="center"/>
          </w:tcPr>
          <w:p w:rsidR="00F419A5" w:rsidRPr="004746EA" w:rsidRDefault="00F419A5" w:rsidP="00C84485">
            <w:pPr>
              <w:snapToGrid w:val="0"/>
              <w:jc w:val="both"/>
              <w:outlineLvl w:val="0"/>
              <w:cnfStyle w:val="000000000000"/>
              <w:rPr>
                <w:sz w:val="20"/>
                <w:szCs w:val="20"/>
              </w:rPr>
            </w:pPr>
            <w:r w:rsidRPr="004746EA">
              <w:rPr>
                <w:sz w:val="20"/>
                <w:szCs w:val="20"/>
              </w:rPr>
              <w:t>Non-smoker</w:t>
            </w:r>
          </w:p>
        </w:tc>
        <w:tc>
          <w:tcPr>
            <w:tcW w:w="2171" w:type="pct"/>
            <w:shd w:val="clear" w:color="auto" w:fill="auto"/>
            <w:vAlign w:val="center"/>
          </w:tcPr>
          <w:p w:rsidR="00F419A5" w:rsidRPr="004746EA" w:rsidRDefault="00F419A5" w:rsidP="00C84485">
            <w:pPr>
              <w:snapToGrid w:val="0"/>
              <w:jc w:val="both"/>
              <w:outlineLvl w:val="0"/>
              <w:cnfStyle w:val="000000000000"/>
              <w:rPr>
                <w:sz w:val="20"/>
                <w:szCs w:val="20"/>
              </w:rPr>
            </w:pPr>
            <w:r w:rsidRPr="004746EA">
              <w:rPr>
                <w:sz w:val="20"/>
                <w:szCs w:val="20"/>
              </w:rPr>
              <w:t>Non-diabetic</w:t>
            </w:r>
          </w:p>
        </w:tc>
      </w:tr>
      <w:tr w:rsidR="00F419A5" w:rsidRPr="004746EA" w:rsidTr="00850745">
        <w:trPr>
          <w:cnfStyle w:val="000000100000"/>
          <w:jc w:val="center"/>
        </w:trPr>
        <w:tc>
          <w:tcPr>
            <w:cnfStyle w:val="001000000000"/>
            <w:tcW w:w="1091" w:type="pc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 xml:space="preserve">Trismus </w:t>
            </w:r>
          </w:p>
        </w:tc>
        <w:tc>
          <w:tcPr>
            <w:tcW w:w="372" w:type="pct"/>
            <w:shd w:val="clear" w:color="auto" w:fill="auto"/>
            <w:vAlign w:val="center"/>
          </w:tcPr>
          <w:p w:rsidR="00F419A5" w:rsidRPr="004746EA" w:rsidRDefault="00F419A5" w:rsidP="00C84485">
            <w:pPr>
              <w:snapToGrid w:val="0"/>
              <w:jc w:val="both"/>
              <w:outlineLvl w:val="0"/>
              <w:cnfStyle w:val="000000100000"/>
              <w:rPr>
                <w:sz w:val="20"/>
                <w:szCs w:val="20"/>
              </w:rPr>
            </w:pPr>
            <w:r w:rsidRPr="004746EA">
              <w:rPr>
                <w:sz w:val="20"/>
                <w:szCs w:val="20"/>
              </w:rPr>
              <w:t xml:space="preserve">Female </w:t>
            </w:r>
          </w:p>
        </w:tc>
        <w:tc>
          <w:tcPr>
            <w:tcW w:w="657" w:type="pct"/>
            <w:shd w:val="clear" w:color="auto" w:fill="auto"/>
            <w:vAlign w:val="center"/>
          </w:tcPr>
          <w:p w:rsidR="00F419A5" w:rsidRPr="004746EA" w:rsidRDefault="00F419A5" w:rsidP="00C84485">
            <w:pPr>
              <w:snapToGrid w:val="0"/>
              <w:jc w:val="both"/>
              <w:outlineLvl w:val="0"/>
              <w:cnfStyle w:val="000000100000"/>
              <w:rPr>
                <w:sz w:val="20"/>
                <w:szCs w:val="20"/>
              </w:rPr>
            </w:pPr>
            <w:r w:rsidRPr="004746EA">
              <w:rPr>
                <w:sz w:val="20"/>
                <w:szCs w:val="20"/>
              </w:rPr>
              <w:t>110 mg/dl</w:t>
            </w:r>
          </w:p>
        </w:tc>
        <w:tc>
          <w:tcPr>
            <w:tcW w:w="709" w:type="pct"/>
            <w:shd w:val="clear" w:color="auto" w:fill="auto"/>
            <w:vAlign w:val="center"/>
          </w:tcPr>
          <w:p w:rsidR="00F419A5" w:rsidRPr="004746EA" w:rsidRDefault="00F419A5" w:rsidP="00C84485">
            <w:pPr>
              <w:snapToGrid w:val="0"/>
              <w:jc w:val="both"/>
              <w:outlineLvl w:val="0"/>
              <w:cnfStyle w:val="000000100000"/>
              <w:rPr>
                <w:sz w:val="20"/>
                <w:szCs w:val="20"/>
              </w:rPr>
            </w:pPr>
            <w:r w:rsidRPr="004746EA">
              <w:rPr>
                <w:sz w:val="20"/>
                <w:szCs w:val="20"/>
              </w:rPr>
              <w:t>Non-smoker</w:t>
            </w:r>
          </w:p>
        </w:tc>
        <w:tc>
          <w:tcPr>
            <w:tcW w:w="2171" w:type="pct"/>
            <w:shd w:val="clear" w:color="auto" w:fill="auto"/>
            <w:vAlign w:val="center"/>
          </w:tcPr>
          <w:p w:rsidR="00F419A5" w:rsidRPr="004746EA" w:rsidRDefault="00F419A5" w:rsidP="00C84485">
            <w:pPr>
              <w:snapToGrid w:val="0"/>
              <w:jc w:val="both"/>
              <w:outlineLvl w:val="0"/>
              <w:cnfStyle w:val="000000100000"/>
              <w:rPr>
                <w:sz w:val="20"/>
                <w:szCs w:val="20"/>
              </w:rPr>
            </w:pPr>
            <w:r w:rsidRPr="004746EA">
              <w:rPr>
                <w:sz w:val="20"/>
                <w:szCs w:val="20"/>
              </w:rPr>
              <w:t>Non-diabetic</w:t>
            </w:r>
          </w:p>
        </w:tc>
      </w:tr>
      <w:tr w:rsidR="00F419A5" w:rsidRPr="004746EA" w:rsidTr="00850745">
        <w:trPr>
          <w:jc w:val="center"/>
        </w:trPr>
        <w:tc>
          <w:tcPr>
            <w:cnfStyle w:val="001000000000"/>
            <w:tcW w:w="1091" w:type="pct"/>
            <w:shd w:val="clear" w:color="auto" w:fill="auto"/>
            <w:vAlign w:val="center"/>
          </w:tcPr>
          <w:p w:rsidR="00F419A5" w:rsidRPr="004746EA" w:rsidRDefault="00F419A5" w:rsidP="00C84485">
            <w:pPr>
              <w:snapToGrid w:val="0"/>
              <w:jc w:val="both"/>
              <w:outlineLvl w:val="0"/>
              <w:rPr>
                <w:b w:val="0"/>
                <w:sz w:val="20"/>
                <w:szCs w:val="20"/>
              </w:rPr>
            </w:pPr>
            <w:r w:rsidRPr="004746EA">
              <w:rPr>
                <w:b w:val="0"/>
                <w:sz w:val="20"/>
                <w:szCs w:val="20"/>
              </w:rPr>
              <w:t>Sharp bone</w:t>
            </w:r>
          </w:p>
        </w:tc>
        <w:tc>
          <w:tcPr>
            <w:tcW w:w="372" w:type="pct"/>
            <w:shd w:val="clear" w:color="auto" w:fill="auto"/>
            <w:vAlign w:val="center"/>
          </w:tcPr>
          <w:p w:rsidR="00F419A5" w:rsidRPr="004746EA" w:rsidRDefault="00F419A5" w:rsidP="00C84485">
            <w:pPr>
              <w:snapToGrid w:val="0"/>
              <w:jc w:val="both"/>
              <w:outlineLvl w:val="0"/>
              <w:cnfStyle w:val="000000000000"/>
              <w:rPr>
                <w:sz w:val="20"/>
                <w:szCs w:val="20"/>
              </w:rPr>
            </w:pPr>
            <w:r w:rsidRPr="004746EA">
              <w:rPr>
                <w:sz w:val="20"/>
                <w:szCs w:val="20"/>
              </w:rPr>
              <w:t>Male</w:t>
            </w:r>
          </w:p>
        </w:tc>
        <w:tc>
          <w:tcPr>
            <w:tcW w:w="657" w:type="pct"/>
            <w:shd w:val="clear" w:color="auto" w:fill="auto"/>
            <w:vAlign w:val="center"/>
          </w:tcPr>
          <w:p w:rsidR="00F419A5" w:rsidRPr="004746EA" w:rsidRDefault="00F419A5" w:rsidP="00C84485">
            <w:pPr>
              <w:snapToGrid w:val="0"/>
              <w:jc w:val="both"/>
              <w:outlineLvl w:val="0"/>
              <w:cnfStyle w:val="000000000000"/>
              <w:rPr>
                <w:sz w:val="20"/>
                <w:szCs w:val="20"/>
              </w:rPr>
            </w:pPr>
            <w:r w:rsidRPr="004746EA">
              <w:rPr>
                <w:sz w:val="20"/>
                <w:szCs w:val="20"/>
              </w:rPr>
              <w:t>211 mg/dl</w:t>
            </w:r>
          </w:p>
        </w:tc>
        <w:tc>
          <w:tcPr>
            <w:tcW w:w="709" w:type="pct"/>
            <w:shd w:val="clear" w:color="auto" w:fill="auto"/>
            <w:vAlign w:val="center"/>
          </w:tcPr>
          <w:p w:rsidR="00F419A5" w:rsidRPr="004746EA" w:rsidRDefault="00F419A5" w:rsidP="00C84485">
            <w:pPr>
              <w:snapToGrid w:val="0"/>
              <w:jc w:val="both"/>
              <w:outlineLvl w:val="0"/>
              <w:cnfStyle w:val="000000000000"/>
              <w:rPr>
                <w:sz w:val="20"/>
                <w:szCs w:val="20"/>
              </w:rPr>
            </w:pPr>
            <w:r w:rsidRPr="004746EA">
              <w:rPr>
                <w:sz w:val="20"/>
                <w:szCs w:val="20"/>
              </w:rPr>
              <w:t>Non-smoker</w:t>
            </w:r>
          </w:p>
        </w:tc>
        <w:tc>
          <w:tcPr>
            <w:tcW w:w="2171" w:type="pct"/>
            <w:shd w:val="clear" w:color="auto" w:fill="auto"/>
            <w:vAlign w:val="center"/>
          </w:tcPr>
          <w:p w:rsidR="00F419A5" w:rsidRPr="004746EA" w:rsidRDefault="00F419A5" w:rsidP="00C84485">
            <w:pPr>
              <w:snapToGrid w:val="0"/>
              <w:jc w:val="both"/>
              <w:outlineLvl w:val="0"/>
              <w:cnfStyle w:val="000000000000"/>
              <w:rPr>
                <w:sz w:val="20"/>
                <w:szCs w:val="20"/>
              </w:rPr>
            </w:pPr>
            <w:r w:rsidRPr="004746EA">
              <w:rPr>
                <w:sz w:val="20"/>
                <w:szCs w:val="20"/>
              </w:rPr>
              <w:t xml:space="preserve">Type 2 diabetes on insulin and oral hypoglycemic </w:t>
            </w:r>
          </w:p>
        </w:tc>
      </w:tr>
    </w:tbl>
    <w:p w:rsidR="00F419A5" w:rsidRPr="004746EA" w:rsidRDefault="00F419A5" w:rsidP="00C84485">
      <w:pPr>
        <w:snapToGrid w:val="0"/>
        <w:jc w:val="both"/>
        <w:outlineLvl w:val="0"/>
        <w:rPr>
          <w:b/>
          <w:sz w:val="20"/>
          <w:szCs w:val="20"/>
        </w:rPr>
      </w:pPr>
    </w:p>
    <w:p w:rsidR="00C84485" w:rsidRPr="004746EA" w:rsidRDefault="00C84485" w:rsidP="00C84485">
      <w:pPr>
        <w:snapToGrid w:val="0"/>
        <w:jc w:val="both"/>
        <w:outlineLvl w:val="0"/>
        <w:rPr>
          <w:b/>
          <w:sz w:val="20"/>
          <w:szCs w:val="20"/>
        </w:rPr>
        <w:sectPr w:rsidR="00C84485" w:rsidRPr="004746EA" w:rsidSect="00850745">
          <w:type w:val="continuous"/>
          <w:pgSz w:w="12240" w:h="15840"/>
          <w:pgMar w:top="1440" w:right="1440" w:bottom="1440" w:left="1440" w:header="720" w:footer="720" w:gutter="0"/>
          <w:cols w:space="720"/>
          <w:docGrid w:linePitch="299"/>
        </w:sectPr>
      </w:pPr>
    </w:p>
    <w:p w:rsidR="00F419A5" w:rsidRPr="004746EA" w:rsidRDefault="00F419A5" w:rsidP="00C84485">
      <w:pPr>
        <w:snapToGrid w:val="0"/>
        <w:jc w:val="both"/>
        <w:outlineLvl w:val="0"/>
        <w:rPr>
          <w:b/>
          <w:sz w:val="20"/>
          <w:szCs w:val="20"/>
        </w:rPr>
      </w:pPr>
      <w:r w:rsidRPr="004746EA">
        <w:rPr>
          <w:b/>
          <w:sz w:val="20"/>
          <w:szCs w:val="20"/>
        </w:rPr>
        <w:lastRenderedPageBreak/>
        <w:t>4. Discussion</w:t>
      </w:r>
    </w:p>
    <w:p w:rsidR="00F419A5" w:rsidRPr="004746EA" w:rsidRDefault="00F419A5" w:rsidP="00C84485">
      <w:pPr>
        <w:snapToGrid w:val="0"/>
        <w:ind w:firstLine="425"/>
        <w:jc w:val="both"/>
        <w:outlineLvl w:val="0"/>
        <w:rPr>
          <w:strike/>
          <w:sz w:val="20"/>
          <w:szCs w:val="20"/>
        </w:rPr>
      </w:pPr>
      <w:r w:rsidRPr="004746EA">
        <w:rPr>
          <w:sz w:val="20"/>
          <w:szCs w:val="20"/>
        </w:rPr>
        <w:t xml:space="preserve">The prevalence of diabetes mellitus in Saudi Arabia has alarmingly worsened </w:t>
      </w:r>
      <w:r w:rsidR="009E1116" w:rsidRPr="004746EA">
        <w:rPr>
          <w:sz w:val="20"/>
          <w:szCs w:val="20"/>
        </w:rPr>
        <w:fldChar w:fldCharType="begin" w:fldLock="1"/>
      </w:r>
      <w:r w:rsidRPr="004746EA">
        <w:rPr>
          <w:sz w:val="20"/>
          <w:szCs w:val="20"/>
        </w:rPr>
        <w:instrText>ADDIN CSL_CITATION { "citationItems" : [ { "id" : "ITEM-1", "itemData" : { "DOI" : "10.1186/1741-7015-9-76", "ISBN" : "1741701597", "ISSN" : "1741-7015", "PMID" : "21689399", "abstract" : "Follow-up epidemiologic studies are needed to assess trends and patterns of disease spread. No follow-up epidemiologic study has been done in the Kingdom of Saudi Arabia to assess the current prevalence of major chronic, noncommunicable diseases, specifically in the urban region, where modifiable risk factors remain rampant. This study aims to fill this gap.", "author" : [ { "dropping-particle" : "", "family" : "Al-Daghri", "given" : "Nasser M", "non-dropping-particle" : "", "parse-names" : false, "suffix" : "" }, { "dropping-particle" : "", "family" : "Al-Attas", "given" : "Omar S", "non-dropping-particle" : "", "parse-names" : false, "suffix" : "" }, { "dropping-particle" : "", "family" : "Alokail", "given" : "Majed S", "non-dropping-particle" : "", "parse-names" : false, "suffix" : "" }, { "dropping-particle" : "", "family" : "Alkharfy", "given" : "Khalid M", "non-dropping-particle" : "", "parse-names" : false, "suffix" : "" }, { "dropping-particle" : "", "family" : "Yousef", "given" : "Mansour", "non-dropping-particle" : "", "parse-names" : false, "suffix" : "" }, { "dropping-particle" : "", "family" : "Sabico", "given" : "Shaun Louie", "non-dropping-particle" : "", "parse-names" : false, "suffix" : "" }, { "dropping-particle" : "", "family" : "Chrousos", "given" : "George P", "non-dropping-particle" : "", "parse-names" : false, "suffix" : "" } ], "container-title" : "BMC medicine", "id" : "ITEM-1", "issue" : "1", "issued" : { "date-parts" : [ [ "2011" ] ] }, "page" : "76", "publisher" : "BioMed Central Ltd", "title" : "Diabetes mellitus type 2 and other chronic non-communicable diseases in the central region, Saudi Arabia (riyadh cohort 2): a decade of an epidemic.", "type" : "article-journal", "volume" : "9" }, "uris" : [ "http://www.mendeley.com/documents/?uuid=59215641-e9d8-4675-a62b-1d7852f8f459" ] } ], "mendeley" : { "formattedCitation" : "(10)", "plainTextFormattedCitation" : "(10)", "previouslyFormattedCitation" : "(Al-Daghri et al. 2011)" }, "properties" : { "noteIndex" : 0 }, "schema" : "https://github.com/citation-style-language/schema/raw/master/csl-citation.json" }</w:instrText>
      </w:r>
      <w:r w:rsidR="009E1116" w:rsidRPr="004746EA">
        <w:rPr>
          <w:sz w:val="20"/>
          <w:szCs w:val="20"/>
        </w:rPr>
        <w:fldChar w:fldCharType="separate"/>
      </w:r>
      <w:r w:rsidRPr="004746EA">
        <w:rPr>
          <w:noProof/>
          <w:sz w:val="20"/>
          <w:szCs w:val="20"/>
        </w:rPr>
        <w:t>(10)</w:t>
      </w:r>
      <w:r w:rsidR="009E1116" w:rsidRPr="004746EA">
        <w:rPr>
          <w:sz w:val="20"/>
          <w:szCs w:val="20"/>
        </w:rPr>
        <w:fldChar w:fldCharType="end"/>
      </w:r>
      <w:r w:rsidRPr="004746EA">
        <w:rPr>
          <w:sz w:val="20"/>
          <w:szCs w:val="20"/>
        </w:rPr>
        <w:t xml:space="preserve">. The prevalence of diabetes mellitus in our study constitutes 29.3%, which is in accordance with a study conducted by Alqurashi et al in 2011 where 30% of 6024 subjects were found to have type 2 diabetes </w:t>
      </w:r>
      <w:r w:rsidR="009E1116" w:rsidRPr="004746EA">
        <w:rPr>
          <w:sz w:val="20"/>
          <w:szCs w:val="20"/>
        </w:rPr>
        <w:fldChar w:fldCharType="begin" w:fldLock="1"/>
      </w:r>
      <w:r w:rsidRPr="004746EA">
        <w:rPr>
          <w:sz w:val="20"/>
          <w:szCs w:val="20"/>
        </w:rPr>
        <w:instrText>ADDIN CSL_CITATION { "citationItems" : [ { "id" : "ITEM-1", "itemData" : { "DOI" : "10.4103/0256-4947.75773", "ISSN" : "0975-4466", "PMID" : "21245594", "abstract" : "BACKGROUND AND OBJECTIVES: Quantifying the prevalence of diabetes mellitus is important to allow for rational planning and allocation of resources. Therefore, we designed this study to determine the prevalence of diabetes among Saudi nationals.\n\nDESIGN AND SETTING: A cross-sectional study among patients attending a primary care clinic in June 2009.\n\nPATIENTS AND METHODS: Patients were interviewed with structured questionnaires to determine the presence of diabetes by questioning for history of the disease, and charts were reviewed to document any diabetic therapies that the patients may have undergone in the past or were undergoing at that time.\n\nRESULTS: Of 6024 subjects, diabetes mellitus was present in 1792 (30%) patients. The mean (SD) age of the patients was 55.3 (13.2) years. The prevalence of diabetes was 34.1% in males and 27.6% in females (P&lt;.0001). The mean (SD) age for onset of diabetes in males and females was 57.5 (13.1) and 53.4 (13.1) years, respectively (P&lt;.0001). Females &lt;50 years old had a higher prevalence than males in the corresponding age range-34.1% and 25.1%, respectively (P&lt;.0001). The prevalence of diabetes decreased in patients older than 70 years. The prevalence of body mass index of \u226525 was 72.5%. Among patients with diabetes, the prevalence of body mass index of \u226525 was 85.7% (P&lt;.0001). There was a higher prevalence of obesity (body mass index, \u226525) in females (87.7%) as compared to males (83.1%) (P=.008).\n\nCONCLUSION: The prevalence of diabetes is high among the Saudi population and represents a major clinical and public health problem. A national prevention program to prevent diabetes and address the modifiable risk factors at the community level, targeting high-risk groups, should be implemented soon.", "author" : [ { "dropping-particle" : "", "family" : "Alqurashi", "given" : "Khalid A", "non-dropping-particle" : "", "parse-names" : false, "suffix" : "" }, { "dropping-particle" : "", "family" : "Aljabri", "given" : "Khalid S", "non-dropping-particle" : "", "parse-names" : false, "suffix" : "" }, { "dropping-particle" : "", "family" : "Bokhari", "given" : "Samia A", "non-dropping-particle" : "", "parse-names" : false, "suffix" : "" } ], "container-title" : "Annals of Saudi medicine", "id" : "ITEM-1", "issue" : "1", "issued" : { "date-parts" : [ [ "0", "1" ] ] }, "page" : "19-23", "title" : "Prevalence of diabetes mellitus in a Saudi community.", "type" : "article-journal", "volume" : "31" }, "uris" : [ "http://www.mendeley.com/documents/?uuid=0b3b3bc5-b502-498d-b8a2-2191bdd13b70" ] } ], "mendeley" : { "formattedCitation" : "(4)", "plainTextFormattedCitation" : "(4)", "previouslyFormattedCitation" : "(Alqurashi et al.)" }, "properties" : { "noteIndex" : 0 }, "schema" : "https://github.com/citation-style-language/schema/raw/master/csl-citation.json" }</w:instrText>
      </w:r>
      <w:r w:rsidR="009E1116" w:rsidRPr="004746EA">
        <w:rPr>
          <w:sz w:val="20"/>
          <w:szCs w:val="20"/>
        </w:rPr>
        <w:fldChar w:fldCharType="separate"/>
      </w:r>
      <w:r w:rsidRPr="004746EA">
        <w:rPr>
          <w:noProof/>
          <w:sz w:val="20"/>
          <w:szCs w:val="20"/>
        </w:rPr>
        <w:t>(4)</w:t>
      </w:r>
      <w:r w:rsidR="009E1116" w:rsidRPr="004746EA">
        <w:rPr>
          <w:sz w:val="20"/>
          <w:szCs w:val="20"/>
        </w:rPr>
        <w:fldChar w:fldCharType="end"/>
      </w:r>
      <w:r w:rsidRPr="004746EA">
        <w:rPr>
          <w:sz w:val="20"/>
          <w:szCs w:val="20"/>
        </w:rPr>
        <w:t xml:space="preserve">. </w:t>
      </w:r>
    </w:p>
    <w:p w:rsidR="00F419A5" w:rsidRPr="004746EA" w:rsidRDefault="00F419A5" w:rsidP="00C84485">
      <w:pPr>
        <w:snapToGrid w:val="0"/>
        <w:ind w:firstLine="425"/>
        <w:jc w:val="both"/>
        <w:outlineLvl w:val="0"/>
        <w:rPr>
          <w:sz w:val="20"/>
          <w:szCs w:val="20"/>
        </w:rPr>
      </w:pPr>
      <w:r w:rsidRPr="004746EA">
        <w:rPr>
          <w:sz w:val="20"/>
          <w:szCs w:val="20"/>
        </w:rPr>
        <w:t xml:space="preserve">In the present study, 36% of the diabetic patients were diagnosed with diabetes since 2 – 5 years, 28% more than 10 years, 20% less than or equal to 1 year, and 16% since 6 – 10 years. However, since none of the diabetic patients had any event of delayed healing, diabetic duration appears to play an insignificant role in the healing of extraction socket. Nevertheless, diabetic duration was correlated with diabetic autonomic neuropathy. Longer duration of diabetes was found to be associated with more severe diabetic autonomic neuropathy </w:t>
      </w:r>
      <w:r w:rsidR="009E1116" w:rsidRPr="004746EA">
        <w:rPr>
          <w:sz w:val="20"/>
          <w:szCs w:val="20"/>
        </w:rPr>
        <w:fldChar w:fldCharType="begin" w:fldLock="1"/>
      </w:r>
      <w:r w:rsidRPr="004746EA">
        <w:rPr>
          <w:sz w:val="20"/>
          <w:szCs w:val="20"/>
        </w:rPr>
        <w:instrText>ADDIN CSL_CITATION { "citationItems" : [ { "id" : "ITEM-1", "itemData" : { "DOI" : "10.4093/dmj.2012.36.1.64", "ISSN" : "2233-6079", "PMID" : "22363923", "abstract" : "BACKGROUND: We investigated the prevalence of diabetic autonomic neuropathy (DAN) and vestibular dysfunction (VD) in diabetic patients with peripheral neuropathy. METHODS: Thirty-five diabetic patients with peripheral neuropathy were enrolled from August 2008 to July 2009. All subjects underwent autonomic function tests. Nineteen of the patients (54.3%) underwent videonystagmography. RESULTS: Diabetic autonomic neuropathy was observed in 28 patients (80%). A mild degree of autonomic failure was observed in 18 patients (64.3%), and a moderate degree of autonomic failure was observed in ten patients (35.7%). Factors related to DAN included diabetic nephropathy (P=0.032), degree of chronic kidney disease (P=0.003), and duration of diabetes (P=0.044). Vestibular dysfunction was observed in 11 of 19 patients (57.9%). There was no significant association between DAN and VD. CONCLUSION: Diabetic autonomic neuropathy was observed in 28 diabetic patients (80%) with peripheral neuropathy. Vestibular dysfunction was observed in nearly 60% of diabetic patients with peripheral neuropathy who complained of dizziness but showed no significant association with DAN. Diabetic patients who complained of dizziness need to examine both autonomic function and vestibular function.", "author" : [ { "dropping-particle" : "", "family" : "Kim", "given" : "Soo Kyoung", "non-dropping-particle" : "", "parse-names" : false, "suffix" : "" }, { "dropping-particle" : "", "family" : "Lee", "given" : "Kyeong Ju", "non-dropping-particle" : "", "parse-names" : false, "suffix" : "" }, { "dropping-particle" : "", "family" : "Hahm", "given" : "Jong Ryeal", "non-dropping-particle" : "", "parse-names" : false, "suffix" : "" }, { "dropping-particle" : "", "family" : "Lee", "given" : "Sang Min", "non-dropping-particle" : "", "parse-names" : false, "suffix" : "" }, { "dropping-particle" : "", "family" : "Jung", "given" : "Tae Sik", "non-dropping-particle" : "", "parse-names" : false, "suffix" : "" }, { "dropping-particle" : "", "family" : "Jung", "given" : "Jung Hwa", "non-dropping-particle" : "", "parse-names" : false, "suffix" : "" }, { "dropping-particle" : "", "family" : "Kim", "given" : "Sungsu", "non-dropping-particle" : "", "parse-names" : false, "suffix" : "" }, { "dropping-particle" : "", "family" : "Kim", "given" : "Deok Ryong", "non-dropping-particle" : "", "parse-names" : false, "suffix" : "" }, { "dropping-particle" : "", "family" : "Ahn", "given" : "Seong-Ki", "non-dropping-particle" : "", "parse-names" : false, "suffix" : "" }, { "dropping-particle" : "", "family" : "Choi", "given" : "Won-Hee", "non-dropping-particle" : "", "parse-names" : false, "suffix" : "" }, { "dropping-particle" : "Il", "family" : "Chung", "given" : "Soon", "non-dropping-particle" : "", "parse-names" : false, "suffix" : "" } ], "container-title" : "Diabetes &amp; Metabolism Journal", "id" : "ITEM-1", "issue" : "1", "issued" : { "date-parts" : [ [ "2012" ] ] }, "page" : "64", "title" : "Clinical Significance of the Presence of Autonomic and Vestibular Dysfunction in Diabetic Patients with Peripheral Neuropathy", "type" : "article-journal", "volume" : "36" }, "uris" : [ "http://www.mendeley.com/documents/?uuid=723c49a1-fa46-4df4-8d6e-79d0fcc5e364" ] } ], "mendeley" : { "formattedCitation" : "(1)", "plainTextFormattedCitation" : "(1)", "previouslyFormattedCitation" : "(Kim et al. 2012)" }, "properties" : { "noteIndex" : 0 }, "schema" : "https://github.com/citation-style-language/schema/raw/master/csl-citation.json" }</w:instrText>
      </w:r>
      <w:r w:rsidR="009E1116" w:rsidRPr="004746EA">
        <w:rPr>
          <w:sz w:val="20"/>
          <w:szCs w:val="20"/>
        </w:rPr>
        <w:fldChar w:fldCharType="separate"/>
      </w:r>
      <w:r w:rsidRPr="004746EA">
        <w:rPr>
          <w:noProof/>
          <w:sz w:val="20"/>
          <w:szCs w:val="20"/>
        </w:rPr>
        <w:t>(1)</w:t>
      </w:r>
      <w:r w:rsidR="009E1116" w:rsidRPr="004746EA">
        <w:rPr>
          <w:sz w:val="20"/>
          <w:szCs w:val="20"/>
        </w:rPr>
        <w:fldChar w:fldCharType="end"/>
      </w:r>
      <w:r w:rsidRPr="004746EA">
        <w:rPr>
          <w:sz w:val="20"/>
          <w:szCs w:val="20"/>
        </w:rPr>
        <w:t>.</w:t>
      </w:r>
    </w:p>
    <w:p w:rsidR="00F419A5" w:rsidRPr="004746EA" w:rsidRDefault="00F419A5" w:rsidP="00C84485">
      <w:pPr>
        <w:snapToGrid w:val="0"/>
        <w:ind w:firstLine="425"/>
        <w:jc w:val="both"/>
        <w:outlineLvl w:val="0"/>
        <w:rPr>
          <w:sz w:val="20"/>
          <w:szCs w:val="20"/>
        </w:rPr>
      </w:pPr>
      <w:r w:rsidRPr="004746EA">
        <w:rPr>
          <w:sz w:val="20"/>
          <w:szCs w:val="20"/>
        </w:rPr>
        <w:t xml:space="preserve">Overall, only ten patients (10.8%) in this study were found to be smokers, which is lower than the recently reported figure of 37% for the adult Saudi population. In 2015, a review article regarding smoking prevalence in Saudi population was published concluding that the prevalence of smoking in Saudi Arabia has almost doubled from 21% in 1996 to 37% in 2012, especially in males </w:t>
      </w:r>
      <w:r w:rsidR="009E1116" w:rsidRPr="004746EA">
        <w:rPr>
          <w:sz w:val="20"/>
          <w:szCs w:val="20"/>
        </w:rPr>
        <w:fldChar w:fldCharType="begin" w:fldLock="1"/>
      </w:r>
      <w:r w:rsidRPr="004746EA">
        <w:rPr>
          <w:sz w:val="20"/>
          <w:szCs w:val="20"/>
        </w:rPr>
        <w:instrText>ADDIN CSL_CITATION { "citationItems" : [ { "id" : "ITEM-1", "itemData" : { "author" : [ { "dropping-particle" : "", "family" : "Almutairi", "given" : "Khalid M", "non-dropping-particle" : "", "parse-names" : false, "suffix" : "" } ], "id" : "ITEM-1", "issue" : "2", "issued" : { "date-parts" : [ [ "2015" ] ] }, "page" : "170-175", "title" : "Trends in Current Tobacco Use , Smoking Rates and Quit Attempts among Saudi Population during Periods of 17 Years ( 1996 \u2013 2012 ): Narrative Review Article", "type" : "article-journal", "volume" : "44" }, "uris" : [ "http://www.mendeley.com/documents/?uuid=92d9ff6c-9d7b-49ad-97db-df5f9c423e2e" ] } ], "mendeley" : { "formattedCitation" : "(11)", "plainTextFormattedCitation" : "(11)", "previouslyFormattedCitation" : "(Almutairi 2015)" }, "properties" : { "noteIndex" : 0 }, "schema" : "https://github.com/citation-style-language/schema/raw/master/csl-citation.json" }</w:instrText>
      </w:r>
      <w:r w:rsidR="009E1116" w:rsidRPr="004746EA">
        <w:rPr>
          <w:sz w:val="20"/>
          <w:szCs w:val="20"/>
        </w:rPr>
        <w:fldChar w:fldCharType="separate"/>
      </w:r>
      <w:r w:rsidRPr="004746EA">
        <w:rPr>
          <w:noProof/>
          <w:sz w:val="20"/>
          <w:szCs w:val="20"/>
        </w:rPr>
        <w:t>(11)</w:t>
      </w:r>
      <w:r w:rsidR="009E1116" w:rsidRPr="004746EA">
        <w:rPr>
          <w:sz w:val="20"/>
          <w:szCs w:val="20"/>
        </w:rPr>
        <w:fldChar w:fldCharType="end"/>
      </w:r>
      <w:r w:rsidRPr="004746EA">
        <w:rPr>
          <w:sz w:val="20"/>
          <w:szCs w:val="20"/>
        </w:rPr>
        <w:t>. Although it is been reported that smoking is an important factor in delayed healing</w:t>
      </w:r>
      <w:r w:rsidR="009E1116" w:rsidRPr="004746EA">
        <w:rPr>
          <w:sz w:val="20"/>
          <w:szCs w:val="20"/>
        </w:rPr>
        <w:fldChar w:fldCharType="begin" w:fldLock="1"/>
      </w:r>
      <w:r w:rsidRPr="004746EA">
        <w:rPr>
          <w:sz w:val="20"/>
          <w:szCs w:val="20"/>
        </w:rPr>
        <w:instrText>ADDIN CSL_CITATION { "citationItems" : [ { "id" : "ITEM-1", "itemData" : { "DOI" : "10.1016/j.tripleo.2008.05.043", "ISSN" : "10792104", "PMID" : "18755610", "abstract" : "Objectives: This paper provides a comprehensive review of the etiology, pathophysiology and current treatment of dry socket. Study design: The Medline database (Ovid version) from 1966 to 2007 was searched for the term \"dry socket\" published in the English language, and 317 results were obtained. The articles were screened by abstract for relevance to etiology, pathophysiology, or treatment of dry socket. Treatment papers were ranked on the quality of evidence presented as assessed using the evidence-based systematic review worksheet of the University of Alberta. A total of 62 publications were included in the final review. Results: Prevention methods remain the key to avoiding this complication. Prophylactic placement of topical antibiotics can be considered, whereas systemic antibiotics should be reserved for patients who are immunocompromised. Conclusion: This paper provided a comprehensive review of the etiology, pathophysiology, and current treatment of dry socket in dental practice. ?? 2009 Mosby, Inc. All rights reserved.", "author" : [ { "dropping-particle" : "", "family" : "Noroozi", "given" : "Ahmad Reza", "non-dropping-particle" : "", "parse-names" : false, "suffix" : "" }, { "dropping-particle" : "", "family" : "Philbert", "given" : "Rawle F.", "non-dropping-particle" : "", "parse-names" : false, "suffix" : "" } ], "container-title" : "Oral Surgery, Oral Medicine, Oral Pathology, Oral Radiology and Endodontology", "id" : "ITEM-1", "issue" : "1", "issued" : { "date-parts" : [ [ "2009" ] ] }, "page" : "30-35", "publisher" : "Mosby, Inc.", "title" : "Modern concepts in understanding and management of the \"dry socket\" syndrome: comprehensive review of the literature", "type" : "article-journal", "volume" : "107" }, "uris" : [ "http://www.mendeley.com/documents/?uuid=f36216f2-5bee-4a2a-a850-ab8e2bfaf848" ] } ], "mendeley" : { "formattedCitation" : "(12)", "plainTextFormattedCitation" : "(12)", "previouslyFormattedCitation" : "(Noroozi &amp; Philbert 2009)" }, "properties" : { "noteIndex" : 0 }, "schema" : "https://github.com/citation-style-language/schema/raw/master/csl-citation.json" }</w:instrText>
      </w:r>
      <w:r w:rsidR="009E1116" w:rsidRPr="004746EA">
        <w:rPr>
          <w:sz w:val="20"/>
          <w:szCs w:val="20"/>
        </w:rPr>
        <w:fldChar w:fldCharType="separate"/>
      </w:r>
      <w:r w:rsidRPr="004746EA">
        <w:rPr>
          <w:noProof/>
          <w:sz w:val="20"/>
          <w:szCs w:val="20"/>
        </w:rPr>
        <w:t>(12)</w:t>
      </w:r>
      <w:r w:rsidR="009E1116" w:rsidRPr="004746EA">
        <w:rPr>
          <w:sz w:val="20"/>
          <w:szCs w:val="20"/>
        </w:rPr>
        <w:fldChar w:fldCharType="end"/>
      </w:r>
      <w:r w:rsidRPr="004746EA">
        <w:rPr>
          <w:sz w:val="20"/>
          <w:szCs w:val="20"/>
        </w:rPr>
        <w:t xml:space="preserve">, none of the ten smokers had any event of delayed healing. </w:t>
      </w:r>
    </w:p>
    <w:p w:rsidR="00850745" w:rsidRPr="004746EA" w:rsidRDefault="00F419A5" w:rsidP="00C84485">
      <w:pPr>
        <w:snapToGrid w:val="0"/>
        <w:ind w:firstLine="425"/>
        <w:jc w:val="both"/>
        <w:outlineLvl w:val="0"/>
        <w:rPr>
          <w:sz w:val="20"/>
          <w:szCs w:val="20"/>
        </w:rPr>
      </w:pPr>
      <w:r w:rsidRPr="004746EA">
        <w:rPr>
          <w:sz w:val="20"/>
          <w:szCs w:val="20"/>
        </w:rPr>
        <w:t xml:space="preserve">This study shows that although the clinical impression reflects that the non-diabetic patients had more events of delayed healing; the difference was not statistically significant between the diabetic group and the non-diabetic control group in healing of extraction socket (p = 0.076). This agrees with the findings of Aronovich et al. who studied both types of diabetes in regard to healing socket in 2010 and found that well-controlled and poorly controlled diabetic patients did not differ in healing outcome following exodontia </w:t>
      </w:r>
      <w:r w:rsidR="009E1116" w:rsidRPr="004746EA">
        <w:rPr>
          <w:sz w:val="20"/>
          <w:szCs w:val="20"/>
        </w:rPr>
        <w:fldChar w:fldCharType="begin" w:fldLock="1"/>
      </w:r>
      <w:r w:rsidRPr="004746EA">
        <w:rPr>
          <w:sz w:val="20"/>
          <w:szCs w:val="20"/>
        </w:rPr>
        <w:instrText>ADDIN CSL_CITATION { "citationItems" : [ { "id" : "ITEM-1", "itemData" : { "DOI" : "10.1016/j.joms.2010.05.006", "ISSN" : "02782391", "PMID" : "20950911", "abstract" : "Purpose: The aim of this study was to determine whether glycemic control influences healing after tooth extractions. Materials and Methods: We enrolled 115 diabetic patients who required dental extractions in this prospective observer-blinded study. Epithelialization of extraction sites was assessed relative to the patient's history, non-fasting blood glucose levels, and glycosylated hemoglobin levels. Results: Of 115 patients, 78 had 1- and 2-week follow-up data. There was no statistically significant difference in the rate of postextraction epithelialization between diabetic patients based on preoperative blood glucose levels, hemoglobin A1c levels, or patient history. Only the size of the extraction site at days 0 and 7 was predictive of future epithelialization. Conclusions: Glycemic control did not influence postextraction healing in diabetic patients. Recommendations for management of the diabetic patient requiring extractions are discussed. \u00a9 2010 American Association of Oral and Maxillofacial Surgeons.", "author" : [ { "dropping-particle" : "", "family" : "Aronovich", "given" : "Sharon", "non-dropping-particle" : "", "parse-names" : false, "suffix" : "" }, { "dropping-particle" : "", "family" : "Skope", "given" : "Leonard W.", "non-dropping-particle" : "", "parse-names" : false, "suffix" : "" }, { "dropping-particle" : "", "family" : "Kelly", "given" : "John P W", "non-dropping-particle" : "", "parse-names" : false, "suffix" : "" }, { "dropping-particle" : "", "family" : "Kyriakides", "given" : "Tassos C.", "non-dropping-particle" : "", "parse-names" : false, "suffix" : "" } ], "container-title" : "Journal of Oral and Maxillofacial Surgery", "id" : "ITEM-1", "issue" : "12", "issued" : { "date-parts" : [ [ "2010" ] ] }, "page" : "2955-2961", "publisher" : "Elsevier Inc.", "title" : "The relationship of glycemic control to the outcomes of dental extractions", "type" : "article-journal", "volume" : "68" }, "uris" : [ "http://www.mendeley.com/documents/?uuid=1a2be7d1-6a87-4a70-9e8b-e74336ee9d28" ] } ], "mendeley" : { "formattedCitation" : "(8)", "plainTextFormattedCitation" : "(8)", "previouslyFormattedCitation" : "(Aronovich et al. 2010)" }, "properties" : { "noteIndex" : 0 }, "schema" : "https://github.com/citation-style-language/schema/raw/master/csl-citation.json" }</w:instrText>
      </w:r>
      <w:r w:rsidR="009E1116" w:rsidRPr="004746EA">
        <w:rPr>
          <w:sz w:val="20"/>
          <w:szCs w:val="20"/>
        </w:rPr>
        <w:fldChar w:fldCharType="separate"/>
      </w:r>
      <w:r w:rsidRPr="004746EA">
        <w:rPr>
          <w:noProof/>
          <w:sz w:val="20"/>
          <w:szCs w:val="20"/>
        </w:rPr>
        <w:t>(8)</w:t>
      </w:r>
      <w:r w:rsidR="009E1116" w:rsidRPr="004746EA">
        <w:rPr>
          <w:sz w:val="20"/>
          <w:szCs w:val="20"/>
        </w:rPr>
        <w:fldChar w:fldCharType="end"/>
      </w:r>
      <w:r w:rsidRPr="004746EA">
        <w:rPr>
          <w:sz w:val="20"/>
          <w:szCs w:val="20"/>
        </w:rPr>
        <w:t xml:space="preserve">. </w:t>
      </w:r>
      <w:r w:rsidRPr="004746EA">
        <w:rPr>
          <w:sz w:val="20"/>
          <w:szCs w:val="20"/>
        </w:rPr>
        <w:lastRenderedPageBreak/>
        <w:t>In 2013, patients with type 2 diabetics on oral hypoglycaemics</w:t>
      </w:r>
      <w:r w:rsidR="00850745" w:rsidRPr="004746EA">
        <w:rPr>
          <w:rFonts w:eastAsiaTheme="minorEastAsia" w:hint="eastAsia"/>
          <w:sz w:val="20"/>
          <w:szCs w:val="20"/>
          <w:lang w:eastAsia="zh-CN"/>
        </w:rPr>
        <w:t xml:space="preserve"> </w:t>
      </w:r>
      <w:r w:rsidRPr="004746EA">
        <w:rPr>
          <w:sz w:val="20"/>
          <w:szCs w:val="20"/>
        </w:rPr>
        <w:t xml:space="preserve">were compared to a control group and showed no statistically significant difference in post-extraction outcome </w:t>
      </w:r>
      <w:r w:rsidR="009E1116" w:rsidRPr="004746EA">
        <w:rPr>
          <w:sz w:val="20"/>
          <w:szCs w:val="20"/>
        </w:rPr>
        <w:fldChar w:fldCharType="begin" w:fldLock="1"/>
      </w:r>
      <w:r w:rsidRPr="004746EA">
        <w:rPr>
          <w:sz w:val="20"/>
          <w:szCs w:val="20"/>
        </w:rPr>
        <w:instrText>ADDIN CSL_CITATION { "citationItems" : [ { "id" : "ITEM-1", "itemData" : { "DOI" : "10.1111/adj.12029", "ISBN" : "0045-0421", "ISSN" : "00450421", "PMID" : "23441797", "abstract" : "BACKGROUND: The aim of this study was to determine whether there is a difference in delayed healing following dental extractions for Type 2 diabetics on oral hypoglycaemics and non-diabetic patients.\\n\\nMETHODS: Prospective patients referred for dental extractions were recruited into two groups: known diabetics and non-diabetics with no conditions associated with poor healing. All had a random blood glucose level (BGL). Extractions were performed using local anaesthesia. Delayed healing cases were identified and statistical evaluation performed to identify risk factors.\\n\\nRESULTS: There were 224 Type 2 diabetics on oral hypoglycaemics (BGL 7.51, range 4.1-17.4) and 232 non-diabetics. The diabetic group were older, more males and less smokers than the control group. Twenty-eight patients, 12 (5%) diabetic and 16 (7%) control group, had socket healing delayed for more than one week but all healed in four weeks. There were no statistical differences between delayed healing and age, gender, diabetic state, BGL or smoking. The younger control group had more healing problems.\\n\\nCONCLUSIONS: The traditional view that diabetics have increased delayed healing was not supported. Type 2 diabetics on oral hypoglycaemics should be treated the same as non-diabetic patients for extractions.", "author" : [ { "dropping-particle" : "", "family" : "Huang", "given" : "S.", "non-dropping-particle" : "", "parse-names" : false, "suffix" : "" }, { "dropping-particle" : "", "family" : "Dang", "given" : "H.", "non-dropping-particle" : "", "parse-names" : false, "suffix" : "" }, { "dropping-particle" : "", "family" : "Huynh", "given" : "W.", "non-dropping-particle" : "", "parse-names" : false, "suffix" : "" }, { "dropping-particle" : "", "family" : "Sambrook", "given" : "P. J.", "non-dropping-particle" : "", "parse-names" : false, "suffix" : "" }, { "dropping-particle" : "", "family" : "Goss", "given" : "a. N.", "non-dropping-particle" : "", "parse-names" : false, "suffix" : "" } ], "container-title" : "Australian Dental Journal", "id" : "ITEM-1", "issue" : "1", "issued" : { "date-parts" : [ [ "2013" ] ] }, "page" : "89-93", "title" : "The healing of dental extraction sockets in patients with Type 2 diabetes on oral hypoglycaemics: A prospective cohort", "type" : "article-journal", "volume" : "58" }, "uris" : [ "http://www.mendeley.com/documents/?uuid=8672557d-8ba7-4fac-a66b-2fc17af5ebae" ] } ], "mendeley" : { "formattedCitation" : "(9)", "plainTextFormattedCitation" : "(9)", "previouslyFormattedCitation" : "(Huang et al. 2013)" }, "properties" : { "noteIndex" : 0 }, "schema" : "https://github.com/citation-style-language/schema/raw/master/csl-citation.json" }</w:instrText>
      </w:r>
      <w:r w:rsidR="009E1116" w:rsidRPr="004746EA">
        <w:rPr>
          <w:sz w:val="20"/>
          <w:szCs w:val="20"/>
        </w:rPr>
        <w:fldChar w:fldCharType="separate"/>
      </w:r>
      <w:r w:rsidRPr="004746EA">
        <w:rPr>
          <w:noProof/>
          <w:sz w:val="20"/>
          <w:szCs w:val="20"/>
        </w:rPr>
        <w:t>(9)</w:t>
      </w:r>
      <w:r w:rsidR="009E1116" w:rsidRPr="004746EA">
        <w:rPr>
          <w:sz w:val="20"/>
          <w:szCs w:val="20"/>
        </w:rPr>
        <w:fldChar w:fldCharType="end"/>
      </w:r>
      <w:r w:rsidRPr="004746EA">
        <w:rPr>
          <w:sz w:val="20"/>
          <w:szCs w:val="20"/>
        </w:rPr>
        <w:t>.</w:t>
      </w:r>
    </w:p>
    <w:p w:rsidR="00850745" w:rsidRPr="004746EA" w:rsidRDefault="00F419A5" w:rsidP="00C84485">
      <w:pPr>
        <w:snapToGrid w:val="0"/>
        <w:ind w:firstLine="425"/>
        <w:jc w:val="both"/>
        <w:outlineLvl w:val="0"/>
        <w:rPr>
          <w:sz w:val="20"/>
          <w:szCs w:val="20"/>
        </w:rPr>
      </w:pPr>
      <w:r w:rsidRPr="004746EA">
        <w:rPr>
          <w:sz w:val="20"/>
          <w:szCs w:val="20"/>
        </w:rPr>
        <w:t>However, in Peterson’s Principles of Oral and Maxillofacial Surgery, it was stated, “Numerous studies have demonstrated that the higher incidence of wound infection associated with diabetes has less to do with the patient having diabetes and more to do with hyperglycemia.”</w:t>
      </w:r>
      <w:r w:rsidR="009E1116" w:rsidRPr="004746EA">
        <w:rPr>
          <w:sz w:val="20"/>
          <w:szCs w:val="20"/>
        </w:rPr>
        <w:fldChar w:fldCharType="begin" w:fldLock="1"/>
      </w:r>
      <w:r w:rsidRPr="004746EA">
        <w:rPr>
          <w:sz w:val="20"/>
          <w:szCs w:val="20"/>
        </w:rPr>
        <w:instrText>ADDIN CSL_CITATION { "citationItems" : [ { "id" : "ITEM-1", "itemData" : { "ISBN" : "1550092340", "abstract" : "Peterson\u00e2\u20ac\u2122s Principles of Oral and Maxillofacial Surgery, Second Edition,encompasses a wide range of diverse topics making it a unique text amongst the medical and dental specialties. The purpose of this concise, easy-to-read two-volume text is to provide an authoritative and currently referenced survey of the specialty of Oral and Maxillofacial Surgery. It contains the necessary information for clinicians and is an ideal reference text for preparation for board certification in the specialty. Expansions to the Second Edition include: anesthesia section to encompass comprehensive patient assessment and management in the peri-anesthetic period osseointegrated implant section to include chapters on soft and hard tissue adjunctive procedures, zygomaticus and novum systems, as well as a section on implant prosthodontics for the surgeon Additions to the Second Edition include: new chapters on cleft orthodontics and distraction osteogenesis", "author" : [ { "dropping-particle" : "", "family" : "Miloro", "given" : "Michael", "non-dropping-particle" : "", "parse-names" : false, "suffix" : "" }, { "dropping-particle" : "", "family" : "Ghali", "given" : "G. E.", "non-dropping-particle" : "", "parse-names" : false, "suffix" : "" }, { "dropping-particle" : "", "family" : "Larsen", "given" : "Peter", "non-dropping-particle" : "", "parse-names" : false, "suffix" : "" }, { "dropping-particle" : "", "family" : "Waite", "given" : "Peter", "non-dropping-particle" : "", "parse-names" : false, "suffix" : "" } ], "id" : "ITEM-1", "issued" : { "date-parts" : [ [ "2004" ] ] }, "number-of-pages" : "1800", "publisher" : "PMPH-USA", "title" : "Peterson's Principles of Oral and Maxillofacial Surgery, Volume 1", "type" : "book" }, "uris" : [ "http://www.mendeley.com/documents/?uuid=870c5a74-4379-4842-b510-a1ad01e25afb" ] } ], "mendeley" : { "formattedCitation" : "(13)", "plainTextFormattedCitation" : "(13)", "previouslyFormattedCitation" : "(Miloro et al. 2004)" }, "properties" : { "noteIndex" : 0 }, "schema" : "https://github.com/citation-style-language/schema/raw/master/csl-citation.json" }</w:instrText>
      </w:r>
      <w:r w:rsidR="009E1116" w:rsidRPr="004746EA">
        <w:rPr>
          <w:sz w:val="20"/>
          <w:szCs w:val="20"/>
        </w:rPr>
        <w:fldChar w:fldCharType="separate"/>
      </w:r>
      <w:r w:rsidRPr="004746EA">
        <w:rPr>
          <w:noProof/>
          <w:sz w:val="20"/>
          <w:szCs w:val="20"/>
        </w:rPr>
        <w:t>(13)</w:t>
      </w:r>
      <w:r w:rsidR="009E1116" w:rsidRPr="004746EA">
        <w:rPr>
          <w:sz w:val="20"/>
          <w:szCs w:val="20"/>
        </w:rPr>
        <w:fldChar w:fldCharType="end"/>
      </w:r>
      <w:r w:rsidRPr="004746EA">
        <w:rPr>
          <w:sz w:val="20"/>
          <w:szCs w:val="20"/>
        </w:rPr>
        <w:t xml:space="preserve"> It appears that this may be true in extraoral wounds only. The oral environment is different and according to this study and the previous two studies results suggest that there is no difference in wound healing of extraction sockets </w:t>
      </w:r>
      <w:r w:rsidR="009E1116" w:rsidRPr="004746EA">
        <w:rPr>
          <w:sz w:val="20"/>
          <w:szCs w:val="20"/>
        </w:rPr>
        <w:fldChar w:fldCharType="begin" w:fldLock="1"/>
      </w:r>
      <w:r w:rsidRPr="004746EA">
        <w:rPr>
          <w:sz w:val="20"/>
          <w:szCs w:val="20"/>
        </w:rPr>
        <w:instrText>ADDIN CSL_CITATION { "citationItems" : [ { "id" : "ITEM-1", "itemData" : { "DOI" : "10.1016/j.joms.2010.05.006", "ISSN" : "02782391", "PMID" : "20950911", "abstract" : "Purpose: The aim of this study was to determine whether glycemic control influences healing after tooth extractions. Materials and Methods: We enrolled 115 diabetic patients who required dental extractions in this prospective observer-blinded study. Epithelialization of extraction sites was assessed relative to the patient's history, non-fasting blood glucose levels, and glycosylated hemoglobin levels. Results: Of 115 patients, 78 had 1- and 2-week follow-up data. There was no statistically significant difference in the rate of postextraction epithelialization between diabetic patients based on preoperative blood glucose levels, hemoglobin A1c levels, or patient history. Only the size of the extraction site at days 0 and 7 was predictive of future epithelialization. Conclusions: Glycemic control did not influence postextraction healing in diabetic patients. Recommendations for management of the diabetic patient requiring extractions are discussed. \u00a9 2010 American Association of Oral and Maxillofacial Surgeons.", "author" : [ { "dropping-particle" : "", "family" : "Aronovich", "given" : "Sharon", "non-dropping-particle" : "", "parse-names" : false, "suffix" : "" }, { "dropping-particle" : "", "family" : "Skope", "given" : "Leonard W.", "non-dropping-particle" : "", "parse-names" : false, "suffix" : "" }, { "dropping-particle" : "", "family" : "Kelly", "given" : "John P W", "non-dropping-particle" : "", "parse-names" : false, "suffix" : "" }, { "dropping-particle" : "", "family" : "Kyriakides", "given" : "Tassos C.", "non-dropping-particle" : "", "parse-names" : false, "suffix" : "" } ], "container-title" : "Journal of Oral and Maxillofacial Surgery", "id" : "ITEM-1", "issue" : "12", "issued" : { "date-parts" : [ [ "2010" ] ] }, "page" : "2955-2961", "publisher" : "Elsevier Inc.", "title" : "The relationship of glycemic control to the outcomes of dental extractions", "type" : "article-journal", "volume" : "68" }, "uris" : [ "http://www.mendeley.com/documents/?uuid=1a2be7d1-6a87-4a70-9e8b-e74336ee9d28" ] } ], "mendeley" : { "formattedCitation" : "(8)", "plainTextFormattedCitation" : "(8)", "previouslyFormattedCitation" : "(Aronovich et al. 2010)" }, "properties" : { "noteIndex" : 0 }, "schema" : "https://github.com/citation-style-language/schema/raw/master/csl-citation.json" }</w:instrText>
      </w:r>
      <w:r w:rsidR="009E1116" w:rsidRPr="004746EA">
        <w:rPr>
          <w:sz w:val="20"/>
          <w:szCs w:val="20"/>
        </w:rPr>
        <w:fldChar w:fldCharType="separate"/>
      </w:r>
      <w:r w:rsidRPr="004746EA">
        <w:rPr>
          <w:noProof/>
          <w:sz w:val="20"/>
          <w:szCs w:val="20"/>
        </w:rPr>
        <w:t>(8)</w:t>
      </w:r>
      <w:r w:rsidR="009E1116" w:rsidRPr="004746EA">
        <w:rPr>
          <w:sz w:val="20"/>
          <w:szCs w:val="20"/>
        </w:rPr>
        <w:fldChar w:fldCharType="end"/>
      </w:r>
      <w:r w:rsidR="009E1116" w:rsidRPr="004746EA">
        <w:rPr>
          <w:sz w:val="20"/>
          <w:szCs w:val="20"/>
        </w:rPr>
        <w:fldChar w:fldCharType="begin" w:fldLock="1"/>
      </w:r>
      <w:r w:rsidRPr="004746EA">
        <w:rPr>
          <w:sz w:val="20"/>
          <w:szCs w:val="20"/>
        </w:rPr>
        <w:instrText>ADDIN CSL_CITATION { "citationItems" : [ { "id" : "ITEM-1", "itemData" : { "DOI" : "10.1111/adj.12029", "ISBN" : "0045-0421", "ISSN" : "00450421", "PMID" : "23441797", "abstract" : "BACKGROUND: The aim of this study was to determine whether there is a difference in delayed healing following dental extractions for Type 2 diabetics on oral hypoglycaemics and non-diabetic patients.\\n\\nMETHODS: Prospective patients referred for dental extractions were recruited into two groups: known diabetics and non-diabetics with no conditions associated with poor healing. All had a random blood glucose level (BGL). Extractions were performed using local anaesthesia. Delayed healing cases were identified and statistical evaluation performed to identify risk factors.\\n\\nRESULTS: There were 224 Type 2 diabetics on oral hypoglycaemics (BGL 7.51, range 4.1-17.4) and 232 non-diabetics. The diabetic group were older, more males and less smokers than the control group. Twenty-eight patients, 12 (5%) diabetic and 16 (7%) control group, had socket healing delayed for more than one week but all healed in four weeks. There were no statistical differences between delayed healing and age, gender, diabetic state, BGL or smoking. The younger control group had more healing problems.\\n\\nCONCLUSIONS: The traditional view that diabetics have increased delayed healing was not supported. Type 2 diabetics on oral hypoglycaemics should be treated the same as non-diabetic patients for extractions.", "author" : [ { "dropping-particle" : "", "family" : "Huang", "given" : "S.", "non-dropping-particle" : "", "parse-names" : false, "suffix" : "" }, { "dropping-particle" : "", "family" : "Dang", "given" : "H.", "non-dropping-particle" : "", "parse-names" : false, "suffix" : "" }, { "dropping-particle" : "", "family" : "Huynh", "given" : "W.", "non-dropping-particle" : "", "parse-names" : false, "suffix" : "" }, { "dropping-particle" : "", "family" : "Sambrook", "given" : "P. J.", "non-dropping-particle" : "", "parse-names" : false, "suffix" : "" }, { "dropping-particle" : "", "family" : "Goss", "given" : "a. N.", "non-dropping-particle" : "", "parse-names" : false, "suffix" : "" } ], "container-title" : "Australian Dental Journal", "id" : "ITEM-1", "issue" : "1", "issued" : { "date-parts" : [ [ "2013" ] ] }, "page" : "89-93", "title" : "The healing of dental extraction sockets in patients with Type 2 diabetes on oral hypoglycaemics: A prospective cohort", "type" : "article-journal", "volume" : "58" }, "uris" : [ "http://www.mendeley.com/documents/?uuid=8672557d-8ba7-4fac-a66b-2fc17af5ebae" ] } ], "mendeley" : { "formattedCitation" : "(9)", "plainTextFormattedCitation" : "(9)", "previouslyFormattedCitation" : "(Huang et al. 2013)" }, "properties" : { "noteIndex" : 0 }, "schema" : "https://github.com/citation-style-language/schema/raw/master/csl-citation.json" }</w:instrText>
      </w:r>
      <w:r w:rsidR="009E1116" w:rsidRPr="004746EA">
        <w:rPr>
          <w:sz w:val="20"/>
          <w:szCs w:val="20"/>
        </w:rPr>
        <w:fldChar w:fldCharType="separate"/>
      </w:r>
      <w:r w:rsidRPr="004746EA">
        <w:rPr>
          <w:noProof/>
          <w:sz w:val="20"/>
          <w:szCs w:val="20"/>
        </w:rPr>
        <w:t>(9)</w:t>
      </w:r>
      <w:r w:rsidR="009E1116" w:rsidRPr="004746EA">
        <w:rPr>
          <w:sz w:val="20"/>
          <w:szCs w:val="20"/>
        </w:rPr>
        <w:fldChar w:fldCharType="end"/>
      </w:r>
      <w:r w:rsidRPr="004746EA">
        <w:rPr>
          <w:sz w:val="20"/>
          <w:szCs w:val="20"/>
        </w:rPr>
        <w:t xml:space="preserve">. </w:t>
      </w:r>
    </w:p>
    <w:p w:rsidR="00F419A5" w:rsidRPr="004746EA" w:rsidRDefault="00F419A5" w:rsidP="00C84485">
      <w:pPr>
        <w:snapToGrid w:val="0"/>
        <w:ind w:firstLine="425"/>
        <w:jc w:val="both"/>
        <w:outlineLvl w:val="0"/>
        <w:rPr>
          <w:sz w:val="20"/>
          <w:szCs w:val="20"/>
        </w:rPr>
      </w:pPr>
      <w:r w:rsidRPr="004746EA">
        <w:rPr>
          <w:sz w:val="20"/>
          <w:szCs w:val="20"/>
        </w:rPr>
        <w:t>Intra-oral healing of dental implant was assessed over a period of 3 years in type 2 diabetic patients. Probing depth, bleeding on probing and marginal bone loss were evaluated together with glycated hemoglobin A1c (HbA1c). It was found that pocket depths around the implants in relation to different readings of HbA1C were not statistically significant. Accordingly, they were not considered to be pathological. However, bleeding on probing was of statistical significance since an increased HbA1C played the major role. Marginal bone loss was increased in patients with increased levels of HbA1C. The authors concluded that patients with controlled diabetes can receive an implant therapy that is predictable</w:t>
      </w:r>
      <w:r w:rsidR="007F0DBE" w:rsidRPr="004746EA">
        <w:rPr>
          <w:rFonts w:eastAsiaTheme="minorEastAsia" w:hint="eastAsia"/>
          <w:sz w:val="20"/>
          <w:szCs w:val="20"/>
          <w:lang w:eastAsia="zh-CN"/>
        </w:rPr>
        <w:t xml:space="preserve"> </w:t>
      </w:r>
      <w:r w:rsidR="009E1116" w:rsidRPr="004746EA">
        <w:rPr>
          <w:sz w:val="20"/>
          <w:szCs w:val="20"/>
        </w:rPr>
        <w:fldChar w:fldCharType="begin" w:fldLock="1"/>
      </w:r>
      <w:r w:rsidRPr="004746EA">
        <w:rPr>
          <w:sz w:val="20"/>
          <w:szCs w:val="20"/>
        </w:rPr>
        <w:instrText>ADDIN CSL_CITATION { "citationItems" : [ { "id" : "ITEM-1", "itemData" : { "DOI" : "10.1111/clr.12391", "ISSN" : "1600-0501", "PMID" : "24684438", "abstract" : "OBJECTIVE: The aim of this study was to analyze the changes produced in peri-implant tissues in type 2 diabetes mellitus patients with different glycemia levels, measured by monitoring glycated hemoglobin A1c (HbA1c), over a period of 3\u00a0years following dental implant placement.\n\nMATERIALS AND METHODS: Sixty-seven patients were divided into four groups according to their HbA1c levels: 21 patients in Group 1 (&lt;6); 24 patients in Group 2 (6.1-8); and 11 patients in Group 3 (8.1-10) and Group 4 (&gt;10.1). Each patient received one implant. All implants were placed in the anterior zone of the maxilla. The variables selected to assess the general state of patients' peri-implant health were as follows: probing depth, bleeding on probing, and marginal bone loss.\n\nRESULTS: Marginal bone loss was found to increase in relation to increases in HbA1c levels. Bleeding on probing showed statistically significant differences between groups. When the peri-implant area was probed, mean levels of bleeding varied from 0.43 in Group 1 at 1\u00a0year after implant surgery to 0.62 in Group 4 (P\u00a0=\u00a00.042 between the four study groups). After the second year, greater bleeding on probing was observed in Group 4 (0.63) in comparison with groups with lower HbA1c levels. Peri-implant pocket depths presented values that were too low to be considered pathological and without statistically significant differences between the study groups.\n\nCONCLUSION: Implant therapies for diabetic patients can be predictable, providing these patients fall within controlled ranges of glycemia over time, assessed by monitoring HbA1c levels.", "author" : [ { "dropping-particle" : "", "family" : "G\u00f3mez-Moreno", "given" : "Gerardo", "non-dropping-particle" : "", "parse-names" : false, "suffix" : "" }, { "dropping-particle" : "", "family" : "Aguilar-Salvatierra", "given" : "Antonio", "non-dropping-particle" : "", "parse-names" : false, "suffix" : "" }, { "dropping-particle" : "", "family" : "Rubio Rold\u00e1n", "given" : "Jer\u00f3nimo", "non-dropping-particle" : "", "parse-names" : false, "suffix" : "" }, { "dropping-particle" : "", "family" : "Guardia", "given" : "Javier", "non-dropping-particle" : "", "parse-names" : false, "suffix" : "" }, { "dropping-particle" : "", "family" : "Gargallo", "given" : "Jordi", "non-dropping-particle" : "", "parse-names" : false, "suffix" : "" }, { "dropping-particle" : "", "family" : "Calvo-Guirado", "given" : "Jos\u00e9 Luis", "non-dropping-particle" : "", "parse-names" : false, "suffix" : "" } ], "container-title" : "Clinical oral implants research", "id" : "ITEM-1", "issued" : { "date-parts" : [ [ "2014", "3", "31" ] ] }, "title" : "Peri-implant evaluation in type 2 diabetes mellitus patients: a 3-year study.", "type" : "article-journal" }, "uris" : [ "http://www.mendeley.com/documents/?uuid=17491a4c-3011-451b-b2a7-594498634e69" ] } ], "mendeley" : { "formattedCitation" : "(14)", "plainTextFormattedCitation" : "(14)", "previouslyFormattedCitation" : "(G\u00f3mez-Moreno et al. 2014)" }, "properties" : { "noteIndex" : 0 }, "schema" : "https://github.com/citation-style-language/schema/raw/master/csl-citation.json" }</w:instrText>
      </w:r>
      <w:r w:rsidR="009E1116" w:rsidRPr="004746EA">
        <w:rPr>
          <w:sz w:val="20"/>
          <w:szCs w:val="20"/>
        </w:rPr>
        <w:fldChar w:fldCharType="separate"/>
      </w:r>
      <w:r w:rsidRPr="004746EA">
        <w:rPr>
          <w:noProof/>
          <w:sz w:val="20"/>
          <w:szCs w:val="20"/>
        </w:rPr>
        <w:t>(14)</w:t>
      </w:r>
      <w:r w:rsidR="009E1116" w:rsidRPr="004746EA">
        <w:rPr>
          <w:sz w:val="20"/>
          <w:szCs w:val="20"/>
        </w:rPr>
        <w:fldChar w:fldCharType="end"/>
      </w:r>
      <w:r w:rsidRPr="004746EA">
        <w:rPr>
          <w:sz w:val="20"/>
          <w:szCs w:val="20"/>
        </w:rPr>
        <w:t>.</w:t>
      </w:r>
    </w:p>
    <w:p w:rsidR="00F419A5" w:rsidRPr="004746EA" w:rsidRDefault="00F419A5" w:rsidP="00C84485">
      <w:pPr>
        <w:adjustRightInd w:val="0"/>
        <w:snapToGrid w:val="0"/>
        <w:ind w:firstLine="425"/>
        <w:jc w:val="both"/>
        <w:rPr>
          <w:sz w:val="20"/>
          <w:szCs w:val="20"/>
        </w:rPr>
      </w:pPr>
      <w:r w:rsidRPr="004746EA">
        <w:rPr>
          <w:sz w:val="20"/>
          <w:szCs w:val="20"/>
        </w:rPr>
        <w:t xml:space="preserve">The mechanism of post-extraction healing has been investigated in a diabetic rat model. In a group of Sprague-Dawley rats, insulin-dependent diabetes mellitus was induced by injecting streptozotocin. Another group was also injected with streptozotocin but diabetes was controlled by insulin injection daily. Rats in the control group were injected with citrate buffer. Rats then underwent extraction of the right upper molar teeth. The control group and the group controlled by daily insulin injection revealed thick </w:t>
      </w:r>
      <w:r w:rsidRPr="004746EA">
        <w:rPr>
          <w:sz w:val="20"/>
          <w:szCs w:val="20"/>
        </w:rPr>
        <w:lastRenderedPageBreak/>
        <w:t xml:space="preserve">collagen fibers at the extraction socket site. However, rats in the uncontrolled insulin-dependent diabetic group revealed thin and insufficient collagen fibers at the extraction socket site resulting in delayed healing. None of the groups showed an evidence of diabetic microangiopathy in the extraction sockets </w:t>
      </w:r>
      <w:r w:rsidR="009E1116" w:rsidRPr="004746EA">
        <w:rPr>
          <w:sz w:val="20"/>
          <w:szCs w:val="20"/>
        </w:rPr>
        <w:fldChar w:fldCharType="begin" w:fldLock="1"/>
      </w:r>
      <w:r w:rsidRPr="004746EA">
        <w:rPr>
          <w:sz w:val="20"/>
          <w:szCs w:val="20"/>
        </w:rPr>
        <w:instrText>ADDIN CSL_CITATION { "citationItems" : [ { "id" : "ITEM-1", "itemData" : { "ISSN" : "0278-2391", "PMID" : "8811819", "abstract" : "PURPOSE: This study was undertaken to examine the healing of molar tooth extraction sockets in the streptozotocin-treated, diabetic rat.\n\nMATERIALS AND METHODS: Insulin-dependent diabetes mellitus was induced in a group of mature Sprague-Dawley rats by injecting streptozotocin. Control animals were injected with citrate buffer only. A third group of rats were also injected with streptozotocin, but the diabetes was controlled by daily injections of insulin. After 2 weeks, all of the rats underwent extraction of the right maxillary molar teeth under general anesthesia. The rats were killed at varying intervals and the maxilla and calvaria recovered in continuity. Tissue sections were stained with hematoxylin-eosin and periodic acid-Schiff (PAS), the latter to identify diabetic microangiopathy.\n\nRESULTS: At 10 days after tooth extraction in the control and insulin-streptozotocin-treated rats, thick collagen fibers formed a pretrabecular scaffold that dictated the direction of the forming trabeculae. The collagen fibers in the diabetic socket were thin and scanty, and formed a narrow layer in the apical part. There was no evidence of diabetic microangiopathy in the extraction sockets of diabetic, insulin-treated diabetic, or normal rats.\n\nCONCLUSION: These histologic observations suggest that in uncontrolled, insulin-dependent diabetes, the formation of the collagenous framework in the tooth extraction socket is inhibited, resulting in delayed healing and increased alveolar destruction.", "author" : [ { "dropping-particle" : "", "family" : "Devlin", "given" : "H", "non-dropping-particle" : "", "parse-names" : false, "suffix" : "" }, { "dropping-particle" : "", "family" : "Garland", "given" : "H", "non-dropping-particle" : "", "parse-names" : false, "suffix" : "" }, { "dropping-particle" : "", "family" : "Sloan", "given" : "P", "non-dropping-particle" : "", "parse-names" : false, "suffix" : "" } ], "container-title" : "Journal of oral and maxillofacial surgery : official journal of the American Association of Oral and Maxillofacial Surgeons", "id" : "ITEM-1", "issue" : "9", "issued" : { "date-parts" : [ [ "1996", "9" ] ] }, "page" : "1087-91", "title" : "Healing of tooth extraction sockets in experimental diabetes mellitus.", "type" : "article-journal", "volume" : "54" }, "uris" : [ "http://www.mendeley.com/documents/?uuid=932efa92-bec9-4bdb-b316-47e716eac1c8" ] } ], "mendeley" : { "formattedCitation" : "(7)", "plainTextFormattedCitation" : "(7)", "previouslyFormattedCitation" : "(Devlin et al. 1996)" }, "properties" : { "noteIndex" : 0 }, "schema" : "https://github.com/citation-style-language/schema/raw/master/csl-citation.json" }</w:instrText>
      </w:r>
      <w:r w:rsidR="009E1116" w:rsidRPr="004746EA">
        <w:rPr>
          <w:sz w:val="20"/>
          <w:szCs w:val="20"/>
        </w:rPr>
        <w:fldChar w:fldCharType="separate"/>
      </w:r>
      <w:r w:rsidRPr="004746EA">
        <w:rPr>
          <w:noProof/>
          <w:sz w:val="20"/>
          <w:szCs w:val="20"/>
        </w:rPr>
        <w:t>(7)</w:t>
      </w:r>
      <w:r w:rsidR="009E1116" w:rsidRPr="004746EA">
        <w:rPr>
          <w:sz w:val="20"/>
          <w:szCs w:val="20"/>
        </w:rPr>
        <w:fldChar w:fldCharType="end"/>
      </w:r>
      <w:r w:rsidRPr="004746EA">
        <w:rPr>
          <w:sz w:val="20"/>
          <w:szCs w:val="20"/>
        </w:rPr>
        <w:t>.</w:t>
      </w:r>
    </w:p>
    <w:p w:rsidR="00F419A5" w:rsidRPr="004746EA" w:rsidRDefault="00F419A5" w:rsidP="00C84485">
      <w:pPr>
        <w:adjustRightInd w:val="0"/>
        <w:snapToGrid w:val="0"/>
        <w:ind w:firstLine="425"/>
        <w:jc w:val="both"/>
        <w:rPr>
          <w:sz w:val="20"/>
          <w:szCs w:val="20"/>
        </w:rPr>
      </w:pPr>
      <w:r w:rsidRPr="004746EA">
        <w:rPr>
          <w:sz w:val="20"/>
          <w:szCs w:val="20"/>
        </w:rPr>
        <w:t>Moreover, healing of extraction sockets following maxillary molar teeth extraction in the streptozotocin diabetic rat model treated with BMP-6 following extraction exhibited subperiosteal reaction in the extra-alveolar tissues and cartilage was formed</w:t>
      </w:r>
      <w:r w:rsidR="009E1116" w:rsidRPr="004746EA">
        <w:rPr>
          <w:sz w:val="20"/>
          <w:szCs w:val="20"/>
        </w:rPr>
        <w:fldChar w:fldCharType="begin" w:fldLock="1"/>
      </w:r>
      <w:r w:rsidRPr="004746EA">
        <w:rPr>
          <w:sz w:val="20"/>
          <w:szCs w:val="20"/>
        </w:rPr>
        <w:instrText>ADDIN CSL_CITATION { "citationItems" : [ { "id" : "ITEM-1", "itemData" : { "DOI" : "10.3109/08977194.2010.527966", "ISSN" : "1029-2292", "PMID" : "20969540", "abstract" : "Cartilage does not form in the tooth extraction socket of the normal rat. The aim of the study was to determine if adding BMP-6 to the extraction socket would cause chondrogenic differentiation in the diabetic rat. A group of 8-week-old rats were injected intraperitoneally with a diabetogenic agent, streptozotocin, and a control group received citrate buffer only. Three weeks later, the maxillary molar teeth were extracted and either BMP-6 or saline applied to the extraction sockets. Rats from each group were killed on days 3, 5, 7, and 9 after tooth extraction. In the diabetic rats treated with BMP-6, there was a cellular subperiosteal reaction at day 3 in the extra-alveolar tissues, which by day 7 had formed a large mass of cartilage. Cartilage was induced in the subperiosteal region of the socket extra-alveolar bone following the application of BMP-6 in the diabetic rat.", "author" : [ { "dropping-particle" : "", "family" : "Shyng", "given" : "Y C", "non-dropping-particle" : "", "parse-names" : false, "suffix" : "" }, { "dropping-particle" : "", "family" : "Chi", "given" : "C Y", "non-dropping-particle" : "", "parse-names" : false, "suffix" : "" }, { "dropping-particle" : "", "family" : "Devlin", "given" : "H", "non-dropping-particle" : "", "parse-names" : false, "suffix" : "" }, { "dropping-particle" : "", "family" : "Sloan", "given" : "P", "non-dropping-particle" : "", "parse-names" : false, "suffix" : "" } ], "container-title" : "Growth factors (Chur, Switzerland)", "id" : "ITEM-1", "issue" : "6", "issued" : { "date-parts" : [ [ "2010", "12" ] ] }, "page" : "447-51", "title" : "Healing of tooth extraction sockets in the streptozotocin diabetic rat model: Induction of cartilage by BMP-6.", "type" : "article-journal", "volume" : "28" }, "uris" : [ "http://www.mendeley.com/documents/?uuid=2b4fc5d7-22d4-4273-9451-5c78404a6a58" ] } ], "mendeley" : { "formattedCitation" : "(15)", "plainTextFormattedCitation" : "(15)", "previouslyFormattedCitation" : "(Shyng et al. 2010)" }, "properties" : { "noteIndex" : 0 }, "schema" : "https://github.com/citation-style-language/schema/raw/master/csl-citation.json" }</w:instrText>
      </w:r>
      <w:r w:rsidR="009E1116" w:rsidRPr="004746EA">
        <w:rPr>
          <w:sz w:val="20"/>
          <w:szCs w:val="20"/>
        </w:rPr>
        <w:fldChar w:fldCharType="separate"/>
      </w:r>
      <w:r w:rsidRPr="004746EA">
        <w:rPr>
          <w:noProof/>
          <w:sz w:val="20"/>
          <w:szCs w:val="20"/>
        </w:rPr>
        <w:t>(15)</w:t>
      </w:r>
      <w:r w:rsidR="009E1116" w:rsidRPr="004746EA">
        <w:rPr>
          <w:sz w:val="20"/>
          <w:szCs w:val="20"/>
        </w:rPr>
        <w:fldChar w:fldCharType="end"/>
      </w:r>
      <w:r w:rsidRPr="004746EA">
        <w:rPr>
          <w:sz w:val="20"/>
          <w:szCs w:val="20"/>
        </w:rPr>
        <w:t xml:space="preserve">. </w:t>
      </w:r>
    </w:p>
    <w:p w:rsidR="00F419A5" w:rsidRPr="004746EA" w:rsidRDefault="00F419A5" w:rsidP="00C84485">
      <w:pPr>
        <w:snapToGrid w:val="0"/>
        <w:ind w:firstLine="425"/>
        <w:jc w:val="both"/>
        <w:outlineLvl w:val="0"/>
        <w:rPr>
          <w:sz w:val="20"/>
          <w:szCs w:val="20"/>
        </w:rPr>
      </w:pPr>
      <w:r w:rsidRPr="004746EA">
        <w:rPr>
          <w:sz w:val="20"/>
          <w:szCs w:val="20"/>
        </w:rPr>
        <w:t xml:space="preserve">Although oral and maxillofacial surgeons are obliged to take preoperative random BLG for diabetic patients before extraction, a random BGL of 200 or 300 mg/dl may not influence the decision to proceed with extraction in patient with severe pain as patient’s diet may be affected and consequently, glycemic control. Some surgeons also believe that infection may predispose hyperglycemia and aggravate the condition. The decision to proceed with extraction in uncontrolled diabetic patients with high preoperative random BGL remains in the hands of the operating surgeon </w:t>
      </w:r>
      <w:r w:rsidR="009E1116" w:rsidRPr="004746EA">
        <w:rPr>
          <w:sz w:val="20"/>
          <w:szCs w:val="20"/>
        </w:rPr>
        <w:fldChar w:fldCharType="begin" w:fldLock="1"/>
      </w:r>
      <w:r w:rsidRPr="004746EA">
        <w:rPr>
          <w:sz w:val="20"/>
          <w:szCs w:val="20"/>
        </w:rPr>
        <w:instrText>ADDIN CSL_CITATION { "citationItems" : [ { "id" : "ITEM-1", "itemData" : { "DOI" : "10.1016/j.joms.2010.05.006", "ISSN" : "02782391", "PMID" : "20950911", "abstract" : "Purpose: The aim of this study was to determine whether glycemic control influences healing after tooth extractions. Materials and Methods: We enrolled 115 diabetic patients who required dental extractions in this prospective observer-blinded study. Epithelialization of extraction sites was assessed relative to the patient's history, non-fasting blood glucose levels, and glycosylated hemoglobin levels. Results: Of 115 patients, 78 had 1- and 2-week follow-up data. There was no statistically significant difference in the rate of postextraction epithelialization between diabetic patients based on preoperative blood glucose levels, hemoglobin A1c levels, or patient history. Only the size of the extraction site at days 0 and 7 was predictive of future epithelialization. Conclusions: Glycemic control did not influence postextraction healing in diabetic patients. Recommendations for management of the diabetic patient requiring extractions are discussed. \u00a9 2010 American Association of Oral and Maxillofacial Surgeons.", "author" : [ { "dropping-particle" : "", "family" : "Aronovich", "given" : "Sharon", "non-dropping-particle" : "", "parse-names" : false, "suffix" : "" }, { "dropping-particle" : "", "family" : "Skope", "given" : "Leonard W.", "non-dropping-particle" : "", "parse-names" : false, "suffix" : "" }, { "dropping-particle" : "", "family" : "Kelly", "given" : "John P W", "non-dropping-particle" : "", "parse-names" : false, "suffix" : "" }, { "dropping-particle" : "", "family" : "Kyriakides", "given" : "Tassos C.", "non-dropping-particle" : "", "parse-names" : false, "suffix" : "" } ], "container-title" : "Journal of Oral and Maxillofacial Surgery", "id" : "ITEM-1", "issue" : "12", "issued" : { "date-parts" : [ [ "2010" ] ] }, "page" : "2955-2961", "publisher" : "Elsevier Inc.", "title" : "The relationship of glycemic control to the outcomes of dental extractions", "type" : "article-journal", "volume" : "68" }, "uris" : [ "http://www.mendeley.com/documents/?uuid=1a2be7d1-6a87-4a70-9e8b-e74336ee9d28" ] } ], "mendeley" : { "formattedCitation" : "(8)", "plainTextFormattedCitation" : "(8)", "previouslyFormattedCitation" : "(Aronovich et al. 2010)" }, "properties" : { "noteIndex" : 0 }, "schema" : "https://github.com/citation-style-language/schema/raw/master/csl-citation.json" }</w:instrText>
      </w:r>
      <w:r w:rsidR="009E1116" w:rsidRPr="004746EA">
        <w:rPr>
          <w:sz w:val="20"/>
          <w:szCs w:val="20"/>
        </w:rPr>
        <w:fldChar w:fldCharType="separate"/>
      </w:r>
      <w:r w:rsidRPr="004746EA">
        <w:rPr>
          <w:noProof/>
          <w:sz w:val="20"/>
          <w:szCs w:val="20"/>
        </w:rPr>
        <w:t>(8)</w:t>
      </w:r>
      <w:r w:rsidR="009E1116" w:rsidRPr="004746EA">
        <w:rPr>
          <w:sz w:val="20"/>
          <w:szCs w:val="20"/>
        </w:rPr>
        <w:fldChar w:fldCharType="end"/>
      </w:r>
      <w:r w:rsidRPr="004746EA">
        <w:rPr>
          <w:sz w:val="20"/>
          <w:szCs w:val="20"/>
        </w:rPr>
        <w:t xml:space="preserve">. In our study, 9 patients in the diabetic group were found to have a random BGL above 180 mg/dl. Yet, none of them had any adverse event related to healing. This brings us to question the benefit of obtaining preoperative random BGL measurements in diabetic individuals as the benefit of it is indistinct </w:t>
      </w:r>
      <w:r w:rsidR="009E1116" w:rsidRPr="004746EA">
        <w:rPr>
          <w:sz w:val="20"/>
          <w:szCs w:val="20"/>
        </w:rPr>
        <w:fldChar w:fldCharType="begin" w:fldLock="1"/>
      </w:r>
      <w:r w:rsidRPr="004746EA">
        <w:rPr>
          <w:sz w:val="20"/>
          <w:szCs w:val="20"/>
        </w:rPr>
        <w:instrText>ADDIN CSL_CITATION { "citationItems" : [ { "id" : "ITEM-1", "itemData" : { "DOI" : "10.1016/j.joms.2010.05.006", "ISSN" : "02782391", "PMID" : "20950911", "abstract" : "Purpose: The aim of this study was to determine whether glycemic control influences healing after tooth extractions. Materials and Methods: We enrolled 115 diabetic patients who required dental extractions in this prospective observer-blinded study. Epithelialization of extraction sites was assessed relative to the patient's history, non-fasting blood glucose levels, and glycosylated hemoglobin levels. Results: Of 115 patients, 78 had 1- and 2-week follow-up data. There was no statistically significant difference in the rate of postextraction epithelialization between diabetic patients based on preoperative blood glucose levels, hemoglobin A1c levels, or patient history. Only the size of the extraction site at days 0 and 7 was predictive of future epithelialization. Conclusions: Glycemic control did not influence postextraction healing in diabetic patients. Recommendations for management of the diabetic patient requiring extractions are discussed. \u00a9 2010 American Association of Oral and Maxillofacial Surgeons.", "author" : [ { "dropping-particle" : "", "family" : "Aronovich", "given" : "Sharon", "non-dropping-particle" : "", "parse-names" : false, "suffix" : "" }, { "dropping-particle" : "", "family" : "Skope", "given" : "Leonard W.", "non-dropping-particle" : "", "parse-names" : false, "suffix" : "" }, { "dropping-particle" : "", "family" : "Kelly", "given" : "John P W", "non-dropping-particle" : "", "parse-names" : false, "suffix" : "" }, { "dropping-particle" : "", "family" : "Kyriakides", "given" : "Tassos C.", "non-dropping-particle" : "", "parse-names" : false, "suffix" : "" } ], "container-title" : "Journal of Oral and Maxillofacial Surgery", "id" : "ITEM-1", "issue" : "12", "issued" : { "date-parts" : [ [ "2010" ] ] }, "page" : "2955-2961", "publisher" : "Elsevier Inc.", "title" : "The relationship of glycemic control to the outcomes of dental extractions", "type" : "article-journal", "volume" : "68" }, "uris" : [ "http://www.mendeley.com/documents/?uuid=1a2be7d1-6a87-4a70-9e8b-e74336ee9d28" ] } ], "mendeley" : { "formattedCitation" : "(8)", "plainTextFormattedCitation" : "(8)", "previouslyFormattedCitation" : "(Aronovich et al. 2010)" }, "properties" : { "noteIndex" : 0 }, "schema" : "https://github.com/citation-style-language/schema/raw/master/csl-citation.json" }</w:instrText>
      </w:r>
      <w:r w:rsidR="009E1116" w:rsidRPr="004746EA">
        <w:rPr>
          <w:sz w:val="20"/>
          <w:szCs w:val="20"/>
        </w:rPr>
        <w:fldChar w:fldCharType="separate"/>
      </w:r>
      <w:r w:rsidRPr="004746EA">
        <w:rPr>
          <w:noProof/>
          <w:sz w:val="20"/>
          <w:szCs w:val="20"/>
        </w:rPr>
        <w:t>(8)</w:t>
      </w:r>
      <w:r w:rsidR="009E1116" w:rsidRPr="004746EA">
        <w:rPr>
          <w:sz w:val="20"/>
          <w:szCs w:val="20"/>
        </w:rPr>
        <w:fldChar w:fldCharType="end"/>
      </w:r>
      <w:r w:rsidRPr="004746EA">
        <w:rPr>
          <w:sz w:val="20"/>
          <w:szCs w:val="20"/>
        </w:rPr>
        <w:t xml:space="preserve">. The only patient in the control group who was found to have a random BGL above 180 mg/dl (195 mg/dl) stated that she was diagnosed with gestational diabetes when she was pregnant, but not anymore. However, she had a delayed healing event following extraction. </w:t>
      </w:r>
    </w:p>
    <w:p w:rsidR="00F419A5" w:rsidRPr="004746EA" w:rsidRDefault="00F419A5" w:rsidP="00C84485">
      <w:pPr>
        <w:adjustRightInd w:val="0"/>
        <w:snapToGrid w:val="0"/>
        <w:ind w:firstLine="425"/>
        <w:jc w:val="both"/>
        <w:rPr>
          <w:sz w:val="20"/>
          <w:szCs w:val="20"/>
        </w:rPr>
      </w:pPr>
      <w:r w:rsidRPr="004746EA">
        <w:rPr>
          <w:sz w:val="20"/>
          <w:szCs w:val="20"/>
        </w:rPr>
        <w:t>Extraction was performed by OMFS staff, interns and both fifth and sixth year students, only 2 patients had acute oroantral communication resulted from maxillary extractions and both were immediately closed by the OMFS staff without sequelae.</w:t>
      </w:r>
      <w:r w:rsidR="00850745" w:rsidRPr="004746EA">
        <w:rPr>
          <w:sz w:val="20"/>
          <w:szCs w:val="20"/>
        </w:rPr>
        <w:t xml:space="preserve"> </w:t>
      </w:r>
      <w:r w:rsidRPr="004746EA">
        <w:rPr>
          <w:sz w:val="20"/>
          <w:szCs w:val="20"/>
        </w:rPr>
        <w:t>The healing of both diabetic and non-diabetic control groups is independent of the operator as extractions were done randomly by a number of different operators (p = 0.111). The original plan for this study was that the diabetic group would be categorized into 2 distinct groups: patients with type 1 diabetes and patients with type 2 diabetes, but this did not eventuate since all the diabetic patients in this study were found to have type 2 diabetics except for one patient who was a known type 1 diabetic. Moreover, further similar studies are in demand to evaluate healing status following exodontia in diabetic patients and to see their parallance to current studies.</w:t>
      </w:r>
    </w:p>
    <w:p w:rsidR="00F419A5" w:rsidRPr="004746EA" w:rsidRDefault="00F419A5" w:rsidP="00C84485">
      <w:pPr>
        <w:snapToGrid w:val="0"/>
        <w:jc w:val="both"/>
        <w:outlineLvl w:val="0"/>
        <w:rPr>
          <w:b/>
          <w:sz w:val="20"/>
          <w:szCs w:val="20"/>
        </w:rPr>
      </w:pPr>
    </w:p>
    <w:p w:rsidR="00F419A5" w:rsidRPr="004746EA" w:rsidRDefault="00F419A5" w:rsidP="00C84485">
      <w:pPr>
        <w:snapToGrid w:val="0"/>
        <w:jc w:val="both"/>
        <w:outlineLvl w:val="0"/>
        <w:rPr>
          <w:b/>
          <w:sz w:val="20"/>
          <w:szCs w:val="20"/>
        </w:rPr>
      </w:pPr>
      <w:r w:rsidRPr="004746EA">
        <w:rPr>
          <w:b/>
          <w:sz w:val="20"/>
          <w:szCs w:val="20"/>
        </w:rPr>
        <w:t>Conclusion</w:t>
      </w:r>
    </w:p>
    <w:p w:rsidR="00F419A5" w:rsidRPr="004746EA" w:rsidRDefault="00F419A5" w:rsidP="00C84485">
      <w:pPr>
        <w:snapToGrid w:val="0"/>
        <w:ind w:firstLine="425"/>
        <w:jc w:val="both"/>
        <w:outlineLvl w:val="0"/>
        <w:rPr>
          <w:sz w:val="20"/>
          <w:szCs w:val="20"/>
        </w:rPr>
      </w:pPr>
      <w:r w:rsidRPr="004746EA">
        <w:rPr>
          <w:bCs/>
          <w:sz w:val="20"/>
          <w:szCs w:val="20"/>
        </w:rPr>
        <w:t>This prospective</w:t>
      </w:r>
      <w:r w:rsidRPr="004746EA">
        <w:rPr>
          <w:sz w:val="20"/>
          <w:szCs w:val="20"/>
        </w:rPr>
        <w:t xml:space="preserve"> cross-sectional study showed no </w:t>
      </w:r>
      <w:r w:rsidRPr="004746EA">
        <w:rPr>
          <w:sz w:val="20"/>
          <w:szCs w:val="20"/>
        </w:rPr>
        <w:lastRenderedPageBreak/>
        <w:t xml:space="preserve">statistically significant difference in post-extraction healing status between diabetic and non-diabetic control patients (p =0.076). Therefore, special precautions and warnings regarding adverse events in diabetic patients should be further investigated. The association between smoking and diabetes in regard to delayed healing was not statistically significant (p =0.106). </w:t>
      </w:r>
    </w:p>
    <w:p w:rsidR="00F419A5" w:rsidRPr="004746EA" w:rsidRDefault="00F419A5" w:rsidP="00C84485">
      <w:pPr>
        <w:snapToGrid w:val="0"/>
        <w:jc w:val="both"/>
        <w:rPr>
          <w:b/>
          <w:sz w:val="20"/>
          <w:szCs w:val="20"/>
        </w:rPr>
      </w:pPr>
    </w:p>
    <w:p w:rsidR="00526E4F" w:rsidRPr="004746EA" w:rsidRDefault="00F419A5" w:rsidP="00C84485">
      <w:pPr>
        <w:snapToGrid w:val="0"/>
        <w:jc w:val="both"/>
        <w:rPr>
          <w:sz w:val="20"/>
          <w:szCs w:val="20"/>
        </w:rPr>
      </w:pPr>
      <w:r w:rsidRPr="004746EA">
        <w:rPr>
          <w:b/>
          <w:sz w:val="20"/>
          <w:szCs w:val="20"/>
        </w:rPr>
        <w:t xml:space="preserve">Conflict of interest: </w:t>
      </w:r>
      <w:r w:rsidRPr="004746EA">
        <w:rPr>
          <w:sz w:val="20"/>
          <w:szCs w:val="20"/>
        </w:rPr>
        <w:t>none to declar</w:t>
      </w:r>
      <w:r w:rsidR="00526E4F" w:rsidRPr="004746EA">
        <w:rPr>
          <w:sz w:val="20"/>
          <w:szCs w:val="20"/>
        </w:rPr>
        <w:t>e.</w:t>
      </w:r>
    </w:p>
    <w:p w:rsidR="007F0DBE" w:rsidRPr="004746EA" w:rsidRDefault="007F0DBE" w:rsidP="00C84485">
      <w:pPr>
        <w:snapToGrid w:val="0"/>
        <w:jc w:val="both"/>
        <w:rPr>
          <w:rFonts w:eastAsiaTheme="minorEastAsia"/>
          <w:sz w:val="20"/>
          <w:szCs w:val="20"/>
          <w:lang w:eastAsia="zh-CN"/>
        </w:rPr>
      </w:pPr>
    </w:p>
    <w:p w:rsidR="000B7D36" w:rsidRPr="004746EA" w:rsidRDefault="00311497" w:rsidP="00C84485">
      <w:pPr>
        <w:pStyle w:val="Heading1"/>
        <w:snapToGrid w:val="0"/>
        <w:ind w:left="0"/>
        <w:jc w:val="both"/>
        <w:rPr>
          <w:sz w:val="20"/>
          <w:szCs w:val="20"/>
        </w:rPr>
      </w:pPr>
      <w:r w:rsidRPr="004746EA">
        <w:rPr>
          <w:sz w:val="20"/>
          <w:szCs w:val="20"/>
        </w:rPr>
        <w:t>References</w:t>
      </w:r>
    </w:p>
    <w:p w:rsidR="000B7D36" w:rsidRPr="004746EA" w:rsidRDefault="00311497" w:rsidP="00C84485">
      <w:pPr>
        <w:pStyle w:val="ListParagraph"/>
        <w:numPr>
          <w:ilvl w:val="0"/>
          <w:numId w:val="1"/>
        </w:numPr>
        <w:snapToGrid w:val="0"/>
        <w:ind w:left="425" w:right="0" w:hanging="425"/>
        <w:jc w:val="both"/>
        <w:rPr>
          <w:i/>
          <w:sz w:val="20"/>
          <w:szCs w:val="20"/>
        </w:rPr>
      </w:pPr>
      <w:r w:rsidRPr="004746EA">
        <w:rPr>
          <w:sz w:val="20"/>
          <w:szCs w:val="20"/>
        </w:rPr>
        <w:t>Kim,</w:t>
      </w:r>
      <w:r w:rsidR="00850745" w:rsidRPr="004746EA">
        <w:rPr>
          <w:sz w:val="20"/>
          <w:szCs w:val="20"/>
        </w:rPr>
        <w:t xml:space="preserve"> </w:t>
      </w:r>
      <w:r w:rsidRPr="004746EA">
        <w:rPr>
          <w:sz w:val="20"/>
          <w:szCs w:val="20"/>
        </w:rPr>
        <w:t>S.</w:t>
      </w:r>
      <w:r w:rsidR="00850745" w:rsidRPr="004746EA">
        <w:rPr>
          <w:sz w:val="20"/>
          <w:szCs w:val="20"/>
        </w:rPr>
        <w:t xml:space="preserve"> </w:t>
      </w:r>
      <w:r w:rsidRPr="004746EA">
        <w:rPr>
          <w:sz w:val="20"/>
          <w:szCs w:val="20"/>
        </w:rPr>
        <w:t>K.,</w:t>
      </w:r>
      <w:r w:rsidR="00850745" w:rsidRPr="004746EA">
        <w:rPr>
          <w:sz w:val="20"/>
          <w:szCs w:val="20"/>
        </w:rPr>
        <w:t xml:space="preserve"> </w:t>
      </w:r>
      <w:r w:rsidRPr="004746EA">
        <w:rPr>
          <w:sz w:val="20"/>
          <w:szCs w:val="20"/>
        </w:rPr>
        <w:t>Lee,</w:t>
      </w:r>
      <w:r w:rsidR="00850745" w:rsidRPr="004746EA">
        <w:rPr>
          <w:sz w:val="20"/>
          <w:szCs w:val="20"/>
        </w:rPr>
        <w:t xml:space="preserve"> </w:t>
      </w:r>
      <w:r w:rsidRPr="004746EA">
        <w:rPr>
          <w:sz w:val="20"/>
          <w:szCs w:val="20"/>
        </w:rPr>
        <w:t>K.</w:t>
      </w:r>
      <w:r w:rsidR="00850745" w:rsidRPr="004746EA">
        <w:rPr>
          <w:sz w:val="20"/>
          <w:szCs w:val="20"/>
        </w:rPr>
        <w:t xml:space="preserve"> </w:t>
      </w:r>
      <w:r w:rsidRPr="004746EA">
        <w:rPr>
          <w:sz w:val="20"/>
          <w:szCs w:val="20"/>
        </w:rPr>
        <w:t>J.,</w:t>
      </w:r>
      <w:r w:rsidR="00850745" w:rsidRPr="004746EA">
        <w:rPr>
          <w:sz w:val="20"/>
          <w:szCs w:val="20"/>
        </w:rPr>
        <w:t xml:space="preserve"> </w:t>
      </w:r>
      <w:r w:rsidRPr="004746EA">
        <w:rPr>
          <w:sz w:val="20"/>
          <w:szCs w:val="20"/>
        </w:rPr>
        <w:t>Hahm,</w:t>
      </w:r>
      <w:r w:rsidR="00850745" w:rsidRPr="004746EA">
        <w:rPr>
          <w:sz w:val="20"/>
          <w:szCs w:val="20"/>
        </w:rPr>
        <w:t xml:space="preserve"> </w:t>
      </w:r>
      <w:r w:rsidRPr="004746EA">
        <w:rPr>
          <w:sz w:val="20"/>
          <w:szCs w:val="20"/>
        </w:rPr>
        <w:t>J.</w:t>
      </w:r>
      <w:r w:rsidR="00850745" w:rsidRPr="004746EA">
        <w:rPr>
          <w:sz w:val="20"/>
          <w:szCs w:val="20"/>
        </w:rPr>
        <w:t xml:space="preserve"> </w:t>
      </w:r>
      <w:r w:rsidRPr="004746EA">
        <w:rPr>
          <w:sz w:val="20"/>
          <w:szCs w:val="20"/>
        </w:rPr>
        <w:t>R.,</w:t>
      </w:r>
      <w:r w:rsidR="00850745" w:rsidRPr="004746EA">
        <w:rPr>
          <w:sz w:val="20"/>
          <w:szCs w:val="20"/>
        </w:rPr>
        <w:t xml:space="preserve"> </w:t>
      </w:r>
      <w:r w:rsidRPr="004746EA">
        <w:rPr>
          <w:sz w:val="20"/>
          <w:szCs w:val="20"/>
        </w:rPr>
        <w:t>Lee,</w:t>
      </w:r>
      <w:r w:rsidR="00850745" w:rsidRPr="004746EA">
        <w:rPr>
          <w:sz w:val="20"/>
          <w:szCs w:val="20"/>
        </w:rPr>
        <w:t xml:space="preserve"> </w:t>
      </w:r>
      <w:r w:rsidRPr="004746EA">
        <w:rPr>
          <w:sz w:val="20"/>
          <w:szCs w:val="20"/>
        </w:rPr>
        <w:t>S.</w:t>
      </w:r>
      <w:r w:rsidR="00850745" w:rsidRPr="004746EA">
        <w:rPr>
          <w:sz w:val="20"/>
          <w:szCs w:val="20"/>
        </w:rPr>
        <w:t xml:space="preserve"> </w:t>
      </w:r>
      <w:r w:rsidRPr="004746EA">
        <w:rPr>
          <w:sz w:val="20"/>
          <w:szCs w:val="20"/>
        </w:rPr>
        <w:t>M.,</w:t>
      </w:r>
      <w:r w:rsidR="00850745" w:rsidRPr="004746EA">
        <w:rPr>
          <w:sz w:val="20"/>
          <w:szCs w:val="20"/>
        </w:rPr>
        <w:t xml:space="preserve"> </w:t>
      </w:r>
      <w:r w:rsidRPr="004746EA">
        <w:rPr>
          <w:sz w:val="20"/>
          <w:szCs w:val="20"/>
        </w:rPr>
        <w:t>Jung,</w:t>
      </w:r>
      <w:r w:rsidR="00850745" w:rsidRPr="004746EA">
        <w:rPr>
          <w:sz w:val="20"/>
          <w:szCs w:val="20"/>
        </w:rPr>
        <w:t xml:space="preserve"> </w:t>
      </w:r>
      <w:r w:rsidRPr="004746EA">
        <w:rPr>
          <w:sz w:val="20"/>
          <w:szCs w:val="20"/>
        </w:rPr>
        <w:t>T.</w:t>
      </w:r>
      <w:r w:rsidR="00850745" w:rsidRPr="004746EA">
        <w:rPr>
          <w:sz w:val="20"/>
          <w:szCs w:val="20"/>
        </w:rPr>
        <w:t xml:space="preserve"> </w:t>
      </w:r>
      <w:r w:rsidRPr="004746EA">
        <w:rPr>
          <w:sz w:val="20"/>
          <w:szCs w:val="20"/>
        </w:rPr>
        <w:t>S.,</w:t>
      </w:r>
      <w:r w:rsidR="00850745" w:rsidRPr="004746EA">
        <w:rPr>
          <w:sz w:val="20"/>
          <w:szCs w:val="20"/>
        </w:rPr>
        <w:t xml:space="preserve"> </w:t>
      </w:r>
      <w:r w:rsidRPr="004746EA">
        <w:rPr>
          <w:sz w:val="20"/>
          <w:szCs w:val="20"/>
        </w:rPr>
        <w:t>Jung,</w:t>
      </w:r>
      <w:r w:rsidR="00850745" w:rsidRPr="004746EA">
        <w:rPr>
          <w:sz w:val="20"/>
          <w:szCs w:val="20"/>
        </w:rPr>
        <w:t xml:space="preserve"> </w:t>
      </w:r>
      <w:r w:rsidRPr="004746EA">
        <w:rPr>
          <w:sz w:val="20"/>
          <w:szCs w:val="20"/>
        </w:rPr>
        <w:t>J.</w:t>
      </w:r>
      <w:r w:rsidR="00850745" w:rsidRPr="004746EA">
        <w:rPr>
          <w:sz w:val="20"/>
          <w:szCs w:val="20"/>
        </w:rPr>
        <w:t xml:space="preserve"> </w:t>
      </w:r>
      <w:r w:rsidRPr="004746EA">
        <w:rPr>
          <w:sz w:val="20"/>
          <w:szCs w:val="20"/>
        </w:rPr>
        <w:t>H.,</w:t>
      </w:r>
      <w:r w:rsidR="00850745" w:rsidRPr="004746EA">
        <w:rPr>
          <w:sz w:val="20"/>
          <w:szCs w:val="20"/>
        </w:rPr>
        <w:t xml:space="preserve"> </w:t>
      </w:r>
      <w:r w:rsidRPr="004746EA">
        <w:rPr>
          <w:sz w:val="20"/>
          <w:szCs w:val="20"/>
        </w:rPr>
        <w:t>Chung,</w:t>
      </w:r>
      <w:r w:rsidR="00850745" w:rsidRPr="004746EA">
        <w:rPr>
          <w:sz w:val="20"/>
          <w:szCs w:val="20"/>
        </w:rPr>
        <w:t xml:space="preserve"> </w:t>
      </w:r>
      <w:r w:rsidRPr="004746EA">
        <w:rPr>
          <w:sz w:val="20"/>
          <w:szCs w:val="20"/>
        </w:rPr>
        <w:t>S.I.</w:t>
      </w:r>
      <w:r w:rsidR="00850745" w:rsidRPr="004746EA">
        <w:rPr>
          <w:sz w:val="20"/>
          <w:szCs w:val="20"/>
        </w:rPr>
        <w:t xml:space="preserve"> </w:t>
      </w:r>
      <w:r w:rsidRPr="004746EA">
        <w:rPr>
          <w:sz w:val="20"/>
          <w:szCs w:val="20"/>
        </w:rPr>
        <w:t>(2012).</w:t>
      </w:r>
      <w:r w:rsidR="00850745" w:rsidRPr="004746EA">
        <w:rPr>
          <w:sz w:val="20"/>
          <w:szCs w:val="20"/>
        </w:rPr>
        <w:t xml:space="preserve"> </w:t>
      </w:r>
      <w:r w:rsidRPr="004746EA">
        <w:rPr>
          <w:sz w:val="20"/>
          <w:szCs w:val="20"/>
        </w:rPr>
        <w:t>Clinical</w:t>
      </w:r>
      <w:r w:rsidR="00850745" w:rsidRPr="004746EA">
        <w:rPr>
          <w:sz w:val="20"/>
          <w:szCs w:val="20"/>
        </w:rPr>
        <w:t xml:space="preserve"> </w:t>
      </w:r>
      <w:r w:rsidRPr="004746EA">
        <w:rPr>
          <w:sz w:val="20"/>
          <w:szCs w:val="20"/>
        </w:rPr>
        <w:t>significance</w:t>
      </w:r>
      <w:r w:rsidR="00850745" w:rsidRPr="004746EA">
        <w:rPr>
          <w:sz w:val="20"/>
          <w:szCs w:val="20"/>
        </w:rPr>
        <w:t xml:space="preserve"> </w:t>
      </w:r>
      <w:r w:rsidRPr="004746EA">
        <w:rPr>
          <w:sz w:val="20"/>
          <w:szCs w:val="20"/>
        </w:rPr>
        <w:t>of</w:t>
      </w:r>
      <w:r w:rsidR="00850745" w:rsidRPr="004746EA">
        <w:rPr>
          <w:sz w:val="20"/>
          <w:szCs w:val="20"/>
        </w:rPr>
        <w:t xml:space="preserve"> </w:t>
      </w:r>
      <w:r w:rsidRPr="004746EA">
        <w:rPr>
          <w:sz w:val="20"/>
          <w:szCs w:val="20"/>
        </w:rPr>
        <w:t>the</w:t>
      </w:r>
      <w:r w:rsidR="00850745" w:rsidRPr="004746EA">
        <w:rPr>
          <w:sz w:val="20"/>
          <w:szCs w:val="20"/>
        </w:rPr>
        <w:t xml:space="preserve"> </w:t>
      </w:r>
      <w:r w:rsidRPr="004746EA">
        <w:rPr>
          <w:sz w:val="20"/>
          <w:szCs w:val="20"/>
        </w:rPr>
        <w:t>presence</w:t>
      </w:r>
      <w:r w:rsidR="00850745" w:rsidRPr="004746EA">
        <w:rPr>
          <w:sz w:val="20"/>
          <w:szCs w:val="20"/>
        </w:rPr>
        <w:t xml:space="preserve"> </w:t>
      </w:r>
      <w:r w:rsidRPr="004746EA">
        <w:rPr>
          <w:sz w:val="20"/>
          <w:szCs w:val="20"/>
        </w:rPr>
        <w:t>of</w:t>
      </w:r>
      <w:r w:rsidR="00850745" w:rsidRPr="004746EA">
        <w:rPr>
          <w:sz w:val="20"/>
          <w:szCs w:val="20"/>
        </w:rPr>
        <w:t xml:space="preserve"> </w:t>
      </w:r>
      <w:r w:rsidRPr="004746EA">
        <w:rPr>
          <w:sz w:val="20"/>
          <w:szCs w:val="20"/>
        </w:rPr>
        <w:t>autonomic</w:t>
      </w:r>
      <w:r w:rsidR="00850745" w:rsidRPr="004746EA">
        <w:rPr>
          <w:sz w:val="20"/>
          <w:szCs w:val="20"/>
        </w:rPr>
        <w:t xml:space="preserve"> </w:t>
      </w:r>
      <w:r w:rsidRPr="004746EA">
        <w:rPr>
          <w:sz w:val="20"/>
          <w:szCs w:val="20"/>
        </w:rPr>
        <w:t>and</w:t>
      </w:r>
      <w:r w:rsidR="00850745" w:rsidRPr="004746EA">
        <w:rPr>
          <w:sz w:val="20"/>
          <w:szCs w:val="20"/>
        </w:rPr>
        <w:t xml:space="preserve"> </w:t>
      </w:r>
      <w:r w:rsidRPr="004746EA">
        <w:rPr>
          <w:sz w:val="20"/>
          <w:szCs w:val="20"/>
        </w:rPr>
        <w:t>vestibular</w:t>
      </w:r>
      <w:r w:rsidR="00850745" w:rsidRPr="004746EA">
        <w:rPr>
          <w:sz w:val="20"/>
          <w:szCs w:val="20"/>
        </w:rPr>
        <w:t xml:space="preserve"> </w:t>
      </w:r>
      <w:r w:rsidRPr="004746EA">
        <w:rPr>
          <w:sz w:val="20"/>
          <w:szCs w:val="20"/>
        </w:rPr>
        <w:t>dysfunction</w:t>
      </w:r>
      <w:r w:rsidR="00850745" w:rsidRPr="004746EA">
        <w:rPr>
          <w:sz w:val="20"/>
          <w:szCs w:val="20"/>
        </w:rPr>
        <w:t xml:space="preserve"> </w:t>
      </w:r>
      <w:r w:rsidRPr="004746EA">
        <w:rPr>
          <w:sz w:val="20"/>
          <w:szCs w:val="20"/>
        </w:rPr>
        <w:t>in</w:t>
      </w:r>
      <w:r w:rsidR="00850745" w:rsidRPr="004746EA">
        <w:rPr>
          <w:sz w:val="20"/>
          <w:szCs w:val="20"/>
        </w:rPr>
        <w:t xml:space="preserve"> </w:t>
      </w:r>
      <w:r w:rsidRPr="004746EA">
        <w:rPr>
          <w:sz w:val="20"/>
          <w:szCs w:val="20"/>
        </w:rPr>
        <w:t>diabetic</w:t>
      </w:r>
      <w:r w:rsidR="00850745" w:rsidRPr="004746EA">
        <w:rPr>
          <w:sz w:val="20"/>
          <w:szCs w:val="20"/>
        </w:rPr>
        <w:t xml:space="preserve"> </w:t>
      </w:r>
      <w:r w:rsidRPr="004746EA">
        <w:rPr>
          <w:sz w:val="20"/>
          <w:szCs w:val="20"/>
        </w:rPr>
        <w:t>patients</w:t>
      </w:r>
      <w:r w:rsidR="00850745" w:rsidRPr="004746EA">
        <w:rPr>
          <w:sz w:val="20"/>
          <w:szCs w:val="20"/>
        </w:rPr>
        <w:t xml:space="preserve"> </w:t>
      </w:r>
      <w:r w:rsidRPr="004746EA">
        <w:rPr>
          <w:sz w:val="20"/>
          <w:szCs w:val="20"/>
        </w:rPr>
        <w:t>with</w:t>
      </w:r>
      <w:r w:rsidR="00850745" w:rsidRPr="004746EA">
        <w:rPr>
          <w:sz w:val="20"/>
          <w:szCs w:val="20"/>
        </w:rPr>
        <w:t xml:space="preserve"> </w:t>
      </w:r>
      <w:r w:rsidRPr="004746EA">
        <w:rPr>
          <w:sz w:val="20"/>
          <w:szCs w:val="20"/>
        </w:rPr>
        <w:t>peripheral</w:t>
      </w:r>
      <w:r w:rsidR="00850745" w:rsidRPr="004746EA">
        <w:rPr>
          <w:sz w:val="20"/>
          <w:szCs w:val="20"/>
        </w:rPr>
        <w:t xml:space="preserve"> </w:t>
      </w:r>
      <w:r w:rsidRPr="004746EA">
        <w:rPr>
          <w:sz w:val="20"/>
          <w:szCs w:val="20"/>
        </w:rPr>
        <w:t>neuropathy.</w:t>
      </w:r>
      <w:r w:rsidR="00850745" w:rsidRPr="004746EA">
        <w:rPr>
          <w:sz w:val="20"/>
          <w:szCs w:val="20"/>
        </w:rPr>
        <w:t xml:space="preserve"> </w:t>
      </w:r>
      <w:r w:rsidRPr="004746EA">
        <w:rPr>
          <w:i/>
          <w:sz w:val="20"/>
          <w:szCs w:val="20"/>
        </w:rPr>
        <w:t>Diabetes</w:t>
      </w:r>
      <w:r w:rsidR="00850745" w:rsidRPr="004746EA">
        <w:rPr>
          <w:i/>
          <w:sz w:val="20"/>
          <w:szCs w:val="20"/>
        </w:rPr>
        <w:t xml:space="preserve"> &amp; </w:t>
      </w:r>
      <w:r w:rsidRPr="004746EA">
        <w:rPr>
          <w:i/>
          <w:sz w:val="20"/>
          <w:szCs w:val="20"/>
        </w:rPr>
        <w:t>metabolism</w:t>
      </w:r>
      <w:r w:rsidR="004746EA">
        <w:rPr>
          <w:rFonts w:eastAsiaTheme="minorEastAsia" w:hint="eastAsia"/>
          <w:i/>
          <w:sz w:val="20"/>
          <w:szCs w:val="20"/>
          <w:lang w:eastAsia="zh-CN"/>
        </w:rPr>
        <w:t xml:space="preserve"> </w:t>
      </w:r>
      <w:r w:rsidRPr="004746EA">
        <w:rPr>
          <w:i/>
          <w:sz w:val="20"/>
          <w:szCs w:val="20"/>
        </w:rPr>
        <w:t>journal</w:t>
      </w:r>
      <w:r w:rsidRPr="004746EA">
        <w:rPr>
          <w:sz w:val="20"/>
          <w:szCs w:val="20"/>
        </w:rPr>
        <w:t>,</w:t>
      </w:r>
      <w:r w:rsidR="00850745" w:rsidRPr="004746EA">
        <w:rPr>
          <w:sz w:val="20"/>
          <w:szCs w:val="20"/>
        </w:rPr>
        <w:t xml:space="preserve"> </w:t>
      </w:r>
      <w:r w:rsidRPr="004746EA">
        <w:rPr>
          <w:i/>
          <w:sz w:val="20"/>
          <w:szCs w:val="20"/>
        </w:rPr>
        <w:t>36</w:t>
      </w:r>
      <w:r w:rsidRPr="004746EA">
        <w:rPr>
          <w:sz w:val="20"/>
          <w:szCs w:val="20"/>
        </w:rPr>
        <w:t>(1),</w:t>
      </w:r>
      <w:r w:rsidR="00850745" w:rsidRPr="004746EA">
        <w:rPr>
          <w:sz w:val="20"/>
          <w:szCs w:val="20"/>
        </w:rPr>
        <w:t xml:space="preserve"> </w:t>
      </w:r>
      <w:r w:rsidRPr="004746EA">
        <w:rPr>
          <w:sz w:val="20"/>
          <w:szCs w:val="20"/>
        </w:rPr>
        <w:t>64–69.</w:t>
      </w:r>
      <w:r w:rsidR="00850745" w:rsidRPr="004746EA">
        <w:rPr>
          <w:sz w:val="20"/>
          <w:szCs w:val="20"/>
        </w:rPr>
        <w:t xml:space="preserve"> </w:t>
      </w:r>
      <w:r w:rsidRPr="004746EA">
        <w:rPr>
          <w:sz w:val="20"/>
          <w:szCs w:val="20"/>
        </w:rPr>
        <w:t>doi:10.4093/dmj.2012.36.1.64</w:t>
      </w:r>
      <w:r w:rsidR="004746EA">
        <w:rPr>
          <w:rFonts w:eastAsiaTheme="minorEastAsia" w:hint="eastAsia"/>
          <w:sz w:val="20"/>
          <w:szCs w:val="20"/>
          <w:lang w:eastAsia="zh-CN"/>
        </w:rPr>
        <w:t>.</w:t>
      </w:r>
    </w:p>
    <w:p w:rsidR="000B7D36" w:rsidRPr="004746EA" w:rsidRDefault="00311497" w:rsidP="00C84485">
      <w:pPr>
        <w:pStyle w:val="ListParagraph"/>
        <w:numPr>
          <w:ilvl w:val="0"/>
          <w:numId w:val="1"/>
        </w:numPr>
        <w:snapToGrid w:val="0"/>
        <w:ind w:left="425" w:right="0" w:hanging="425"/>
        <w:jc w:val="both"/>
        <w:rPr>
          <w:sz w:val="20"/>
          <w:szCs w:val="20"/>
        </w:rPr>
      </w:pPr>
      <w:r w:rsidRPr="004746EA">
        <w:rPr>
          <w:sz w:val="20"/>
          <w:szCs w:val="20"/>
        </w:rPr>
        <w:t>Gopi</w:t>
      </w:r>
      <w:r w:rsidR="00850745" w:rsidRPr="004746EA">
        <w:rPr>
          <w:sz w:val="20"/>
          <w:szCs w:val="20"/>
        </w:rPr>
        <w:t xml:space="preserve"> </w:t>
      </w:r>
      <w:r w:rsidRPr="004746EA">
        <w:rPr>
          <w:sz w:val="20"/>
          <w:szCs w:val="20"/>
        </w:rPr>
        <w:t>Krishna</w:t>
      </w:r>
      <w:r w:rsidR="00850745" w:rsidRPr="004746EA">
        <w:rPr>
          <w:sz w:val="20"/>
          <w:szCs w:val="20"/>
        </w:rPr>
        <w:t xml:space="preserve"> </w:t>
      </w:r>
      <w:r w:rsidRPr="004746EA">
        <w:rPr>
          <w:sz w:val="20"/>
          <w:szCs w:val="20"/>
        </w:rPr>
        <w:t>Kolluru,</w:t>
      </w:r>
      <w:r w:rsidR="00850745" w:rsidRPr="004746EA">
        <w:rPr>
          <w:sz w:val="20"/>
          <w:szCs w:val="20"/>
        </w:rPr>
        <w:t xml:space="preserve"> </w:t>
      </w:r>
      <w:r w:rsidRPr="004746EA">
        <w:rPr>
          <w:sz w:val="20"/>
          <w:szCs w:val="20"/>
        </w:rPr>
        <w:t>G.P.,</w:t>
      </w:r>
      <w:r w:rsidR="00850745" w:rsidRPr="004746EA">
        <w:rPr>
          <w:sz w:val="20"/>
          <w:szCs w:val="20"/>
        </w:rPr>
        <w:t xml:space="preserve"> </w:t>
      </w:r>
      <w:r w:rsidRPr="004746EA">
        <w:rPr>
          <w:sz w:val="20"/>
          <w:szCs w:val="20"/>
        </w:rPr>
        <w:t>Shyamal,</w:t>
      </w:r>
      <w:r w:rsidR="00850745" w:rsidRPr="004746EA">
        <w:rPr>
          <w:sz w:val="20"/>
          <w:szCs w:val="20"/>
        </w:rPr>
        <w:t xml:space="preserve"> </w:t>
      </w:r>
      <w:r w:rsidRPr="004746EA">
        <w:rPr>
          <w:sz w:val="20"/>
          <w:szCs w:val="20"/>
        </w:rPr>
        <w:t>C.</w:t>
      </w:r>
      <w:r w:rsidR="00850745" w:rsidRPr="004746EA">
        <w:rPr>
          <w:sz w:val="20"/>
          <w:szCs w:val="20"/>
        </w:rPr>
        <w:t xml:space="preserve"> </w:t>
      </w:r>
      <w:r w:rsidRPr="004746EA">
        <w:rPr>
          <w:sz w:val="20"/>
          <w:szCs w:val="20"/>
        </w:rPr>
        <w:t>B.,</w:t>
      </w:r>
      <w:r w:rsidR="00850745" w:rsidRPr="004746EA">
        <w:rPr>
          <w:sz w:val="20"/>
          <w:szCs w:val="20"/>
        </w:rPr>
        <w:t xml:space="preserve"> </w:t>
      </w:r>
      <w:r w:rsidRPr="004746EA">
        <w:rPr>
          <w:sz w:val="20"/>
          <w:szCs w:val="20"/>
        </w:rPr>
        <w:t>Christopher</w:t>
      </w:r>
      <w:r w:rsidR="00850745" w:rsidRPr="004746EA">
        <w:rPr>
          <w:sz w:val="20"/>
          <w:szCs w:val="20"/>
        </w:rPr>
        <w:t xml:space="preserve"> </w:t>
      </w:r>
      <w:r w:rsidRPr="004746EA">
        <w:rPr>
          <w:sz w:val="20"/>
          <w:szCs w:val="20"/>
        </w:rPr>
        <w:t>G.</w:t>
      </w:r>
      <w:r w:rsidR="00850745" w:rsidRPr="004746EA">
        <w:rPr>
          <w:sz w:val="20"/>
          <w:szCs w:val="20"/>
        </w:rPr>
        <w:t xml:space="preserve"> </w:t>
      </w:r>
      <w:r w:rsidRPr="004746EA">
        <w:rPr>
          <w:sz w:val="20"/>
          <w:szCs w:val="20"/>
        </w:rPr>
        <w:t>K.</w:t>
      </w:r>
      <w:r w:rsidR="00850745" w:rsidRPr="004746EA">
        <w:rPr>
          <w:sz w:val="20"/>
          <w:szCs w:val="20"/>
        </w:rPr>
        <w:t xml:space="preserve"> </w:t>
      </w:r>
      <w:r w:rsidRPr="004746EA">
        <w:rPr>
          <w:sz w:val="20"/>
          <w:szCs w:val="20"/>
        </w:rPr>
        <w:t>(2012).</w:t>
      </w:r>
      <w:r w:rsidR="00850745" w:rsidRPr="004746EA">
        <w:rPr>
          <w:sz w:val="20"/>
          <w:szCs w:val="20"/>
        </w:rPr>
        <w:t xml:space="preserve"> </w:t>
      </w:r>
      <w:r w:rsidRPr="004746EA">
        <w:rPr>
          <w:sz w:val="20"/>
          <w:szCs w:val="20"/>
        </w:rPr>
        <w:t>“Endothelial</w:t>
      </w:r>
      <w:r w:rsidR="00850745" w:rsidRPr="004746EA">
        <w:rPr>
          <w:sz w:val="20"/>
          <w:szCs w:val="20"/>
        </w:rPr>
        <w:t xml:space="preserve"> </w:t>
      </w:r>
      <w:r w:rsidRPr="004746EA">
        <w:rPr>
          <w:sz w:val="20"/>
          <w:szCs w:val="20"/>
        </w:rPr>
        <w:t>Dysfunction</w:t>
      </w:r>
      <w:r w:rsidR="00850745" w:rsidRPr="004746EA">
        <w:rPr>
          <w:sz w:val="20"/>
          <w:szCs w:val="20"/>
        </w:rPr>
        <w:t xml:space="preserve"> </w:t>
      </w:r>
      <w:r w:rsidRPr="004746EA">
        <w:rPr>
          <w:sz w:val="20"/>
          <w:szCs w:val="20"/>
        </w:rPr>
        <w:t>and</w:t>
      </w:r>
      <w:r w:rsidR="00850745" w:rsidRPr="004746EA">
        <w:rPr>
          <w:sz w:val="20"/>
          <w:szCs w:val="20"/>
        </w:rPr>
        <w:t xml:space="preserve"> </w:t>
      </w:r>
      <w:r w:rsidRPr="004746EA">
        <w:rPr>
          <w:sz w:val="20"/>
          <w:szCs w:val="20"/>
        </w:rPr>
        <w:t>Diabetes:</w:t>
      </w:r>
      <w:r w:rsidR="00850745" w:rsidRPr="004746EA">
        <w:rPr>
          <w:sz w:val="20"/>
          <w:szCs w:val="20"/>
        </w:rPr>
        <w:t xml:space="preserve"> </w:t>
      </w:r>
      <w:r w:rsidRPr="004746EA">
        <w:rPr>
          <w:sz w:val="20"/>
          <w:szCs w:val="20"/>
        </w:rPr>
        <w:t>Effects</w:t>
      </w:r>
      <w:r w:rsidR="00850745" w:rsidRPr="004746EA">
        <w:rPr>
          <w:sz w:val="20"/>
          <w:szCs w:val="20"/>
        </w:rPr>
        <w:t xml:space="preserve"> </w:t>
      </w:r>
      <w:r w:rsidRPr="004746EA">
        <w:rPr>
          <w:sz w:val="20"/>
          <w:szCs w:val="20"/>
        </w:rPr>
        <w:t>on</w:t>
      </w:r>
      <w:r w:rsidR="00850745" w:rsidRPr="004746EA">
        <w:rPr>
          <w:sz w:val="20"/>
          <w:szCs w:val="20"/>
        </w:rPr>
        <w:t xml:space="preserve"> </w:t>
      </w:r>
      <w:r w:rsidRPr="004746EA">
        <w:rPr>
          <w:sz w:val="20"/>
          <w:szCs w:val="20"/>
        </w:rPr>
        <w:t>Angiogenesis,</w:t>
      </w:r>
      <w:r w:rsidR="00850745" w:rsidRPr="004746EA">
        <w:rPr>
          <w:sz w:val="20"/>
          <w:szCs w:val="20"/>
        </w:rPr>
        <w:t xml:space="preserve"> </w:t>
      </w:r>
      <w:r w:rsidRPr="004746EA">
        <w:rPr>
          <w:sz w:val="20"/>
          <w:szCs w:val="20"/>
        </w:rPr>
        <w:t>Vascular</w:t>
      </w:r>
      <w:r w:rsidR="00850745" w:rsidRPr="004746EA">
        <w:rPr>
          <w:sz w:val="20"/>
          <w:szCs w:val="20"/>
        </w:rPr>
        <w:t xml:space="preserve"> </w:t>
      </w:r>
      <w:r w:rsidRPr="004746EA">
        <w:rPr>
          <w:sz w:val="20"/>
          <w:szCs w:val="20"/>
        </w:rPr>
        <w:t>Remodeling,</w:t>
      </w:r>
      <w:r w:rsidR="00850745" w:rsidRPr="004746EA">
        <w:rPr>
          <w:sz w:val="20"/>
          <w:szCs w:val="20"/>
        </w:rPr>
        <w:t xml:space="preserve"> </w:t>
      </w:r>
      <w:r w:rsidRPr="004746EA">
        <w:rPr>
          <w:sz w:val="20"/>
          <w:szCs w:val="20"/>
        </w:rPr>
        <w:t>and</w:t>
      </w:r>
      <w:r w:rsidR="00850745" w:rsidRPr="004746EA">
        <w:rPr>
          <w:sz w:val="20"/>
          <w:szCs w:val="20"/>
        </w:rPr>
        <w:t xml:space="preserve"> </w:t>
      </w:r>
      <w:r w:rsidRPr="004746EA">
        <w:rPr>
          <w:sz w:val="20"/>
          <w:szCs w:val="20"/>
        </w:rPr>
        <w:t>Wound</w:t>
      </w:r>
      <w:r w:rsidR="00850745" w:rsidRPr="004746EA">
        <w:rPr>
          <w:sz w:val="20"/>
          <w:szCs w:val="20"/>
        </w:rPr>
        <w:t xml:space="preserve"> </w:t>
      </w:r>
      <w:r w:rsidRPr="004746EA">
        <w:rPr>
          <w:sz w:val="20"/>
          <w:szCs w:val="20"/>
        </w:rPr>
        <w:t>Healing,”</w:t>
      </w:r>
      <w:r w:rsidR="00850745" w:rsidRPr="004746EA">
        <w:rPr>
          <w:sz w:val="20"/>
          <w:szCs w:val="20"/>
        </w:rPr>
        <w:t xml:space="preserve"> </w:t>
      </w:r>
      <w:r w:rsidRPr="004746EA">
        <w:rPr>
          <w:i/>
          <w:sz w:val="20"/>
          <w:szCs w:val="20"/>
        </w:rPr>
        <w:t>International</w:t>
      </w:r>
      <w:r w:rsidR="00850745" w:rsidRPr="004746EA">
        <w:rPr>
          <w:i/>
          <w:sz w:val="20"/>
          <w:szCs w:val="20"/>
        </w:rPr>
        <w:t xml:space="preserve"> </w:t>
      </w:r>
      <w:r w:rsidRPr="004746EA">
        <w:rPr>
          <w:i/>
          <w:sz w:val="20"/>
          <w:szCs w:val="20"/>
        </w:rPr>
        <w:t>Journal</w:t>
      </w:r>
      <w:r w:rsidR="00850745" w:rsidRPr="004746EA">
        <w:rPr>
          <w:i/>
          <w:sz w:val="20"/>
          <w:szCs w:val="20"/>
        </w:rPr>
        <w:t xml:space="preserve"> </w:t>
      </w:r>
      <w:r w:rsidRPr="004746EA">
        <w:rPr>
          <w:i/>
          <w:sz w:val="20"/>
          <w:szCs w:val="20"/>
        </w:rPr>
        <w:t>of</w:t>
      </w:r>
      <w:r w:rsidR="00850745" w:rsidRPr="004746EA">
        <w:rPr>
          <w:i/>
          <w:sz w:val="20"/>
          <w:szCs w:val="20"/>
        </w:rPr>
        <w:t xml:space="preserve"> </w:t>
      </w:r>
      <w:r w:rsidRPr="004746EA">
        <w:rPr>
          <w:i/>
          <w:sz w:val="20"/>
          <w:szCs w:val="20"/>
        </w:rPr>
        <w:t>Vascular</w:t>
      </w:r>
      <w:r w:rsidR="00850745" w:rsidRPr="004746EA">
        <w:rPr>
          <w:i/>
          <w:sz w:val="20"/>
          <w:szCs w:val="20"/>
        </w:rPr>
        <w:t xml:space="preserve"> </w:t>
      </w:r>
      <w:r w:rsidRPr="004746EA">
        <w:rPr>
          <w:i/>
          <w:sz w:val="20"/>
          <w:szCs w:val="20"/>
        </w:rPr>
        <w:t>Medicine</w:t>
      </w:r>
      <w:r w:rsidRPr="004746EA">
        <w:rPr>
          <w:sz w:val="20"/>
          <w:szCs w:val="20"/>
        </w:rPr>
        <w:t>,</w:t>
      </w:r>
      <w:r w:rsidR="00850745" w:rsidRPr="004746EA">
        <w:rPr>
          <w:sz w:val="20"/>
          <w:szCs w:val="20"/>
        </w:rPr>
        <w:t xml:space="preserve"> </w:t>
      </w:r>
      <w:r w:rsidRPr="004746EA">
        <w:rPr>
          <w:sz w:val="20"/>
          <w:szCs w:val="20"/>
        </w:rPr>
        <w:t>Article</w:t>
      </w:r>
      <w:r w:rsidR="00850745" w:rsidRPr="004746EA">
        <w:rPr>
          <w:sz w:val="20"/>
          <w:szCs w:val="20"/>
        </w:rPr>
        <w:t xml:space="preserve"> </w:t>
      </w:r>
      <w:r w:rsidRPr="004746EA">
        <w:rPr>
          <w:sz w:val="20"/>
          <w:szCs w:val="20"/>
        </w:rPr>
        <w:t>ID</w:t>
      </w:r>
      <w:r w:rsidR="00850745" w:rsidRPr="004746EA">
        <w:rPr>
          <w:sz w:val="20"/>
          <w:szCs w:val="20"/>
        </w:rPr>
        <w:t xml:space="preserve"> </w:t>
      </w:r>
      <w:r w:rsidRPr="004746EA">
        <w:rPr>
          <w:sz w:val="20"/>
          <w:szCs w:val="20"/>
        </w:rPr>
        <w:t>918267,</w:t>
      </w:r>
      <w:r w:rsidR="00850745" w:rsidRPr="004746EA">
        <w:rPr>
          <w:sz w:val="20"/>
          <w:szCs w:val="20"/>
        </w:rPr>
        <w:t xml:space="preserve"> </w:t>
      </w:r>
      <w:r w:rsidRPr="004746EA">
        <w:rPr>
          <w:sz w:val="20"/>
          <w:szCs w:val="20"/>
        </w:rPr>
        <w:t>30</w:t>
      </w:r>
      <w:r w:rsidR="00850745" w:rsidRPr="004746EA">
        <w:rPr>
          <w:sz w:val="20"/>
          <w:szCs w:val="20"/>
        </w:rPr>
        <w:t xml:space="preserve"> </w:t>
      </w:r>
      <w:r w:rsidRPr="004746EA">
        <w:rPr>
          <w:sz w:val="20"/>
          <w:szCs w:val="20"/>
        </w:rPr>
        <w:t>pages</w:t>
      </w:r>
      <w:r w:rsidR="007F0DBE" w:rsidRPr="004746EA">
        <w:rPr>
          <w:sz w:val="20"/>
          <w:szCs w:val="20"/>
        </w:rPr>
        <w:t>. h</w:t>
      </w:r>
      <w:r w:rsidRPr="004746EA">
        <w:rPr>
          <w:sz w:val="20"/>
          <w:szCs w:val="20"/>
        </w:rPr>
        <w:t>ttps://doi.org/10.1155/2012/918267.</w:t>
      </w:r>
    </w:p>
    <w:p w:rsidR="000B7D36" w:rsidRPr="004746EA" w:rsidRDefault="00311497" w:rsidP="00C84485">
      <w:pPr>
        <w:pStyle w:val="ListParagraph"/>
        <w:numPr>
          <w:ilvl w:val="0"/>
          <w:numId w:val="1"/>
        </w:numPr>
        <w:snapToGrid w:val="0"/>
        <w:ind w:left="425" w:right="0" w:hanging="425"/>
        <w:jc w:val="both"/>
        <w:rPr>
          <w:sz w:val="20"/>
          <w:szCs w:val="20"/>
        </w:rPr>
      </w:pPr>
      <w:r w:rsidRPr="004746EA">
        <w:rPr>
          <w:sz w:val="20"/>
          <w:szCs w:val="20"/>
        </w:rPr>
        <w:t>Waltenberger,</w:t>
      </w:r>
      <w:r w:rsidR="00850745" w:rsidRPr="004746EA">
        <w:rPr>
          <w:sz w:val="20"/>
          <w:szCs w:val="20"/>
        </w:rPr>
        <w:t xml:space="preserve"> </w:t>
      </w:r>
      <w:r w:rsidRPr="004746EA">
        <w:rPr>
          <w:sz w:val="20"/>
          <w:szCs w:val="20"/>
        </w:rPr>
        <w:t>J.,</w:t>
      </w:r>
      <w:r w:rsidR="00850745" w:rsidRPr="004746EA">
        <w:rPr>
          <w:sz w:val="20"/>
          <w:szCs w:val="20"/>
        </w:rPr>
        <w:t xml:space="preserve"> </w:t>
      </w:r>
      <w:r w:rsidRPr="004746EA">
        <w:rPr>
          <w:sz w:val="20"/>
          <w:szCs w:val="20"/>
        </w:rPr>
        <w:t>Lange,</w:t>
      </w:r>
      <w:r w:rsidR="00850745" w:rsidRPr="004746EA">
        <w:rPr>
          <w:sz w:val="20"/>
          <w:szCs w:val="20"/>
        </w:rPr>
        <w:t xml:space="preserve"> </w:t>
      </w:r>
      <w:r w:rsidRPr="004746EA">
        <w:rPr>
          <w:sz w:val="20"/>
          <w:szCs w:val="20"/>
        </w:rPr>
        <w:t>J.,</w:t>
      </w:r>
      <w:r w:rsidR="00850745" w:rsidRPr="004746EA">
        <w:rPr>
          <w:sz w:val="20"/>
          <w:szCs w:val="20"/>
        </w:rPr>
        <w:t xml:space="preserve"> </w:t>
      </w:r>
      <w:r w:rsidRPr="004746EA">
        <w:rPr>
          <w:sz w:val="20"/>
          <w:szCs w:val="20"/>
        </w:rPr>
        <w:t>Kranz,</w:t>
      </w:r>
      <w:r w:rsidR="00850745" w:rsidRPr="004746EA">
        <w:rPr>
          <w:sz w:val="20"/>
          <w:szCs w:val="20"/>
        </w:rPr>
        <w:t xml:space="preserve"> </w:t>
      </w:r>
      <w:r w:rsidRPr="004746EA">
        <w:rPr>
          <w:sz w:val="20"/>
          <w:szCs w:val="20"/>
        </w:rPr>
        <w:t>A.</w:t>
      </w:r>
      <w:r w:rsidR="00850745" w:rsidRPr="004746EA">
        <w:rPr>
          <w:sz w:val="20"/>
          <w:szCs w:val="20"/>
        </w:rPr>
        <w:t xml:space="preserve"> </w:t>
      </w:r>
      <w:r w:rsidRPr="004746EA">
        <w:rPr>
          <w:sz w:val="20"/>
          <w:szCs w:val="20"/>
        </w:rPr>
        <w:t>(2000).</w:t>
      </w:r>
      <w:r w:rsidR="004746EA">
        <w:rPr>
          <w:rFonts w:eastAsiaTheme="minorEastAsia" w:hint="eastAsia"/>
          <w:sz w:val="20"/>
          <w:szCs w:val="20"/>
          <w:lang w:eastAsia="zh-CN"/>
        </w:rPr>
        <w:t xml:space="preserve"> </w:t>
      </w:r>
      <w:r w:rsidRPr="004746EA">
        <w:rPr>
          <w:sz w:val="20"/>
          <w:szCs w:val="20"/>
        </w:rPr>
        <w:t>Vascular</w:t>
      </w:r>
      <w:r w:rsidR="00850745" w:rsidRPr="004746EA">
        <w:rPr>
          <w:sz w:val="20"/>
          <w:szCs w:val="20"/>
        </w:rPr>
        <w:t xml:space="preserve"> </w:t>
      </w:r>
      <w:r w:rsidRPr="004746EA">
        <w:rPr>
          <w:sz w:val="20"/>
          <w:szCs w:val="20"/>
        </w:rPr>
        <w:t>endothelial</w:t>
      </w:r>
      <w:r w:rsidR="00850745" w:rsidRPr="004746EA">
        <w:rPr>
          <w:sz w:val="20"/>
          <w:szCs w:val="20"/>
        </w:rPr>
        <w:t xml:space="preserve"> </w:t>
      </w:r>
      <w:r w:rsidRPr="004746EA">
        <w:rPr>
          <w:sz w:val="20"/>
          <w:szCs w:val="20"/>
        </w:rPr>
        <w:t>growth</w:t>
      </w:r>
      <w:r w:rsidR="00850745" w:rsidRPr="004746EA">
        <w:rPr>
          <w:sz w:val="20"/>
          <w:szCs w:val="20"/>
        </w:rPr>
        <w:t xml:space="preserve"> </w:t>
      </w:r>
      <w:r w:rsidRPr="004746EA">
        <w:rPr>
          <w:sz w:val="20"/>
          <w:szCs w:val="20"/>
        </w:rPr>
        <w:t>factor-</w:t>
      </w:r>
      <w:r w:rsidR="00850745" w:rsidRPr="004746EA">
        <w:rPr>
          <w:sz w:val="20"/>
          <w:szCs w:val="20"/>
        </w:rPr>
        <w:t xml:space="preserve"> </w:t>
      </w:r>
      <w:r w:rsidRPr="004746EA">
        <w:rPr>
          <w:sz w:val="20"/>
          <w:szCs w:val="20"/>
        </w:rPr>
        <w:t>A-induced</w:t>
      </w:r>
      <w:r w:rsidR="00850745" w:rsidRPr="004746EA">
        <w:rPr>
          <w:sz w:val="20"/>
          <w:szCs w:val="20"/>
        </w:rPr>
        <w:t xml:space="preserve"> </w:t>
      </w:r>
      <w:r w:rsidRPr="004746EA">
        <w:rPr>
          <w:sz w:val="20"/>
          <w:szCs w:val="20"/>
        </w:rPr>
        <w:t>chemotaxis</w:t>
      </w:r>
      <w:r w:rsidR="00850745" w:rsidRPr="004746EA">
        <w:rPr>
          <w:sz w:val="20"/>
          <w:szCs w:val="20"/>
        </w:rPr>
        <w:t xml:space="preserve"> </w:t>
      </w:r>
      <w:r w:rsidRPr="004746EA">
        <w:rPr>
          <w:sz w:val="20"/>
          <w:szCs w:val="20"/>
        </w:rPr>
        <w:t>of</w:t>
      </w:r>
      <w:r w:rsidR="00850745" w:rsidRPr="004746EA">
        <w:rPr>
          <w:sz w:val="20"/>
          <w:szCs w:val="20"/>
        </w:rPr>
        <w:t xml:space="preserve"> </w:t>
      </w:r>
      <w:r w:rsidRPr="004746EA">
        <w:rPr>
          <w:sz w:val="20"/>
          <w:szCs w:val="20"/>
        </w:rPr>
        <w:t>monocytes</w:t>
      </w:r>
      <w:r w:rsidR="00850745" w:rsidRPr="004746EA">
        <w:rPr>
          <w:sz w:val="20"/>
          <w:szCs w:val="20"/>
        </w:rPr>
        <w:t xml:space="preserve"> </w:t>
      </w:r>
      <w:r w:rsidRPr="004746EA">
        <w:rPr>
          <w:sz w:val="20"/>
          <w:szCs w:val="20"/>
        </w:rPr>
        <w:t>is</w:t>
      </w:r>
      <w:r w:rsidR="00850745" w:rsidRPr="004746EA">
        <w:rPr>
          <w:sz w:val="20"/>
          <w:szCs w:val="20"/>
        </w:rPr>
        <w:t xml:space="preserve"> </w:t>
      </w:r>
      <w:r w:rsidRPr="004746EA">
        <w:rPr>
          <w:sz w:val="20"/>
          <w:szCs w:val="20"/>
        </w:rPr>
        <w:t>attenuated</w:t>
      </w:r>
      <w:r w:rsidR="00850745" w:rsidRPr="004746EA">
        <w:rPr>
          <w:sz w:val="20"/>
          <w:szCs w:val="20"/>
        </w:rPr>
        <w:t xml:space="preserve"> </w:t>
      </w:r>
      <w:r w:rsidRPr="004746EA">
        <w:rPr>
          <w:sz w:val="20"/>
          <w:szCs w:val="20"/>
        </w:rPr>
        <w:t>in</w:t>
      </w:r>
      <w:r w:rsidR="00850745" w:rsidRPr="004746EA">
        <w:rPr>
          <w:sz w:val="20"/>
          <w:szCs w:val="20"/>
        </w:rPr>
        <w:t xml:space="preserve"> </w:t>
      </w:r>
      <w:r w:rsidRPr="004746EA">
        <w:rPr>
          <w:sz w:val="20"/>
          <w:szCs w:val="20"/>
        </w:rPr>
        <w:t>patients</w:t>
      </w:r>
      <w:r w:rsidR="00850745" w:rsidRPr="004746EA">
        <w:rPr>
          <w:sz w:val="20"/>
          <w:szCs w:val="20"/>
        </w:rPr>
        <w:t xml:space="preserve"> </w:t>
      </w:r>
      <w:r w:rsidRPr="004746EA">
        <w:rPr>
          <w:sz w:val="20"/>
          <w:szCs w:val="20"/>
        </w:rPr>
        <w:t>with</w:t>
      </w:r>
      <w:r w:rsidR="00850745" w:rsidRPr="004746EA">
        <w:rPr>
          <w:sz w:val="20"/>
          <w:szCs w:val="20"/>
        </w:rPr>
        <w:t xml:space="preserve"> </w:t>
      </w:r>
      <w:r w:rsidRPr="004746EA">
        <w:rPr>
          <w:sz w:val="20"/>
          <w:szCs w:val="20"/>
        </w:rPr>
        <w:t>diabetes</w:t>
      </w:r>
      <w:r w:rsidR="00850745" w:rsidRPr="004746EA">
        <w:rPr>
          <w:sz w:val="20"/>
          <w:szCs w:val="20"/>
        </w:rPr>
        <w:t xml:space="preserve"> </w:t>
      </w:r>
      <w:r w:rsidRPr="004746EA">
        <w:rPr>
          <w:sz w:val="20"/>
          <w:szCs w:val="20"/>
        </w:rPr>
        <w:t>mellitus:</w:t>
      </w:r>
      <w:r w:rsidR="00850745" w:rsidRPr="004746EA">
        <w:rPr>
          <w:sz w:val="20"/>
          <w:szCs w:val="20"/>
        </w:rPr>
        <w:t xml:space="preserve"> </w:t>
      </w:r>
      <w:r w:rsidRPr="004746EA">
        <w:rPr>
          <w:sz w:val="20"/>
          <w:szCs w:val="20"/>
        </w:rPr>
        <w:t>A</w:t>
      </w:r>
      <w:r w:rsidR="00850745" w:rsidRPr="004746EA">
        <w:rPr>
          <w:sz w:val="20"/>
          <w:szCs w:val="20"/>
        </w:rPr>
        <w:t xml:space="preserve"> </w:t>
      </w:r>
      <w:r w:rsidRPr="004746EA">
        <w:rPr>
          <w:sz w:val="20"/>
          <w:szCs w:val="20"/>
        </w:rPr>
        <w:t>potential</w:t>
      </w:r>
      <w:r w:rsidR="00850745" w:rsidRPr="004746EA">
        <w:rPr>
          <w:sz w:val="20"/>
          <w:szCs w:val="20"/>
        </w:rPr>
        <w:t xml:space="preserve"> </w:t>
      </w:r>
      <w:r w:rsidRPr="004746EA">
        <w:rPr>
          <w:sz w:val="20"/>
          <w:szCs w:val="20"/>
        </w:rPr>
        <w:t>predictor</w:t>
      </w:r>
      <w:r w:rsidR="00850745" w:rsidRPr="004746EA">
        <w:rPr>
          <w:sz w:val="20"/>
          <w:szCs w:val="20"/>
        </w:rPr>
        <w:t xml:space="preserve"> </w:t>
      </w:r>
      <w:r w:rsidRPr="004746EA">
        <w:rPr>
          <w:sz w:val="20"/>
          <w:szCs w:val="20"/>
        </w:rPr>
        <w:t>for</w:t>
      </w:r>
      <w:r w:rsidR="00850745" w:rsidRPr="004746EA">
        <w:rPr>
          <w:sz w:val="20"/>
          <w:szCs w:val="20"/>
        </w:rPr>
        <w:t xml:space="preserve"> </w:t>
      </w:r>
      <w:r w:rsidRPr="004746EA">
        <w:rPr>
          <w:sz w:val="20"/>
          <w:szCs w:val="20"/>
        </w:rPr>
        <w:t>the</w:t>
      </w:r>
      <w:r w:rsidR="00850745" w:rsidRPr="004746EA">
        <w:rPr>
          <w:sz w:val="20"/>
          <w:szCs w:val="20"/>
        </w:rPr>
        <w:t xml:space="preserve"> </w:t>
      </w:r>
      <w:r w:rsidRPr="004746EA">
        <w:rPr>
          <w:sz w:val="20"/>
          <w:szCs w:val="20"/>
        </w:rPr>
        <w:t>individual</w:t>
      </w:r>
      <w:r w:rsidR="00850745" w:rsidRPr="004746EA">
        <w:rPr>
          <w:sz w:val="20"/>
          <w:szCs w:val="20"/>
        </w:rPr>
        <w:t xml:space="preserve"> </w:t>
      </w:r>
      <w:r w:rsidRPr="004746EA">
        <w:rPr>
          <w:sz w:val="20"/>
          <w:szCs w:val="20"/>
        </w:rPr>
        <w:t>capacity</w:t>
      </w:r>
      <w:r w:rsidR="00850745" w:rsidRPr="004746EA">
        <w:rPr>
          <w:sz w:val="20"/>
          <w:szCs w:val="20"/>
        </w:rPr>
        <w:t xml:space="preserve"> </w:t>
      </w:r>
      <w:r w:rsidRPr="004746EA">
        <w:rPr>
          <w:sz w:val="20"/>
          <w:szCs w:val="20"/>
        </w:rPr>
        <w:t>to</w:t>
      </w:r>
      <w:r w:rsidR="00850745" w:rsidRPr="004746EA">
        <w:rPr>
          <w:sz w:val="20"/>
          <w:szCs w:val="20"/>
        </w:rPr>
        <w:t xml:space="preserve"> </w:t>
      </w:r>
      <w:r w:rsidRPr="004746EA">
        <w:rPr>
          <w:sz w:val="20"/>
          <w:szCs w:val="20"/>
        </w:rPr>
        <w:t>develop</w:t>
      </w:r>
      <w:r w:rsidR="00850745" w:rsidRPr="004746EA">
        <w:rPr>
          <w:sz w:val="20"/>
          <w:szCs w:val="20"/>
        </w:rPr>
        <w:t xml:space="preserve"> </w:t>
      </w:r>
      <w:r w:rsidRPr="004746EA">
        <w:rPr>
          <w:sz w:val="20"/>
          <w:szCs w:val="20"/>
        </w:rPr>
        <w:t>collaterals.</w:t>
      </w:r>
      <w:r w:rsidR="00850745" w:rsidRPr="004746EA">
        <w:rPr>
          <w:sz w:val="20"/>
          <w:szCs w:val="20"/>
        </w:rPr>
        <w:t xml:space="preserve"> </w:t>
      </w:r>
      <w:r w:rsidRPr="004746EA">
        <w:rPr>
          <w:i/>
          <w:sz w:val="20"/>
          <w:szCs w:val="20"/>
        </w:rPr>
        <w:t>Circulation</w:t>
      </w:r>
      <w:r w:rsidRPr="004746EA">
        <w:rPr>
          <w:sz w:val="20"/>
          <w:szCs w:val="20"/>
        </w:rPr>
        <w:t>,</w:t>
      </w:r>
      <w:r w:rsidR="004746EA">
        <w:rPr>
          <w:rFonts w:eastAsiaTheme="minorEastAsia" w:hint="eastAsia"/>
          <w:sz w:val="20"/>
          <w:szCs w:val="20"/>
          <w:lang w:eastAsia="zh-CN"/>
        </w:rPr>
        <w:t xml:space="preserve"> </w:t>
      </w:r>
      <w:r w:rsidRPr="004746EA">
        <w:rPr>
          <w:sz w:val="20"/>
          <w:szCs w:val="20"/>
        </w:rPr>
        <w:t>102(2):185–190.</w:t>
      </w:r>
      <w:r w:rsidR="004746EA">
        <w:rPr>
          <w:rFonts w:eastAsiaTheme="minorEastAsia" w:hint="eastAsia"/>
          <w:sz w:val="20"/>
          <w:szCs w:val="20"/>
          <w:lang w:eastAsia="zh-CN"/>
        </w:rPr>
        <w:t xml:space="preserve"> </w:t>
      </w:r>
      <w:r w:rsidRPr="004746EA">
        <w:rPr>
          <w:sz w:val="20"/>
          <w:szCs w:val="20"/>
        </w:rPr>
        <w:t>doi</w:t>
      </w:r>
      <w:r w:rsidRPr="004746EA">
        <w:rPr>
          <w:color w:val="565656"/>
          <w:sz w:val="20"/>
          <w:szCs w:val="20"/>
        </w:rPr>
        <w:t>:</w:t>
      </w:r>
      <w:r w:rsidRPr="004746EA">
        <w:rPr>
          <w:color w:val="333333"/>
          <w:sz w:val="20"/>
          <w:szCs w:val="20"/>
        </w:rPr>
        <w:t>10.1161/01.cir.102.2.185</w:t>
      </w:r>
      <w:r w:rsidR="004746EA">
        <w:rPr>
          <w:rFonts w:eastAsiaTheme="minorEastAsia" w:hint="eastAsia"/>
          <w:color w:val="333333"/>
          <w:sz w:val="20"/>
          <w:szCs w:val="20"/>
          <w:lang w:eastAsia="zh-CN"/>
        </w:rPr>
        <w:t>.</w:t>
      </w:r>
    </w:p>
    <w:p w:rsidR="000B7D36" w:rsidRPr="004746EA" w:rsidRDefault="00311497" w:rsidP="00C84485">
      <w:pPr>
        <w:pStyle w:val="ListParagraph"/>
        <w:numPr>
          <w:ilvl w:val="0"/>
          <w:numId w:val="1"/>
        </w:numPr>
        <w:snapToGrid w:val="0"/>
        <w:ind w:left="425" w:right="0" w:hanging="425"/>
        <w:jc w:val="both"/>
        <w:rPr>
          <w:sz w:val="20"/>
          <w:szCs w:val="20"/>
        </w:rPr>
      </w:pPr>
      <w:r w:rsidRPr="004746EA">
        <w:rPr>
          <w:sz w:val="20"/>
          <w:szCs w:val="20"/>
        </w:rPr>
        <w:t>Alqurashi,</w:t>
      </w:r>
      <w:r w:rsidR="00850745" w:rsidRPr="004746EA">
        <w:rPr>
          <w:sz w:val="20"/>
          <w:szCs w:val="20"/>
        </w:rPr>
        <w:t xml:space="preserve"> </w:t>
      </w:r>
      <w:r w:rsidRPr="004746EA">
        <w:rPr>
          <w:sz w:val="20"/>
          <w:szCs w:val="20"/>
        </w:rPr>
        <w:t>K.A.,</w:t>
      </w:r>
      <w:r w:rsidR="00850745" w:rsidRPr="004746EA">
        <w:rPr>
          <w:sz w:val="20"/>
          <w:szCs w:val="20"/>
        </w:rPr>
        <w:t xml:space="preserve"> </w:t>
      </w:r>
      <w:r w:rsidRPr="004746EA">
        <w:rPr>
          <w:sz w:val="20"/>
          <w:szCs w:val="20"/>
        </w:rPr>
        <w:t>Aljabri,</w:t>
      </w:r>
      <w:r w:rsidR="00850745" w:rsidRPr="004746EA">
        <w:rPr>
          <w:sz w:val="20"/>
          <w:szCs w:val="20"/>
        </w:rPr>
        <w:t xml:space="preserve"> </w:t>
      </w:r>
      <w:r w:rsidRPr="004746EA">
        <w:rPr>
          <w:sz w:val="20"/>
          <w:szCs w:val="20"/>
        </w:rPr>
        <w:t>K.S.,</w:t>
      </w:r>
      <w:r w:rsidR="00850745" w:rsidRPr="004746EA">
        <w:rPr>
          <w:sz w:val="20"/>
          <w:szCs w:val="20"/>
        </w:rPr>
        <w:t xml:space="preserve"> </w:t>
      </w:r>
      <w:r w:rsidRPr="004746EA">
        <w:rPr>
          <w:sz w:val="20"/>
          <w:szCs w:val="20"/>
        </w:rPr>
        <w:t>Bokhari,</w:t>
      </w:r>
      <w:r w:rsidR="00850745" w:rsidRPr="004746EA">
        <w:rPr>
          <w:sz w:val="20"/>
          <w:szCs w:val="20"/>
        </w:rPr>
        <w:t xml:space="preserve"> </w:t>
      </w:r>
      <w:r w:rsidRPr="004746EA">
        <w:rPr>
          <w:sz w:val="20"/>
          <w:szCs w:val="20"/>
        </w:rPr>
        <w:t>S.A.</w:t>
      </w:r>
      <w:r w:rsidR="00850745" w:rsidRPr="004746EA">
        <w:rPr>
          <w:sz w:val="20"/>
          <w:szCs w:val="20"/>
        </w:rPr>
        <w:t xml:space="preserve"> </w:t>
      </w:r>
      <w:r w:rsidRPr="004746EA">
        <w:rPr>
          <w:sz w:val="20"/>
          <w:szCs w:val="20"/>
        </w:rPr>
        <w:t>(2011).</w:t>
      </w:r>
      <w:r w:rsidR="00850745" w:rsidRPr="004746EA">
        <w:rPr>
          <w:sz w:val="20"/>
          <w:szCs w:val="20"/>
        </w:rPr>
        <w:t xml:space="preserve"> </w:t>
      </w:r>
      <w:r w:rsidRPr="004746EA">
        <w:rPr>
          <w:sz w:val="20"/>
          <w:szCs w:val="20"/>
        </w:rPr>
        <w:t>Prevalence</w:t>
      </w:r>
      <w:r w:rsidR="00850745" w:rsidRPr="004746EA">
        <w:rPr>
          <w:sz w:val="20"/>
          <w:szCs w:val="20"/>
        </w:rPr>
        <w:t xml:space="preserve"> </w:t>
      </w:r>
      <w:r w:rsidRPr="004746EA">
        <w:rPr>
          <w:sz w:val="20"/>
          <w:szCs w:val="20"/>
        </w:rPr>
        <w:t>of</w:t>
      </w:r>
      <w:r w:rsidR="00850745" w:rsidRPr="004746EA">
        <w:rPr>
          <w:sz w:val="20"/>
          <w:szCs w:val="20"/>
        </w:rPr>
        <w:t xml:space="preserve"> </w:t>
      </w:r>
      <w:r w:rsidRPr="004746EA">
        <w:rPr>
          <w:sz w:val="20"/>
          <w:szCs w:val="20"/>
        </w:rPr>
        <w:t>diabetes</w:t>
      </w:r>
      <w:r w:rsidR="00850745" w:rsidRPr="004746EA">
        <w:rPr>
          <w:sz w:val="20"/>
          <w:szCs w:val="20"/>
        </w:rPr>
        <w:t xml:space="preserve"> </w:t>
      </w:r>
      <w:r w:rsidRPr="004746EA">
        <w:rPr>
          <w:sz w:val="20"/>
          <w:szCs w:val="20"/>
        </w:rPr>
        <w:t>mellitus</w:t>
      </w:r>
      <w:r w:rsidR="00850745" w:rsidRPr="004746EA">
        <w:rPr>
          <w:sz w:val="20"/>
          <w:szCs w:val="20"/>
        </w:rPr>
        <w:t xml:space="preserve"> </w:t>
      </w:r>
      <w:r w:rsidRPr="004746EA">
        <w:rPr>
          <w:sz w:val="20"/>
          <w:szCs w:val="20"/>
        </w:rPr>
        <w:t>in</w:t>
      </w:r>
      <w:r w:rsidR="00850745" w:rsidRPr="004746EA">
        <w:rPr>
          <w:sz w:val="20"/>
          <w:szCs w:val="20"/>
        </w:rPr>
        <w:t xml:space="preserve"> </w:t>
      </w:r>
      <w:r w:rsidRPr="004746EA">
        <w:rPr>
          <w:sz w:val="20"/>
          <w:szCs w:val="20"/>
        </w:rPr>
        <w:t>a</w:t>
      </w:r>
      <w:r w:rsidR="00850745" w:rsidRPr="004746EA">
        <w:rPr>
          <w:sz w:val="20"/>
          <w:szCs w:val="20"/>
        </w:rPr>
        <w:t xml:space="preserve"> </w:t>
      </w:r>
      <w:r w:rsidRPr="004746EA">
        <w:rPr>
          <w:sz w:val="20"/>
          <w:szCs w:val="20"/>
        </w:rPr>
        <w:t>Saudi</w:t>
      </w:r>
      <w:r w:rsidR="00850745" w:rsidRPr="004746EA">
        <w:rPr>
          <w:sz w:val="20"/>
          <w:szCs w:val="20"/>
        </w:rPr>
        <w:t xml:space="preserve"> </w:t>
      </w:r>
      <w:r w:rsidRPr="004746EA">
        <w:rPr>
          <w:sz w:val="20"/>
          <w:szCs w:val="20"/>
        </w:rPr>
        <w:t>community.</w:t>
      </w:r>
      <w:r w:rsidR="00850745" w:rsidRPr="004746EA">
        <w:rPr>
          <w:sz w:val="20"/>
          <w:szCs w:val="20"/>
        </w:rPr>
        <w:t xml:space="preserve"> </w:t>
      </w:r>
      <w:r w:rsidRPr="004746EA">
        <w:rPr>
          <w:i/>
          <w:sz w:val="20"/>
          <w:szCs w:val="20"/>
        </w:rPr>
        <w:t>Annals</w:t>
      </w:r>
      <w:r w:rsidR="00850745" w:rsidRPr="004746EA">
        <w:rPr>
          <w:i/>
          <w:sz w:val="20"/>
          <w:szCs w:val="20"/>
        </w:rPr>
        <w:t xml:space="preserve"> </w:t>
      </w:r>
      <w:r w:rsidRPr="004746EA">
        <w:rPr>
          <w:i/>
          <w:sz w:val="20"/>
          <w:szCs w:val="20"/>
        </w:rPr>
        <w:t>of</w:t>
      </w:r>
      <w:r w:rsidR="00850745" w:rsidRPr="004746EA">
        <w:rPr>
          <w:i/>
          <w:sz w:val="20"/>
          <w:szCs w:val="20"/>
        </w:rPr>
        <w:t xml:space="preserve"> </w:t>
      </w:r>
      <w:r w:rsidRPr="004746EA">
        <w:rPr>
          <w:i/>
          <w:sz w:val="20"/>
          <w:szCs w:val="20"/>
        </w:rPr>
        <w:t>Saudi</w:t>
      </w:r>
      <w:r w:rsidR="00850745" w:rsidRPr="004746EA">
        <w:rPr>
          <w:i/>
          <w:sz w:val="20"/>
          <w:szCs w:val="20"/>
        </w:rPr>
        <w:t xml:space="preserve"> </w:t>
      </w:r>
      <w:r w:rsidRPr="004746EA">
        <w:rPr>
          <w:i/>
          <w:sz w:val="20"/>
          <w:szCs w:val="20"/>
        </w:rPr>
        <w:t>Medicine,</w:t>
      </w:r>
      <w:r w:rsidR="00850745" w:rsidRPr="004746EA">
        <w:rPr>
          <w:i/>
          <w:sz w:val="20"/>
          <w:szCs w:val="20"/>
        </w:rPr>
        <w:t xml:space="preserve"> </w:t>
      </w:r>
      <w:r w:rsidRPr="004746EA">
        <w:rPr>
          <w:sz w:val="20"/>
          <w:szCs w:val="20"/>
        </w:rPr>
        <w:t>31(1):19-23.</w:t>
      </w:r>
      <w:r w:rsidR="00850745" w:rsidRPr="004746EA">
        <w:rPr>
          <w:sz w:val="20"/>
          <w:szCs w:val="20"/>
        </w:rPr>
        <w:t xml:space="preserve"> </w:t>
      </w:r>
      <w:r w:rsidRPr="004746EA">
        <w:rPr>
          <w:sz w:val="20"/>
          <w:szCs w:val="20"/>
        </w:rPr>
        <w:t>doi:</w:t>
      </w:r>
      <w:r w:rsidR="00850745" w:rsidRPr="004746EA">
        <w:rPr>
          <w:sz w:val="20"/>
          <w:szCs w:val="20"/>
        </w:rPr>
        <w:t xml:space="preserve"> </w:t>
      </w:r>
      <w:r w:rsidRPr="004746EA">
        <w:rPr>
          <w:sz w:val="20"/>
          <w:szCs w:val="20"/>
        </w:rPr>
        <w:t>10.4103/0256-4947.75773.</w:t>
      </w:r>
    </w:p>
    <w:p w:rsidR="000B7D36" w:rsidRPr="004746EA" w:rsidRDefault="00311497" w:rsidP="00C84485">
      <w:pPr>
        <w:pStyle w:val="ListParagraph"/>
        <w:numPr>
          <w:ilvl w:val="0"/>
          <w:numId w:val="1"/>
        </w:numPr>
        <w:snapToGrid w:val="0"/>
        <w:ind w:left="425" w:right="0" w:hanging="425"/>
        <w:jc w:val="both"/>
        <w:rPr>
          <w:color w:val="333333"/>
          <w:sz w:val="20"/>
          <w:szCs w:val="20"/>
        </w:rPr>
      </w:pPr>
      <w:r w:rsidRPr="004746EA">
        <w:rPr>
          <w:sz w:val="20"/>
          <w:szCs w:val="20"/>
          <w:shd w:val="clear" w:color="auto" w:fill="FBFBFB"/>
        </w:rPr>
        <w:t>Fontbonne,</w:t>
      </w:r>
      <w:r w:rsidR="00850745" w:rsidRPr="004746EA">
        <w:rPr>
          <w:sz w:val="20"/>
          <w:szCs w:val="20"/>
          <w:shd w:val="clear" w:color="auto" w:fill="FBFBFB"/>
        </w:rPr>
        <w:t xml:space="preserve"> </w:t>
      </w:r>
      <w:r w:rsidRPr="004746EA">
        <w:rPr>
          <w:sz w:val="20"/>
          <w:szCs w:val="20"/>
          <w:shd w:val="clear" w:color="auto" w:fill="FBFBFB"/>
        </w:rPr>
        <w:t>A.,</w:t>
      </w:r>
      <w:r w:rsidR="00850745" w:rsidRPr="004746EA">
        <w:rPr>
          <w:sz w:val="20"/>
          <w:szCs w:val="20"/>
          <w:shd w:val="clear" w:color="auto" w:fill="FBFBFB"/>
        </w:rPr>
        <w:t xml:space="preserve"> </w:t>
      </w:r>
      <w:r w:rsidRPr="004746EA">
        <w:rPr>
          <w:sz w:val="20"/>
          <w:szCs w:val="20"/>
          <w:shd w:val="clear" w:color="auto" w:fill="FBFBFB"/>
        </w:rPr>
        <w:t>Eschwège,</w:t>
      </w:r>
      <w:r w:rsidR="00850745" w:rsidRPr="004746EA">
        <w:rPr>
          <w:sz w:val="20"/>
          <w:szCs w:val="20"/>
          <w:shd w:val="clear" w:color="auto" w:fill="FBFBFB"/>
        </w:rPr>
        <w:t xml:space="preserve"> </w:t>
      </w:r>
      <w:r w:rsidRPr="004746EA">
        <w:rPr>
          <w:sz w:val="20"/>
          <w:szCs w:val="20"/>
          <w:shd w:val="clear" w:color="auto" w:fill="FBFBFB"/>
        </w:rPr>
        <w:t>E.,</w:t>
      </w:r>
      <w:r w:rsidR="00850745" w:rsidRPr="004746EA">
        <w:rPr>
          <w:sz w:val="20"/>
          <w:szCs w:val="20"/>
          <w:shd w:val="clear" w:color="auto" w:fill="FBFBFB"/>
        </w:rPr>
        <w:t xml:space="preserve"> </w:t>
      </w:r>
      <w:r w:rsidRPr="004746EA">
        <w:rPr>
          <w:sz w:val="20"/>
          <w:szCs w:val="20"/>
          <w:shd w:val="clear" w:color="auto" w:fill="FBFBFB"/>
        </w:rPr>
        <w:t>Cambien,</w:t>
      </w:r>
      <w:r w:rsidR="00850745" w:rsidRPr="004746EA">
        <w:rPr>
          <w:sz w:val="20"/>
          <w:szCs w:val="20"/>
          <w:shd w:val="clear" w:color="auto" w:fill="FBFBFB"/>
        </w:rPr>
        <w:t xml:space="preserve"> </w:t>
      </w:r>
      <w:r w:rsidRPr="004746EA">
        <w:rPr>
          <w:sz w:val="20"/>
          <w:szCs w:val="20"/>
          <w:shd w:val="clear" w:color="auto" w:fill="FBFBFB"/>
        </w:rPr>
        <w:t>F.</w:t>
      </w:r>
      <w:r w:rsidR="00850745" w:rsidRPr="004746EA">
        <w:rPr>
          <w:sz w:val="20"/>
          <w:szCs w:val="20"/>
          <w:shd w:val="clear" w:color="auto" w:fill="FBFBFB"/>
        </w:rPr>
        <w:t xml:space="preserve"> </w:t>
      </w:r>
      <w:r w:rsidRPr="004746EA">
        <w:rPr>
          <w:sz w:val="20"/>
          <w:szCs w:val="20"/>
          <w:shd w:val="clear" w:color="auto" w:fill="FBFBFB"/>
        </w:rPr>
        <w:t>et</w:t>
      </w:r>
      <w:r w:rsidR="00850745" w:rsidRPr="004746EA">
        <w:rPr>
          <w:sz w:val="20"/>
          <w:szCs w:val="20"/>
          <w:shd w:val="clear" w:color="auto" w:fill="FBFBFB"/>
        </w:rPr>
        <w:t xml:space="preserve"> </w:t>
      </w:r>
      <w:r w:rsidRPr="004746EA">
        <w:rPr>
          <w:sz w:val="20"/>
          <w:szCs w:val="20"/>
          <w:shd w:val="clear" w:color="auto" w:fill="FBFBFB"/>
        </w:rPr>
        <w:t>al.</w:t>
      </w:r>
      <w:r w:rsidR="00850745" w:rsidRPr="004746EA">
        <w:rPr>
          <w:sz w:val="20"/>
          <w:szCs w:val="20"/>
          <w:shd w:val="clear" w:color="auto" w:fill="FBFBFB"/>
        </w:rPr>
        <w:t xml:space="preserve"> </w:t>
      </w:r>
      <w:r w:rsidRPr="004746EA">
        <w:rPr>
          <w:sz w:val="20"/>
          <w:szCs w:val="20"/>
          <w:shd w:val="clear" w:color="auto" w:fill="FBFBFB"/>
        </w:rPr>
        <w:t>(1989)</w:t>
      </w:r>
      <w:r w:rsidR="007F0DBE" w:rsidRPr="004746EA">
        <w:rPr>
          <w:sz w:val="20"/>
          <w:szCs w:val="20"/>
          <w:shd w:val="clear" w:color="auto" w:fill="FBFBFB"/>
        </w:rPr>
        <w:t xml:space="preserve">. </w:t>
      </w:r>
      <w:r w:rsidR="007F0DBE" w:rsidRPr="004746EA">
        <w:rPr>
          <w:sz w:val="20"/>
          <w:szCs w:val="20"/>
        </w:rPr>
        <w:t>H</w:t>
      </w:r>
      <w:r w:rsidRPr="004746EA">
        <w:rPr>
          <w:sz w:val="20"/>
          <w:szCs w:val="20"/>
        </w:rPr>
        <w:t>ypertriglyceridaemia</w:t>
      </w:r>
      <w:r w:rsidR="00850745" w:rsidRPr="004746EA">
        <w:rPr>
          <w:sz w:val="20"/>
          <w:szCs w:val="20"/>
        </w:rPr>
        <w:t xml:space="preserve"> </w:t>
      </w:r>
      <w:r w:rsidRPr="004746EA">
        <w:rPr>
          <w:sz w:val="20"/>
          <w:szCs w:val="20"/>
        </w:rPr>
        <w:t>as</w:t>
      </w:r>
      <w:r w:rsidR="00850745" w:rsidRPr="004746EA">
        <w:rPr>
          <w:sz w:val="20"/>
          <w:szCs w:val="20"/>
        </w:rPr>
        <w:t xml:space="preserve"> </w:t>
      </w:r>
      <w:r w:rsidRPr="004746EA">
        <w:rPr>
          <w:sz w:val="20"/>
          <w:szCs w:val="20"/>
        </w:rPr>
        <w:t>a</w:t>
      </w:r>
      <w:r w:rsidR="00850745" w:rsidRPr="004746EA">
        <w:rPr>
          <w:sz w:val="20"/>
          <w:szCs w:val="20"/>
        </w:rPr>
        <w:t xml:space="preserve"> </w:t>
      </w:r>
      <w:r w:rsidRPr="004746EA">
        <w:rPr>
          <w:sz w:val="20"/>
          <w:szCs w:val="20"/>
        </w:rPr>
        <w:t>risk</w:t>
      </w:r>
      <w:r w:rsidR="00850745" w:rsidRPr="004746EA">
        <w:rPr>
          <w:sz w:val="20"/>
          <w:szCs w:val="20"/>
        </w:rPr>
        <w:t xml:space="preserve"> </w:t>
      </w:r>
      <w:r w:rsidRPr="004746EA">
        <w:rPr>
          <w:sz w:val="20"/>
          <w:szCs w:val="20"/>
        </w:rPr>
        <w:t>factor</w:t>
      </w:r>
      <w:r w:rsidR="00850745" w:rsidRPr="004746EA">
        <w:rPr>
          <w:sz w:val="20"/>
          <w:szCs w:val="20"/>
        </w:rPr>
        <w:t xml:space="preserve"> </w:t>
      </w:r>
      <w:r w:rsidRPr="004746EA">
        <w:rPr>
          <w:sz w:val="20"/>
          <w:szCs w:val="20"/>
        </w:rPr>
        <w:t>of</w:t>
      </w:r>
      <w:r w:rsidR="00850745" w:rsidRPr="004746EA">
        <w:rPr>
          <w:sz w:val="20"/>
          <w:szCs w:val="20"/>
        </w:rPr>
        <w:t xml:space="preserve"> </w:t>
      </w:r>
      <w:r w:rsidRPr="004746EA">
        <w:rPr>
          <w:sz w:val="20"/>
          <w:szCs w:val="20"/>
        </w:rPr>
        <w:t>coronary</w:t>
      </w:r>
      <w:r w:rsidR="00850745" w:rsidRPr="004746EA">
        <w:rPr>
          <w:sz w:val="20"/>
          <w:szCs w:val="20"/>
        </w:rPr>
        <w:t xml:space="preserve"> </w:t>
      </w:r>
      <w:r w:rsidRPr="004746EA">
        <w:rPr>
          <w:sz w:val="20"/>
          <w:szCs w:val="20"/>
        </w:rPr>
        <w:t>heart</w:t>
      </w:r>
      <w:r w:rsidR="00850745" w:rsidRPr="004746EA">
        <w:rPr>
          <w:sz w:val="20"/>
          <w:szCs w:val="20"/>
        </w:rPr>
        <w:t xml:space="preserve"> </w:t>
      </w:r>
      <w:r w:rsidRPr="004746EA">
        <w:rPr>
          <w:sz w:val="20"/>
          <w:szCs w:val="20"/>
        </w:rPr>
        <w:t>disease</w:t>
      </w:r>
      <w:r w:rsidR="00850745" w:rsidRPr="004746EA">
        <w:rPr>
          <w:sz w:val="20"/>
          <w:szCs w:val="20"/>
        </w:rPr>
        <w:t xml:space="preserve"> </w:t>
      </w:r>
      <w:r w:rsidRPr="004746EA">
        <w:rPr>
          <w:sz w:val="20"/>
          <w:szCs w:val="20"/>
        </w:rPr>
        <w:t>mortality</w:t>
      </w:r>
      <w:r w:rsidR="00850745" w:rsidRPr="004746EA">
        <w:rPr>
          <w:sz w:val="20"/>
          <w:szCs w:val="20"/>
        </w:rPr>
        <w:t xml:space="preserve"> </w:t>
      </w:r>
      <w:r w:rsidRPr="004746EA">
        <w:rPr>
          <w:sz w:val="20"/>
          <w:szCs w:val="20"/>
        </w:rPr>
        <w:t>in</w:t>
      </w:r>
      <w:r w:rsidR="00850745" w:rsidRPr="004746EA">
        <w:rPr>
          <w:sz w:val="20"/>
          <w:szCs w:val="20"/>
        </w:rPr>
        <w:t xml:space="preserve"> </w:t>
      </w:r>
      <w:r w:rsidRPr="004746EA">
        <w:rPr>
          <w:sz w:val="20"/>
          <w:szCs w:val="20"/>
        </w:rPr>
        <w:t>subjects</w:t>
      </w:r>
      <w:r w:rsidR="00850745" w:rsidRPr="004746EA">
        <w:rPr>
          <w:sz w:val="20"/>
          <w:szCs w:val="20"/>
        </w:rPr>
        <w:t xml:space="preserve"> </w:t>
      </w:r>
      <w:r w:rsidRPr="004746EA">
        <w:rPr>
          <w:sz w:val="20"/>
          <w:szCs w:val="20"/>
        </w:rPr>
        <w:t>with</w:t>
      </w:r>
      <w:r w:rsidR="00850745" w:rsidRPr="004746EA">
        <w:rPr>
          <w:sz w:val="20"/>
          <w:szCs w:val="20"/>
        </w:rPr>
        <w:t xml:space="preserve"> </w:t>
      </w:r>
      <w:r w:rsidRPr="004746EA">
        <w:rPr>
          <w:sz w:val="20"/>
          <w:szCs w:val="20"/>
        </w:rPr>
        <w:t>impaired</w:t>
      </w:r>
      <w:r w:rsidR="00850745" w:rsidRPr="004746EA">
        <w:rPr>
          <w:sz w:val="20"/>
          <w:szCs w:val="20"/>
        </w:rPr>
        <w:t xml:space="preserve"> </w:t>
      </w:r>
      <w:r w:rsidRPr="004746EA">
        <w:rPr>
          <w:sz w:val="20"/>
          <w:szCs w:val="20"/>
        </w:rPr>
        <w:t>glucose</w:t>
      </w:r>
      <w:r w:rsidR="00850745" w:rsidRPr="004746EA">
        <w:rPr>
          <w:sz w:val="20"/>
          <w:szCs w:val="20"/>
        </w:rPr>
        <w:t xml:space="preserve"> </w:t>
      </w:r>
      <w:r w:rsidRPr="004746EA">
        <w:rPr>
          <w:sz w:val="20"/>
          <w:szCs w:val="20"/>
        </w:rPr>
        <w:t>tolerance</w:t>
      </w:r>
      <w:r w:rsidR="00850745" w:rsidRPr="004746EA">
        <w:rPr>
          <w:sz w:val="20"/>
          <w:szCs w:val="20"/>
        </w:rPr>
        <w:t xml:space="preserve"> </w:t>
      </w:r>
      <w:r w:rsidRPr="004746EA">
        <w:rPr>
          <w:sz w:val="20"/>
          <w:szCs w:val="20"/>
        </w:rPr>
        <w:t>or</w:t>
      </w:r>
      <w:r w:rsidR="00850745" w:rsidRPr="004746EA">
        <w:rPr>
          <w:sz w:val="20"/>
          <w:szCs w:val="20"/>
        </w:rPr>
        <w:t xml:space="preserve"> </w:t>
      </w:r>
      <w:r w:rsidRPr="004746EA">
        <w:rPr>
          <w:sz w:val="20"/>
          <w:szCs w:val="20"/>
        </w:rPr>
        <w:t>diabetes.</w:t>
      </w:r>
      <w:r w:rsidR="00850745" w:rsidRPr="004746EA">
        <w:rPr>
          <w:sz w:val="20"/>
          <w:szCs w:val="20"/>
        </w:rPr>
        <w:t xml:space="preserve"> </w:t>
      </w:r>
      <w:r w:rsidRPr="004746EA">
        <w:rPr>
          <w:sz w:val="20"/>
          <w:szCs w:val="20"/>
        </w:rPr>
        <w:t>Results</w:t>
      </w:r>
      <w:r w:rsidR="00850745" w:rsidRPr="004746EA">
        <w:rPr>
          <w:sz w:val="20"/>
          <w:szCs w:val="20"/>
        </w:rPr>
        <w:t xml:space="preserve"> </w:t>
      </w:r>
      <w:r w:rsidRPr="004746EA">
        <w:rPr>
          <w:sz w:val="20"/>
          <w:szCs w:val="20"/>
        </w:rPr>
        <w:t>from</w:t>
      </w:r>
      <w:r w:rsidR="00850745" w:rsidRPr="004746EA">
        <w:rPr>
          <w:sz w:val="20"/>
          <w:szCs w:val="20"/>
        </w:rPr>
        <w:t xml:space="preserve"> </w:t>
      </w:r>
      <w:r w:rsidRPr="004746EA">
        <w:rPr>
          <w:sz w:val="20"/>
          <w:szCs w:val="20"/>
        </w:rPr>
        <w:t>the</w:t>
      </w:r>
      <w:r w:rsidR="00850745" w:rsidRPr="004746EA">
        <w:rPr>
          <w:sz w:val="20"/>
          <w:szCs w:val="20"/>
        </w:rPr>
        <w:t xml:space="preserve"> </w:t>
      </w:r>
      <w:r w:rsidRPr="004746EA">
        <w:rPr>
          <w:sz w:val="20"/>
          <w:szCs w:val="20"/>
        </w:rPr>
        <w:t>11-year</w:t>
      </w:r>
      <w:r w:rsidR="00850745" w:rsidRPr="004746EA">
        <w:rPr>
          <w:sz w:val="20"/>
          <w:szCs w:val="20"/>
        </w:rPr>
        <w:t xml:space="preserve"> </w:t>
      </w:r>
      <w:r w:rsidRPr="004746EA">
        <w:rPr>
          <w:sz w:val="20"/>
          <w:szCs w:val="20"/>
        </w:rPr>
        <w:t>follow-up</w:t>
      </w:r>
      <w:r w:rsidR="00850745" w:rsidRPr="004746EA">
        <w:rPr>
          <w:sz w:val="20"/>
          <w:szCs w:val="20"/>
        </w:rPr>
        <w:t xml:space="preserve"> </w:t>
      </w:r>
      <w:r w:rsidRPr="004746EA">
        <w:rPr>
          <w:sz w:val="20"/>
          <w:szCs w:val="20"/>
        </w:rPr>
        <w:t>of</w:t>
      </w:r>
      <w:r w:rsidR="00850745" w:rsidRPr="004746EA">
        <w:rPr>
          <w:sz w:val="20"/>
          <w:szCs w:val="20"/>
        </w:rPr>
        <w:t xml:space="preserve"> </w:t>
      </w:r>
      <w:r w:rsidRPr="004746EA">
        <w:rPr>
          <w:sz w:val="20"/>
          <w:szCs w:val="20"/>
        </w:rPr>
        <w:t>the</w:t>
      </w:r>
      <w:r w:rsidR="00850745" w:rsidRPr="004746EA">
        <w:rPr>
          <w:sz w:val="20"/>
          <w:szCs w:val="20"/>
        </w:rPr>
        <w:t xml:space="preserve"> </w:t>
      </w:r>
      <w:r w:rsidRPr="004746EA">
        <w:rPr>
          <w:sz w:val="20"/>
          <w:szCs w:val="20"/>
        </w:rPr>
        <w:t>Paris</w:t>
      </w:r>
      <w:r w:rsidR="00850745" w:rsidRPr="004746EA">
        <w:rPr>
          <w:sz w:val="20"/>
          <w:szCs w:val="20"/>
        </w:rPr>
        <w:t xml:space="preserve"> </w:t>
      </w:r>
      <w:r w:rsidRPr="004746EA">
        <w:rPr>
          <w:sz w:val="20"/>
          <w:szCs w:val="20"/>
        </w:rPr>
        <w:t>Prospective</w:t>
      </w:r>
      <w:r w:rsidR="00850745" w:rsidRPr="004746EA">
        <w:rPr>
          <w:sz w:val="20"/>
          <w:szCs w:val="20"/>
        </w:rPr>
        <w:t xml:space="preserve"> </w:t>
      </w:r>
      <w:r w:rsidRPr="004746EA">
        <w:rPr>
          <w:sz w:val="20"/>
          <w:szCs w:val="20"/>
        </w:rPr>
        <w:t>Study.</w:t>
      </w:r>
      <w:r w:rsidR="00850745" w:rsidRPr="004746EA">
        <w:rPr>
          <w:sz w:val="20"/>
          <w:szCs w:val="20"/>
        </w:rPr>
        <w:t xml:space="preserve"> </w:t>
      </w:r>
      <w:r w:rsidRPr="004746EA">
        <w:rPr>
          <w:i/>
          <w:sz w:val="20"/>
          <w:szCs w:val="20"/>
        </w:rPr>
        <w:t>Diabetologia</w:t>
      </w:r>
      <w:r w:rsidRPr="004746EA">
        <w:rPr>
          <w:sz w:val="20"/>
          <w:szCs w:val="20"/>
        </w:rPr>
        <w:t>,</w:t>
      </w:r>
      <w:r w:rsidR="00850745" w:rsidRPr="004746EA">
        <w:rPr>
          <w:sz w:val="20"/>
          <w:szCs w:val="20"/>
        </w:rPr>
        <w:t xml:space="preserve"> </w:t>
      </w:r>
      <w:r w:rsidRPr="004746EA">
        <w:rPr>
          <w:sz w:val="20"/>
          <w:szCs w:val="20"/>
        </w:rPr>
        <w:t>32(5):300-304.</w:t>
      </w:r>
      <w:r w:rsidR="007F0DBE" w:rsidRPr="004746EA">
        <w:rPr>
          <w:rFonts w:eastAsiaTheme="minorEastAsia" w:hint="eastAsia"/>
          <w:sz w:val="20"/>
          <w:szCs w:val="20"/>
          <w:lang w:eastAsia="zh-CN"/>
        </w:rPr>
        <w:t xml:space="preserve"> </w:t>
      </w:r>
      <w:r w:rsidRPr="004746EA">
        <w:rPr>
          <w:sz w:val="20"/>
          <w:szCs w:val="20"/>
          <w:shd w:val="clear" w:color="auto" w:fill="FBFBFB"/>
        </w:rPr>
        <w:t>https://doi.org/10.1007/BF00265546</w:t>
      </w:r>
      <w:r w:rsidR="004746EA">
        <w:rPr>
          <w:rFonts w:eastAsiaTheme="minorEastAsia" w:hint="eastAsia"/>
          <w:sz w:val="20"/>
          <w:szCs w:val="20"/>
          <w:shd w:val="clear" w:color="auto" w:fill="FBFBFB"/>
          <w:lang w:eastAsia="zh-CN"/>
        </w:rPr>
        <w:t>.</w:t>
      </w:r>
    </w:p>
    <w:p w:rsidR="000B7D36" w:rsidRPr="004746EA" w:rsidRDefault="00311497" w:rsidP="00C84485">
      <w:pPr>
        <w:pStyle w:val="ListParagraph"/>
        <w:numPr>
          <w:ilvl w:val="0"/>
          <w:numId w:val="1"/>
        </w:numPr>
        <w:snapToGrid w:val="0"/>
        <w:ind w:left="425" w:right="0" w:hanging="425"/>
        <w:jc w:val="both"/>
        <w:rPr>
          <w:sz w:val="20"/>
          <w:szCs w:val="20"/>
        </w:rPr>
      </w:pPr>
      <w:r w:rsidRPr="004746EA">
        <w:rPr>
          <w:sz w:val="20"/>
          <w:szCs w:val="20"/>
        </w:rPr>
        <w:t>Ali</w:t>
      </w:r>
      <w:r w:rsidR="00850745" w:rsidRPr="004746EA">
        <w:rPr>
          <w:sz w:val="20"/>
          <w:szCs w:val="20"/>
        </w:rPr>
        <w:t xml:space="preserve"> </w:t>
      </w:r>
      <w:r w:rsidRPr="004746EA">
        <w:rPr>
          <w:sz w:val="20"/>
          <w:szCs w:val="20"/>
        </w:rPr>
        <w:t>MK,</w:t>
      </w:r>
      <w:r w:rsidR="00850745" w:rsidRPr="004746EA">
        <w:rPr>
          <w:sz w:val="20"/>
          <w:szCs w:val="20"/>
        </w:rPr>
        <w:t xml:space="preserve"> </w:t>
      </w:r>
      <w:r w:rsidRPr="004746EA">
        <w:rPr>
          <w:sz w:val="20"/>
          <w:szCs w:val="20"/>
        </w:rPr>
        <w:t>McKeever</w:t>
      </w:r>
      <w:r w:rsidR="00850745" w:rsidRPr="004746EA">
        <w:rPr>
          <w:sz w:val="20"/>
          <w:szCs w:val="20"/>
        </w:rPr>
        <w:t xml:space="preserve"> </w:t>
      </w:r>
      <w:r w:rsidRPr="004746EA">
        <w:rPr>
          <w:sz w:val="20"/>
          <w:szCs w:val="20"/>
        </w:rPr>
        <w:t>Bullard</w:t>
      </w:r>
      <w:r w:rsidR="00850745" w:rsidRPr="004746EA">
        <w:rPr>
          <w:sz w:val="20"/>
          <w:szCs w:val="20"/>
        </w:rPr>
        <w:t xml:space="preserve"> </w:t>
      </w:r>
      <w:r w:rsidRPr="004746EA">
        <w:rPr>
          <w:sz w:val="20"/>
          <w:szCs w:val="20"/>
        </w:rPr>
        <w:t>K,</w:t>
      </w:r>
      <w:r w:rsidR="00850745" w:rsidRPr="004746EA">
        <w:rPr>
          <w:sz w:val="20"/>
          <w:szCs w:val="20"/>
        </w:rPr>
        <w:t xml:space="preserve"> </w:t>
      </w:r>
      <w:r w:rsidRPr="004746EA">
        <w:rPr>
          <w:sz w:val="20"/>
          <w:szCs w:val="20"/>
        </w:rPr>
        <w:t>Imperatore</w:t>
      </w:r>
      <w:r w:rsidR="00850745" w:rsidRPr="004746EA">
        <w:rPr>
          <w:sz w:val="20"/>
          <w:szCs w:val="20"/>
        </w:rPr>
        <w:t xml:space="preserve"> </w:t>
      </w:r>
      <w:r w:rsidRPr="004746EA">
        <w:rPr>
          <w:sz w:val="20"/>
          <w:szCs w:val="20"/>
        </w:rPr>
        <w:t>G,</w:t>
      </w:r>
      <w:r w:rsidR="00850745" w:rsidRPr="004746EA">
        <w:rPr>
          <w:sz w:val="20"/>
          <w:szCs w:val="20"/>
        </w:rPr>
        <w:t xml:space="preserve"> </w:t>
      </w:r>
      <w:r w:rsidRPr="004746EA">
        <w:rPr>
          <w:sz w:val="20"/>
          <w:szCs w:val="20"/>
        </w:rPr>
        <w:t>Barker</w:t>
      </w:r>
      <w:r w:rsidR="00850745" w:rsidRPr="004746EA">
        <w:rPr>
          <w:sz w:val="20"/>
          <w:szCs w:val="20"/>
        </w:rPr>
        <w:t xml:space="preserve"> </w:t>
      </w:r>
      <w:r w:rsidRPr="004746EA">
        <w:rPr>
          <w:sz w:val="20"/>
          <w:szCs w:val="20"/>
        </w:rPr>
        <w:t>L,</w:t>
      </w:r>
      <w:r w:rsidR="00850745" w:rsidRPr="004746EA">
        <w:rPr>
          <w:sz w:val="20"/>
          <w:szCs w:val="20"/>
        </w:rPr>
        <w:t xml:space="preserve"> </w:t>
      </w:r>
      <w:r w:rsidRPr="004746EA">
        <w:rPr>
          <w:sz w:val="20"/>
          <w:szCs w:val="20"/>
        </w:rPr>
        <w:t>Gregg</w:t>
      </w:r>
      <w:r w:rsidR="00850745" w:rsidRPr="004746EA">
        <w:rPr>
          <w:sz w:val="20"/>
          <w:szCs w:val="20"/>
        </w:rPr>
        <w:t xml:space="preserve"> </w:t>
      </w:r>
      <w:r w:rsidRPr="004746EA">
        <w:rPr>
          <w:sz w:val="20"/>
          <w:szCs w:val="20"/>
        </w:rPr>
        <w:t>EW.</w:t>
      </w:r>
      <w:r w:rsidR="00850745" w:rsidRPr="004746EA">
        <w:rPr>
          <w:sz w:val="20"/>
          <w:szCs w:val="20"/>
        </w:rPr>
        <w:t xml:space="preserve"> </w:t>
      </w:r>
      <w:r w:rsidRPr="004746EA">
        <w:rPr>
          <w:sz w:val="20"/>
          <w:szCs w:val="20"/>
        </w:rPr>
        <w:t>(2012).</w:t>
      </w:r>
      <w:r w:rsidR="00850745" w:rsidRPr="004746EA">
        <w:rPr>
          <w:sz w:val="20"/>
          <w:szCs w:val="20"/>
        </w:rPr>
        <w:t xml:space="preserve"> </w:t>
      </w:r>
      <w:r w:rsidRPr="004746EA">
        <w:rPr>
          <w:sz w:val="20"/>
          <w:szCs w:val="20"/>
        </w:rPr>
        <w:t>Centers</w:t>
      </w:r>
      <w:r w:rsidR="00850745" w:rsidRPr="004746EA">
        <w:rPr>
          <w:sz w:val="20"/>
          <w:szCs w:val="20"/>
        </w:rPr>
        <w:t xml:space="preserve"> </w:t>
      </w:r>
      <w:r w:rsidRPr="004746EA">
        <w:rPr>
          <w:sz w:val="20"/>
          <w:szCs w:val="20"/>
        </w:rPr>
        <w:t>for</w:t>
      </w:r>
      <w:r w:rsidR="00850745" w:rsidRPr="004746EA">
        <w:rPr>
          <w:sz w:val="20"/>
          <w:szCs w:val="20"/>
        </w:rPr>
        <w:t xml:space="preserve"> </w:t>
      </w:r>
      <w:r w:rsidRPr="004746EA">
        <w:rPr>
          <w:sz w:val="20"/>
          <w:szCs w:val="20"/>
        </w:rPr>
        <w:t>Disease</w:t>
      </w:r>
      <w:r w:rsidR="00850745" w:rsidRPr="004746EA">
        <w:rPr>
          <w:sz w:val="20"/>
          <w:szCs w:val="20"/>
        </w:rPr>
        <w:t xml:space="preserve"> </w:t>
      </w:r>
      <w:r w:rsidRPr="004746EA">
        <w:rPr>
          <w:sz w:val="20"/>
          <w:szCs w:val="20"/>
        </w:rPr>
        <w:t>Control</w:t>
      </w:r>
      <w:r w:rsidR="00850745" w:rsidRPr="004746EA">
        <w:rPr>
          <w:sz w:val="20"/>
          <w:szCs w:val="20"/>
        </w:rPr>
        <w:t xml:space="preserve"> </w:t>
      </w:r>
      <w:r w:rsidRPr="004746EA">
        <w:rPr>
          <w:sz w:val="20"/>
          <w:szCs w:val="20"/>
        </w:rPr>
        <w:t>and</w:t>
      </w:r>
      <w:r w:rsidR="00850745" w:rsidRPr="004746EA">
        <w:rPr>
          <w:sz w:val="20"/>
          <w:szCs w:val="20"/>
        </w:rPr>
        <w:t xml:space="preserve"> </w:t>
      </w:r>
      <w:r w:rsidRPr="004746EA">
        <w:rPr>
          <w:sz w:val="20"/>
          <w:szCs w:val="20"/>
        </w:rPr>
        <w:t>Prevention</w:t>
      </w:r>
      <w:r w:rsidR="00850745" w:rsidRPr="004746EA">
        <w:rPr>
          <w:sz w:val="20"/>
          <w:szCs w:val="20"/>
        </w:rPr>
        <w:t xml:space="preserve"> </w:t>
      </w:r>
      <w:r w:rsidRPr="004746EA">
        <w:rPr>
          <w:sz w:val="20"/>
          <w:szCs w:val="20"/>
        </w:rPr>
        <w:t>(CDC).</w:t>
      </w:r>
      <w:r w:rsidR="00850745" w:rsidRPr="004746EA">
        <w:rPr>
          <w:sz w:val="20"/>
          <w:szCs w:val="20"/>
        </w:rPr>
        <w:t xml:space="preserve"> </w:t>
      </w:r>
      <w:r w:rsidRPr="004746EA">
        <w:rPr>
          <w:sz w:val="20"/>
          <w:szCs w:val="20"/>
        </w:rPr>
        <w:t>Characteristics</w:t>
      </w:r>
      <w:r w:rsidR="00850745" w:rsidRPr="004746EA">
        <w:rPr>
          <w:sz w:val="20"/>
          <w:szCs w:val="20"/>
        </w:rPr>
        <w:t xml:space="preserve"> </w:t>
      </w:r>
      <w:r w:rsidRPr="004746EA">
        <w:rPr>
          <w:sz w:val="20"/>
          <w:szCs w:val="20"/>
        </w:rPr>
        <w:t>Associated</w:t>
      </w:r>
      <w:r w:rsidR="00850745" w:rsidRPr="004746EA">
        <w:rPr>
          <w:sz w:val="20"/>
          <w:szCs w:val="20"/>
        </w:rPr>
        <w:t xml:space="preserve"> </w:t>
      </w:r>
      <w:r w:rsidRPr="004746EA">
        <w:rPr>
          <w:sz w:val="20"/>
          <w:szCs w:val="20"/>
        </w:rPr>
        <w:t>with</w:t>
      </w:r>
      <w:r w:rsidR="00850745" w:rsidRPr="004746EA">
        <w:rPr>
          <w:sz w:val="20"/>
          <w:szCs w:val="20"/>
        </w:rPr>
        <w:t xml:space="preserve"> </w:t>
      </w:r>
      <w:r w:rsidRPr="004746EA">
        <w:rPr>
          <w:sz w:val="20"/>
          <w:szCs w:val="20"/>
        </w:rPr>
        <w:t>Poor</w:t>
      </w:r>
      <w:r w:rsidR="00850745" w:rsidRPr="004746EA">
        <w:rPr>
          <w:sz w:val="20"/>
          <w:szCs w:val="20"/>
        </w:rPr>
        <w:t xml:space="preserve"> </w:t>
      </w:r>
      <w:r w:rsidRPr="004746EA">
        <w:rPr>
          <w:sz w:val="20"/>
          <w:szCs w:val="20"/>
        </w:rPr>
        <w:t>Glycemic</w:t>
      </w:r>
      <w:r w:rsidR="00850745" w:rsidRPr="004746EA">
        <w:rPr>
          <w:sz w:val="20"/>
          <w:szCs w:val="20"/>
        </w:rPr>
        <w:t xml:space="preserve"> </w:t>
      </w:r>
      <w:r w:rsidRPr="004746EA">
        <w:rPr>
          <w:sz w:val="20"/>
          <w:szCs w:val="20"/>
        </w:rPr>
        <w:t>Control</w:t>
      </w:r>
      <w:r w:rsidR="00850745" w:rsidRPr="004746EA">
        <w:rPr>
          <w:sz w:val="20"/>
          <w:szCs w:val="20"/>
        </w:rPr>
        <w:t xml:space="preserve"> </w:t>
      </w:r>
      <w:r w:rsidRPr="004746EA">
        <w:rPr>
          <w:sz w:val="20"/>
          <w:szCs w:val="20"/>
        </w:rPr>
        <w:t>Among</w:t>
      </w:r>
      <w:r w:rsidR="00850745" w:rsidRPr="004746EA">
        <w:rPr>
          <w:sz w:val="20"/>
          <w:szCs w:val="20"/>
        </w:rPr>
        <w:t xml:space="preserve"> </w:t>
      </w:r>
      <w:r w:rsidRPr="004746EA">
        <w:rPr>
          <w:sz w:val="20"/>
          <w:szCs w:val="20"/>
        </w:rPr>
        <w:t>Adults</w:t>
      </w:r>
      <w:r w:rsidR="00850745" w:rsidRPr="004746EA">
        <w:rPr>
          <w:sz w:val="20"/>
          <w:szCs w:val="20"/>
        </w:rPr>
        <w:t xml:space="preserve"> </w:t>
      </w:r>
      <w:r w:rsidRPr="004746EA">
        <w:rPr>
          <w:sz w:val="20"/>
          <w:szCs w:val="20"/>
        </w:rPr>
        <w:t>with</w:t>
      </w:r>
      <w:r w:rsidR="00850745" w:rsidRPr="004746EA">
        <w:rPr>
          <w:sz w:val="20"/>
          <w:szCs w:val="20"/>
        </w:rPr>
        <w:t xml:space="preserve"> </w:t>
      </w:r>
      <w:r w:rsidRPr="004746EA">
        <w:rPr>
          <w:sz w:val="20"/>
          <w:szCs w:val="20"/>
        </w:rPr>
        <w:t>Self-Reported</w:t>
      </w:r>
      <w:r w:rsidR="00850745" w:rsidRPr="004746EA">
        <w:rPr>
          <w:sz w:val="20"/>
          <w:szCs w:val="20"/>
        </w:rPr>
        <w:t xml:space="preserve"> </w:t>
      </w:r>
      <w:r w:rsidRPr="004746EA">
        <w:rPr>
          <w:sz w:val="20"/>
          <w:szCs w:val="20"/>
        </w:rPr>
        <w:t>Diagnosed</w:t>
      </w:r>
      <w:r w:rsidR="00850745" w:rsidRPr="004746EA">
        <w:rPr>
          <w:sz w:val="20"/>
          <w:szCs w:val="20"/>
        </w:rPr>
        <w:t xml:space="preserve"> </w:t>
      </w:r>
      <w:r w:rsidRPr="004746EA">
        <w:rPr>
          <w:sz w:val="20"/>
          <w:szCs w:val="20"/>
        </w:rPr>
        <w:t>Diabetes</w:t>
      </w:r>
      <w:r w:rsidR="00850745" w:rsidRPr="004746EA">
        <w:rPr>
          <w:sz w:val="20"/>
          <w:szCs w:val="20"/>
        </w:rPr>
        <w:t xml:space="preserve"> </w:t>
      </w:r>
      <w:r w:rsidRPr="004746EA">
        <w:rPr>
          <w:sz w:val="20"/>
          <w:szCs w:val="20"/>
        </w:rPr>
        <w:t>—</w:t>
      </w:r>
      <w:r w:rsidR="00850745" w:rsidRPr="004746EA">
        <w:rPr>
          <w:sz w:val="20"/>
          <w:szCs w:val="20"/>
        </w:rPr>
        <w:t xml:space="preserve"> </w:t>
      </w:r>
      <w:r w:rsidRPr="004746EA">
        <w:rPr>
          <w:sz w:val="20"/>
          <w:szCs w:val="20"/>
        </w:rPr>
        <w:t>National</w:t>
      </w:r>
      <w:r w:rsidR="00850745" w:rsidRPr="004746EA">
        <w:rPr>
          <w:sz w:val="20"/>
          <w:szCs w:val="20"/>
        </w:rPr>
        <w:t xml:space="preserve"> </w:t>
      </w:r>
      <w:r w:rsidRPr="004746EA">
        <w:rPr>
          <w:sz w:val="20"/>
          <w:szCs w:val="20"/>
        </w:rPr>
        <w:t>Health</w:t>
      </w:r>
      <w:r w:rsidR="00850745" w:rsidRPr="004746EA">
        <w:rPr>
          <w:sz w:val="20"/>
          <w:szCs w:val="20"/>
        </w:rPr>
        <w:t xml:space="preserve"> </w:t>
      </w:r>
      <w:r w:rsidRPr="004746EA">
        <w:rPr>
          <w:sz w:val="20"/>
          <w:szCs w:val="20"/>
        </w:rPr>
        <w:t>and</w:t>
      </w:r>
      <w:r w:rsidR="00850745" w:rsidRPr="004746EA">
        <w:rPr>
          <w:sz w:val="20"/>
          <w:szCs w:val="20"/>
        </w:rPr>
        <w:t xml:space="preserve"> </w:t>
      </w:r>
      <w:r w:rsidRPr="004746EA">
        <w:rPr>
          <w:sz w:val="20"/>
          <w:szCs w:val="20"/>
        </w:rPr>
        <w:t>Nutrition</w:t>
      </w:r>
      <w:r w:rsidR="00850745" w:rsidRPr="004746EA">
        <w:rPr>
          <w:sz w:val="20"/>
          <w:szCs w:val="20"/>
        </w:rPr>
        <w:t xml:space="preserve"> </w:t>
      </w:r>
      <w:r w:rsidRPr="004746EA">
        <w:rPr>
          <w:sz w:val="20"/>
          <w:szCs w:val="20"/>
        </w:rPr>
        <w:t>Examination</w:t>
      </w:r>
      <w:r w:rsidR="00850745" w:rsidRPr="004746EA">
        <w:rPr>
          <w:sz w:val="20"/>
          <w:szCs w:val="20"/>
        </w:rPr>
        <w:t xml:space="preserve"> </w:t>
      </w:r>
      <w:r w:rsidRPr="004746EA">
        <w:rPr>
          <w:sz w:val="20"/>
          <w:szCs w:val="20"/>
        </w:rPr>
        <w:t>Survey,</w:t>
      </w:r>
      <w:r w:rsidR="00850745" w:rsidRPr="004746EA">
        <w:rPr>
          <w:sz w:val="20"/>
          <w:szCs w:val="20"/>
        </w:rPr>
        <w:t xml:space="preserve"> </w:t>
      </w:r>
      <w:r w:rsidRPr="004746EA">
        <w:rPr>
          <w:sz w:val="20"/>
          <w:szCs w:val="20"/>
        </w:rPr>
        <w:t>United</w:t>
      </w:r>
      <w:r w:rsidR="00850745" w:rsidRPr="004746EA">
        <w:rPr>
          <w:sz w:val="20"/>
          <w:szCs w:val="20"/>
        </w:rPr>
        <w:t xml:space="preserve"> </w:t>
      </w:r>
      <w:r w:rsidRPr="004746EA">
        <w:rPr>
          <w:sz w:val="20"/>
          <w:szCs w:val="20"/>
        </w:rPr>
        <w:t>States,2007–2010</w:t>
      </w:r>
      <w:r w:rsidRPr="004746EA">
        <w:rPr>
          <w:i/>
          <w:sz w:val="20"/>
          <w:szCs w:val="20"/>
        </w:rPr>
        <w:t>Morbidity</w:t>
      </w:r>
      <w:r w:rsidR="00850745" w:rsidRPr="004746EA">
        <w:rPr>
          <w:i/>
          <w:sz w:val="20"/>
          <w:szCs w:val="20"/>
        </w:rPr>
        <w:t xml:space="preserve"> </w:t>
      </w:r>
      <w:r w:rsidRPr="004746EA">
        <w:rPr>
          <w:i/>
          <w:sz w:val="20"/>
          <w:szCs w:val="20"/>
        </w:rPr>
        <w:t>and</w:t>
      </w:r>
      <w:r w:rsidR="00850745" w:rsidRPr="004746EA">
        <w:rPr>
          <w:i/>
          <w:sz w:val="20"/>
          <w:szCs w:val="20"/>
        </w:rPr>
        <w:t xml:space="preserve"> </w:t>
      </w:r>
      <w:r w:rsidRPr="004746EA">
        <w:rPr>
          <w:i/>
          <w:sz w:val="20"/>
          <w:szCs w:val="20"/>
        </w:rPr>
        <w:t>Mortality</w:t>
      </w:r>
      <w:r w:rsidR="00850745" w:rsidRPr="004746EA">
        <w:rPr>
          <w:i/>
          <w:sz w:val="20"/>
          <w:szCs w:val="20"/>
        </w:rPr>
        <w:t xml:space="preserve"> </w:t>
      </w:r>
      <w:r w:rsidRPr="004746EA">
        <w:rPr>
          <w:i/>
          <w:sz w:val="20"/>
          <w:szCs w:val="20"/>
        </w:rPr>
        <w:t>Weekly</w:t>
      </w:r>
      <w:r w:rsidR="00850745" w:rsidRPr="004746EA">
        <w:rPr>
          <w:i/>
          <w:sz w:val="20"/>
          <w:szCs w:val="20"/>
        </w:rPr>
        <w:t xml:space="preserve"> </w:t>
      </w:r>
      <w:r w:rsidRPr="004746EA">
        <w:rPr>
          <w:i/>
          <w:sz w:val="20"/>
          <w:szCs w:val="20"/>
        </w:rPr>
        <w:t>Report</w:t>
      </w:r>
      <w:r w:rsidR="00850745" w:rsidRPr="004746EA">
        <w:rPr>
          <w:i/>
          <w:sz w:val="20"/>
          <w:szCs w:val="20"/>
        </w:rPr>
        <w:t xml:space="preserve"> </w:t>
      </w:r>
      <w:r w:rsidRPr="004746EA">
        <w:rPr>
          <w:i/>
          <w:sz w:val="20"/>
          <w:szCs w:val="20"/>
        </w:rPr>
        <w:t>(MMWR),</w:t>
      </w:r>
      <w:r w:rsidR="00850745" w:rsidRPr="004746EA">
        <w:rPr>
          <w:i/>
          <w:sz w:val="20"/>
          <w:szCs w:val="20"/>
        </w:rPr>
        <w:t xml:space="preserve"> </w:t>
      </w:r>
      <w:r w:rsidRPr="004746EA">
        <w:rPr>
          <w:sz w:val="20"/>
          <w:szCs w:val="20"/>
        </w:rPr>
        <w:t>61(02);32-37.</w:t>
      </w:r>
    </w:p>
    <w:p w:rsidR="000B7D36" w:rsidRPr="004746EA" w:rsidRDefault="00311497" w:rsidP="00C84485">
      <w:pPr>
        <w:pStyle w:val="ListParagraph"/>
        <w:numPr>
          <w:ilvl w:val="0"/>
          <w:numId w:val="1"/>
        </w:numPr>
        <w:snapToGrid w:val="0"/>
        <w:ind w:left="425" w:right="0" w:hanging="425"/>
        <w:jc w:val="both"/>
        <w:rPr>
          <w:sz w:val="20"/>
          <w:szCs w:val="20"/>
        </w:rPr>
      </w:pPr>
      <w:r w:rsidRPr="004746EA">
        <w:rPr>
          <w:sz w:val="20"/>
          <w:szCs w:val="20"/>
        </w:rPr>
        <w:t>Devlin,</w:t>
      </w:r>
      <w:r w:rsidR="00850745" w:rsidRPr="004746EA">
        <w:rPr>
          <w:sz w:val="20"/>
          <w:szCs w:val="20"/>
        </w:rPr>
        <w:t xml:space="preserve"> </w:t>
      </w:r>
      <w:r w:rsidRPr="004746EA">
        <w:rPr>
          <w:sz w:val="20"/>
          <w:szCs w:val="20"/>
        </w:rPr>
        <w:t>H.,</w:t>
      </w:r>
      <w:r w:rsidR="00850745" w:rsidRPr="004746EA">
        <w:rPr>
          <w:sz w:val="20"/>
          <w:szCs w:val="20"/>
        </w:rPr>
        <w:t xml:space="preserve"> </w:t>
      </w:r>
      <w:r w:rsidRPr="004746EA">
        <w:rPr>
          <w:sz w:val="20"/>
          <w:szCs w:val="20"/>
        </w:rPr>
        <w:t>Garland,</w:t>
      </w:r>
      <w:r w:rsidR="00850745" w:rsidRPr="004746EA">
        <w:rPr>
          <w:sz w:val="20"/>
          <w:szCs w:val="20"/>
        </w:rPr>
        <w:t xml:space="preserve"> </w:t>
      </w:r>
      <w:r w:rsidRPr="004746EA">
        <w:rPr>
          <w:sz w:val="20"/>
          <w:szCs w:val="20"/>
        </w:rPr>
        <w:t>H.,</w:t>
      </w:r>
      <w:r w:rsidR="00850745" w:rsidRPr="004746EA">
        <w:rPr>
          <w:sz w:val="20"/>
          <w:szCs w:val="20"/>
        </w:rPr>
        <w:t xml:space="preserve"> </w:t>
      </w:r>
      <w:r w:rsidRPr="004746EA">
        <w:rPr>
          <w:sz w:val="20"/>
          <w:szCs w:val="20"/>
        </w:rPr>
        <w:t>Sloan,</w:t>
      </w:r>
      <w:r w:rsidR="00850745" w:rsidRPr="004746EA">
        <w:rPr>
          <w:sz w:val="20"/>
          <w:szCs w:val="20"/>
        </w:rPr>
        <w:t xml:space="preserve"> </w:t>
      </w:r>
      <w:r w:rsidRPr="004746EA">
        <w:rPr>
          <w:sz w:val="20"/>
          <w:szCs w:val="20"/>
        </w:rPr>
        <w:t>P</w:t>
      </w:r>
      <w:r w:rsidR="00850745" w:rsidRPr="004746EA">
        <w:rPr>
          <w:sz w:val="20"/>
          <w:szCs w:val="20"/>
        </w:rPr>
        <w:t>. (</w:t>
      </w:r>
      <w:r w:rsidRPr="004746EA">
        <w:rPr>
          <w:sz w:val="20"/>
          <w:szCs w:val="20"/>
        </w:rPr>
        <w:t>1996).</w:t>
      </w:r>
      <w:r w:rsidR="00850745" w:rsidRPr="004746EA">
        <w:rPr>
          <w:sz w:val="20"/>
          <w:szCs w:val="20"/>
        </w:rPr>
        <w:t xml:space="preserve"> </w:t>
      </w:r>
      <w:r w:rsidRPr="004746EA">
        <w:rPr>
          <w:sz w:val="20"/>
          <w:szCs w:val="20"/>
        </w:rPr>
        <w:t>Healing</w:t>
      </w:r>
      <w:r w:rsidR="00850745" w:rsidRPr="004746EA">
        <w:rPr>
          <w:sz w:val="20"/>
          <w:szCs w:val="20"/>
        </w:rPr>
        <w:t xml:space="preserve"> </w:t>
      </w:r>
      <w:r w:rsidRPr="004746EA">
        <w:rPr>
          <w:sz w:val="20"/>
          <w:szCs w:val="20"/>
        </w:rPr>
        <w:t>of</w:t>
      </w:r>
      <w:r w:rsidR="00850745" w:rsidRPr="004746EA">
        <w:rPr>
          <w:sz w:val="20"/>
          <w:szCs w:val="20"/>
        </w:rPr>
        <w:t xml:space="preserve"> </w:t>
      </w:r>
      <w:r w:rsidRPr="004746EA">
        <w:rPr>
          <w:sz w:val="20"/>
          <w:szCs w:val="20"/>
        </w:rPr>
        <w:t>tooth</w:t>
      </w:r>
      <w:r w:rsidR="00850745" w:rsidRPr="004746EA">
        <w:rPr>
          <w:sz w:val="20"/>
          <w:szCs w:val="20"/>
        </w:rPr>
        <w:t xml:space="preserve"> </w:t>
      </w:r>
      <w:r w:rsidRPr="004746EA">
        <w:rPr>
          <w:sz w:val="20"/>
          <w:szCs w:val="20"/>
        </w:rPr>
        <w:t>extraction</w:t>
      </w:r>
      <w:r w:rsidR="00850745" w:rsidRPr="004746EA">
        <w:rPr>
          <w:sz w:val="20"/>
          <w:szCs w:val="20"/>
        </w:rPr>
        <w:t xml:space="preserve"> </w:t>
      </w:r>
      <w:r w:rsidRPr="004746EA">
        <w:rPr>
          <w:sz w:val="20"/>
          <w:szCs w:val="20"/>
        </w:rPr>
        <w:t>sockets</w:t>
      </w:r>
      <w:r w:rsidR="00850745" w:rsidRPr="004746EA">
        <w:rPr>
          <w:sz w:val="20"/>
          <w:szCs w:val="20"/>
        </w:rPr>
        <w:t xml:space="preserve"> </w:t>
      </w:r>
      <w:r w:rsidRPr="004746EA">
        <w:rPr>
          <w:sz w:val="20"/>
          <w:szCs w:val="20"/>
        </w:rPr>
        <w:t>in</w:t>
      </w:r>
      <w:r w:rsidR="00850745" w:rsidRPr="004746EA">
        <w:rPr>
          <w:sz w:val="20"/>
          <w:szCs w:val="20"/>
        </w:rPr>
        <w:t xml:space="preserve"> </w:t>
      </w:r>
      <w:r w:rsidRPr="004746EA">
        <w:rPr>
          <w:sz w:val="20"/>
          <w:szCs w:val="20"/>
        </w:rPr>
        <w:t>experimental</w:t>
      </w:r>
      <w:r w:rsidR="00850745" w:rsidRPr="004746EA">
        <w:rPr>
          <w:sz w:val="20"/>
          <w:szCs w:val="20"/>
        </w:rPr>
        <w:t xml:space="preserve"> </w:t>
      </w:r>
      <w:r w:rsidRPr="004746EA">
        <w:rPr>
          <w:sz w:val="20"/>
          <w:szCs w:val="20"/>
        </w:rPr>
        <w:t>diabetes</w:t>
      </w:r>
      <w:r w:rsidR="00850745" w:rsidRPr="004746EA">
        <w:rPr>
          <w:sz w:val="20"/>
          <w:szCs w:val="20"/>
        </w:rPr>
        <w:t xml:space="preserve"> </w:t>
      </w:r>
      <w:r w:rsidRPr="004746EA">
        <w:rPr>
          <w:sz w:val="20"/>
          <w:szCs w:val="20"/>
        </w:rPr>
        <w:t>mellitus.</w:t>
      </w:r>
      <w:r w:rsidR="00850745" w:rsidRPr="004746EA">
        <w:rPr>
          <w:sz w:val="20"/>
          <w:szCs w:val="20"/>
        </w:rPr>
        <w:t xml:space="preserve"> </w:t>
      </w:r>
      <w:r w:rsidRPr="004746EA">
        <w:rPr>
          <w:i/>
          <w:sz w:val="20"/>
          <w:szCs w:val="20"/>
        </w:rPr>
        <w:t>Journal</w:t>
      </w:r>
      <w:r w:rsidR="00850745" w:rsidRPr="004746EA">
        <w:rPr>
          <w:i/>
          <w:sz w:val="20"/>
          <w:szCs w:val="20"/>
        </w:rPr>
        <w:t xml:space="preserve"> </w:t>
      </w:r>
      <w:r w:rsidRPr="004746EA">
        <w:rPr>
          <w:i/>
          <w:sz w:val="20"/>
          <w:szCs w:val="20"/>
        </w:rPr>
        <w:t>of</w:t>
      </w:r>
      <w:r w:rsidR="00850745" w:rsidRPr="004746EA">
        <w:rPr>
          <w:i/>
          <w:sz w:val="20"/>
          <w:szCs w:val="20"/>
        </w:rPr>
        <w:t xml:space="preserve"> </w:t>
      </w:r>
      <w:r w:rsidRPr="004746EA">
        <w:rPr>
          <w:i/>
          <w:sz w:val="20"/>
          <w:szCs w:val="20"/>
        </w:rPr>
        <w:t>Oral</w:t>
      </w:r>
      <w:r w:rsidR="00850745" w:rsidRPr="004746EA">
        <w:rPr>
          <w:i/>
          <w:sz w:val="20"/>
          <w:szCs w:val="20"/>
        </w:rPr>
        <w:t xml:space="preserve"> </w:t>
      </w:r>
      <w:r w:rsidRPr="004746EA">
        <w:rPr>
          <w:i/>
          <w:sz w:val="20"/>
          <w:szCs w:val="20"/>
        </w:rPr>
        <w:lastRenderedPageBreak/>
        <w:t>and</w:t>
      </w:r>
      <w:r w:rsidR="00850745" w:rsidRPr="004746EA">
        <w:rPr>
          <w:i/>
          <w:sz w:val="20"/>
          <w:szCs w:val="20"/>
        </w:rPr>
        <w:t xml:space="preserve"> </w:t>
      </w:r>
      <w:r w:rsidRPr="004746EA">
        <w:rPr>
          <w:i/>
          <w:sz w:val="20"/>
          <w:szCs w:val="20"/>
        </w:rPr>
        <w:t>Maxillofacial</w:t>
      </w:r>
      <w:r w:rsidR="00850745" w:rsidRPr="004746EA">
        <w:rPr>
          <w:i/>
          <w:sz w:val="20"/>
          <w:szCs w:val="20"/>
        </w:rPr>
        <w:t xml:space="preserve"> </w:t>
      </w:r>
      <w:r w:rsidRPr="004746EA">
        <w:rPr>
          <w:i/>
          <w:sz w:val="20"/>
          <w:szCs w:val="20"/>
        </w:rPr>
        <w:t>Surgery</w:t>
      </w:r>
      <w:r w:rsidRPr="004746EA">
        <w:rPr>
          <w:sz w:val="20"/>
          <w:szCs w:val="20"/>
        </w:rPr>
        <w:t>,</w:t>
      </w:r>
      <w:r w:rsidR="00850745" w:rsidRPr="004746EA">
        <w:rPr>
          <w:sz w:val="20"/>
          <w:szCs w:val="20"/>
        </w:rPr>
        <w:t xml:space="preserve"> </w:t>
      </w:r>
      <w:r w:rsidRPr="004746EA">
        <w:rPr>
          <w:sz w:val="20"/>
          <w:szCs w:val="20"/>
        </w:rPr>
        <w:t>54(9):1087-1091.</w:t>
      </w:r>
      <w:r w:rsidR="004746EA">
        <w:rPr>
          <w:rFonts w:eastAsiaTheme="minorEastAsia" w:hint="eastAsia"/>
          <w:sz w:val="20"/>
          <w:szCs w:val="20"/>
          <w:lang w:eastAsia="zh-CN"/>
        </w:rPr>
        <w:t xml:space="preserve"> </w:t>
      </w:r>
      <w:r w:rsidRPr="004746EA">
        <w:rPr>
          <w:sz w:val="20"/>
          <w:szCs w:val="20"/>
        </w:rPr>
        <w:t>https://doi.org/10.1016/S0278-2391(96)90166-4</w:t>
      </w:r>
      <w:r w:rsidR="004746EA">
        <w:rPr>
          <w:rFonts w:eastAsiaTheme="minorEastAsia" w:hint="eastAsia"/>
          <w:sz w:val="20"/>
          <w:szCs w:val="20"/>
          <w:lang w:eastAsia="zh-CN"/>
        </w:rPr>
        <w:t>.</w:t>
      </w:r>
    </w:p>
    <w:p w:rsidR="000B7D36" w:rsidRPr="004746EA" w:rsidRDefault="00311497" w:rsidP="00C84485">
      <w:pPr>
        <w:pStyle w:val="ListParagraph"/>
        <w:numPr>
          <w:ilvl w:val="0"/>
          <w:numId w:val="1"/>
        </w:numPr>
        <w:snapToGrid w:val="0"/>
        <w:ind w:left="425" w:right="0" w:hanging="425"/>
        <w:jc w:val="both"/>
        <w:rPr>
          <w:sz w:val="20"/>
          <w:szCs w:val="20"/>
        </w:rPr>
      </w:pPr>
      <w:r w:rsidRPr="004746EA">
        <w:rPr>
          <w:sz w:val="20"/>
          <w:szCs w:val="20"/>
        </w:rPr>
        <w:t>Aronovich,</w:t>
      </w:r>
      <w:r w:rsidR="00850745" w:rsidRPr="004746EA">
        <w:rPr>
          <w:sz w:val="20"/>
          <w:szCs w:val="20"/>
        </w:rPr>
        <w:t xml:space="preserve"> </w:t>
      </w:r>
      <w:r w:rsidRPr="004746EA">
        <w:rPr>
          <w:sz w:val="20"/>
          <w:szCs w:val="20"/>
        </w:rPr>
        <w:t>S.,</w:t>
      </w:r>
      <w:r w:rsidR="00850745" w:rsidRPr="004746EA">
        <w:rPr>
          <w:sz w:val="20"/>
          <w:szCs w:val="20"/>
        </w:rPr>
        <w:t xml:space="preserve"> </w:t>
      </w:r>
      <w:r w:rsidRPr="004746EA">
        <w:rPr>
          <w:sz w:val="20"/>
          <w:szCs w:val="20"/>
        </w:rPr>
        <w:t>Skope,</w:t>
      </w:r>
      <w:r w:rsidR="00850745" w:rsidRPr="004746EA">
        <w:rPr>
          <w:sz w:val="20"/>
          <w:szCs w:val="20"/>
        </w:rPr>
        <w:t xml:space="preserve"> </w:t>
      </w:r>
      <w:r w:rsidRPr="004746EA">
        <w:rPr>
          <w:sz w:val="20"/>
          <w:szCs w:val="20"/>
        </w:rPr>
        <w:t>L.W.,</w:t>
      </w:r>
      <w:r w:rsidR="00850745" w:rsidRPr="004746EA">
        <w:rPr>
          <w:sz w:val="20"/>
          <w:szCs w:val="20"/>
        </w:rPr>
        <w:t xml:space="preserve"> </w:t>
      </w:r>
      <w:r w:rsidRPr="004746EA">
        <w:rPr>
          <w:sz w:val="20"/>
          <w:szCs w:val="20"/>
        </w:rPr>
        <w:t>Kelly,</w:t>
      </w:r>
      <w:r w:rsidR="00850745" w:rsidRPr="004746EA">
        <w:rPr>
          <w:sz w:val="20"/>
          <w:szCs w:val="20"/>
        </w:rPr>
        <w:t xml:space="preserve"> </w:t>
      </w:r>
      <w:r w:rsidRPr="004746EA">
        <w:rPr>
          <w:sz w:val="20"/>
          <w:szCs w:val="20"/>
        </w:rPr>
        <w:t>J.P.W.,</w:t>
      </w:r>
      <w:r w:rsidR="00850745" w:rsidRPr="004746EA">
        <w:rPr>
          <w:sz w:val="20"/>
          <w:szCs w:val="20"/>
        </w:rPr>
        <w:t xml:space="preserve"> </w:t>
      </w:r>
      <w:r w:rsidRPr="004746EA">
        <w:rPr>
          <w:sz w:val="20"/>
          <w:szCs w:val="20"/>
        </w:rPr>
        <w:t>Kyriakides,</w:t>
      </w:r>
      <w:r w:rsidR="00850745" w:rsidRPr="004746EA">
        <w:rPr>
          <w:sz w:val="20"/>
          <w:szCs w:val="20"/>
        </w:rPr>
        <w:t xml:space="preserve"> </w:t>
      </w:r>
      <w:r w:rsidRPr="004746EA">
        <w:rPr>
          <w:sz w:val="20"/>
          <w:szCs w:val="20"/>
        </w:rPr>
        <w:t>T.C.</w:t>
      </w:r>
      <w:r w:rsidR="00850745" w:rsidRPr="004746EA">
        <w:rPr>
          <w:sz w:val="20"/>
          <w:szCs w:val="20"/>
        </w:rPr>
        <w:t xml:space="preserve"> </w:t>
      </w:r>
      <w:r w:rsidRPr="004746EA">
        <w:rPr>
          <w:sz w:val="20"/>
          <w:szCs w:val="20"/>
        </w:rPr>
        <w:t>(2010).</w:t>
      </w:r>
      <w:r w:rsidR="00850745" w:rsidRPr="004746EA">
        <w:rPr>
          <w:sz w:val="20"/>
          <w:szCs w:val="20"/>
        </w:rPr>
        <w:t xml:space="preserve"> </w:t>
      </w:r>
      <w:r w:rsidRPr="004746EA">
        <w:rPr>
          <w:sz w:val="20"/>
          <w:szCs w:val="20"/>
        </w:rPr>
        <w:t>The</w:t>
      </w:r>
      <w:r w:rsidR="00850745" w:rsidRPr="004746EA">
        <w:rPr>
          <w:sz w:val="20"/>
          <w:szCs w:val="20"/>
        </w:rPr>
        <w:t xml:space="preserve"> </w:t>
      </w:r>
      <w:r w:rsidRPr="004746EA">
        <w:rPr>
          <w:sz w:val="20"/>
          <w:szCs w:val="20"/>
        </w:rPr>
        <w:t>relationship</w:t>
      </w:r>
      <w:r w:rsidR="00850745" w:rsidRPr="004746EA">
        <w:rPr>
          <w:sz w:val="20"/>
          <w:szCs w:val="20"/>
        </w:rPr>
        <w:t xml:space="preserve"> </w:t>
      </w:r>
      <w:r w:rsidRPr="004746EA">
        <w:rPr>
          <w:sz w:val="20"/>
          <w:szCs w:val="20"/>
        </w:rPr>
        <w:t>of</w:t>
      </w:r>
      <w:r w:rsidR="00850745" w:rsidRPr="004746EA">
        <w:rPr>
          <w:sz w:val="20"/>
          <w:szCs w:val="20"/>
        </w:rPr>
        <w:t xml:space="preserve"> </w:t>
      </w:r>
      <w:r w:rsidRPr="004746EA">
        <w:rPr>
          <w:sz w:val="20"/>
          <w:szCs w:val="20"/>
        </w:rPr>
        <w:t>glycemic</w:t>
      </w:r>
      <w:r w:rsidR="00850745" w:rsidRPr="004746EA">
        <w:rPr>
          <w:sz w:val="20"/>
          <w:szCs w:val="20"/>
        </w:rPr>
        <w:t xml:space="preserve"> </w:t>
      </w:r>
      <w:r w:rsidRPr="004746EA">
        <w:rPr>
          <w:sz w:val="20"/>
          <w:szCs w:val="20"/>
        </w:rPr>
        <w:t>control</w:t>
      </w:r>
      <w:r w:rsidR="00850745" w:rsidRPr="004746EA">
        <w:rPr>
          <w:sz w:val="20"/>
          <w:szCs w:val="20"/>
        </w:rPr>
        <w:t xml:space="preserve"> </w:t>
      </w:r>
      <w:r w:rsidRPr="004746EA">
        <w:rPr>
          <w:sz w:val="20"/>
          <w:szCs w:val="20"/>
        </w:rPr>
        <w:t>to</w:t>
      </w:r>
      <w:r w:rsidR="00850745" w:rsidRPr="004746EA">
        <w:rPr>
          <w:sz w:val="20"/>
          <w:szCs w:val="20"/>
        </w:rPr>
        <w:t xml:space="preserve"> </w:t>
      </w:r>
      <w:r w:rsidRPr="004746EA">
        <w:rPr>
          <w:sz w:val="20"/>
          <w:szCs w:val="20"/>
        </w:rPr>
        <w:t>the</w:t>
      </w:r>
      <w:r w:rsidR="00850745" w:rsidRPr="004746EA">
        <w:rPr>
          <w:sz w:val="20"/>
          <w:szCs w:val="20"/>
        </w:rPr>
        <w:t xml:space="preserve"> </w:t>
      </w:r>
      <w:r w:rsidRPr="004746EA">
        <w:rPr>
          <w:sz w:val="20"/>
          <w:szCs w:val="20"/>
        </w:rPr>
        <w:t>outcomes</w:t>
      </w:r>
      <w:r w:rsidR="00850745" w:rsidRPr="004746EA">
        <w:rPr>
          <w:sz w:val="20"/>
          <w:szCs w:val="20"/>
        </w:rPr>
        <w:t xml:space="preserve"> </w:t>
      </w:r>
      <w:r w:rsidRPr="004746EA">
        <w:rPr>
          <w:sz w:val="20"/>
          <w:szCs w:val="20"/>
        </w:rPr>
        <w:t>of</w:t>
      </w:r>
      <w:r w:rsidR="00850745" w:rsidRPr="004746EA">
        <w:rPr>
          <w:sz w:val="20"/>
          <w:szCs w:val="20"/>
        </w:rPr>
        <w:t xml:space="preserve"> </w:t>
      </w:r>
      <w:r w:rsidRPr="004746EA">
        <w:rPr>
          <w:sz w:val="20"/>
          <w:szCs w:val="20"/>
        </w:rPr>
        <w:t>dental</w:t>
      </w:r>
      <w:r w:rsidR="00850745" w:rsidRPr="004746EA">
        <w:rPr>
          <w:sz w:val="20"/>
          <w:szCs w:val="20"/>
        </w:rPr>
        <w:t xml:space="preserve"> </w:t>
      </w:r>
      <w:r w:rsidRPr="004746EA">
        <w:rPr>
          <w:sz w:val="20"/>
          <w:szCs w:val="20"/>
        </w:rPr>
        <w:t>extractions.</w:t>
      </w:r>
      <w:r w:rsidR="00850745" w:rsidRPr="004746EA">
        <w:rPr>
          <w:sz w:val="20"/>
          <w:szCs w:val="20"/>
        </w:rPr>
        <w:t xml:space="preserve"> </w:t>
      </w:r>
      <w:r w:rsidRPr="004746EA">
        <w:rPr>
          <w:i/>
          <w:sz w:val="20"/>
          <w:szCs w:val="20"/>
        </w:rPr>
        <w:t>Journal</w:t>
      </w:r>
      <w:r w:rsidR="00850745" w:rsidRPr="004746EA">
        <w:rPr>
          <w:i/>
          <w:sz w:val="20"/>
          <w:szCs w:val="20"/>
        </w:rPr>
        <w:t xml:space="preserve"> </w:t>
      </w:r>
      <w:r w:rsidRPr="004746EA">
        <w:rPr>
          <w:i/>
          <w:sz w:val="20"/>
          <w:szCs w:val="20"/>
        </w:rPr>
        <w:t>of</w:t>
      </w:r>
      <w:r w:rsidR="00850745" w:rsidRPr="004746EA">
        <w:rPr>
          <w:i/>
          <w:sz w:val="20"/>
          <w:szCs w:val="20"/>
        </w:rPr>
        <w:t xml:space="preserve"> </w:t>
      </w:r>
      <w:r w:rsidRPr="004746EA">
        <w:rPr>
          <w:i/>
          <w:sz w:val="20"/>
          <w:szCs w:val="20"/>
        </w:rPr>
        <w:t>Oral</w:t>
      </w:r>
      <w:r w:rsidR="00850745" w:rsidRPr="004746EA">
        <w:rPr>
          <w:i/>
          <w:sz w:val="20"/>
          <w:szCs w:val="20"/>
        </w:rPr>
        <w:t xml:space="preserve"> </w:t>
      </w:r>
      <w:r w:rsidRPr="004746EA">
        <w:rPr>
          <w:i/>
          <w:sz w:val="20"/>
          <w:szCs w:val="20"/>
        </w:rPr>
        <w:t>and</w:t>
      </w:r>
      <w:r w:rsidR="00850745" w:rsidRPr="004746EA">
        <w:rPr>
          <w:i/>
          <w:sz w:val="20"/>
          <w:szCs w:val="20"/>
        </w:rPr>
        <w:t xml:space="preserve"> </w:t>
      </w:r>
      <w:r w:rsidRPr="004746EA">
        <w:rPr>
          <w:i/>
          <w:sz w:val="20"/>
          <w:szCs w:val="20"/>
        </w:rPr>
        <w:t>Maxillofacial</w:t>
      </w:r>
      <w:r w:rsidR="00850745" w:rsidRPr="004746EA">
        <w:rPr>
          <w:i/>
          <w:sz w:val="20"/>
          <w:szCs w:val="20"/>
        </w:rPr>
        <w:t xml:space="preserve"> </w:t>
      </w:r>
      <w:r w:rsidRPr="004746EA">
        <w:rPr>
          <w:i/>
          <w:sz w:val="20"/>
          <w:szCs w:val="20"/>
        </w:rPr>
        <w:t>Surgery</w:t>
      </w:r>
      <w:r w:rsidRPr="004746EA">
        <w:rPr>
          <w:sz w:val="20"/>
          <w:szCs w:val="20"/>
        </w:rPr>
        <w:t>,</w:t>
      </w:r>
      <w:r w:rsidR="00850745" w:rsidRPr="004746EA">
        <w:rPr>
          <w:sz w:val="20"/>
          <w:szCs w:val="20"/>
        </w:rPr>
        <w:t xml:space="preserve"> </w:t>
      </w:r>
      <w:r w:rsidRPr="004746EA">
        <w:rPr>
          <w:sz w:val="20"/>
          <w:szCs w:val="20"/>
        </w:rPr>
        <w:t>68(12):2955–2961.</w:t>
      </w:r>
      <w:r w:rsidR="00850745" w:rsidRPr="004746EA">
        <w:rPr>
          <w:sz w:val="20"/>
          <w:szCs w:val="20"/>
        </w:rPr>
        <w:t xml:space="preserve"> </w:t>
      </w:r>
      <w:r w:rsidRPr="004746EA">
        <w:rPr>
          <w:sz w:val="20"/>
          <w:szCs w:val="20"/>
        </w:rPr>
        <w:t>https://doi.org/10.1016/j.joms.2010.05.006</w:t>
      </w:r>
      <w:r w:rsidR="004746EA">
        <w:rPr>
          <w:rFonts w:eastAsiaTheme="minorEastAsia" w:hint="eastAsia"/>
          <w:sz w:val="20"/>
          <w:szCs w:val="20"/>
          <w:lang w:eastAsia="zh-CN"/>
        </w:rPr>
        <w:t>.</w:t>
      </w:r>
    </w:p>
    <w:p w:rsidR="000B7D36" w:rsidRPr="004746EA" w:rsidRDefault="00311497" w:rsidP="00C84485">
      <w:pPr>
        <w:pStyle w:val="ListParagraph"/>
        <w:numPr>
          <w:ilvl w:val="0"/>
          <w:numId w:val="1"/>
        </w:numPr>
        <w:snapToGrid w:val="0"/>
        <w:ind w:left="425" w:right="0" w:hanging="425"/>
        <w:jc w:val="both"/>
        <w:rPr>
          <w:sz w:val="20"/>
          <w:szCs w:val="20"/>
        </w:rPr>
      </w:pPr>
      <w:r w:rsidRPr="004746EA">
        <w:rPr>
          <w:sz w:val="20"/>
          <w:szCs w:val="20"/>
        </w:rPr>
        <w:t>Huang,</w:t>
      </w:r>
      <w:r w:rsidR="00850745" w:rsidRPr="004746EA">
        <w:rPr>
          <w:sz w:val="20"/>
          <w:szCs w:val="20"/>
        </w:rPr>
        <w:t xml:space="preserve"> </w:t>
      </w:r>
      <w:r w:rsidRPr="004746EA">
        <w:rPr>
          <w:sz w:val="20"/>
          <w:szCs w:val="20"/>
        </w:rPr>
        <w:t>S.,</w:t>
      </w:r>
      <w:r w:rsidR="00850745" w:rsidRPr="004746EA">
        <w:rPr>
          <w:sz w:val="20"/>
          <w:szCs w:val="20"/>
        </w:rPr>
        <w:t xml:space="preserve"> </w:t>
      </w:r>
      <w:r w:rsidRPr="004746EA">
        <w:rPr>
          <w:sz w:val="20"/>
          <w:szCs w:val="20"/>
        </w:rPr>
        <w:t>Dang,</w:t>
      </w:r>
      <w:r w:rsidR="00850745" w:rsidRPr="004746EA">
        <w:rPr>
          <w:sz w:val="20"/>
          <w:szCs w:val="20"/>
        </w:rPr>
        <w:t xml:space="preserve"> </w:t>
      </w:r>
      <w:r w:rsidRPr="004746EA">
        <w:rPr>
          <w:sz w:val="20"/>
          <w:szCs w:val="20"/>
        </w:rPr>
        <w:t>H.,</w:t>
      </w:r>
      <w:r w:rsidR="00850745" w:rsidRPr="004746EA">
        <w:rPr>
          <w:sz w:val="20"/>
          <w:szCs w:val="20"/>
        </w:rPr>
        <w:t xml:space="preserve"> </w:t>
      </w:r>
      <w:r w:rsidRPr="004746EA">
        <w:rPr>
          <w:sz w:val="20"/>
          <w:szCs w:val="20"/>
        </w:rPr>
        <w:t>Huynh,</w:t>
      </w:r>
      <w:r w:rsidR="00850745" w:rsidRPr="004746EA">
        <w:rPr>
          <w:sz w:val="20"/>
          <w:szCs w:val="20"/>
        </w:rPr>
        <w:t xml:space="preserve"> </w:t>
      </w:r>
      <w:r w:rsidRPr="004746EA">
        <w:rPr>
          <w:sz w:val="20"/>
          <w:szCs w:val="20"/>
        </w:rPr>
        <w:t>W.,</w:t>
      </w:r>
      <w:r w:rsidR="00850745" w:rsidRPr="004746EA">
        <w:rPr>
          <w:sz w:val="20"/>
          <w:szCs w:val="20"/>
        </w:rPr>
        <w:t xml:space="preserve"> </w:t>
      </w:r>
      <w:r w:rsidRPr="004746EA">
        <w:rPr>
          <w:sz w:val="20"/>
          <w:szCs w:val="20"/>
        </w:rPr>
        <w:t>Sambrook,</w:t>
      </w:r>
      <w:r w:rsidR="00850745" w:rsidRPr="004746EA">
        <w:rPr>
          <w:sz w:val="20"/>
          <w:szCs w:val="20"/>
        </w:rPr>
        <w:t xml:space="preserve"> </w:t>
      </w:r>
      <w:r w:rsidRPr="004746EA">
        <w:rPr>
          <w:sz w:val="20"/>
          <w:szCs w:val="20"/>
        </w:rPr>
        <w:t>P.J.,</w:t>
      </w:r>
      <w:r w:rsidR="00850745" w:rsidRPr="004746EA">
        <w:rPr>
          <w:sz w:val="20"/>
          <w:szCs w:val="20"/>
        </w:rPr>
        <w:t xml:space="preserve"> </w:t>
      </w:r>
      <w:r w:rsidRPr="004746EA">
        <w:rPr>
          <w:sz w:val="20"/>
          <w:szCs w:val="20"/>
        </w:rPr>
        <w:t>Goss,</w:t>
      </w:r>
      <w:r w:rsidR="00850745" w:rsidRPr="004746EA">
        <w:rPr>
          <w:sz w:val="20"/>
          <w:szCs w:val="20"/>
        </w:rPr>
        <w:t xml:space="preserve"> </w:t>
      </w:r>
      <w:r w:rsidRPr="004746EA">
        <w:rPr>
          <w:sz w:val="20"/>
          <w:szCs w:val="20"/>
        </w:rPr>
        <w:t>A.</w:t>
      </w:r>
      <w:r w:rsidR="00850745" w:rsidRPr="004746EA">
        <w:rPr>
          <w:sz w:val="20"/>
          <w:szCs w:val="20"/>
        </w:rPr>
        <w:t xml:space="preserve"> </w:t>
      </w:r>
      <w:r w:rsidRPr="004746EA">
        <w:rPr>
          <w:sz w:val="20"/>
          <w:szCs w:val="20"/>
        </w:rPr>
        <w:t>N.</w:t>
      </w:r>
      <w:r w:rsidR="00850745" w:rsidRPr="004746EA">
        <w:rPr>
          <w:sz w:val="20"/>
          <w:szCs w:val="20"/>
        </w:rPr>
        <w:t xml:space="preserve"> </w:t>
      </w:r>
      <w:r w:rsidRPr="004746EA">
        <w:rPr>
          <w:sz w:val="20"/>
          <w:szCs w:val="20"/>
        </w:rPr>
        <w:t>(2013).</w:t>
      </w:r>
      <w:r w:rsidR="00850745" w:rsidRPr="004746EA">
        <w:rPr>
          <w:sz w:val="20"/>
          <w:szCs w:val="20"/>
        </w:rPr>
        <w:t xml:space="preserve"> </w:t>
      </w:r>
      <w:r w:rsidRPr="004746EA">
        <w:rPr>
          <w:sz w:val="20"/>
          <w:szCs w:val="20"/>
        </w:rPr>
        <w:t>The</w:t>
      </w:r>
      <w:r w:rsidR="00850745" w:rsidRPr="004746EA">
        <w:rPr>
          <w:sz w:val="20"/>
          <w:szCs w:val="20"/>
        </w:rPr>
        <w:t xml:space="preserve"> </w:t>
      </w:r>
      <w:r w:rsidRPr="004746EA">
        <w:rPr>
          <w:sz w:val="20"/>
          <w:szCs w:val="20"/>
        </w:rPr>
        <w:t>healing</w:t>
      </w:r>
      <w:r w:rsidR="00850745" w:rsidRPr="004746EA">
        <w:rPr>
          <w:sz w:val="20"/>
          <w:szCs w:val="20"/>
        </w:rPr>
        <w:t xml:space="preserve"> </w:t>
      </w:r>
      <w:r w:rsidRPr="004746EA">
        <w:rPr>
          <w:sz w:val="20"/>
          <w:szCs w:val="20"/>
        </w:rPr>
        <w:t>of</w:t>
      </w:r>
      <w:r w:rsidR="00850745" w:rsidRPr="004746EA">
        <w:rPr>
          <w:sz w:val="20"/>
          <w:szCs w:val="20"/>
        </w:rPr>
        <w:t xml:space="preserve"> </w:t>
      </w:r>
      <w:r w:rsidRPr="004746EA">
        <w:rPr>
          <w:sz w:val="20"/>
          <w:szCs w:val="20"/>
        </w:rPr>
        <w:t>dental</w:t>
      </w:r>
      <w:r w:rsidR="00850745" w:rsidRPr="004746EA">
        <w:rPr>
          <w:sz w:val="20"/>
          <w:szCs w:val="20"/>
        </w:rPr>
        <w:t xml:space="preserve"> </w:t>
      </w:r>
      <w:r w:rsidRPr="004746EA">
        <w:rPr>
          <w:sz w:val="20"/>
          <w:szCs w:val="20"/>
        </w:rPr>
        <w:t>extraction</w:t>
      </w:r>
      <w:r w:rsidR="00850745" w:rsidRPr="004746EA">
        <w:rPr>
          <w:sz w:val="20"/>
          <w:szCs w:val="20"/>
        </w:rPr>
        <w:t xml:space="preserve"> </w:t>
      </w:r>
      <w:r w:rsidRPr="004746EA">
        <w:rPr>
          <w:sz w:val="20"/>
          <w:szCs w:val="20"/>
        </w:rPr>
        <w:t>sockets</w:t>
      </w:r>
      <w:r w:rsidR="00850745" w:rsidRPr="004746EA">
        <w:rPr>
          <w:sz w:val="20"/>
          <w:szCs w:val="20"/>
        </w:rPr>
        <w:t xml:space="preserve"> </w:t>
      </w:r>
      <w:r w:rsidRPr="004746EA">
        <w:rPr>
          <w:sz w:val="20"/>
          <w:szCs w:val="20"/>
        </w:rPr>
        <w:t>in</w:t>
      </w:r>
      <w:r w:rsidR="00850745" w:rsidRPr="004746EA">
        <w:rPr>
          <w:sz w:val="20"/>
          <w:szCs w:val="20"/>
        </w:rPr>
        <w:t xml:space="preserve"> </w:t>
      </w:r>
      <w:r w:rsidRPr="004746EA">
        <w:rPr>
          <w:sz w:val="20"/>
          <w:szCs w:val="20"/>
        </w:rPr>
        <w:t>patients</w:t>
      </w:r>
      <w:r w:rsidR="00850745" w:rsidRPr="004746EA">
        <w:rPr>
          <w:sz w:val="20"/>
          <w:szCs w:val="20"/>
        </w:rPr>
        <w:t xml:space="preserve"> </w:t>
      </w:r>
      <w:r w:rsidRPr="004746EA">
        <w:rPr>
          <w:sz w:val="20"/>
          <w:szCs w:val="20"/>
        </w:rPr>
        <w:t>with</w:t>
      </w:r>
      <w:r w:rsidR="00850745" w:rsidRPr="004746EA">
        <w:rPr>
          <w:sz w:val="20"/>
          <w:szCs w:val="20"/>
        </w:rPr>
        <w:t xml:space="preserve"> </w:t>
      </w:r>
      <w:r w:rsidRPr="004746EA">
        <w:rPr>
          <w:sz w:val="20"/>
          <w:szCs w:val="20"/>
        </w:rPr>
        <w:t>Type</w:t>
      </w:r>
      <w:r w:rsidR="00850745" w:rsidRPr="004746EA">
        <w:rPr>
          <w:sz w:val="20"/>
          <w:szCs w:val="20"/>
        </w:rPr>
        <w:t xml:space="preserve"> </w:t>
      </w:r>
      <w:r w:rsidRPr="004746EA">
        <w:rPr>
          <w:sz w:val="20"/>
          <w:szCs w:val="20"/>
        </w:rPr>
        <w:t>2</w:t>
      </w:r>
      <w:r w:rsidR="00850745" w:rsidRPr="004746EA">
        <w:rPr>
          <w:sz w:val="20"/>
          <w:szCs w:val="20"/>
        </w:rPr>
        <w:t xml:space="preserve"> </w:t>
      </w:r>
      <w:r w:rsidRPr="004746EA">
        <w:rPr>
          <w:sz w:val="20"/>
          <w:szCs w:val="20"/>
        </w:rPr>
        <w:t>diabetes</w:t>
      </w:r>
      <w:r w:rsidR="00850745" w:rsidRPr="004746EA">
        <w:rPr>
          <w:sz w:val="20"/>
          <w:szCs w:val="20"/>
        </w:rPr>
        <w:t xml:space="preserve"> </w:t>
      </w:r>
      <w:r w:rsidRPr="004746EA">
        <w:rPr>
          <w:sz w:val="20"/>
          <w:szCs w:val="20"/>
        </w:rPr>
        <w:t>on</w:t>
      </w:r>
      <w:r w:rsidR="00850745" w:rsidRPr="004746EA">
        <w:rPr>
          <w:sz w:val="20"/>
          <w:szCs w:val="20"/>
        </w:rPr>
        <w:t xml:space="preserve"> </w:t>
      </w:r>
      <w:r w:rsidRPr="004746EA">
        <w:rPr>
          <w:sz w:val="20"/>
          <w:szCs w:val="20"/>
        </w:rPr>
        <w:t>oralhypoglycaemics:</w:t>
      </w:r>
      <w:r w:rsidR="00850745" w:rsidRPr="004746EA">
        <w:rPr>
          <w:sz w:val="20"/>
          <w:szCs w:val="20"/>
        </w:rPr>
        <w:t xml:space="preserve"> </w:t>
      </w:r>
      <w:r w:rsidRPr="004746EA">
        <w:rPr>
          <w:sz w:val="20"/>
          <w:szCs w:val="20"/>
        </w:rPr>
        <w:t>A</w:t>
      </w:r>
      <w:r w:rsidR="00850745" w:rsidRPr="004746EA">
        <w:rPr>
          <w:sz w:val="20"/>
          <w:szCs w:val="20"/>
        </w:rPr>
        <w:t xml:space="preserve"> </w:t>
      </w:r>
      <w:r w:rsidRPr="004746EA">
        <w:rPr>
          <w:sz w:val="20"/>
          <w:szCs w:val="20"/>
        </w:rPr>
        <w:t>prospective</w:t>
      </w:r>
      <w:r w:rsidR="00850745" w:rsidRPr="004746EA">
        <w:rPr>
          <w:sz w:val="20"/>
          <w:szCs w:val="20"/>
        </w:rPr>
        <w:t xml:space="preserve"> </w:t>
      </w:r>
      <w:r w:rsidRPr="004746EA">
        <w:rPr>
          <w:sz w:val="20"/>
          <w:szCs w:val="20"/>
        </w:rPr>
        <w:t>cohort.</w:t>
      </w:r>
      <w:r w:rsidR="00850745" w:rsidRPr="004746EA">
        <w:rPr>
          <w:sz w:val="20"/>
          <w:szCs w:val="20"/>
        </w:rPr>
        <w:t xml:space="preserve"> </w:t>
      </w:r>
      <w:r w:rsidRPr="004746EA">
        <w:rPr>
          <w:i/>
          <w:sz w:val="20"/>
          <w:szCs w:val="20"/>
        </w:rPr>
        <w:t>Australian</w:t>
      </w:r>
      <w:r w:rsidR="00850745" w:rsidRPr="004746EA">
        <w:rPr>
          <w:i/>
          <w:sz w:val="20"/>
          <w:szCs w:val="20"/>
        </w:rPr>
        <w:t xml:space="preserve"> </w:t>
      </w:r>
      <w:r w:rsidRPr="004746EA">
        <w:rPr>
          <w:i/>
          <w:sz w:val="20"/>
          <w:szCs w:val="20"/>
        </w:rPr>
        <w:t>Dental</w:t>
      </w:r>
      <w:r w:rsidR="00850745" w:rsidRPr="004746EA">
        <w:rPr>
          <w:i/>
          <w:sz w:val="20"/>
          <w:szCs w:val="20"/>
        </w:rPr>
        <w:t xml:space="preserve"> </w:t>
      </w:r>
      <w:r w:rsidRPr="004746EA">
        <w:rPr>
          <w:i/>
          <w:sz w:val="20"/>
          <w:szCs w:val="20"/>
        </w:rPr>
        <w:t>Journal</w:t>
      </w:r>
      <w:r w:rsidRPr="004746EA">
        <w:rPr>
          <w:sz w:val="20"/>
          <w:szCs w:val="20"/>
        </w:rPr>
        <w:t>,</w:t>
      </w:r>
      <w:r w:rsidR="00850745" w:rsidRPr="004746EA">
        <w:rPr>
          <w:sz w:val="20"/>
          <w:szCs w:val="20"/>
        </w:rPr>
        <w:t xml:space="preserve"> </w:t>
      </w:r>
      <w:r w:rsidRPr="004746EA">
        <w:rPr>
          <w:sz w:val="20"/>
          <w:szCs w:val="20"/>
        </w:rPr>
        <w:t>58(1):89–93.</w:t>
      </w:r>
      <w:r w:rsidR="00850745" w:rsidRPr="004746EA">
        <w:rPr>
          <w:sz w:val="20"/>
          <w:szCs w:val="20"/>
        </w:rPr>
        <w:t xml:space="preserve"> </w:t>
      </w:r>
      <w:r w:rsidRPr="004746EA">
        <w:rPr>
          <w:sz w:val="20"/>
          <w:szCs w:val="20"/>
        </w:rPr>
        <w:t>https://doi.org/10.1111/adj.12029</w:t>
      </w:r>
      <w:r w:rsidR="004746EA">
        <w:rPr>
          <w:rFonts w:eastAsiaTheme="minorEastAsia" w:hint="eastAsia"/>
          <w:sz w:val="20"/>
          <w:szCs w:val="20"/>
          <w:lang w:eastAsia="zh-CN"/>
        </w:rPr>
        <w:t>.</w:t>
      </w:r>
    </w:p>
    <w:p w:rsidR="000B7D36" w:rsidRPr="004746EA" w:rsidRDefault="00311497" w:rsidP="00C84485">
      <w:pPr>
        <w:pStyle w:val="ListParagraph"/>
        <w:numPr>
          <w:ilvl w:val="0"/>
          <w:numId w:val="1"/>
        </w:numPr>
        <w:snapToGrid w:val="0"/>
        <w:ind w:left="425" w:right="0" w:hanging="425"/>
        <w:jc w:val="both"/>
        <w:rPr>
          <w:sz w:val="20"/>
          <w:szCs w:val="20"/>
        </w:rPr>
      </w:pPr>
      <w:r w:rsidRPr="004746EA">
        <w:rPr>
          <w:sz w:val="20"/>
          <w:szCs w:val="20"/>
        </w:rPr>
        <w:t>Al-Daghri,</w:t>
      </w:r>
      <w:r w:rsidR="00850745" w:rsidRPr="004746EA">
        <w:rPr>
          <w:sz w:val="20"/>
          <w:szCs w:val="20"/>
        </w:rPr>
        <w:t xml:space="preserve"> </w:t>
      </w:r>
      <w:r w:rsidRPr="004746EA">
        <w:rPr>
          <w:sz w:val="20"/>
          <w:szCs w:val="20"/>
        </w:rPr>
        <w:t>N.M.,</w:t>
      </w:r>
      <w:r w:rsidR="00850745" w:rsidRPr="004746EA">
        <w:rPr>
          <w:sz w:val="20"/>
          <w:szCs w:val="20"/>
        </w:rPr>
        <w:t xml:space="preserve"> </w:t>
      </w:r>
      <w:r w:rsidRPr="004746EA">
        <w:rPr>
          <w:sz w:val="20"/>
          <w:szCs w:val="20"/>
        </w:rPr>
        <w:t>Al-Attas,</w:t>
      </w:r>
      <w:r w:rsidR="00850745" w:rsidRPr="004746EA">
        <w:rPr>
          <w:sz w:val="20"/>
          <w:szCs w:val="20"/>
        </w:rPr>
        <w:t xml:space="preserve"> </w:t>
      </w:r>
      <w:r w:rsidRPr="004746EA">
        <w:rPr>
          <w:sz w:val="20"/>
          <w:szCs w:val="20"/>
        </w:rPr>
        <w:t>O.S.,</w:t>
      </w:r>
      <w:r w:rsidR="00850745" w:rsidRPr="004746EA">
        <w:rPr>
          <w:sz w:val="20"/>
          <w:szCs w:val="20"/>
        </w:rPr>
        <w:t xml:space="preserve"> </w:t>
      </w:r>
      <w:r w:rsidRPr="004746EA">
        <w:rPr>
          <w:sz w:val="20"/>
          <w:szCs w:val="20"/>
        </w:rPr>
        <w:t>Alokail,</w:t>
      </w:r>
      <w:r w:rsidR="00850745" w:rsidRPr="004746EA">
        <w:rPr>
          <w:sz w:val="20"/>
          <w:szCs w:val="20"/>
        </w:rPr>
        <w:t xml:space="preserve"> </w:t>
      </w:r>
      <w:r w:rsidRPr="004746EA">
        <w:rPr>
          <w:sz w:val="20"/>
          <w:szCs w:val="20"/>
        </w:rPr>
        <w:t>M.S.,</w:t>
      </w:r>
      <w:r w:rsidR="00850745" w:rsidRPr="004746EA">
        <w:rPr>
          <w:sz w:val="20"/>
          <w:szCs w:val="20"/>
        </w:rPr>
        <w:t xml:space="preserve"> </w:t>
      </w:r>
      <w:r w:rsidRPr="004746EA">
        <w:rPr>
          <w:sz w:val="20"/>
          <w:szCs w:val="20"/>
        </w:rPr>
        <w:t>Alkharfy,</w:t>
      </w:r>
      <w:r w:rsidR="00850745" w:rsidRPr="004746EA">
        <w:rPr>
          <w:sz w:val="20"/>
          <w:szCs w:val="20"/>
        </w:rPr>
        <w:t xml:space="preserve"> </w:t>
      </w:r>
      <w:r w:rsidRPr="004746EA">
        <w:rPr>
          <w:sz w:val="20"/>
          <w:szCs w:val="20"/>
        </w:rPr>
        <w:t>K.A.,</w:t>
      </w:r>
      <w:r w:rsidR="00850745" w:rsidRPr="004746EA">
        <w:rPr>
          <w:sz w:val="20"/>
          <w:szCs w:val="20"/>
        </w:rPr>
        <w:t xml:space="preserve"> </w:t>
      </w:r>
      <w:r w:rsidRPr="004746EA">
        <w:rPr>
          <w:sz w:val="20"/>
          <w:szCs w:val="20"/>
        </w:rPr>
        <w:t>Yousef,</w:t>
      </w:r>
      <w:r w:rsidR="00850745" w:rsidRPr="004746EA">
        <w:rPr>
          <w:sz w:val="20"/>
          <w:szCs w:val="20"/>
        </w:rPr>
        <w:t xml:space="preserve"> </w:t>
      </w:r>
      <w:r w:rsidRPr="004746EA">
        <w:rPr>
          <w:sz w:val="20"/>
          <w:szCs w:val="20"/>
        </w:rPr>
        <w:t>M.,</w:t>
      </w:r>
      <w:r w:rsidR="00850745" w:rsidRPr="004746EA">
        <w:rPr>
          <w:sz w:val="20"/>
          <w:szCs w:val="20"/>
        </w:rPr>
        <w:t xml:space="preserve"> </w:t>
      </w:r>
      <w:r w:rsidRPr="004746EA">
        <w:rPr>
          <w:sz w:val="20"/>
          <w:szCs w:val="20"/>
        </w:rPr>
        <w:t>Sabico,</w:t>
      </w:r>
      <w:r w:rsidR="00850745" w:rsidRPr="004746EA">
        <w:rPr>
          <w:sz w:val="20"/>
          <w:szCs w:val="20"/>
        </w:rPr>
        <w:t xml:space="preserve"> </w:t>
      </w:r>
      <w:r w:rsidRPr="004746EA">
        <w:rPr>
          <w:sz w:val="20"/>
          <w:szCs w:val="20"/>
        </w:rPr>
        <w:t>S.L.,</w:t>
      </w:r>
      <w:r w:rsidR="00850745" w:rsidRPr="004746EA">
        <w:rPr>
          <w:sz w:val="20"/>
          <w:szCs w:val="20"/>
        </w:rPr>
        <w:t xml:space="preserve"> </w:t>
      </w:r>
      <w:r w:rsidRPr="004746EA">
        <w:rPr>
          <w:sz w:val="20"/>
          <w:szCs w:val="20"/>
        </w:rPr>
        <w:t>Chrousos,</w:t>
      </w:r>
      <w:r w:rsidR="00850745" w:rsidRPr="004746EA">
        <w:rPr>
          <w:sz w:val="20"/>
          <w:szCs w:val="20"/>
        </w:rPr>
        <w:t xml:space="preserve"> </w:t>
      </w:r>
      <w:r w:rsidRPr="004746EA">
        <w:rPr>
          <w:sz w:val="20"/>
          <w:szCs w:val="20"/>
        </w:rPr>
        <w:t>G.</w:t>
      </w:r>
      <w:r w:rsidR="00850745" w:rsidRPr="004746EA">
        <w:rPr>
          <w:sz w:val="20"/>
          <w:szCs w:val="20"/>
        </w:rPr>
        <w:t xml:space="preserve"> </w:t>
      </w:r>
      <w:r w:rsidRPr="004746EA">
        <w:rPr>
          <w:sz w:val="20"/>
          <w:szCs w:val="20"/>
        </w:rPr>
        <w:t>P.</w:t>
      </w:r>
      <w:r w:rsidR="00850745" w:rsidRPr="004746EA">
        <w:rPr>
          <w:sz w:val="20"/>
          <w:szCs w:val="20"/>
        </w:rPr>
        <w:t xml:space="preserve"> </w:t>
      </w:r>
      <w:r w:rsidRPr="004746EA">
        <w:rPr>
          <w:sz w:val="20"/>
          <w:szCs w:val="20"/>
        </w:rPr>
        <w:t>(2011).</w:t>
      </w:r>
      <w:r w:rsidR="00850745" w:rsidRPr="004746EA">
        <w:rPr>
          <w:sz w:val="20"/>
          <w:szCs w:val="20"/>
        </w:rPr>
        <w:t xml:space="preserve"> </w:t>
      </w:r>
      <w:r w:rsidRPr="004746EA">
        <w:rPr>
          <w:sz w:val="20"/>
          <w:szCs w:val="20"/>
        </w:rPr>
        <w:t>Diabetes</w:t>
      </w:r>
      <w:r w:rsidR="00850745" w:rsidRPr="004746EA">
        <w:rPr>
          <w:sz w:val="20"/>
          <w:szCs w:val="20"/>
        </w:rPr>
        <w:t xml:space="preserve"> </w:t>
      </w:r>
      <w:r w:rsidRPr="004746EA">
        <w:rPr>
          <w:sz w:val="20"/>
          <w:szCs w:val="20"/>
        </w:rPr>
        <w:t>mellitus</w:t>
      </w:r>
      <w:r w:rsidR="00850745" w:rsidRPr="004746EA">
        <w:rPr>
          <w:sz w:val="20"/>
          <w:szCs w:val="20"/>
        </w:rPr>
        <w:t xml:space="preserve"> </w:t>
      </w:r>
      <w:r w:rsidRPr="004746EA">
        <w:rPr>
          <w:sz w:val="20"/>
          <w:szCs w:val="20"/>
        </w:rPr>
        <w:t>type</w:t>
      </w:r>
      <w:r w:rsidR="00850745" w:rsidRPr="004746EA">
        <w:rPr>
          <w:sz w:val="20"/>
          <w:szCs w:val="20"/>
        </w:rPr>
        <w:t xml:space="preserve"> </w:t>
      </w:r>
      <w:r w:rsidRPr="004746EA">
        <w:rPr>
          <w:sz w:val="20"/>
          <w:szCs w:val="20"/>
        </w:rPr>
        <w:t>2</w:t>
      </w:r>
      <w:r w:rsidR="00850745" w:rsidRPr="004746EA">
        <w:rPr>
          <w:sz w:val="20"/>
          <w:szCs w:val="20"/>
        </w:rPr>
        <w:t xml:space="preserve"> </w:t>
      </w:r>
      <w:r w:rsidRPr="004746EA">
        <w:rPr>
          <w:sz w:val="20"/>
          <w:szCs w:val="20"/>
        </w:rPr>
        <w:t>and</w:t>
      </w:r>
      <w:r w:rsidR="00850745" w:rsidRPr="004746EA">
        <w:rPr>
          <w:sz w:val="20"/>
          <w:szCs w:val="20"/>
        </w:rPr>
        <w:t xml:space="preserve"> </w:t>
      </w:r>
      <w:r w:rsidRPr="004746EA">
        <w:rPr>
          <w:sz w:val="20"/>
          <w:szCs w:val="20"/>
        </w:rPr>
        <w:t>other</w:t>
      </w:r>
      <w:r w:rsidR="00850745" w:rsidRPr="004746EA">
        <w:rPr>
          <w:sz w:val="20"/>
          <w:szCs w:val="20"/>
        </w:rPr>
        <w:t xml:space="preserve"> </w:t>
      </w:r>
      <w:r w:rsidRPr="004746EA">
        <w:rPr>
          <w:sz w:val="20"/>
          <w:szCs w:val="20"/>
        </w:rPr>
        <w:t>chronic</w:t>
      </w:r>
      <w:r w:rsidR="00850745" w:rsidRPr="004746EA">
        <w:rPr>
          <w:sz w:val="20"/>
          <w:szCs w:val="20"/>
        </w:rPr>
        <w:t xml:space="preserve"> </w:t>
      </w:r>
      <w:r w:rsidRPr="004746EA">
        <w:rPr>
          <w:sz w:val="20"/>
          <w:szCs w:val="20"/>
        </w:rPr>
        <w:t>non-</w:t>
      </w:r>
      <w:r w:rsidR="00850745" w:rsidRPr="004746EA">
        <w:rPr>
          <w:sz w:val="20"/>
          <w:szCs w:val="20"/>
        </w:rPr>
        <w:t xml:space="preserve"> </w:t>
      </w:r>
      <w:r w:rsidRPr="004746EA">
        <w:rPr>
          <w:sz w:val="20"/>
          <w:szCs w:val="20"/>
        </w:rPr>
        <w:t>communicable</w:t>
      </w:r>
      <w:r w:rsidR="00850745" w:rsidRPr="004746EA">
        <w:rPr>
          <w:sz w:val="20"/>
          <w:szCs w:val="20"/>
        </w:rPr>
        <w:t xml:space="preserve"> </w:t>
      </w:r>
      <w:r w:rsidRPr="004746EA">
        <w:rPr>
          <w:sz w:val="20"/>
          <w:szCs w:val="20"/>
        </w:rPr>
        <w:t>diseases</w:t>
      </w:r>
      <w:r w:rsidR="00850745" w:rsidRPr="004746EA">
        <w:rPr>
          <w:sz w:val="20"/>
          <w:szCs w:val="20"/>
        </w:rPr>
        <w:t xml:space="preserve"> </w:t>
      </w:r>
      <w:r w:rsidRPr="004746EA">
        <w:rPr>
          <w:sz w:val="20"/>
          <w:szCs w:val="20"/>
        </w:rPr>
        <w:t>in</w:t>
      </w:r>
      <w:r w:rsidR="00850745" w:rsidRPr="004746EA">
        <w:rPr>
          <w:sz w:val="20"/>
          <w:szCs w:val="20"/>
        </w:rPr>
        <w:t xml:space="preserve"> </w:t>
      </w:r>
      <w:r w:rsidRPr="004746EA">
        <w:rPr>
          <w:sz w:val="20"/>
          <w:szCs w:val="20"/>
        </w:rPr>
        <w:t>the</w:t>
      </w:r>
      <w:r w:rsidR="00850745" w:rsidRPr="004746EA">
        <w:rPr>
          <w:sz w:val="20"/>
          <w:szCs w:val="20"/>
        </w:rPr>
        <w:t xml:space="preserve"> </w:t>
      </w:r>
      <w:r w:rsidRPr="004746EA">
        <w:rPr>
          <w:sz w:val="20"/>
          <w:szCs w:val="20"/>
        </w:rPr>
        <w:t>central</w:t>
      </w:r>
      <w:r w:rsidR="00850745" w:rsidRPr="004746EA">
        <w:rPr>
          <w:sz w:val="20"/>
          <w:szCs w:val="20"/>
        </w:rPr>
        <w:t xml:space="preserve"> </w:t>
      </w:r>
      <w:r w:rsidRPr="004746EA">
        <w:rPr>
          <w:sz w:val="20"/>
          <w:szCs w:val="20"/>
        </w:rPr>
        <w:t>region,</w:t>
      </w:r>
      <w:r w:rsidR="00850745" w:rsidRPr="004746EA">
        <w:rPr>
          <w:sz w:val="20"/>
          <w:szCs w:val="20"/>
        </w:rPr>
        <w:t xml:space="preserve"> </w:t>
      </w:r>
      <w:r w:rsidRPr="004746EA">
        <w:rPr>
          <w:sz w:val="20"/>
          <w:szCs w:val="20"/>
        </w:rPr>
        <w:t>Saudi</w:t>
      </w:r>
      <w:r w:rsidR="00850745" w:rsidRPr="004746EA">
        <w:rPr>
          <w:sz w:val="20"/>
          <w:szCs w:val="20"/>
        </w:rPr>
        <w:t xml:space="preserve"> </w:t>
      </w:r>
      <w:r w:rsidRPr="004746EA">
        <w:rPr>
          <w:sz w:val="20"/>
          <w:szCs w:val="20"/>
        </w:rPr>
        <w:t>Arabia</w:t>
      </w:r>
      <w:r w:rsidR="00850745" w:rsidRPr="004746EA">
        <w:rPr>
          <w:sz w:val="20"/>
          <w:szCs w:val="20"/>
        </w:rPr>
        <w:t xml:space="preserve"> </w:t>
      </w:r>
      <w:r w:rsidRPr="004746EA">
        <w:rPr>
          <w:sz w:val="20"/>
          <w:szCs w:val="20"/>
        </w:rPr>
        <w:t>(riyadh</w:t>
      </w:r>
      <w:r w:rsidR="00850745" w:rsidRPr="004746EA">
        <w:rPr>
          <w:sz w:val="20"/>
          <w:szCs w:val="20"/>
        </w:rPr>
        <w:t xml:space="preserve"> </w:t>
      </w:r>
      <w:r w:rsidRPr="004746EA">
        <w:rPr>
          <w:sz w:val="20"/>
          <w:szCs w:val="20"/>
        </w:rPr>
        <w:t>cohort</w:t>
      </w:r>
      <w:r w:rsidR="00850745" w:rsidRPr="004746EA">
        <w:rPr>
          <w:sz w:val="20"/>
          <w:szCs w:val="20"/>
        </w:rPr>
        <w:t xml:space="preserve"> </w:t>
      </w:r>
      <w:r w:rsidRPr="004746EA">
        <w:rPr>
          <w:sz w:val="20"/>
          <w:szCs w:val="20"/>
        </w:rPr>
        <w:t>2):</w:t>
      </w:r>
      <w:r w:rsidR="00850745" w:rsidRPr="004746EA">
        <w:rPr>
          <w:sz w:val="20"/>
          <w:szCs w:val="20"/>
        </w:rPr>
        <w:t xml:space="preserve"> </w:t>
      </w:r>
      <w:r w:rsidRPr="004746EA">
        <w:rPr>
          <w:sz w:val="20"/>
          <w:szCs w:val="20"/>
        </w:rPr>
        <w:t>adecade</w:t>
      </w:r>
      <w:r w:rsidR="00850745" w:rsidRPr="004746EA">
        <w:rPr>
          <w:sz w:val="20"/>
          <w:szCs w:val="20"/>
        </w:rPr>
        <w:t xml:space="preserve"> </w:t>
      </w:r>
      <w:r w:rsidRPr="004746EA">
        <w:rPr>
          <w:sz w:val="20"/>
          <w:szCs w:val="20"/>
        </w:rPr>
        <w:t>of</w:t>
      </w:r>
      <w:r w:rsidR="00850745" w:rsidRPr="004746EA">
        <w:rPr>
          <w:sz w:val="20"/>
          <w:szCs w:val="20"/>
        </w:rPr>
        <w:t xml:space="preserve"> </w:t>
      </w:r>
      <w:r w:rsidRPr="004746EA">
        <w:rPr>
          <w:sz w:val="20"/>
          <w:szCs w:val="20"/>
        </w:rPr>
        <w:t>an</w:t>
      </w:r>
      <w:r w:rsidR="00850745" w:rsidRPr="004746EA">
        <w:rPr>
          <w:sz w:val="20"/>
          <w:szCs w:val="20"/>
        </w:rPr>
        <w:t xml:space="preserve"> </w:t>
      </w:r>
      <w:r w:rsidRPr="004746EA">
        <w:rPr>
          <w:sz w:val="20"/>
          <w:szCs w:val="20"/>
        </w:rPr>
        <w:t>epidemic.</w:t>
      </w:r>
      <w:r w:rsidR="00850745" w:rsidRPr="004746EA">
        <w:rPr>
          <w:sz w:val="20"/>
          <w:szCs w:val="20"/>
        </w:rPr>
        <w:t xml:space="preserve"> </w:t>
      </w:r>
      <w:r w:rsidRPr="004746EA">
        <w:rPr>
          <w:i/>
          <w:sz w:val="20"/>
          <w:szCs w:val="20"/>
        </w:rPr>
        <w:t>BMC</w:t>
      </w:r>
      <w:r w:rsidR="00850745" w:rsidRPr="004746EA">
        <w:rPr>
          <w:i/>
          <w:sz w:val="20"/>
          <w:szCs w:val="20"/>
        </w:rPr>
        <w:t xml:space="preserve"> </w:t>
      </w:r>
      <w:r w:rsidRPr="004746EA">
        <w:rPr>
          <w:i/>
          <w:sz w:val="20"/>
          <w:szCs w:val="20"/>
        </w:rPr>
        <w:t>Medicine</w:t>
      </w:r>
      <w:r w:rsidRPr="004746EA">
        <w:rPr>
          <w:sz w:val="20"/>
          <w:szCs w:val="20"/>
        </w:rPr>
        <w:t>,</w:t>
      </w:r>
      <w:r w:rsidR="00850745" w:rsidRPr="004746EA">
        <w:rPr>
          <w:sz w:val="20"/>
          <w:szCs w:val="20"/>
        </w:rPr>
        <w:t xml:space="preserve"> </w:t>
      </w:r>
      <w:r w:rsidRPr="004746EA">
        <w:rPr>
          <w:sz w:val="20"/>
          <w:szCs w:val="20"/>
        </w:rPr>
        <w:t>9:76.</w:t>
      </w:r>
      <w:r w:rsidR="004746EA">
        <w:rPr>
          <w:rFonts w:eastAsiaTheme="minorEastAsia" w:hint="eastAsia"/>
          <w:sz w:val="20"/>
          <w:szCs w:val="20"/>
          <w:lang w:eastAsia="zh-CN"/>
        </w:rPr>
        <w:t xml:space="preserve"> </w:t>
      </w:r>
      <w:r w:rsidRPr="004746EA">
        <w:rPr>
          <w:sz w:val="20"/>
          <w:szCs w:val="20"/>
        </w:rPr>
        <w:t>https://doi.org/10.1186/1741-7015-9-76</w:t>
      </w:r>
      <w:r w:rsidR="004746EA">
        <w:rPr>
          <w:rFonts w:eastAsiaTheme="minorEastAsia" w:hint="eastAsia"/>
          <w:sz w:val="20"/>
          <w:szCs w:val="20"/>
          <w:lang w:eastAsia="zh-CN"/>
        </w:rPr>
        <w:t>.</w:t>
      </w:r>
    </w:p>
    <w:p w:rsidR="000B7D36" w:rsidRPr="004746EA" w:rsidRDefault="00311497" w:rsidP="00C84485">
      <w:pPr>
        <w:pStyle w:val="ListParagraph"/>
        <w:numPr>
          <w:ilvl w:val="0"/>
          <w:numId w:val="1"/>
        </w:numPr>
        <w:snapToGrid w:val="0"/>
        <w:ind w:left="425" w:right="0" w:hanging="425"/>
        <w:jc w:val="both"/>
        <w:rPr>
          <w:sz w:val="20"/>
          <w:szCs w:val="20"/>
        </w:rPr>
      </w:pPr>
      <w:r w:rsidRPr="004746EA">
        <w:rPr>
          <w:sz w:val="20"/>
          <w:szCs w:val="20"/>
        </w:rPr>
        <w:t>Almutairi,</w:t>
      </w:r>
      <w:r w:rsidR="00850745" w:rsidRPr="004746EA">
        <w:rPr>
          <w:sz w:val="20"/>
          <w:szCs w:val="20"/>
        </w:rPr>
        <w:t xml:space="preserve"> </w:t>
      </w:r>
      <w:r w:rsidRPr="004746EA">
        <w:rPr>
          <w:sz w:val="20"/>
          <w:szCs w:val="20"/>
        </w:rPr>
        <w:t>K.M</w:t>
      </w:r>
      <w:r w:rsidR="00850745" w:rsidRPr="004746EA">
        <w:rPr>
          <w:sz w:val="20"/>
          <w:szCs w:val="20"/>
        </w:rPr>
        <w:t>. (</w:t>
      </w:r>
      <w:r w:rsidRPr="004746EA">
        <w:rPr>
          <w:sz w:val="20"/>
          <w:szCs w:val="20"/>
        </w:rPr>
        <w:t>2015).</w:t>
      </w:r>
      <w:r w:rsidR="00850745" w:rsidRPr="004746EA">
        <w:rPr>
          <w:sz w:val="20"/>
          <w:szCs w:val="20"/>
        </w:rPr>
        <w:t xml:space="preserve"> </w:t>
      </w:r>
      <w:r w:rsidRPr="004746EA">
        <w:rPr>
          <w:sz w:val="20"/>
          <w:szCs w:val="20"/>
        </w:rPr>
        <w:t>Trends</w:t>
      </w:r>
      <w:r w:rsidR="00850745" w:rsidRPr="004746EA">
        <w:rPr>
          <w:sz w:val="20"/>
          <w:szCs w:val="20"/>
        </w:rPr>
        <w:t xml:space="preserve"> </w:t>
      </w:r>
      <w:r w:rsidRPr="004746EA">
        <w:rPr>
          <w:sz w:val="20"/>
          <w:szCs w:val="20"/>
        </w:rPr>
        <w:t>in</w:t>
      </w:r>
      <w:r w:rsidR="00850745" w:rsidRPr="004746EA">
        <w:rPr>
          <w:sz w:val="20"/>
          <w:szCs w:val="20"/>
        </w:rPr>
        <w:t xml:space="preserve"> </w:t>
      </w:r>
      <w:r w:rsidRPr="004746EA">
        <w:rPr>
          <w:sz w:val="20"/>
          <w:szCs w:val="20"/>
        </w:rPr>
        <w:t>Current</w:t>
      </w:r>
      <w:r w:rsidR="00850745" w:rsidRPr="004746EA">
        <w:rPr>
          <w:sz w:val="20"/>
          <w:szCs w:val="20"/>
        </w:rPr>
        <w:t xml:space="preserve"> </w:t>
      </w:r>
      <w:r w:rsidRPr="004746EA">
        <w:rPr>
          <w:sz w:val="20"/>
          <w:szCs w:val="20"/>
        </w:rPr>
        <w:t>Tobacco</w:t>
      </w:r>
      <w:r w:rsidR="00850745" w:rsidRPr="004746EA">
        <w:rPr>
          <w:sz w:val="20"/>
          <w:szCs w:val="20"/>
        </w:rPr>
        <w:t xml:space="preserve"> </w:t>
      </w:r>
      <w:r w:rsidRPr="004746EA">
        <w:rPr>
          <w:sz w:val="20"/>
          <w:szCs w:val="20"/>
        </w:rPr>
        <w:t>Use,</w:t>
      </w:r>
      <w:r w:rsidR="00850745" w:rsidRPr="004746EA">
        <w:rPr>
          <w:sz w:val="20"/>
          <w:szCs w:val="20"/>
        </w:rPr>
        <w:t xml:space="preserve"> </w:t>
      </w:r>
      <w:r w:rsidRPr="004746EA">
        <w:rPr>
          <w:sz w:val="20"/>
          <w:szCs w:val="20"/>
        </w:rPr>
        <w:t>Smoking</w:t>
      </w:r>
      <w:r w:rsidR="00850745" w:rsidRPr="004746EA">
        <w:rPr>
          <w:sz w:val="20"/>
          <w:szCs w:val="20"/>
        </w:rPr>
        <w:t xml:space="preserve"> </w:t>
      </w:r>
      <w:r w:rsidRPr="004746EA">
        <w:rPr>
          <w:sz w:val="20"/>
          <w:szCs w:val="20"/>
        </w:rPr>
        <w:t>Rates</w:t>
      </w:r>
      <w:r w:rsidR="00850745" w:rsidRPr="004746EA">
        <w:rPr>
          <w:sz w:val="20"/>
          <w:szCs w:val="20"/>
        </w:rPr>
        <w:t xml:space="preserve"> </w:t>
      </w:r>
      <w:r w:rsidRPr="004746EA">
        <w:rPr>
          <w:sz w:val="20"/>
          <w:szCs w:val="20"/>
        </w:rPr>
        <w:t>and</w:t>
      </w:r>
      <w:r w:rsidR="00850745" w:rsidRPr="004746EA">
        <w:rPr>
          <w:sz w:val="20"/>
          <w:szCs w:val="20"/>
        </w:rPr>
        <w:t xml:space="preserve"> </w:t>
      </w:r>
      <w:r w:rsidRPr="004746EA">
        <w:rPr>
          <w:sz w:val="20"/>
          <w:szCs w:val="20"/>
        </w:rPr>
        <w:t>Quit</w:t>
      </w:r>
      <w:r w:rsidR="00850745" w:rsidRPr="004746EA">
        <w:rPr>
          <w:sz w:val="20"/>
          <w:szCs w:val="20"/>
        </w:rPr>
        <w:t xml:space="preserve"> </w:t>
      </w:r>
      <w:r w:rsidRPr="004746EA">
        <w:rPr>
          <w:sz w:val="20"/>
          <w:szCs w:val="20"/>
        </w:rPr>
        <w:t>Attempts</w:t>
      </w:r>
      <w:r w:rsidR="00850745" w:rsidRPr="004746EA">
        <w:rPr>
          <w:sz w:val="20"/>
          <w:szCs w:val="20"/>
        </w:rPr>
        <w:t xml:space="preserve"> </w:t>
      </w:r>
      <w:r w:rsidRPr="004746EA">
        <w:rPr>
          <w:sz w:val="20"/>
          <w:szCs w:val="20"/>
        </w:rPr>
        <w:t>among</w:t>
      </w:r>
      <w:r w:rsidR="00850745" w:rsidRPr="004746EA">
        <w:rPr>
          <w:sz w:val="20"/>
          <w:szCs w:val="20"/>
        </w:rPr>
        <w:t xml:space="preserve"> </w:t>
      </w:r>
      <w:r w:rsidRPr="004746EA">
        <w:rPr>
          <w:sz w:val="20"/>
          <w:szCs w:val="20"/>
        </w:rPr>
        <w:t>Saudi</w:t>
      </w:r>
      <w:r w:rsidR="00850745" w:rsidRPr="004746EA">
        <w:rPr>
          <w:sz w:val="20"/>
          <w:szCs w:val="20"/>
        </w:rPr>
        <w:t xml:space="preserve"> </w:t>
      </w:r>
      <w:r w:rsidRPr="004746EA">
        <w:rPr>
          <w:sz w:val="20"/>
          <w:szCs w:val="20"/>
        </w:rPr>
        <w:t>Population</w:t>
      </w:r>
      <w:r w:rsidR="00850745" w:rsidRPr="004746EA">
        <w:rPr>
          <w:sz w:val="20"/>
          <w:szCs w:val="20"/>
        </w:rPr>
        <w:t xml:space="preserve"> </w:t>
      </w:r>
      <w:r w:rsidRPr="004746EA">
        <w:rPr>
          <w:sz w:val="20"/>
          <w:szCs w:val="20"/>
        </w:rPr>
        <w:t>during</w:t>
      </w:r>
      <w:r w:rsidR="00850745" w:rsidRPr="004746EA">
        <w:rPr>
          <w:sz w:val="20"/>
          <w:szCs w:val="20"/>
        </w:rPr>
        <w:t xml:space="preserve"> </w:t>
      </w:r>
      <w:r w:rsidRPr="004746EA">
        <w:rPr>
          <w:sz w:val="20"/>
          <w:szCs w:val="20"/>
        </w:rPr>
        <w:t>Periods</w:t>
      </w:r>
      <w:r w:rsidR="00850745" w:rsidRPr="004746EA">
        <w:rPr>
          <w:sz w:val="20"/>
          <w:szCs w:val="20"/>
        </w:rPr>
        <w:t xml:space="preserve"> </w:t>
      </w:r>
      <w:r w:rsidRPr="004746EA">
        <w:rPr>
          <w:sz w:val="20"/>
          <w:szCs w:val="20"/>
        </w:rPr>
        <w:t>of</w:t>
      </w:r>
      <w:r w:rsidR="00850745" w:rsidRPr="004746EA">
        <w:rPr>
          <w:sz w:val="20"/>
          <w:szCs w:val="20"/>
        </w:rPr>
        <w:t xml:space="preserve"> </w:t>
      </w:r>
      <w:r w:rsidRPr="004746EA">
        <w:rPr>
          <w:sz w:val="20"/>
          <w:szCs w:val="20"/>
        </w:rPr>
        <w:t>17</w:t>
      </w:r>
      <w:r w:rsidR="00850745" w:rsidRPr="004746EA">
        <w:rPr>
          <w:sz w:val="20"/>
          <w:szCs w:val="20"/>
        </w:rPr>
        <w:t xml:space="preserve"> </w:t>
      </w:r>
      <w:r w:rsidRPr="004746EA">
        <w:rPr>
          <w:sz w:val="20"/>
          <w:szCs w:val="20"/>
        </w:rPr>
        <w:t>Years</w:t>
      </w:r>
      <w:r w:rsidR="00850745" w:rsidRPr="004746EA">
        <w:rPr>
          <w:sz w:val="20"/>
          <w:szCs w:val="20"/>
        </w:rPr>
        <w:t xml:space="preserve"> </w:t>
      </w:r>
      <w:r w:rsidRPr="004746EA">
        <w:rPr>
          <w:sz w:val="20"/>
          <w:szCs w:val="20"/>
        </w:rPr>
        <w:t>(1996–2012):</w:t>
      </w:r>
      <w:r w:rsidR="00850745" w:rsidRPr="004746EA">
        <w:rPr>
          <w:sz w:val="20"/>
          <w:szCs w:val="20"/>
        </w:rPr>
        <w:t xml:space="preserve"> </w:t>
      </w:r>
      <w:r w:rsidRPr="004746EA">
        <w:rPr>
          <w:sz w:val="20"/>
          <w:szCs w:val="20"/>
        </w:rPr>
        <w:t>Narrative</w:t>
      </w:r>
      <w:r w:rsidR="00850745" w:rsidRPr="004746EA">
        <w:rPr>
          <w:sz w:val="20"/>
          <w:szCs w:val="20"/>
        </w:rPr>
        <w:t xml:space="preserve"> </w:t>
      </w:r>
      <w:r w:rsidRPr="004746EA">
        <w:rPr>
          <w:sz w:val="20"/>
          <w:szCs w:val="20"/>
        </w:rPr>
        <w:t>Review</w:t>
      </w:r>
      <w:r w:rsidR="00850745" w:rsidRPr="004746EA">
        <w:rPr>
          <w:sz w:val="20"/>
          <w:szCs w:val="20"/>
        </w:rPr>
        <w:t xml:space="preserve"> </w:t>
      </w:r>
      <w:r w:rsidRPr="004746EA">
        <w:rPr>
          <w:sz w:val="20"/>
          <w:szCs w:val="20"/>
        </w:rPr>
        <w:t>Article.</w:t>
      </w:r>
      <w:r w:rsidR="00850745" w:rsidRPr="004746EA">
        <w:rPr>
          <w:sz w:val="20"/>
          <w:szCs w:val="20"/>
        </w:rPr>
        <w:t xml:space="preserve"> </w:t>
      </w:r>
      <w:r w:rsidRPr="004746EA">
        <w:rPr>
          <w:i/>
          <w:sz w:val="20"/>
          <w:szCs w:val="20"/>
        </w:rPr>
        <w:t>Iranian</w:t>
      </w:r>
      <w:r w:rsidR="00850745" w:rsidRPr="004746EA">
        <w:rPr>
          <w:i/>
          <w:sz w:val="20"/>
          <w:szCs w:val="20"/>
        </w:rPr>
        <w:t xml:space="preserve"> </w:t>
      </w:r>
      <w:r w:rsidRPr="004746EA">
        <w:rPr>
          <w:i/>
          <w:sz w:val="20"/>
          <w:szCs w:val="20"/>
        </w:rPr>
        <w:t>Journal</w:t>
      </w:r>
      <w:r w:rsidR="00850745" w:rsidRPr="004746EA">
        <w:rPr>
          <w:i/>
          <w:sz w:val="20"/>
          <w:szCs w:val="20"/>
        </w:rPr>
        <w:t xml:space="preserve"> </w:t>
      </w:r>
      <w:r w:rsidRPr="004746EA">
        <w:rPr>
          <w:i/>
          <w:sz w:val="20"/>
          <w:szCs w:val="20"/>
        </w:rPr>
        <w:t>of</w:t>
      </w:r>
      <w:r w:rsidR="00850745" w:rsidRPr="004746EA">
        <w:rPr>
          <w:i/>
          <w:sz w:val="20"/>
          <w:szCs w:val="20"/>
        </w:rPr>
        <w:t xml:space="preserve"> </w:t>
      </w:r>
      <w:r w:rsidRPr="004746EA">
        <w:rPr>
          <w:i/>
          <w:sz w:val="20"/>
          <w:szCs w:val="20"/>
        </w:rPr>
        <w:t>Public</w:t>
      </w:r>
      <w:r w:rsidR="00850745" w:rsidRPr="004746EA">
        <w:rPr>
          <w:i/>
          <w:sz w:val="20"/>
          <w:szCs w:val="20"/>
        </w:rPr>
        <w:t xml:space="preserve"> </w:t>
      </w:r>
      <w:r w:rsidRPr="004746EA">
        <w:rPr>
          <w:i/>
          <w:sz w:val="20"/>
          <w:szCs w:val="20"/>
        </w:rPr>
        <w:t>Health</w:t>
      </w:r>
      <w:r w:rsidRPr="004746EA">
        <w:rPr>
          <w:sz w:val="20"/>
          <w:szCs w:val="20"/>
        </w:rPr>
        <w:t>,</w:t>
      </w:r>
      <w:r w:rsidR="00850745" w:rsidRPr="004746EA">
        <w:rPr>
          <w:sz w:val="20"/>
          <w:szCs w:val="20"/>
        </w:rPr>
        <w:t xml:space="preserve"> </w:t>
      </w:r>
      <w:r w:rsidRPr="004746EA">
        <w:rPr>
          <w:sz w:val="20"/>
          <w:szCs w:val="20"/>
        </w:rPr>
        <w:t>44(2):170–175.</w:t>
      </w:r>
      <w:r w:rsidR="00850745" w:rsidRPr="004746EA">
        <w:rPr>
          <w:sz w:val="20"/>
          <w:szCs w:val="20"/>
        </w:rPr>
        <w:t xml:space="preserve"> </w:t>
      </w:r>
      <w:r w:rsidRPr="004746EA">
        <w:rPr>
          <w:sz w:val="20"/>
          <w:szCs w:val="20"/>
        </w:rPr>
        <w:t>(PMID:25905050</w:t>
      </w:r>
      <w:r w:rsidR="00850745" w:rsidRPr="004746EA">
        <w:rPr>
          <w:sz w:val="20"/>
          <w:szCs w:val="20"/>
        </w:rPr>
        <w:t xml:space="preserve"> </w:t>
      </w:r>
      <w:r w:rsidRPr="004746EA">
        <w:rPr>
          <w:sz w:val="20"/>
          <w:szCs w:val="20"/>
        </w:rPr>
        <w:t>PMCID:PMC4401874)</w:t>
      </w:r>
      <w:r w:rsidR="004746EA">
        <w:rPr>
          <w:rFonts w:eastAsiaTheme="minorEastAsia" w:hint="eastAsia"/>
          <w:sz w:val="20"/>
          <w:szCs w:val="20"/>
          <w:lang w:eastAsia="zh-CN"/>
        </w:rPr>
        <w:t>.</w:t>
      </w:r>
    </w:p>
    <w:p w:rsidR="000B7D36" w:rsidRPr="004746EA" w:rsidRDefault="00311497" w:rsidP="00C84485">
      <w:pPr>
        <w:pStyle w:val="ListParagraph"/>
        <w:numPr>
          <w:ilvl w:val="0"/>
          <w:numId w:val="1"/>
        </w:numPr>
        <w:snapToGrid w:val="0"/>
        <w:ind w:left="425" w:right="0" w:hanging="425"/>
        <w:jc w:val="both"/>
        <w:rPr>
          <w:sz w:val="20"/>
          <w:szCs w:val="20"/>
        </w:rPr>
      </w:pPr>
      <w:r w:rsidRPr="004746EA">
        <w:rPr>
          <w:sz w:val="20"/>
          <w:szCs w:val="20"/>
        </w:rPr>
        <w:lastRenderedPageBreak/>
        <w:t>Noroozi,</w:t>
      </w:r>
      <w:r w:rsidR="00850745" w:rsidRPr="004746EA">
        <w:rPr>
          <w:sz w:val="20"/>
          <w:szCs w:val="20"/>
        </w:rPr>
        <w:t xml:space="preserve"> </w:t>
      </w:r>
      <w:r w:rsidRPr="004746EA">
        <w:rPr>
          <w:sz w:val="20"/>
          <w:szCs w:val="20"/>
        </w:rPr>
        <w:t>A.R.,</w:t>
      </w:r>
      <w:r w:rsidR="00850745" w:rsidRPr="004746EA">
        <w:rPr>
          <w:sz w:val="20"/>
          <w:szCs w:val="20"/>
        </w:rPr>
        <w:t xml:space="preserve"> </w:t>
      </w:r>
      <w:r w:rsidRPr="004746EA">
        <w:rPr>
          <w:sz w:val="20"/>
          <w:szCs w:val="20"/>
        </w:rPr>
        <w:t>Philbert,</w:t>
      </w:r>
      <w:r w:rsidR="00850745" w:rsidRPr="004746EA">
        <w:rPr>
          <w:sz w:val="20"/>
          <w:szCs w:val="20"/>
        </w:rPr>
        <w:t xml:space="preserve"> </w:t>
      </w:r>
      <w:r w:rsidRPr="004746EA">
        <w:rPr>
          <w:sz w:val="20"/>
          <w:szCs w:val="20"/>
        </w:rPr>
        <w:t>R.F.</w:t>
      </w:r>
      <w:r w:rsidR="00850745" w:rsidRPr="004746EA">
        <w:rPr>
          <w:sz w:val="20"/>
          <w:szCs w:val="20"/>
        </w:rPr>
        <w:t xml:space="preserve"> </w:t>
      </w:r>
      <w:r w:rsidRPr="004746EA">
        <w:rPr>
          <w:sz w:val="20"/>
          <w:szCs w:val="20"/>
        </w:rPr>
        <w:t>(2009).</w:t>
      </w:r>
      <w:r w:rsidR="00850745" w:rsidRPr="004746EA">
        <w:rPr>
          <w:sz w:val="20"/>
          <w:szCs w:val="20"/>
        </w:rPr>
        <w:t xml:space="preserve"> </w:t>
      </w:r>
      <w:r w:rsidRPr="004746EA">
        <w:rPr>
          <w:sz w:val="20"/>
          <w:szCs w:val="20"/>
        </w:rPr>
        <w:t>Modern</w:t>
      </w:r>
      <w:r w:rsidR="00850745" w:rsidRPr="004746EA">
        <w:rPr>
          <w:sz w:val="20"/>
          <w:szCs w:val="20"/>
        </w:rPr>
        <w:t xml:space="preserve"> </w:t>
      </w:r>
      <w:r w:rsidRPr="004746EA">
        <w:rPr>
          <w:sz w:val="20"/>
          <w:szCs w:val="20"/>
        </w:rPr>
        <w:t>concepts</w:t>
      </w:r>
      <w:r w:rsidR="00850745" w:rsidRPr="004746EA">
        <w:rPr>
          <w:sz w:val="20"/>
          <w:szCs w:val="20"/>
        </w:rPr>
        <w:t xml:space="preserve"> </w:t>
      </w:r>
      <w:r w:rsidRPr="004746EA">
        <w:rPr>
          <w:sz w:val="20"/>
          <w:szCs w:val="20"/>
        </w:rPr>
        <w:t>in</w:t>
      </w:r>
      <w:r w:rsidR="00850745" w:rsidRPr="004746EA">
        <w:rPr>
          <w:sz w:val="20"/>
          <w:szCs w:val="20"/>
        </w:rPr>
        <w:t xml:space="preserve"> </w:t>
      </w:r>
      <w:r w:rsidRPr="004746EA">
        <w:rPr>
          <w:sz w:val="20"/>
          <w:szCs w:val="20"/>
        </w:rPr>
        <w:t>understanding</w:t>
      </w:r>
      <w:r w:rsidR="00850745" w:rsidRPr="004746EA">
        <w:rPr>
          <w:sz w:val="20"/>
          <w:szCs w:val="20"/>
        </w:rPr>
        <w:t xml:space="preserve"> </w:t>
      </w:r>
      <w:r w:rsidRPr="004746EA">
        <w:rPr>
          <w:sz w:val="20"/>
          <w:szCs w:val="20"/>
        </w:rPr>
        <w:t>and</w:t>
      </w:r>
      <w:r w:rsidR="00850745" w:rsidRPr="004746EA">
        <w:rPr>
          <w:sz w:val="20"/>
          <w:szCs w:val="20"/>
        </w:rPr>
        <w:t xml:space="preserve"> </w:t>
      </w:r>
      <w:r w:rsidRPr="004746EA">
        <w:rPr>
          <w:sz w:val="20"/>
          <w:szCs w:val="20"/>
        </w:rPr>
        <w:t>management</w:t>
      </w:r>
      <w:r w:rsidR="00850745" w:rsidRPr="004746EA">
        <w:rPr>
          <w:sz w:val="20"/>
          <w:szCs w:val="20"/>
        </w:rPr>
        <w:t xml:space="preserve"> </w:t>
      </w:r>
      <w:r w:rsidRPr="004746EA">
        <w:rPr>
          <w:sz w:val="20"/>
          <w:szCs w:val="20"/>
        </w:rPr>
        <w:t>of</w:t>
      </w:r>
      <w:r w:rsidR="00850745" w:rsidRPr="004746EA">
        <w:rPr>
          <w:sz w:val="20"/>
          <w:szCs w:val="20"/>
        </w:rPr>
        <w:t xml:space="preserve"> </w:t>
      </w:r>
      <w:r w:rsidRPr="004746EA">
        <w:rPr>
          <w:sz w:val="20"/>
          <w:szCs w:val="20"/>
        </w:rPr>
        <w:t>the</w:t>
      </w:r>
      <w:r w:rsidR="00850745" w:rsidRPr="004746EA">
        <w:rPr>
          <w:sz w:val="20"/>
          <w:szCs w:val="20"/>
        </w:rPr>
        <w:t xml:space="preserve"> </w:t>
      </w:r>
      <w:r w:rsidRPr="004746EA">
        <w:rPr>
          <w:sz w:val="20"/>
          <w:szCs w:val="20"/>
        </w:rPr>
        <w:t>“dry</w:t>
      </w:r>
      <w:r w:rsidR="00850745" w:rsidRPr="004746EA">
        <w:rPr>
          <w:sz w:val="20"/>
          <w:szCs w:val="20"/>
        </w:rPr>
        <w:t xml:space="preserve"> </w:t>
      </w:r>
      <w:r w:rsidRPr="004746EA">
        <w:rPr>
          <w:sz w:val="20"/>
          <w:szCs w:val="20"/>
        </w:rPr>
        <w:t>socket”</w:t>
      </w:r>
      <w:r w:rsidR="00850745" w:rsidRPr="004746EA">
        <w:rPr>
          <w:sz w:val="20"/>
          <w:szCs w:val="20"/>
        </w:rPr>
        <w:t xml:space="preserve"> </w:t>
      </w:r>
      <w:r w:rsidRPr="004746EA">
        <w:rPr>
          <w:sz w:val="20"/>
          <w:szCs w:val="20"/>
        </w:rPr>
        <w:t>syndrome:</w:t>
      </w:r>
      <w:r w:rsidR="00850745" w:rsidRPr="004746EA">
        <w:rPr>
          <w:sz w:val="20"/>
          <w:szCs w:val="20"/>
        </w:rPr>
        <w:t xml:space="preserve"> </w:t>
      </w:r>
      <w:r w:rsidRPr="004746EA">
        <w:rPr>
          <w:sz w:val="20"/>
          <w:szCs w:val="20"/>
        </w:rPr>
        <w:t>comprehensive</w:t>
      </w:r>
      <w:r w:rsidR="00850745" w:rsidRPr="004746EA">
        <w:rPr>
          <w:sz w:val="20"/>
          <w:szCs w:val="20"/>
        </w:rPr>
        <w:t xml:space="preserve"> </w:t>
      </w:r>
      <w:r w:rsidRPr="004746EA">
        <w:rPr>
          <w:sz w:val="20"/>
          <w:szCs w:val="20"/>
        </w:rPr>
        <w:t>review</w:t>
      </w:r>
      <w:r w:rsidR="00850745" w:rsidRPr="004746EA">
        <w:rPr>
          <w:sz w:val="20"/>
          <w:szCs w:val="20"/>
        </w:rPr>
        <w:t xml:space="preserve"> </w:t>
      </w:r>
      <w:r w:rsidRPr="004746EA">
        <w:rPr>
          <w:sz w:val="20"/>
          <w:szCs w:val="20"/>
        </w:rPr>
        <w:t>of</w:t>
      </w:r>
      <w:r w:rsidR="00850745" w:rsidRPr="004746EA">
        <w:rPr>
          <w:sz w:val="20"/>
          <w:szCs w:val="20"/>
        </w:rPr>
        <w:t xml:space="preserve"> </w:t>
      </w:r>
      <w:r w:rsidRPr="004746EA">
        <w:rPr>
          <w:sz w:val="20"/>
          <w:szCs w:val="20"/>
        </w:rPr>
        <w:t>the</w:t>
      </w:r>
      <w:r w:rsidR="004746EA">
        <w:rPr>
          <w:rFonts w:eastAsiaTheme="minorEastAsia" w:hint="eastAsia"/>
          <w:sz w:val="20"/>
          <w:szCs w:val="20"/>
          <w:lang w:eastAsia="zh-CN"/>
        </w:rPr>
        <w:t xml:space="preserve"> </w:t>
      </w:r>
      <w:r w:rsidRPr="004746EA">
        <w:rPr>
          <w:sz w:val="20"/>
          <w:szCs w:val="20"/>
        </w:rPr>
        <w:t>literature.</w:t>
      </w:r>
      <w:r w:rsidR="00850745" w:rsidRPr="004746EA">
        <w:rPr>
          <w:sz w:val="20"/>
          <w:szCs w:val="20"/>
        </w:rPr>
        <w:t xml:space="preserve"> </w:t>
      </w:r>
      <w:r w:rsidRPr="004746EA">
        <w:rPr>
          <w:i/>
          <w:sz w:val="20"/>
          <w:szCs w:val="20"/>
        </w:rPr>
        <w:t>Oral</w:t>
      </w:r>
      <w:r w:rsidR="00850745" w:rsidRPr="004746EA">
        <w:rPr>
          <w:i/>
          <w:sz w:val="20"/>
          <w:szCs w:val="20"/>
        </w:rPr>
        <w:t xml:space="preserve"> </w:t>
      </w:r>
      <w:r w:rsidRPr="004746EA">
        <w:rPr>
          <w:i/>
          <w:sz w:val="20"/>
          <w:szCs w:val="20"/>
        </w:rPr>
        <w:t>Surgery,</w:t>
      </w:r>
      <w:r w:rsidR="00850745" w:rsidRPr="004746EA">
        <w:rPr>
          <w:i/>
          <w:sz w:val="20"/>
          <w:szCs w:val="20"/>
        </w:rPr>
        <w:t xml:space="preserve"> </w:t>
      </w:r>
      <w:r w:rsidRPr="004746EA">
        <w:rPr>
          <w:i/>
          <w:sz w:val="20"/>
          <w:szCs w:val="20"/>
        </w:rPr>
        <w:t>Oral</w:t>
      </w:r>
      <w:r w:rsidR="00850745" w:rsidRPr="004746EA">
        <w:rPr>
          <w:i/>
          <w:sz w:val="20"/>
          <w:szCs w:val="20"/>
        </w:rPr>
        <w:t xml:space="preserve"> </w:t>
      </w:r>
      <w:r w:rsidRPr="004746EA">
        <w:rPr>
          <w:i/>
          <w:sz w:val="20"/>
          <w:szCs w:val="20"/>
        </w:rPr>
        <w:t>Medicine,</w:t>
      </w:r>
      <w:r w:rsidR="00850745" w:rsidRPr="004746EA">
        <w:rPr>
          <w:i/>
          <w:sz w:val="20"/>
          <w:szCs w:val="20"/>
        </w:rPr>
        <w:t xml:space="preserve"> </w:t>
      </w:r>
      <w:r w:rsidRPr="004746EA">
        <w:rPr>
          <w:i/>
          <w:sz w:val="20"/>
          <w:szCs w:val="20"/>
        </w:rPr>
        <w:t>Oral</w:t>
      </w:r>
      <w:r w:rsidR="00850745" w:rsidRPr="004746EA">
        <w:rPr>
          <w:i/>
          <w:sz w:val="20"/>
          <w:szCs w:val="20"/>
        </w:rPr>
        <w:t xml:space="preserve"> </w:t>
      </w:r>
      <w:r w:rsidRPr="004746EA">
        <w:rPr>
          <w:i/>
          <w:sz w:val="20"/>
          <w:szCs w:val="20"/>
        </w:rPr>
        <w:t>Pathology,</w:t>
      </w:r>
      <w:r w:rsidR="00850745" w:rsidRPr="004746EA">
        <w:rPr>
          <w:i/>
          <w:sz w:val="20"/>
          <w:szCs w:val="20"/>
        </w:rPr>
        <w:t xml:space="preserve"> </w:t>
      </w:r>
      <w:r w:rsidRPr="004746EA">
        <w:rPr>
          <w:i/>
          <w:sz w:val="20"/>
          <w:szCs w:val="20"/>
        </w:rPr>
        <w:t>Oral</w:t>
      </w:r>
      <w:r w:rsidR="00850745" w:rsidRPr="004746EA">
        <w:rPr>
          <w:i/>
          <w:sz w:val="20"/>
          <w:szCs w:val="20"/>
        </w:rPr>
        <w:t xml:space="preserve"> </w:t>
      </w:r>
      <w:r w:rsidRPr="004746EA">
        <w:rPr>
          <w:i/>
          <w:sz w:val="20"/>
          <w:szCs w:val="20"/>
        </w:rPr>
        <w:t>Radiology</w:t>
      </w:r>
      <w:r w:rsidR="00850745" w:rsidRPr="004746EA">
        <w:rPr>
          <w:i/>
          <w:sz w:val="20"/>
          <w:szCs w:val="20"/>
        </w:rPr>
        <w:t xml:space="preserve"> </w:t>
      </w:r>
      <w:r w:rsidRPr="004746EA">
        <w:rPr>
          <w:i/>
          <w:sz w:val="20"/>
          <w:szCs w:val="20"/>
        </w:rPr>
        <w:t>and</w:t>
      </w:r>
      <w:r w:rsidR="00850745" w:rsidRPr="004746EA">
        <w:rPr>
          <w:i/>
          <w:sz w:val="20"/>
          <w:szCs w:val="20"/>
        </w:rPr>
        <w:t xml:space="preserve"> </w:t>
      </w:r>
      <w:r w:rsidRPr="004746EA">
        <w:rPr>
          <w:i/>
          <w:sz w:val="20"/>
          <w:szCs w:val="20"/>
        </w:rPr>
        <w:t>Endodontics,</w:t>
      </w:r>
      <w:r w:rsidR="00850745" w:rsidRPr="004746EA">
        <w:rPr>
          <w:i/>
          <w:sz w:val="20"/>
          <w:szCs w:val="20"/>
        </w:rPr>
        <w:t xml:space="preserve"> </w:t>
      </w:r>
      <w:r w:rsidRPr="004746EA">
        <w:rPr>
          <w:sz w:val="20"/>
          <w:szCs w:val="20"/>
        </w:rPr>
        <w:t>107(1):30–35.</w:t>
      </w:r>
      <w:r w:rsidR="004746EA">
        <w:rPr>
          <w:rFonts w:eastAsiaTheme="minorEastAsia" w:hint="eastAsia"/>
          <w:sz w:val="20"/>
          <w:szCs w:val="20"/>
          <w:lang w:eastAsia="zh-CN"/>
        </w:rPr>
        <w:t xml:space="preserve"> </w:t>
      </w:r>
      <w:r w:rsidRPr="004746EA">
        <w:rPr>
          <w:sz w:val="20"/>
          <w:szCs w:val="20"/>
        </w:rPr>
        <w:t>http://dx.doi.org/10.1016/j.tripleo.2008.05.043</w:t>
      </w:r>
      <w:r w:rsidR="004746EA">
        <w:rPr>
          <w:rFonts w:eastAsiaTheme="minorEastAsia" w:hint="eastAsia"/>
          <w:sz w:val="20"/>
          <w:szCs w:val="20"/>
          <w:lang w:eastAsia="zh-CN"/>
        </w:rPr>
        <w:t>.</w:t>
      </w:r>
    </w:p>
    <w:p w:rsidR="001647E4" w:rsidRPr="004746EA" w:rsidRDefault="00311497" w:rsidP="00C84485">
      <w:pPr>
        <w:pStyle w:val="ListParagraph"/>
        <w:numPr>
          <w:ilvl w:val="0"/>
          <w:numId w:val="1"/>
        </w:numPr>
        <w:snapToGrid w:val="0"/>
        <w:ind w:left="425" w:right="0" w:hanging="425"/>
        <w:jc w:val="both"/>
        <w:rPr>
          <w:sz w:val="20"/>
          <w:szCs w:val="20"/>
        </w:rPr>
      </w:pPr>
      <w:r w:rsidRPr="004746EA">
        <w:rPr>
          <w:sz w:val="20"/>
          <w:szCs w:val="20"/>
        </w:rPr>
        <w:t>Miloro,</w:t>
      </w:r>
      <w:r w:rsidR="00850745" w:rsidRPr="004746EA">
        <w:rPr>
          <w:sz w:val="20"/>
          <w:szCs w:val="20"/>
        </w:rPr>
        <w:t xml:space="preserve"> </w:t>
      </w:r>
      <w:r w:rsidRPr="004746EA">
        <w:rPr>
          <w:sz w:val="20"/>
          <w:szCs w:val="20"/>
        </w:rPr>
        <w:t>M.,</w:t>
      </w:r>
      <w:r w:rsidR="00850745" w:rsidRPr="004746EA">
        <w:rPr>
          <w:sz w:val="20"/>
          <w:szCs w:val="20"/>
        </w:rPr>
        <w:t xml:space="preserve"> </w:t>
      </w:r>
      <w:r w:rsidRPr="004746EA">
        <w:rPr>
          <w:sz w:val="20"/>
          <w:szCs w:val="20"/>
        </w:rPr>
        <w:t>Larsen,</w:t>
      </w:r>
      <w:r w:rsidR="00850745" w:rsidRPr="004746EA">
        <w:rPr>
          <w:sz w:val="20"/>
          <w:szCs w:val="20"/>
        </w:rPr>
        <w:t xml:space="preserve"> </w:t>
      </w:r>
      <w:r w:rsidRPr="004746EA">
        <w:rPr>
          <w:sz w:val="20"/>
          <w:szCs w:val="20"/>
        </w:rPr>
        <w:t>P.E.,</w:t>
      </w:r>
      <w:r w:rsidR="00850745" w:rsidRPr="004746EA">
        <w:rPr>
          <w:sz w:val="20"/>
          <w:szCs w:val="20"/>
        </w:rPr>
        <w:t xml:space="preserve"> </w:t>
      </w:r>
      <w:r w:rsidRPr="004746EA">
        <w:rPr>
          <w:sz w:val="20"/>
          <w:szCs w:val="20"/>
        </w:rPr>
        <w:t>Ghali,</w:t>
      </w:r>
      <w:r w:rsidR="00850745" w:rsidRPr="004746EA">
        <w:rPr>
          <w:sz w:val="20"/>
          <w:szCs w:val="20"/>
        </w:rPr>
        <w:t xml:space="preserve"> </w:t>
      </w:r>
      <w:r w:rsidRPr="004746EA">
        <w:rPr>
          <w:sz w:val="20"/>
          <w:szCs w:val="20"/>
        </w:rPr>
        <w:t>G.E.</w:t>
      </w:r>
      <w:r w:rsidR="00850745" w:rsidRPr="004746EA">
        <w:rPr>
          <w:sz w:val="20"/>
          <w:szCs w:val="20"/>
        </w:rPr>
        <w:t xml:space="preserve"> </w:t>
      </w:r>
      <w:r w:rsidRPr="004746EA">
        <w:rPr>
          <w:sz w:val="20"/>
          <w:szCs w:val="20"/>
        </w:rPr>
        <w:t>and</w:t>
      </w:r>
      <w:r w:rsidR="00850745" w:rsidRPr="004746EA">
        <w:rPr>
          <w:sz w:val="20"/>
          <w:szCs w:val="20"/>
        </w:rPr>
        <w:t xml:space="preserve"> </w:t>
      </w:r>
      <w:r w:rsidRPr="004746EA">
        <w:rPr>
          <w:sz w:val="20"/>
          <w:szCs w:val="20"/>
        </w:rPr>
        <w:t>Waite,</w:t>
      </w:r>
      <w:r w:rsidR="00850745" w:rsidRPr="004746EA">
        <w:rPr>
          <w:sz w:val="20"/>
          <w:szCs w:val="20"/>
        </w:rPr>
        <w:t xml:space="preserve"> </w:t>
      </w:r>
      <w:r w:rsidRPr="004746EA">
        <w:rPr>
          <w:sz w:val="20"/>
          <w:szCs w:val="20"/>
        </w:rPr>
        <w:t>P.D.</w:t>
      </w:r>
      <w:r w:rsidR="00850745" w:rsidRPr="004746EA">
        <w:rPr>
          <w:sz w:val="20"/>
          <w:szCs w:val="20"/>
        </w:rPr>
        <w:t xml:space="preserve"> </w:t>
      </w:r>
      <w:r w:rsidRPr="004746EA">
        <w:rPr>
          <w:sz w:val="20"/>
          <w:szCs w:val="20"/>
        </w:rPr>
        <w:t>(2004)</w:t>
      </w:r>
      <w:r w:rsidR="00850745" w:rsidRPr="004746EA">
        <w:rPr>
          <w:sz w:val="20"/>
          <w:szCs w:val="20"/>
        </w:rPr>
        <w:t xml:space="preserve"> </w:t>
      </w:r>
      <w:r w:rsidRPr="004746EA">
        <w:rPr>
          <w:sz w:val="20"/>
          <w:szCs w:val="20"/>
        </w:rPr>
        <w:t>Peterson’</w:t>
      </w:r>
      <w:r w:rsidR="00526E4F" w:rsidRPr="004746EA">
        <w:rPr>
          <w:sz w:val="20"/>
          <w:szCs w:val="20"/>
        </w:rPr>
        <w:t>s P</w:t>
      </w:r>
      <w:r w:rsidRPr="004746EA">
        <w:rPr>
          <w:sz w:val="20"/>
          <w:szCs w:val="20"/>
        </w:rPr>
        <w:t>rinciples</w:t>
      </w:r>
      <w:r w:rsidR="00850745" w:rsidRPr="004746EA">
        <w:rPr>
          <w:sz w:val="20"/>
          <w:szCs w:val="20"/>
        </w:rPr>
        <w:t xml:space="preserve"> </w:t>
      </w:r>
      <w:r w:rsidRPr="004746EA">
        <w:rPr>
          <w:sz w:val="20"/>
          <w:szCs w:val="20"/>
        </w:rPr>
        <w:t>of</w:t>
      </w:r>
      <w:r w:rsidR="00850745" w:rsidRPr="004746EA">
        <w:rPr>
          <w:sz w:val="20"/>
          <w:szCs w:val="20"/>
        </w:rPr>
        <w:t xml:space="preserve"> </w:t>
      </w:r>
      <w:r w:rsidRPr="004746EA">
        <w:rPr>
          <w:sz w:val="20"/>
          <w:szCs w:val="20"/>
        </w:rPr>
        <w:t>Oral</w:t>
      </w:r>
      <w:r w:rsidR="00850745" w:rsidRPr="004746EA">
        <w:rPr>
          <w:sz w:val="20"/>
          <w:szCs w:val="20"/>
        </w:rPr>
        <w:t xml:space="preserve"> </w:t>
      </w:r>
      <w:r w:rsidRPr="004746EA">
        <w:rPr>
          <w:sz w:val="20"/>
          <w:szCs w:val="20"/>
        </w:rPr>
        <w:t>and</w:t>
      </w:r>
      <w:r w:rsidR="00850745" w:rsidRPr="004746EA">
        <w:rPr>
          <w:sz w:val="20"/>
          <w:szCs w:val="20"/>
        </w:rPr>
        <w:t xml:space="preserve"> </w:t>
      </w:r>
      <w:r w:rsidRPr="004746EA">
        <w:rPr>
          <w:sz w:val="20"/>
          <w:szCs w:val="20"/>
        </w:rPr>
        <w:t>Maxillofacial</w:t>
      </w:r>
      <w:r w:rsidR="00850745" w:rsidRPr="004746EA">
        <w:rPr>
          <w:sz w:val="20"/>
          <w:szCs w:val="20"/>
        </w:rPr>
        <w:t xml:space="preserve"> </w:t>
      </w:r>
      <w:r w:rsidRPr="004746EA">
        <w:rPr>
          <w:sz w:val="20"/>
          <w:szCs w:val="20"/>
        </w:rPr>
        <w:t>Surgery.</w:t>
      </w:r>
      <w:r w:rsidR="00850745" w:rsidRPr="004746EA">
        <w:rPr>
          <w:sz w:val="20"/>
          <w:szCs w:val="20"/>
        </w:rPr>
        <w:t xml:space="preserve"> </w:t>
      </w:r>
      <w:r w:rsidRPr="004746EA">
        <w:rPr>
          <w:sz w:val="20"/>
          <w:szCs w:val="20"/>
        </w:rPr>
        <w:t>2nd</w:t>
      </w:r>
      <w:r w:rsidR="00850745" w:rsidRPr="004746EA">
        <w:rPr>
          <w:sz w:val="20"/>
          <w:szCs w:val="20"/>
        </w:rPr>
        <w:t xml:space="preserve"> </w:t>
      </w:r>
      <w:r w:rsidRPr="004746EA">
        <w:rPr>
          <w:sz w:val="20"/>
          <w:szCs w:val="20"/>
        </w:rPr>
        <w:t>Ed.,</w:t>
      </w:r>
      <w:r w:rsidR="00850745" w:rsidRPr="004746EA">
        <w:rPr>
          <w:sz w:val="20"/>
          <w:szCs w:val="20"/>
        </w:rPr>
        <w:t xml:space="preserve"> </w:t>
      </w:r>
      <w:r w:rsidRPr="004746EA">
        <w:rPr>
          <w:sz w:val="20"/>
          <w:szCs w:val="20"/>
        </w:rPr>
        <w:t>BC</w:t>
      </w:r>
      <w:r w:rsidR="00850745" w:rsidRPr="004746EA">
        <w:rPr>
          <w:sz w:val="20"/>
          <w:szCs w:val="20"/>
        </w:rPr>
        <w:t xml:space="preserve"> </w:t>
      </w:r>
      <w:r w:rsidRPr="004746EA">
        <w:rPr>
          <w:sz w:val="20"/>
          <w:szCs w:val="20"/>
        </w:rPr>
        <w:t>Decker,</w:t>
      </w:r>
      <w:r w:rsidR="00850745" w:rsidRPr="004746EA">
        <w:rPr>
          <w:sz w:val="20"/>
          <w:szCs w:val="20"/>
        </w:rPr>
        <w:t xml:space="preserve"> </w:t>
      </w:r>
      <w:r w:rsidRPr="004746EA">
        <w:rPr>
          <w:sz w:val="20"/>
          <w:szCs w:val="20"/>
        </w:rPr>
        <w:t>Hamilton,</w:t>
      </w:r>
      <w:r w:rsidR="00850745" w:rsidRPr="004746EA">
        <w:rPr>
          <w:sz w:val="20"/>
          <w:szCs w:val="20"/>
        </w:rPr>
        <w:t xml:space="preserve"> </w:t>
      </w:r>
      <w:r w:rsidRPr="004746EA">
        <w:rPr>
          <w:sz w:val="20"/>
          <w:szCs w:val="20"/>
        </w:rPr>
        <w:t>London.</w:t>
      </w:r>
      <w:r w:rsidR="00850745" w:rsidRPr="004746EA">
        <w:rPr>
          <w:sz w:val="20"/>
          <w:szCs w:val="20"/>
        </w:rPr>
        <w:t xml:space="preserve"> </w:t>
      </w:r>
      <w:r w:rsidRPr="004746EA">
        <w:rPr>
          <w:sz w:val="20"/>
          <w:szCs w:val="20"/>
        </w:rPr>
        <w:t>PMPH-</w:t>
      </w:r>
      <w:r w:rsidR="00850745" w:rsidRPr="004746EA">
        <w:rPr>
          <w:sz w:val="20"/>
          <w:szCs w:val="20"/>
        </w:rPr>
        <w:t xml:space="preserve"> </w:t>
      </w:r>
      <w:r w:rsidRPr="004746EA">
        <w:rPr>
          <w:sz w:val="20"/>
          <w:szCs w:val="20"/>
        </w:rPr>
        <w:t>USA;</w:t>
      </w:r>
      <w:r w:rsidR="00850745" w:rsidRPr="004746EA">
        <w:rPr>
          <w:sz w:val="20"/>
          <w:szCs w:val="20"/>
        </w:rPr>
        <w:t xml:space="preserve"> </w:t>
      </w:r>
      <w:r w:rsidRPr="004746EA">
        <w:rPr>
          <w:sz w:val="20"/>
          <w:szCs w:val="20"/>
        </w:rPr>
        <w:t>2004</w:t>
      </w:r>
      <w:r w:rsidR="00850745" w:rsidRPr="004746EA">
        <w:rPr>
          <w:sz w:val="20"/>
          <w:szCs w:val="20"/>
        </w:rPr>
        <w:t xml:space="preserve"> </w:t>
      </w:r>
      <w:r w:rsidRPr="004746EA">
        <w:rPr>
          <w:sz w:val="20"/>
          <w:szCs w:val="20"/>
        </w:rPr>
        <w:t>[cited</w:t>
      </w:r>
      <w:r w:rsidR="00850745" w:rsidRPr="004746EA">
        <w:rPr>
          <w:sz w:val="20"/>
          <w:szCs w:val="20"/>
        </w:rPr>
        <w:t xml:space="preserve"> </w:t>
      </w:r>
      <w:r w:rsidRPr="004746EA">
        <w:rPr>
          <w:sz w:val="20"/>
          <w:szCs w:val="20"/>
        </w:rPr>
        <w:t>2015</w:t>
      </w:r>
      <w:r w:rsidR="00850745" w:rsidRPr="004746EA">
        <w:rPr>
          <w:sz w:val="20"/>
          <w:szCs w:val="20"/>
        </w:rPr>
        <w:t xml:space="preserve"> </w:t>
      </w:r>
      <w:r w:rsidRPr="004746EA">
        <w:rPr>
          <w:sz w:val="20"/>
          <w:szCs w:val="20"/>
        </w:rPr>
        <w:t>May</w:t>
      </w:r>
      <w:r w:rsidR="00850745" w:rsidRPr="004746EA">
        <w:rPr>
          <w:sz w:val="20"/>
          <w:szCs w:val="20"/>
        </w:rPr>
        <w:t xml:space="preserve"> </w:t>
      </w:r>
      <w:r w:rsidRPr="004746EA">
        <w:rPr>
          <w:sz w:val="20"/>
          <w:szCs w:val="20"/>
        </w:rPr>
        <w:t>1].</w:t>
      </w:r>
      <w:r w:rsidR="00850745" w:rsidRPr="004746EA">
        <w:rPr>
          <w:sz w:val="20"/>
          <w:szCs w:val="20"/>
        </w:rPr>
        <w:t xml:space="preserve"> </w:t>
      </w:r>
      <w:r w:rsidRPr="004746EA">
        <w:rPr>
          <w:sz w:val="20"/>
          <w:szCs w:val="20"/>
        </w:rPr>
        <w:t>1800</w:t>
      </w:r>
      <w:r w:rsidR="00850745" w:rsidRPr="004746EA">
        <w:rPr>
          <w:sz w:val="20"/>
          <w:szCs w:val="20"/>
        </w:rPr>
        <w:t xml:space="preserve"> </w:t>
      </w:r>
      <w:r w:rsidRPr="004746EA">
        <w:rPr>
          <w:sz w:val="20"/>
          <w:szCs w:val="20"/>
        </w:rPr>
        <w:t>p.</w:t>
      </w:r>
      <w:r w:rsidR="00850745" w:rsidRPr="004746EA">
        <w:rPr>
          <w:sz w:val="20"/>
          <w:szCs w:val="20"/>
        </w:rPr>
        <w:t xml:space="preserve"> </w:t>
      </w:r>
      <w:r w:rsidRPr="004746EA">
        <w:rPr>
          <w:sz w:val="20"/>
          <w:szCs w:val="20"/>
        </w:rPr>
        <w:t>Available</w:t>
      </w:r>
      <w:r w:rsidR="00850745" w:rsidRPr="004746EA">
        <w:rPr>
          <w:sz w:val="20"/>
          <w:szCs w:val="20"/>
        </w:rPr>
        <w:t xml:space="preserve"> </w:t>
      </w:r>
      <w:r w:rsidRPr="004746EA">
        <w:rPr>
          <w:sz w:val="20"/>
          <w:szCs w:val="20"/>
        </w:rPr>
        <w:t>from:</w:t>
      </w:r>
      <w:r w:rsidR="00850745" w:rsidRPr="004746EA">
        <w:rPr>
          <w:sz w:val="20"/>
          <w:szCs w:val="20"/>
        </w:rPr>
        <w:t xml:space="preserve"> </w:t>
      </w:r>
      <w:r w:rsidR="001647E4" w:rsidRPr="004746EA">
        <w:rPr>
          <w:sz w:val="20"/>
          <w:szCs w:val="20"/>
        </w:rPr>
        <w:t>https://books.google.com/books?id=Jf9WZltV1BAC</w:t>
      </w:r>
      <w:r w:rsidR="00850745" w:rsidRPr="004746EA">
        <w:rPr>
          <w:sz w:val="20"/>
          <w:szCs w:val="20"/>
        </w:rPr>
        <w:t xml:space="preserve"> &amp; </w:t>
      </w:r>
      <w:r w:rsidR="001647E4" w:rsidRPr="004746EA">
        <w:rPr>
          <w:sz w:val="20"/>
          <w:szCs w:val="20"/>
        </w:rPr>
        <w:t>pgis=1</w:t>
      </w:r>
      <w:r w:rsidR="004746EA">
        <w:rPr>
          <w:rFonts w:eastAsiaTheme="minorEastAsia" w:hint="eastAsia"/>
          <w:sz w:val="20"/>
          <w:szCs w:val="20"/>
          <w:lang w:eastAsia="zh-CN"/>
        </w:rPr>
        <w:t>.</w:t>
      </w:r>
    </w:p>
    <w:p w:rsidR="000B7D36" w:rsidRPr="004746EA" w:rsidRDefault="00311497" w:rsidP="00C84485">
      <w:pPr>
        <w:pStyle w:val="ListParagraph"/>
        <w:numPr>
          <w:ilvl w:val="0"/>
          <w:numId w:val="1"/>
        </w:numPr>
        <w:snapToGrid w:val="0"/>
        <w:ind w:left="425" w:right="0" w:hanging="425"/>
        <w:jc w:val="both"/>
        <w:rPr>
          <w:sz w:val="20"/>
          <w:szCs w:val="20"/>
        </w:rPr>
      </w:pPr>
      <w:r w:rsidRPr="004746EA">
        <w:rPr>
          <w:sz w:val="20"/>
          <w:szCs w:val="20"/>
        </w:rPr>
        <w:t>Gómez-Moreno,</w:t>
      </w:r>
      <w:r w:rsidR="00850745" w:rsidRPr="004746EA">
        <w:rPr>
          <w:sz w:val="20"/>
          <w:szCs w:val="20"/>
        </w:rPr>
        <w:t xml:space="preserve"> </w:t>
      </w:r>
      <w:r w:rsidRPr="004746EA">
        <w:rPr>
          <w:sz w:val="20"/>
          <w:szCs w:val="20"/>
        </w:rPr>
        <w:t>G.,</w:t>
      </w:r>
      <w:r w:rsidR="00850745" w:rsidRPr="004746EA">
        <w:rPr>
          <w:sz w:val="20"/>
          <w:szCs w:val="20"/>
        </w:rPr>
        <w:t xml:space="preserve"> </w:t>
      </w:r>
      <w:r w:rsidRPr="004746EA">
        <w:rPr>
          <w:sz w:val="20"/>
          <w:szCs w:val="20"/>
        </w:rPr>
        <w:t>Aguilar-Salvatierra,</w:t>
      </w:r>
      <w:r w:rsidR="00850745" w:rsidRPr="004746EA">
        <w:rPr>
          <w:sz w:val="20"/>
          <w:szCs w:val="20"/>
        </w:rPr>
        <w:t xml:space="preserve"> </w:t>
      </w:r>
      <w:r w:rsidRPr="004746EA">
        <w:rPr>
          <w:sz w:val="20"/>
          <w:szCs w:val="20"/>
        </w:rPr>
        <w:t>A.,</w:t>
      </w:r>
      <w:r w:rsidR="00850745" w:rsidRPr="004746EA">
        <w:rPr>
          <w:sz w:val="20"/>
          <w:szCs w:val="20"/>
        </w:rPr>
        <w:t xml:space="preserve"> </w:t>
      </w:r>
      <w:r w:rsidRPr="004746EA">
        <w:rPr>
          <w:sz w:val="20"/>
          <w:szCs w:val="20"/>
        </w:rPr>
        <w:t>Rubio</w:t>
      </w:r>
      <w:r w:rsidR="00850745" w:rsidRPr="004746EA">
        <w:rPr>
          <w:sz w:val="20"/>
          <w:szCs w:val="20"/>
        </w:rPr>
        <w:t xml:space="preserve"> </w:t>
      </w:r>
      <w:r w:rsidRPr="004746EA">
        <w:rPr>
          <w:sz w:val="20"/>
          <w:szCs w:val="20"/>
        </w:rPr>
        <w:t>Roldán,</w:t>
      </w:r>
      <w:r w:rsidR="00850745" w:rsidRPr="004746EA">
        <w:rPr>
          <w:sz w:val="20"/>
          <w:szCs w:val="20"/>
        </w:rPr>
        <w:t xml:space="preserve"> </w:t>
      </w:r>
      <w:r w:rsidRPr="004746EA">
        <w:rPr>
          <w:sz w:val="20"/>
          <w:szCs w:val="20"/>
        </w:rPr>
        <w:t>J.,</w:t>
      </w:r>
      <w:r w:rsidR="00850745" w:rsidRPr="004746EA">
        <w:rPr>
          <w:sz w:val="20"/>
          <w:szCs w:val="20"/>
        </w:rPr>
        <w:t xml:space="preserve"> </w:t>
      </w:r>
      <w:r w:rsidRPr="004746EA">
        <w:rPr>
          <w:sz w:val="20"/>
          <w:szCs w:val="20"/>
        </w:rPr>
        <w:t>Guardia,</w:t>
      </w:r>
      <w:r w:rsidR="00850745" w:rsidRPr="004746EA">
        <w:rPr>
          <w:sz w:val="20"/>
          <w:szCs w:val="20"/>
        </w:rPr>
        <w:t xml:space="preserve"> </w:t>
      </w:r>
      <w:r w:rsidRPr="004746EA">
        <w:rPr>
          <w:sz w:val="20"/>
          <w:szCs w:val="20"/>
        </w:rPr>
        <w:t>J.,</w:t>
      </w:r>
      <w:r w:rsidR="00850745" w:rsidRPr="004746EA">
        <w:rPr>
          <w:sz w:val="20"/>
          <w:szCs w:val="20"/>
        </w:rPr>
        <w:t xml:space="preserve"> </w:t>
      </w:r>
      <w:r w:rsidRPr="004746EA">
        <w:rPr>
          <w:sz w:val="20"/>
          <w:szCs w:val="20"/>
        </w:rPr>
        <w:t>Gargallo,</w:t>
      </w:r>
      <w:r w:rsidR="00850745" w:rsidRPr="004746EA">
        <w:rPr>
          <w:sz w:val="20"/>
          <w:szCs w:val="20"/>
        </w:rPr>
        <w:t xml:space="preserve"> </w:t>
      </w:r>
      <w:r w:rsidRPr="004746EA">
        <w:rPr>
          <w:sz w:val="20"/>
          <w:szCs w:val="20"/>
        </w:rPr>
        <w:t>J.</w:t>
      </w:r>
      <w:r w:rsidR="00850745" w:rsidRPr="004746EA">
        <w:rPr>
          <w:sz w:val="20"/>
          <w:szCs w:val="20"/>
        </w:rPr>
        <w:t xml:space="preserve"> </w:t>
      </w:r>
      <w:r w:rsidRPr="004746EA">
        <w:rPr>
          <w:sz w:val="20"/>
          <w:szCs w:val="20"/>
        </w:rPr>
        <w:t>and</w:t>
      </w:r>
      <w:r w:rsidR="00850745" w:rsidRPr="004746EA">
        <w:rPr>
          <w:sz w:val="20"/>
          <w:szCs w:val="20"/>
        </w:rPr>
        <w:t xml:space="preserve"> </w:t>
      </w:r>
      <w:r w:rsidRPr="004746EA">
        <w:rPr>
          <w:sz w:val="20"/>
          <w:szCs w:val="20"/>
        </w:rPr>
        <w:t>Calvo-Guirado,</w:t>
      </w:r>
      <w:r w:rsidR="00850745" w:rsidRPr="004746EA">
        <w:rPr>
          <w:sz w:val="20"/>
          <w:szCs w:val="20"/>
        </w:rPr>
        <w:t xml:space="preserve"> </w:t>
      </w:r>
      <w:r w:rsidRPr="004746EA">
        <w:rPr>
          <w:sz w:val="20"/>
          <w:szCs w:val="20"/>
        </w:rPr>
        <w:t>J.L.</w:t>
      </w:r>
      <w:r w:rsidR="00850745" w:rsidRPr="004746EA">
        <w:rPr>
          <w:sz w:val="20"/>
          <w:szCs w:val="20"/>
        </w:rPr>
        <w:t xml:space="preserve"> </w:t>
      </w:r>
      <w:r w:rsidRPr="004746EA">
        <w:rPr>
          <w:sz w:val="20"/>
          <w:szCs w:val="20"/>
        </w:rPr>
        <w:t>(2015)</w:t>
      </w:r>
      <w:r w:rsidR="00850745" w:rsidRPr="004746EA">
        <w:rPr>
          <w:sz w:val="20"/>
          <w:szCs w:val="20"/>
        </w:rPr>
        <w:t xml:space="preserve"> </w:t>
      </w:r>
      <w:r w:rsidRPr="004746EA">
        <w:rPr>
          <w:sz w:val="20"/>
          <w:szCs w:val="20"/>
        </w:rPr>
        <w:t>Peri-Implant</w:t>
      </w:r>
      <w:r w:rsidR="00850745" w:rsidRPr="004746EA">
        <w:rPr>
          <w:sz w:val="20"/>
          <w:szCs w:val="20"/>
        </w:rPr>
        <w:t xml:space="preserve"> </w:t>
      </w:r>
      <w:r w:rsidRPr="004746EA">
        <w:rPr>
          <w:sz w:val="20"/>
          <w:szCs w:val="20"/>
        </w:rPr>
        <w:t>Evaluation</w:t>
      </w:r>
      <w:r w:rsidR="00850745" w:rsidRPr="004746EA">
        <w:rPr>
          <w:sz w:val="20"/>
          <w:szCs w:val="20"/>
        </w:rPr>
        <w:t xml:space="preserve"> </w:t>
      </w:r>
      <w:r w:rsidRPr="004746EA">
        <w:rPr>
          <w:sz w:val="20"/>
          <w:szCs w:val="20"/>
        </w:rPr>
        <w:t>in</w:t>
      </w:r>
      <w:r w:rsidR="00850745" w:rsidRPr="004746EA">
        <w:rPr>
          <w:sz w:val="20"/>
          <w:szCs w:val="20"/>
        </w:rPr>
        <w:t xml:space="preserve"> </w:t>
      </w:r>
      <w:r w:rsidRPr="004746EA">
        <w:rPr>
          <w:sz w:val="20"/>
          <w:szCs w:val="20"/>
        </w:rPr>
        <w:t>Type</w:t>
      </w:r>
      <w:r w:rsidR="00850745" w:rsidRPr="004746EA">
        <w:rPr>
          <w:sz w:val="20"/>
          <w:szCs w:val="20"/>
        </w:rPr>
        <w:t xml:space="preserve"> </w:t>
      </w:r>
      <w:r w:rsidRPr="004746EA">
        <w:rPr>
          <w:sz w:val="20"/>
          <w:szCs w:val="20"/>
        </w:rPr>
        <w:t>2</w:t>
      </w:r>
      <w:r w:rsidR="00850745" w:rsidRPr="004746EA">
        <w:rPr>
          <w:sz w:val="20"/>
          <w:szCs w:val="20"/>
        </w:rPr>
        <w:t xml:space="preserve"> </w:t>
      </w:r>
      <w:r w:rsidRPr="004746EA">
        <w:rPr>
          <w:sz w:val="20"/>
          <w:szCs w:val="20"/>
        </w:rPr>
        <w:t>Diabetes</w:t>
      </w:r>
      <w:r w:rsidR="00850745" w:rsidRPr="004746EA">
        <w:rPr>
          <w:sz w:val="20"/>
          <w:szCs w:val="20"/>
        </w:rPr>
        <w:t xml:space="preserve"> </w:t>
      </w:r>
      <w:r w:rsidRPr="004746EA">
        <w:rPr>
          <w:sz w:val="20"/>
          <w:szCs w:val="20"/>
        </w:rPr>
        <w:t>Mellitus</w:t>
      </w:r>
      <w:r w:rsidR="00850745" w:rsidRPr="004746EA">
        <w:rPr>
          <w:sz w:val="20"/>
          <w:szCs w:val="20"/>
        </w:rPr>
        <w:t xml:space="preserve"> </w:t>
      </w:r>
      <w:r w:rsidRPr="004746EA">
        <w:rPr>
          <w:sz w:val="20"/>
          <w:szCs w:val="20"/>
        </w:rPr>
        <w:t>Patients:</w:t>
      </w:r>
      <w:r w:rsidR="00850745" w:rsidRPr="004746EA">
        <w:rPr>
          <w:sz w:val="20"/>
          <w:szCs w:val="20"/>
        </w:rPr>
        <w:t xml:space="preserve"> </w:t>
      </w:r>
      <w:r w:rsidRPr="004746EA">
        <w:rPr>
          <w:sz w:val="20"/>
          <w:szCs w:val="20"/>
        </w:rPr>
        <w:t>A</w:t>
      </w:r>
      <w:r w:rsidR="00850745" w:rsidRPr="004746EA">
        <w:rPr>
          <w:sz w:val="20"/>
          <w:szCs w:val="20"/>
        </w:rPr>
        <w:t xml:space="preserve"> </w:t>
      </w:r>
      <w:r w:rsidRPr="004746EA">
        <w:rPr>
          <w:sz w:val="20"/>
          <w:szCs w:val="20"/>
        </w:rPr>
        <w:t>3-Year</w:t>
      </w:r>
      <w:r w:rsidR="00850745" w:rsidRPr="004746EA">
        <w:rPr>
          <w:sz w:val="20"/>
          <w:szCs w:val="20"/>
        </w:rPr>
        <w:t xml:space="preserve"> </w:t>
      </w:r>
      <w:r w:rsidRPr="004746EA">
        <w:rPr>
          <w:sz w:val="20"/>
          <w:szCs w:val="20"/>
        </w:rPr>
        <w:t>Study.</w:t>
      </w:r>
      <w:r w:rsidR="00850745" w:rsidRPr="004746EA">
        <w:rPr>
          <w:sz w:val="20"/>
          <w:szCs w:val="20"/>
        </w:rPr>
        <w:t xml:space="preserve"> </w:t>
      </w:r>
      <w:r w:rsidRPr="004746EA">
        <w:rPr>
          <w:sz w:val="20"/>
          <w:szCs w:val="20"/>
        </w:rPr>
        <w:t>Clinical</w:t>
      </w:r>
      <w:r w:rsidR="00850745" w:rsidRPr="004746EA">
        <w:rPr>
          <w:sz w:val="20"/>
          <w:szCs w:val="20"/>
        </w:rPr>
        <w:t xml:space="preserve"> </w:t>
      </w:r>
      <w:r w:rsidRPr="004746EA">
        <w:rPr>
          <w:sz w:val="20"/>
          <w:szCs w:val="20"/>
        </w:rPr>
        <w:t>Oral</w:t>
      </w:r>
      <w:r w:rsidR="00850745" w:rsidRPr="004746EA">
        <w:rPr>
          <w:sz w:val="20"/>
          <w:szCs w:val="20"/>
        </w:rPr>
        <w:t xml:space="preserve"> </w:t>
      </w:r>
      <w:r w:rsidRPr="004746EA">
        <w:rPr>
          <w:sz w:val="20"/>
          <w:szCs w:val="20"/>
        </w:rPr>
        <w:t>Implants</w:t>
      </w:r>
      <w:r w:rsidR="00850745" w:rsidRPr="004746EA">
        <w:rPr>
          <w:sz w:val="20"/>
          <w:szCs w:val="20"/>
        </w:rPr>
        <w:t xml:space="preserve"> </w:t>
      </w:r>
      <w:r w:rsidRPr="004746EA">
        <w:rPr>
          <w:sz w:val="20"/>
          <w:szCs w:val="20"/>
        </w:rPr>
        <w:t>Research,</w:t>
      </w:r>
      <w:r w:rsidR="004746EA">
        <w:rPr>
          <w:rFonts w:eastAsiaTheme="minorEastAsia" w:hint="eastAsia"/>
          <w:sz w:val="20"/>
          <w:szCs w:val="20"/>
          <w:lang w:eastAsia="zh-CN"/>
        </w:rPr>
        <w:t xml:space="preserve"> </w:t>
      </w:r>
      <w:r w:rsidRPr="004746EA">
        <w:rPr>
          <w:sz w:val="20"/>
          <w:szCs w:val="20"/>
        </w:rPr>
        <w:t>26,</w:t>
      </w:r>
      <w:r w:rsidR="00850745" w:rsidRPr="004746EA">
        <w:rPr>
          <w:sz w:val="20"/>
          <w:szCs w:val="20"/>
        </w:rPr>
        <w:t xml:space="preserve"> </w:t>
      </w:r>
      <w:r w:rsidRPr="004746EA">
        <w:rPr>
          <w:sz w:val="20"/>
          <w:szCs w:val="20"/>
        </w:rPr>
        <w:t>1031-1035.</w:t>
      </w:r>
      <w:r w:rsidR="004746EA">
        <w:rPr>
          <w:rFonts w:eastAsiaTheme="minorEastAsia" w:hint="eastAsia"/>
          <w:sz w:val="20"/>
          <w:szCs w:val="20"/>
          <w:lang w:eastAsia="zh-CN"/>
        </w:rPr>
        <w:t xml:space="preserve"> </w:t>
      </w:r>
      <w:r w:rsidRPr="004746EA">
        <w:rPr>
          <w:sz w:val="20"/>
          <w:szCs w:val="20"/>
        </w:rPr>
        <w:t>http://dx.doi.org/10.1111/clr.12391</w:t>
      </w:r>
      <w:r w:rsidR="004746EA">
        <w:rPr>
          <w:rFonts w:eastAsiaTheme="minorEastAsia" w:hint="eastAsia"/>
          <w:sz w:val="20"/>
          <w:szCs w:val="20"/>
          <w:lang w:eastAsia="zh-CN"/>
        </w:rPr>
        <w:t>.</w:t>
      </w:r>
    </w:p>
    <w:p w:rsidR="000B7D36" w:rsidRPr="004746EA" w:rsidRDefault="00311497" w:rsidP="00C84485">
      <w:pPr>
        <w:pStyle w:val="ListParagraph"/>
        <w:numPr>
          <w:ilvl w:val="0"/>
          <w:numId w:val="1"/>
        </w:numPr>
        <w:snapToGrid w:val="0"/>
        <w:ind w:left="425" w:right="0" w:hanging="425"/>
        <w:jc w:val="both"/>
        <w:rPr>
          <w:sz w:val="20"/>
          <w:szCs w:val="20"/>
        </w:rPr>
      </w:pPr>
      <w:r w:rsidRPr="004746EA">
        <w:rPr>
          <w:sz w:val="20"/>
          <w:szCs w:val="20"/>
        </w:rPr>
        <w:t>Shyng,</w:t>
      </w:r>
      <w:r w:rsidR="00850745" w:rsidRPr="004746EA">
        <w:rPr>
          <w:sz w:val="20"/>
          <w:szCs w:val="20"/>
        </w:rPr>
        <w:t xml:space="preserve"> </w:t>
      </w:r>
      <w:r w:rsidRPr="004746EA">
        <w:rPr>
          <w:sz w:val="20"/>
          <w:szCs w:val="20"/>
        </w:rPr>
        <w:t>Y.C.,</w:t>
      </w:r>
      <w:r w:rsidR="00850745" w:rsidRPr="004746EA">
        <w:rPr>
          <w:sz w:val="20"/>
          <w:szCs w:val="20"/>
        </w:rPr>
        <w:t xml:space="preserve"> </w:t>
      </w:r>
      <w:r w:rsidRPr="004746EA">
        <w:rPr>
          <w:sz w:val="20"/>
          <w:szCs w:val="20"/>
        </w:rPr>
        <w:t>Chi,</w:t>
      </w:r>
      <w:r w:rsidR="00850745" w:rsidRPr="004746EA">
        <w:rPr>
          <w:sz w:val="20"/>
          <w:szCs w:val="20"/>
        </w:rPr>
        <w:t xml:space="preserve"> </w:t>
      </w:r>
      <w:r w:rsidRPr="004746EA">
        <w:rPr>
          <w:sz w:val="20"/>
          <w:szCs w:val="20"/>
        </w:rPr>
        <w:t>C.Y.,</w:t>
      </w:r>
      <w:r w:rsidR="00850745" w:rsidRPr="004746EA">
        <w:rPr>
          <w:sz w:val="20"/>
          <w:szCs w:val="20"/>
        </w:rPr>
        <w:t xml:space="preserve"> </w:t>
      </w:r>
      <w:r w:rsidRPr="004746EA">
        <w:rPr>
          <w:sz w:val="20"/>
          <w:szCs w:val="20"/>
        </w:rPr>
        <w:t>Devlin,</w:t>
      </w:r>
      <w:r w:rsidR="00850745" w:rsidRPr="004746EA">
        <w:rPr>
          <w:sz w:val="20"/>
          <w:szCs w:val="20"/>
        </w:rPr>
        <w:t xml:space="preserve"> </w:t>
      </w:r>
      <w:r w:rsidRPr="004746EA">
        <w:rPr>
          <w:sz w:val="20"/>
          <w:szCs w:val="20"/>
        </w:rPr>
        <w:t>H.,</w:t>
      </w:r>
      <w:r w:rsidR="00850745" w:rsidRPr="004746EA">
        <w:rPr>
          <w:sz w:val="20"/>
          <w:szCs w:val="20"/>
        </w:rPr>
        <w:t xml:space="preserve"> </w:t>
      </w:r>
      <w:r w:rsidRPr="004746EA">
        <w:rPr>
          <w:sz w:val="20"/>
          <w:szCs w:val="20"/>
        </w:rPr>
        <w:t>Sloan,</w:t>
      </w:r>
      <w:r w:rsidR="00850745" w:rsidRPr="004746EA">
        <w:rPr>
          <w:sz w:val="20"/>
          <w:szCs w:val="20"/>
        </w:rPr>
        <w:t xml:space="preserve"> </w:t>
      </w:r>
      <w:r w:rsidRPr="004746EA">
        <w:rPr>
          <w:sz w:val="20"/>
          <w:szCs w:val="20"/>
        </w:rPr>
        <w:t>P.</w:t>
      </w:r>
      <w:r w:rsidR="00850745" w:rsidRPr="004746EA">
        <w:rPr>
          <w:sz w:val="20"/>
          <w:szCs w:val="20"/>
        </w:rPr>
        <w:t xml:space="preserve"> </w:t>
      </w:r>
      <w:r w:rsidRPr="004746EA">
        <w:rPr>
          <w:sz w:val="20"/>
          <w:szCs w:val="20"/>
        </w:rPr>
        <w:t>(2010).</w:t>
      </w:r>
      <w:r w:rsidR="00850745" w:rsidRPr="004746EA">
        <w:rPr>
          <w:sz w:val="20"/>
          <w:szCs w:val="20"/>
        </w:rPr>
        <w:t xml:space="preserve"> </w:t>
      </w:r>
      <w:r w:rsidRPr="004746EA">
        <w:rPr>
          <w:sz w:val="20"/>
          <w:szCs w:val="20"/>
        </w:rPr>
        <w:t>Healing</w:t>
      </w:r>
      <w:r w:rsidR="00850745" w:rsidRPr="004746EA">
        <w:rPr>
          <w:sz w:val="20"/>
          <w:szCs w:val="20"/>
        </w:rPr>
        <w:t xml:space="preserve"> </w:t>
      </w:r>
      <w:r w:rsidRPr="004746EA">
        <w:rPr>
          <w:sz w:val="20"/>
          <w:szCs w:val="20"/>
        </w:rPr>
        <w:t>of</w:t>
      </w:r>
      <w:r w:rsidR="00850745" w:rsidRPr="004746EA">
        <w:rPr>
          <w:sz w:val="20"/>
          <w:szCs w:val="20"/>
        </w:rPr>
        <w:t xml:space="preserve"> </w:t>
      </w:r>
      <w:r w:rsidRPr="004746EA">
        <w:rPr>
          <w:sz w:val="20"/>
          <w:szCs w:val="20"/>
        </w:rPr>
        <w:t>tooth</w:t>
      </w:r>
      <w:r w:rsidR="00850745" w:rsidRPr="004746EA">
        <w:rPr>
          <w:sz w:val="20"/>
          <w:szCs w:val="20"/>
        </w:rPr>
        <w:t xml:space="preserve"> </w:t>
      </w:r>
      <w:r w:rsidRPr="004746EA">
        <w:rPr>
          <w:sz w:val="20"/>
          <w:szCs w:val="20"/>
        </w:rPr>
        <w:t>extraction</w:t>
      </w:r>
      <w:r w:rsidR="00850745" w:rsidRPr="004746EA">
        <w:rPr>
          <w:sz w:val="20"/>
          <w:szCs w:val="20"/>
        </w:rPr>
        <w:t xml:space="preserve"> </w:t>
      </w:r>
      <w:r w:rsidRPr="004746EA">
        <w:rPr>
          <w:sz w:val="20"/>
          <w:szCs w:val="20"/>
        </w:rPr>
        <w:t>sockets</w:t>
      </w:r>
      <w:r w:rsidR="00850745" w:rsidRPr="004746EA">
        <w:rPr>
          <w:sz w:val="20"/>
          <w:szCs w:val="20"/>
        </w:rPr>
        <w:t xml:space="preserve"> </w:t>
      </w:r>
      <w:r w:rsidRPr="004746EA">
        <w:rPr>
          <w:sz w:val="20"/>
          <w:szCs w:val="20"/>
        </w:rPr>
        <w:t>in</w:t>
      </w:r>
      <w:r w:rsidR="00850745" w:rsidRPr="004746EA">
        <w:rPr>
          <w:sz w:val="20"/>
          <w:szCs w:val="20"/>
        </w:rPr>
        <w:t xml:space="preserve"> </w:t>
      </w:r>
      <w:r w:rsidRPr="004746EA">
        <w:rPr>
          <w:sz w:val="20"/>
          <w:szCs w:val="20"/>
        </w:rPr>
        <w:t>the</w:t>
      </w:r>
      <w:r w:rsidR="00850745" w:rsidRPr="004746EA">
        <w:rPr>
          <w:sz w:val="20"/>
          <w:szCs w:val="20"/>
        </w:rPr>
        <w:t xml:space="preserve"> </w:t>
      </w:r>
      <w:r w:rsidRPr="004746EA">
        <w:rPr>
          <w:sz w:val="20"/>
          <w:szCs w:val="20"/>
        </w:rPr>
        <w:t>streptozotocin</w:t>
      </w:r>
      <w:r w:rsidR="00850745" w:rsidRPr="004746EA">
        <w:rPr>
          <w:sz w:val="20"/>
          <w:szCs w:val="20"/>
        </w:rPr>
        <w:t xml:space="preserve"> </w:t>
      </w:r>
      <w:r w:rsidRPr="004746EA">
        <w:rPr>
          <w:sz w:val="20"/>
          <w:szCs w:val="20"/>
        </w:rPr>
        <w:t>diabetic</w:t>
      </w:r>
      <w:r w:rsidR="00850745" w:rsidRPr="004746EA">
        <w:rPr>
          <w:sz w:val="20"/>
          <w:szCs w:val="20"/>
        </w:rPr>
        <w:t xml:space="preserve"> </w:t>
      </w:r>
      <w:r w:rsidRPr="004746EA">
        <w:rPr>
          <w:sz w:val="20"/>
          <w:szCs w:val="20"/>
        </w:rPr>
        <w:t>rat</w:t>
      </w:r>
      <w:r w:rsidR="00850745" w:rsidRPr="004746EA">
        <w:rPr>
          <w:sz w:val="20"/>
          <w:szCs w:val="20"/>
        </w:rPr>
        <w:t xml:space="preserve"> </w:t>
      </w:r>
      <w:r w:rsidRPr="004746EA">
        <w:rPr>
          <w:sz w:val="20"/>
          <w:szCs w:val="20"/>
        </w:rPr>
        <w:t>model:</w:t>
      </w:r>
      <w:r w:rsidR="00850745" w:rsidRPr="004746EA">
        <w:rPr>
          <w:sz w:val="20"/>
          <w:szCs w:val="20"/>
        </w:rPr>
        <w:t xml:space="preserve"> </w:t>
      </w:r>
      <w:r w:rsidRPr="004746EA">
        <w:rPr>
          <w:sz w:val="20"/>
          <w:szCs w:val="20"/>
        </w:rPr>
        <w:t>Induction</w:t>
      </w:r>
      <w:r w:rsidR="00850745" w:rsidRPr="004746EA">
        <w:rPr>
          <w:sz w:val="20"/>
          <w:szCs w:val="20"/>
        </w:rPr>
        <w:t xml:space="preserve"> </w:t>
      </w:r>
      <w:r w:rsidRPr="004746EA">
        <w:rPr>
          <w:sz w:val="20"/>
          <w:szCs w:val="20"/>
        </w:rPr>
        <w:t>of</w:t>
      </w:r>
      <w:r w:rsidR="00850745" w:rsidRPr="004746EA">
        <w:rPr>
          <w:sz w:val="20"/>
          <w:szCs w:val="20"/>
        </w:rPr>
        <w:t xml:space="preserve"> </w:t>
      </w:r>
      <w:r w:rsidRPr="004746EA">
        <w:rPr>
          <w:sz w:val="20"/>
          <w:szCs w:val="20"/>
        </w:rPr>
        <w:t>cartilage</w:t>
      </w:r>
      <w:r w:rsidR="00850745" w:rsidRPr="004746EA">
        <w:rPr>
          <w:sz w:val="20"/>
          <w:szCs w:val="20"/>
        </w:rPr>
        <w:t xml:space="preserve"> </w:t>
      </w:r>
      <w:r w:rsidRPr="004746EA">
        <w:rPr>
          <w:sz w:val="20"/>
          <w:szCs w:val="20"/>
        </w:rPr>
        <w:t>by</w:t>
      </w:r>
      <w:r w:rsidR="00850745" w:rsidRPr="004746EA">
        <w:rPr>
          <w:sz w:val="20"/>
          <w:szCs w:val="20"/>
        </w:rPr>
        <w:t xml:space="preserve"> </w:t>
      </w:r>
      <w:r w:rsidRPr="004746EA">
        <w:rPr>
          <w:sz w:val="20"/>
          <w:szCs w:val="20"/>
        </w:rPr>
        <w:t>BMP-6.</w:t>
      </w:r>
      <w:r w:rsidR="00850745" w:rsidRPr="004746EA">
        <w:rPr>
          <w:sz w:val="20"/>
          <w:szCs w:val="20"/>
        </w:rPr>
        <w:t xml:space="preserve"> </w:t>
      </w:r>
      <w:r w:rsidRPr="004746EA">
        <w:rPr>
          <w:i/>
          <w:sz w:val="20"/>
          <w:szCs w:val="20"/>
        </w:rPr>
        <w:t>Growth</w:t>
      </w:r>
      <w:r w:rsidR="00850745" w:rsidRPr="004746EA">
        <w:rPr>
          <w:i/>
          <w:sz w:val="20"/>
          <w:szCs w:val="20"/>
        </w:rPr>
        <w:t xml:space="preserve"> </w:t>
      </w:r>
      <w:r w:rsidRPr="004746EA">
        <w:rPr>
          <w:i/>
          <w:sz w:val="20"/>
          <w:szCs w:val="20"/>
        </w:rPr>
        <w:t>Factors</w:t>
      </w:r>
      <w:r w:rsidRPr="004746EA">
        <w:rPr>
          <w:sz w:val="20"/>
          <w:szCs w:val="20"/>
        </w:rPr>
        <w:t>,</w:t>
      </w:r>
      <w:r w:rsidR="00850745" w:rsidRPr="004746EA">
        <w:rPr>
          <w:sz w:val="20"/>
          <w:szCs w:val="20"/>
        </w:rPr>
        <w:t xml:space="preserve"> </w:t>
      </w:r>
      <w:r w:rsidRPr="004746EA">
        <w:rPr>
          <w:sz w:val="20"/>
          <w:szCs w:val="20"/>
        </w:rPr>
        <w:t>28(6):447-51.</w:t>
      </w:r>
      <w:r w:rsidR="00850745" w:rsidRPr="004746EA">
        <w:rPr>
          <w:sz w:val="20"/>
          <w:szCs w:val="20"/>
        </w:rPr>
        <w:t xml:space="preserve"> </w:t>
      </w:r>
      <w:r w:rsidRPr="004746EA">
        <w:rPr>
          <w:sz w:val="20"/>
          <w:szCs w:val="20"/>
        </w:rPr>
        <w:t>DOI:10.3109/08977194.2010.527966</w:t>
      </w:r>
      <w:r w:rsidR="004746EA">
        <w:rPr>
          <w:rFonts w:eastAsiaTheme="minorEastAsia" w:hint="eastAsia"/>
          <w:sz w:val="20"/>
          <w:szCs w:val="20"/>
          <w:lang w:eastAsia="zh-CN"/>
        </w:rPr>
        <w:t>.</w:t>
      </w:r>
    </w:p>
    <w:p w:rsidR="00C84485" w:rsidRPr="004746EA" w:rsidRDefault="00C84485" w:rsidP="00C84485">
      <w:pPr>
        <w:pStyle w:val="ListParagraph"/>
        <w:snapToGrid w:val="0"/>
        <w:ind w:left="0" w:right="0" w:firstLine="425"/>
        <w:jc w:val="both"/>
        <w:rPr>
          <w:sz w:val="20"/>
          <w:szCs w:val="20"/>
        </w:rPr>
        <w:sectPr w:rsidR="00C84485" w:rsidRPr="004746EA" w:rsidSect="00C84485">
          <w:type w:val="continuous"/>
          <w:pgSz w:w="12240" w:h="15840"/>
          <w:pgMar w:top="1440" w:right="1440" w:bottom="1440" w:left="1440" w:header="720" w:footer="720" w:gutter="0"/>
          <w:cols w:num="2" w:space="550"/>
          <w:docGrid w:linePitch="299"/>
        </w:sectPr>
      </w:pPr>
    </w:p>
    <w:p w:rsidR="00850745" w:rsidRPr="004746EA" w:rsidRDefault="00850745" w:rsidP="00C84485">
      <w:pPr>
        <w:pStyle w:val="ListParagraph"/>
        <w:snapToGrid w:val="0"/>
        <w:ind w:left="0" w:right="0" w:firstLine="425"/>
        <w:jc w:val="both"/>
        <w:rPr>
          <w:rFonts w:eastAsiaTheme="minorEastAsia"/>
          <w:sz w:val="20"/>
          <w:szCs w:val="20"/>
          <w:lang w:eastAsia="zh-CN"/>
        </w:rPr>
      </w:pPr>
    </w:p>
    <w:p w:rsidR="00C84485" w:rsidRPr="004746EA" w:rsidRDefault="00C84485" w:rsidP="00C84485">
      <w:pPr>
        <w:pStyle w:val="ListParagraph"/>
        <w:snapToGrid w:val="0"/>
        <w:ind w:left="0" w:right="0" w:firstLine="425"/>
        <w:jc w:val="both"/>
        <w:rPr>
          <w:rFonts w:eastAsiaTheme="minorEastAsia"/>
          <w:sz w:val="20"/>
          <w:szCs w:val="20"/>
          <w:lang w:eastAsia="zh-CN"/>
        </w:rPr>
      </w:pPr>
    </w:p>
    <w:p w:rsidR="00C84485" w:rsidRPr="004746EA" w:rsidRDefault="00C84485" w:rsidP="00C84485">
      <w:pPr>
        <w:pStyle w:val="ListParagraph"/>
        <w:snapToGrid w:val="0"/>
        <w:ind w:left="0" w:right="0" w:firstLine="425"/>
        <w:jc w:val="both"/>
        <w:rPr>
          <w:rFonts w:eastAsiaTheme="minorEastAsia"/>
          <w:sz w:val="20"/>
          <w:szCs w:val="20"/>
          <w:lang w:eastAsia="zh-CN"/>
        </w:rPr>
      </w:pPr>
    </w:p>
    <w:p w:rsidR="00BA77D2" w:rsidRPr="004746EA" w:rsidRDefault="00850745" w:rsidP="00C84485">
      <w:pPr>
        <w:pStyle w:val="ListParagraph"/>
        <w:snapToGrid w:val="0"/>
        <w:ind w:left="0" w:right="0"/>
        <w:jc w:val="both"/>
        <w:rPr>
          <w:sz w:val="20"/>
          <w:szCs w:val="20"/>
        </w:rPr>
      </w:pPr>
      <w:r w:rsidRPr="004746EA">
        <w:rPr>
          <w:sz w:val="20"/>
          <w:szCs w:val="20"/>
        </w:rPr>
        <w:t>10/29/2019</w:t>
      </w:r>
    </w:p>
    <w:sectPr w:rsidR="00BA77D2" w:rsidRPr="004746EA" w:rsidSect="00850745">
      <w:type w:val="continuous"/>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691" w:rsidRDefault="00610691" w:rsidP="00F419A5">
      <w:r>
        <w:separator/>
      </w:r>
    </w:p>
  </w:endnote>
  <w:endnote w:type="continuationSeparator" w:id="0">
    <w:p w:rsidR="00610691" w:rsidRDefault="00610691" w:rsidP="00F419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485" w:rsidRPr="00995D72" w:rsidRDefault="009E1116" w:rsidP="00995D72">
    <w:pPr>
      <w:jc w:val="center"/>
      <w:rPr>
        <w:sz w:val="20"/>
      </w:rPr>
    </w:pPr>
    <w:r w:rsidRPr="00995D72">
      <w:rPr>
        <w:sz w:val="20"/>
      </w:rPr>
      <w:fldChar w:fldCharType="begin"/>
    </w:r>
    <w:r w:rsidR="00995D72" w:rsidRPr="00995D72">
      <w:rPr>
        <w:sz w:val="20"/>
      </w:rPr>
      <w:instrText xml:space="preserve"> page </w:instrText>
    </w:r>
    <w:r w:rsidRPr="00995D72">
      <w:rPr>
        <w:sz w:val="20"/>
      </w:rPr>
      <w:fldChar w:fldCharType="separate"/>
    </w:r>
    <w:r w:rsidR="00764C7B">
      <w:rPr>
        <w:noProof/>
        <w:sz w:val="20"/>
      </w:rPr>
      <w:t>9</w:t>
    </w:r>
    <w:r w:rsidRPr="00995D7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691" w:rsidRDefault="00610691" w:rsidP="00F419A5">
      <w:r>
        <w:separator/>
      </w:r>
    </w:p>
  </w:footnote>
  <w:footnote w:type="continuationSeparator" w:id="0">
    <w:p w:rsidR="00610691" w:rsidRDefault="00610691" w:rsidP="00F41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D72" w:rsidRPr="0029583F" w:rsidRDefault="0029583F" w:rsidP="0029583F">
    <w:pPr>
      <w:pStyle w:val="Header"/>
      <w:rPr>
        <w:szCs w:val="20"/>
      </w:rPr>
    </w:pPr>
    <w:r>
      <w:rPr>
        <w:noProof/>
        <w:szCs w:val="20"/>
        <w:lang w:eastAsia="zh-CN" w:bidi="ar-SA"/>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3F" w:rsidRPr="00995D72" w:rsidRDefault="0029583F" w:rsidP="00995D72">
    <w:pPr>
      <w:pBdr>
        <w:bottom w:val="thinThickMediumGap" w:sz="12" w:space="1" w:color="auto"/>
      </w:pBdr>
      <w:tabs>
        <w:tab w:val="left" w:pos="851"/>
        <w:tab w:val="right" w:pos="8364"/>
      </w:tabs>
      <w:adjustRightInd w:val="0"/>
      <w:snapToGrid w:val="0"/>
      <w:jc w:val="both"/>
      <w:rPr>
        <w:iCs/>
        <w:sz w:val="20"/>
        <w:szCs w:val="20"/>
      </w:rPr>
    </w:pPr>
    <w:r w:rsidRPr="00995D72">
      <w:rPr>
        <w:rFonts w:hint="eastAsia"/>
        <w:sz w:val="20"/>
        <w:szCs w:val="20"/>
      </w:rPr>
      <w:tab/>
    </w:r>
    <w:r w:rsidRPr="00995D72">
      <w:rPr>
        <w:sz w:val="20"/>
        <w:szCs w:val="20"/>
      </w:rPr>
      <w:t>New York Science Journal 201</w:t>
    </w:r>
    <w:r w:rsidRPr="00995D72">
      <w:rPr>
        <w:rFonts w:hint="eastAsia"/>
        <w:sz w:val="20"/>
        <w:szCs w:val="20"/>
      </w:rPr>
      <w:t>9</w:t>
    </w:r>
    <w:r w:rsidRPr="00995D72">
      <w:rPr>
        <w:sz w:val="20"/>
        <w:szCs w:val="20"/>
      </w:rPr>
      <w:t>;</w:t>
    </w:r>
    <w:r w:rsidRPr="00995D72">
      <w:rPr>
        <w:rFonts w:hint="eastAsia"/>
        <w:sz w:val="20"/>
        <w:szCs w:val="20"/>
      </w:rPr>
      <w:t>12</w:t>
    </w:r>
    <w:r w:rsidRPr="00995D72">
      <w:rPr>
        <w:sz w:val="20"/>
        <w:szCs w:val="20"/>
      </w:rPr>
      <w:t>(</w:t>
    </w:r>
    <w:r w:rsidRPr="00995D72">
      <w:rPr>
        <w:rFonts w:hint="eastAsia"/>
        <w:sz w:val="20"/>
        <w:szCs w:val="20"/>
      </w:rPr>
      <w:t>11</w:t>
    </w:r>
    <w:r w:rsidRPr="00995D72">
      <w:rPr>
        <w:sz w:val="20"/>
        <w:szCs w:val="20"/>
      </w:rPr>
      <w:t>)</w:t>
    </w:r>
    <w:r w:rsidRPr="00995D72">
      <w:rPr>
        <w:iCs/>
        <w:sz w:val="20"/>
        <w:szCs w:val="20"/>
      </w:rPr>
      <w:t xml:space="preserve"> </w:t>
    </w:r>
    <w:r w:rsidRPr="00995D72">
      <w:rPr>
        <w:rFonts w:hint="eastAsia"/>
        <w:iCs/>
        <w:sz w:val="20"/>
        <w:szCs w:val="20"/>
      </w:rPr>
      <w:tab/>
    </w:r>
    <w:r w:rsidRPr="00995D72">
      <w:rPr>
        <w:iCs/>
        <w:sz w:val="20"/>
        <w:szCs w:val="20"/>
      </w:rPr>
      <w:t xml:space="preserve">  </w:t>
    </w:r>
    <w:hyperlink r:id="rId1" w:history="1">
      <w:r w:rsidRPr="00995D72">
        <w:rPr>
          <w:rStyle w:val="Hyperlink"/>
          <w:color w:val="0000FF"/>
          <w:sz w:val="20"/>
          <w:szCs w:val="20"/>
        </w:rPr>
        <w:t>http://www.sciencepub.net/newyork</w:t>
      </w:r>
    </w:hyperlink>
    <w:r w:rsidRPr="00995D72">
      <w:rPr>
        <w:rFonts w:hint="eastAsia"/>
        <w:sz w:val="20"/>
      </w:rPr>
      <w:t xml:space="preserve">   </w:t>
    </w:r>
    <w:r w:rsidRPr="00995D72">
      <w:rPr>
        <w:rFonts w:hint="eastAsia"/>
        <w:b/>
        <w:i/>
        <w:color w:val="FF0000"/>
        <w:sz w:val="20"/>
        <w:szCs w:val="20"/>
        <w:bdr w:val="single" w:sz="4" w:space="0" w:color="FF0000"/>
      </w:rPr>
      <w:t>NYJ</w:t>
    </w:r>
  </w:p>
  <w:p w:rsidR="0029583F" w:rsidRPr="00995D72" w:rsidRDefault="0029583F" w:rsidP="00995D72">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20B1"/>
    <w:multiLevelType w:val="hybridMultilevel"/>
    <w:tmpl w:val="74F65E8C"/>
    <w:lvl w:ilvl="0" w:tplc="93C8F120">
      <w:start w:val="1"/>
      <w:numFmt w:val="decimal"/>
      <w:lvlText w:val="%1."/>
      <w:lvlJc w:val="left"/>
      <w:pPr>
        <w:ind w:left="180" w:hanging="240"/>
      </w:pPr>
      <w:rPr>
        <w:rFonts w:hint="default"/>
        <w:i w:val="0"/>
        <w:iCs/>
        <w:w w:val="100"/>
        <w:lang w:val="en-US" w:eastAsia="en-US" w:bidi="en-US"/>
      </w:rPr>
    </w:lvl>
    <w:lvl w:ilvl="1" w:tplc="B9AA22A2">
      <w:numFmt w:val="bullet"/>
      <w:lvlText w:val="•"/>
      <w:lvlJc w:val="left"/>
      <w:pPr>
        <w:ind w:left="1085" w:hanging="240"/>
      </w:pPr>
      <w:rPr>
        <w:rFonts w:hint="default"/>
        <w:lang w:val="en-US" w:eastAsia="en-US" w:bidi="en-US"/>
      </w:rPr>
    </w:lvl>
    <w:lvl w:ilvl="2" w:tplc="08D8933E">
      <w:numFmt w:val="bullet"/>
      <w:lvlText w:val="•"/>
      <w:lvlJc w:val="left"/>
      <w:pPr>
        <w:ind w:left="1991" w:hanging="240"/>
      </w:pPr>
      <w:rPr>
        <w:rFonts w:hint="default"/>
        <w:lang w:val="en-US" w:eastAsia="en-US" w:bidi="en-US"/>
      </w:rPr>
    </w:lvl>
    <w:lvl w:ilvl="3" w:tplc="22D47712">
      <w:numFmt w:val="bullet"/>
      <w:lvlText w:val="•"/>
      <w:lvlJc w:val="left"/>
      <w:pPr>
        <w:ind w:left="2897" w:hanging="240"/>
      </w:pPr>
      <w:rPr>
        <w:rFonts w:hint="default"/>
        <w:lang w:val="en-US" w:eastAsia="en-US" w:bidi="en-US"/>
      </w:rPr>
    </w:lvl>
    <w:lvl w:ilvl="4" w:tplc="674404E4">
      <w:numFmt w:val="bullet"/>
      <w:lvlText w:val="•"/>
      <w:lvlJc w:val="left"/>
      <w:pPr>
        <w:ind w:left="3803" w:hanging="240"/>
      </w:pPr>
      <w:rPr>
        <w:rFonts w:hint="default"/>
        <w:lang w:val="en-US" w:eastAsia="en-US" w:bidi="en-US"/>
      </w:rPr>
    </w:lvl>
    <w:lvl w:ilvl="5" w:tplc="04BC1040">
      <w:numFmt w:val="bullet"/>
      <w:lvlText w:val="•"/>
      <w:lvlJc w:val="left"/>
      <w:pPr>
        <w:ind w:left="4709" w:hanging="240"/>
      </w:pPr>
      <w:rPr>
        <w:rFonts w:hint="default"/>
        <w:lang w:val="en-US" w:eastAsia="en-US" w:bidi="en-US"/>
      </w:rPr>
    </w:lvl>
    <w:lvl w:ilvl="6" w:tplc="A2CE2EF8">
      <w:numFmt w:val="bullet"/>
      <w:lvlText w:val="•"/>
      <w:lvlJc w:val="left"/>
      <w:pPr>
        <w:ind w:left="5615" w:hanging="240"/>
      </w:pPr>
      <w:rPr>
        <w:rFonts w:hint="default"/>
        <w:lang w:val="en-US" w:eastAsia="en-US" w:bidi="en-US"/>
      </w:rPr>
    </w:lvl>
    <w:lvl w:ilvl="7" w:tplc="4F944958">
      <w:numFmt w:val="bullet"/>
      <w:lvlText w:val="•"/>
      <w:lvlJc w:val="left"/>
      <w:pPr>
        <w:ind w:left="6521" w:hanging="240"/>
      </w:pPr>
      <w:rPr>
        <w:rFonts w:hint="default"/>
        <w:lang w:val="en-US" w:eastAsia="en-US" w:bidi="en-US"/>
      </w:rPr>
    </w:lvl>
    <w:lvl w:ilvl="8" w:tplc="449226B8">
      <w:numFmt w:val="bullet"/>
      <w:lvlText w:val="•"/>
      <w:lvlJc w:val="left"/>
      <w:pPr>
        <w:ind w:left="7427" w:hanging="240"/>
      </w:pPr>
      <w:rPr>
        <w:rFonts w:hint="default"/>
        <w:lang w:val="en-US" w:eastAsia="en-US" w:bidi="en-US"/>
      </w:rPr>
    </w:lvl>
  </w:abstractNum>
  <w:abstractNum w:abstractNumId="1">
    <w:nsid w:val="5BCA0CA6"/>
    <w:multiLevelType w:val="hybridMultilevel"/>
    <w:tmpl w:val="D08AB7F6"/>
    <w:lvl w:ilvl="0" w:tplc="D3DC19F2">
      <w:start w:val="1"/>
      <w:numFmt w:val="decimal"/>
      <w:lvlText w:val="%1."/>
      <w:lvlJc w:val="left"/>
      <w:pPr>
        <w:ind w:left="900" w:hanging="360"/>
      </w:pPr>
      <w:rPr>
        <w:rFonts w:ascii="Times New Roman" w:eastAsia="Times New Roman" w:hAnsi="Times New Roman" w:cs="Times New Roman" w:hint="default"/>
        <w:spacing w:val="0"/>
        <w:w w:val="99"/>
        <w:sz w:val="20"/>
        <w:szCs w:val="20"/>
        <w:lang w:val="en-US" w:eastAsia="en-US" w:bidi="en-US"/>
      </w:rPr>
    </w:lvl>
    <w:lvl w:ilvl="1" w:tplc="D3D2CEEE">
      <w:numFmt w:val="bullet"/>
      <w:lvlText w:val="•"/>
      <w:lvlJc w:val="left"/>
      <w:pPr>
        <w:ind w:left="1733" w:hanging="360"/>
      </w:pPr>
      <w:rPr>
        <w:rFonts w:hint="default"/>
        <w:lang w:val="en-US" w:eastAsia="en-US" w:bidi="en-US"/>
      </w:rPr>
    </w:lvl>
    <w:lvl w:ilvl="2" w:tplc="FC980DE8">
      <w:numFmt w:val="bullet"/>
      <w:lvlText w:val="•"/>
      <w:lvlJc w:val="left"/>
      <w:pPr>
        <w:ind w:left="2567" w:hanging="360"/>
      </w:pPr>
      <w:rPr>
        <w:rFonts w:hint="default"/>
        <w:lang w:val="en-US" w:eastAsia="en-US" w:bidi="en-US"/>
      </w:rPr>
    </w:lvl>
    <w:lvl w:ilvl="3" w:tplc="D49C20F6">
      <w:numFmt w:val="bullet"/>
      <w:lvlText w:val="•"/>
      <w:lvlJc w:val="left"/>
      <w:pPr>
        <w:ind w:left="3401" w:hanging="360"/>
      </w:pPr>
      <w:rPr>
        <w:rFonts w:hint="default"/>
        <w:lang w:val="en-US" w:eastAsia="en-US" w:bidi="en-US"/>
      </w:rPr>
    </w:lvl>
    <w:lvl w:ilvl="4" w:tplc="C1BE3CFC">
      <w:numFmt w:val="bullet"/>
      <w:lvlText w:val="•"/>
      <w:lvlJc w:val="left"/>
      <w:pPr>
        <w:ind w:left="4235" w:hanging="360"/>
      </w:pPr>
      <w:rPr>
        <w:rFonts w:hint="default"/>
        <w:lang w:val="en-US" w:eastAsia="en-US" w:bidi="en-US"/>
      </w:rPr>
    </w:lvl>
    <w:lvl w:ilvl="5" w:tplc="F9DABCB8">
      <w:numFmt w:val="bullet"/>
      <w:lvlText w:val="•"/>
      <w:lvlJc w:val="left"/>
      <w:pPr>
        <w:ind w:left="5069" w:hanging="360"/>
      </w:pPr>
      <w:rPr>
        <w:rFonts w:hint="default"/>
        <w:lang w:val="en-US" w:eastAsia="en-US" w:bidi="en-US"/>
      </w:rPr>
    </w:lvl>
    <w:lvl w:ilvl="6" w:tplc="5E729A9E">
      <w:numFmt w:val="bullet"/>
      <w:lvlText w:val="•"/>
      <w:lvlJc w:val="left"/>
      <w:pPr>
        <w:ind w:left="5903" w:hanging="360"/>
      </w:pPr>
      <w:rPr>
        <w:rFonts w:hint="default"/>
        <w:lang w:val="en-US" w:eastAsia="en-US" w:bidi="en-US"/>
      </w:rPr>
    </w:lvl>
    <w:lvl w:ilvl="7" w:tplc="24147066">
      <w:numFmt w:val="bullet"/>
      <w:lvlText w:val="•"/>
      <w:lvlJc w:val="left"/>
      <w:pPr>
        <w:ind w:left="6737" w:hanging="360"/>
      </w:pPr>
      <w:rPr>
        <w:rFonts w:hint="default"/>
        <w:lang w:val="en-US" w:eastAsia="en-US" w:bidi="en-US"/>
      </w:rPr>
    </w:lvl>
    <w:lvl w:ilvl="8" w:tplc="760885FA">
      <w:numFmt w:val="bullet"/>
      <w:lvlText w:val="•"/>
      <w:lvlJc w:val="left"/>
      <w:pPr>
        <w:ind w:left="7571" w:hanging="360"/>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lTrailSpace/>
    <w:useFELayout/>
  </w:compat>
  <w:rsids>
    <w:rsidRoot w:val="000B7D36"/>
    <w:rsid w:val="00006715"/>
    <w:rsid w:val="00054283"/>
    <w:rsid w:val="000B7D36"/>
    <w:rsid w:val="001125C4"/>
    <w:rsid w:val="001647E4"/>
    <w:rsid w:val="001C45F8"/>
    <w:rsid w:val="00224EEB"/>
    <w:rsid w:val="0029583F"/>
    <w:rsid w:val="00311497"/>
    <w:rsid w:val="003F5BED"/>
    <w:rsid w:val="004746EA"/>
    <w:rsid w:val="00526E4F"/>
    <w:rsid w:val="005F749D"/>
    <w:rsid w:val="00610691"/>
    <w:rsid w:val="00622BA4"/>
    <w:rsid w:val="00764C7B"/>
    <w:rsid w:val="007F0213"/>
    <w:rsid w:val="007F0DBE"/>
    <w:rsid w:val="00850745"/>
    <w:rsid w:val="00860E14"/>
    <w:rsid w:val="008A76EA"/>
    <w:rsid w:val="008B379E"/>
    <w:rsid w:val="00952E1B"/>
    <w:rsid w:val="00995D72"/>
    <w:rsid w:val="009E1116"/>
    <w:rsid w:val="00AC578C"/>
    <w:rsid w:val="00AE53D2"/>
    <w:rsid w:val="00BA098A"/>
    <w:rsid w:val="00BA77D2"/>
    <w:rsid w:val="00C84485"/>
    <w:rsid w:val="00CD129F"/>
    <w:rsid w:val="00D51306"/>
    <w:rsid w:val="00DA2496"/>
    <w:rsid w:val="00F3358D"/>
    <w:rsid w:val="00F419A5"/>
    <w:rsid w:val="00FA28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B7D36"/>
    <w:rPr>
      <w:rFonts w:ascii="Times New Roman" w:eastAsia="Times New Roman" w:hAnsi="Times New Roman" w:cs="Times New Roman"/>
      <w:lang w:bidi="en-US"/>
    </w:rPr>
  </w:style>
  <w:style w:type="paragraph" w:styleId="Heading1">
    <w:name w:val="heading 1"/>
    <w:basedOn w:val="Normal"/>
    <w:uiPriority w:val="1"/>
    <w:qFormat/>
    <w:rsid w:val="000B7D36"/>
    <w:pPr>
      <w:ind w:left="1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B7D36"/>
    <w:pPr>
      <w:ind w:left="180"/>
    </w:pPr>
    <w:rPr>
      <w:sz w:val="24"/>
      <w:szCs w:val="24"/>
    </w:rPr>
  </w:style>
  <w:style w:type="paragraph" w:styleId="ListParagraph">
    <w:name w:val="List Paragraph"/>
    <w:basedOn w:val="Normal"/>
    <w:uiPriority w:val="1"/>
    <w:qFormat/>
    <w:rsid w:val="000B7D36"/>
    <w:pPr>
      <w:ind w:left="180" w:right="1218"/>
    </w:pPr>
  </w:style>
  <w:style w:type="paragraph" w:customStyle="1" w:styleId="TableParagraph">
    <w:name w:val="Table Paragraph"/>
    <w:basedOn w:val="Normal"/>
    <w:uiPriority w:val="1"/>
    <w:qFormat/>
    <w:rsid w:val="000B7D36"/>
  </w:style>
  <w:style w:type="character" w:styleId="Hyperlink">
    <w:name w:val="Hyperlink"/>
    <w:basedOn w:val="DefaultParagraphFont"/>
    <w:uiPriority w:val="99"/>
    <w:unhideWhenUsed/>
    <w:rsid w:val="001647E4"/>
    <w:rPr>
      <w:color w:val="0000FF" w:themeColor="hyperlink"/>
      <w:u w:val="single"/>
    </w:rPr>
  </w:style>
  <w:style w:type="table" w:customStyle="1" w:styleId="LightShading1">
    <w:name w:val="Light Shading1"/>
    <w:basedOn w:val="TableNormal"/>
    <w:uiPriority w:val="60"/>
    <w:rsid w:val="00F419A5"/>
    <w:pPr>
      <w:widowControl/>
      <w:autoSpaceDE/>
      <w:autoSpaceDN/>
    </w:pPr>
    <w:rPr>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F419A5"/>
    <w:pPr>
      <w:tabs>
        <w:tab w:val="center" w:pos="4153"/>
        <w:tab w:val="right" w:pos="8306"/>
      </w:tabs>
    </w:pPr>
  </w:style>
  <w:style w:type="character" w:customStyle="1" w:styleId="HeaderChar">
    <w:name w:val="Header Char"/>
    <w:basedOn w:val="DefaultParagraphFont"/>
    <w:link w:val="Header"/>
    <w:uiPriority w:val="99"/>
    <w:semiHidden/>
    <w:rsid w:val="00F419A5"/>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F419A5"/>
    <w:pPr>
      <w:tabs>
        <w:tab w:val="center" w:pos="4153"/>
        <w:tab w:val="right" w:pos="8306"/>
      </w:tabs>
    </w:pPr>
  </w:style>
  <w:style w:type="character" w:customStyle="1" w:styleId="FooterChar">
    <w:name w:val="Footer Char"/>
    <w:basedOn w:val="DefaultParagraphFont"/>
    <w:link w:val="Footer"/>
    <w:uiPriority w:val="99"/>
    <w:semiHidden/>
    <w:rsid w:val="00F419A5"/>
    <w:rPr>
      <w:rFonts w:ascii="Times New Roman" w:eastAsia="Times New Roman" w:hAnsi="Times New Roman" w:cs="Times New Roman"/>
      <w:lang w:bidi="en-US"/>
    </w:rPr>
  </w:style>
  <w:style w:type="paragraph" w:customStyle="1" w:styleId="Default">
    <w:name w:val="Default"/>
    <w:rsid w:val="00CD129F"/>
    <w:pPr>
      <w:widowControl/>
      <w:pBdr>
        <w:top w:val="nil"/>
        <w:left w:val="nil"/>
        <w:bottom w:val="nil"/>
        <w:right w:val="nil"/>
        <w:between w:val="nil"/>
        <w:bar w:val="nil"/>
      </w:pBdr>
      <w:autoSpaceDE/>
      <w:autoSpaceDN/>
    </w:pPr>
    <w:rPr>
      <w:rFonts w:ascii="Helvetica" w:eastAsia="Helvetica" w:hAnsi="Helvetica" w:cs="Helvetica"/>
      <w:color w:val="000000"/>
      <w:bdr w:val="nil"/>
    </w:rPr>
  </w:style>
  <w:style w:type="paragraph" w:styleId="BalloonText">
    <w:name w:val="Balloon Text"/>
    <w:basedOn w:val="Normal"/>
    <w:link w:val="BalloonTextChar"/>
    <w:uiPriority w:val="99"/>
    <w:semiHidden/>
    <w:unhideWhenUsed/>
    <w:rsid w:val="004746EA"/>
    <w:rPr>
      <w:rFonts w:ascii="Tahoma" w:hAnsi="Tahoma" w:cs="Tahoma"/>
      <w:sz w:val="16"/>
      <w:szCs w:val="16"/>
    </w:rPr>
  </w:style>
  <w:style w:type="character" w:customStyle="1" w:styleId="BalloonTextChar">
    <w:name w:val="Balloon Text Char"/>
    <w:basedOn w:val="DefaultParagraphFont"/>
    <w:link w:val="BalloonText"/>
    <w:uiPriority w:val="99"/>
    <w:semiHidden/>
    <w:rsid w:val="004746EA"/>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B7D36"/>
    <w:rPr>
      <w:rFonts w:ascii="Times New Roman" w:eastAsia="Times New Roman" w:hAnsi="Times New Roman" w:cs="Times New Roman"/>
      <w:lang w:bidi="en-US"/>
    </w:rPr>
  </w:style>
  <w:style w:type="paragraph" w:styleId="Heading1">
    <w:name w:val="heading 1"/>
    <w:basedOn w:val="Normal"/>
    <w:uiPriority w:val="1"/>
    <w:qFormat/>
    <w:rsid w:val="000B7D36"/>
    <w:pPr>
      <w:ind w:left="1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B7D36"/>
    <w:pPr>
      <w:ind w:left="180"/>
    </w:pPr>
    <w:rPr>
      <w:sz w:val="24"/>
      <w:szCs w:val="24"/>
    </w:rPr>
  </w:style>
  <w:style w:type="paragraph" w:styleId="ListParagraph">
    <w:name w:val="List Paragraph"/>
    <w:basedOn w:val="Normal"/>
    <w:uiPriority w:val="1"/>
    <w:qFormat/>
    <w:rsid w:val="000B7D36"/>
    <w:pPr>
      <w:ind w:left="180" w:right="1218"/>
    </w:pPr>
  </w:style>
  <w:style w:type="paragraph" w:customStyle="1" w:styleId="TableParagraph">
    <w:name w:val="Table Paragraph"/>
    <w:basedOn w:val="Normal"/>
    <w:uiPriority w:val="1"/>
    <w:qFormat/>
    <w:rsid w:val="000B7D36"/>
  </w:style>
  <w:style w:type="character" w:styleId="Hyperlink">
    <w:name w:val="Hyperlink"/>
    <w:basedOn w:val="DefaultParagraphFont"/>
    <w:uiPriority w:val="99"/>
    <w:unhideWhenUsed/>
    <w:rsid w:val="001647E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yalghamdi@kau.edu.sa" TargetMode="External"/><Relationship Id="rId13" Type="http://schemas.openxmlformats.org/officeDocument/2006/relationships/hyperlink" Target="http://www.dx.doi.org/10.7537/marsnys121119.0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pub.net/newyork" TargetMode="External"/><Relationship Id="rId1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a.mengari@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msbaabdullah@kau.edu.sa" TargetMode="External"/><Relationship Id="rId4" Type="http://schemas.openxmlformats.org/officeDocument/2006/relationships/settings" Target="settings.xml"/><Relationship Id="rId9" Type="http://schemas.openxmlformats.org/officeDocument/2006/relationships/hyperlink" Target="mailto:bjamal@kau.edu.s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88109-2B0A-4AEE-87FD-39D93E8FC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13634</Words>
  <Characters>77715</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91167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Razan Baabdullah</dc:creator>
  <cp:lastModifiedBy>Administrator</cp:lastModifiedBy>
  <cp:revision>3</cp:revision>
  <dcterms:created xsi:type="dcterms:W3CDTF">2019-10-31T13:19:00Z</dcterms:created>
  <dcterms:modified xsi:type="dcterms:W3CDTF">2019-11-01T00:25:00Z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Microsoft® Word 2013</vt:lpwstr>
  </property>
  <property fmtid="{D5CDD505-2E9C-101B-9397-08002B2CF9AE}" pid="4" name="LastSaved">
    <vt:filetime>2019-10-29T00:00:00Z</vt:filetime>
  </property>
</Properties>
</file>