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3E" w:rsidRPr="00F942FF" w:rsidRDefault="00DC4F3E" w:rsidP="00DC4F3E">
      <w:pPr>
        <w:snapToGrid w:val="0"/>
        <w:jc w:val="center"/>
        <w:rPr>
          <w:rFonts w:eastAsiaTheme="minorEastAsia"/>
          <w:b/>
          <w:bCs/>
          <w:sz w:val="20"/>
          <w:szCs w:val="20"/>
        </w:rPr>
      </w:pPr>
    </w:p>
    <w:p w:rsidR="00EB5140" w:rsidRPr="00F942FF" w:rsidRDefault="00B919B7" w:rsidP="00DC4F3E">
      <w:pPr>
        <w:snapToGrid w:val="0"/>
        <w:jc w:val="center"/>
        <w:rPr>
          <w:b/>
          <w:bCs/>
          <w:sz w:val="20"/>
          <w:szCs w:val="20"/>
        </w:rPr>
      </w:pPr>
      <w:r w:rsidRPr="00F942FF">
        <w:rPr>
          <w:b/>
          <w:bCs/>
          <w:sz w:val="20"/>
          <w:szCs w:val="20"/>
        </w:rPr>
        <w:t>Microneedling with Ginkgo Biloba Solution plus Narrow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Band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Ultraviolet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B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Phototherapy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in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the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Treatment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of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Non-Segmental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Vitiligo: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Comparative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Intra-Individual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Placebo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Controlled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Study</w:t>
      </w:r>
    </w:p>
    <w:p w:rsidR="00EB5140" w:rsidRPr="00F942FF" w:rsidRDefault="00EB5140" w:rsidP="00DC4F3E">
      <w:pPr>
        <w:snapToGrid w:val="0"/>
        <w:jc w:val="center"/>
        <w:rPr>
          <w:b/>
          <w:bCs/>
          <w:sz w:val="20"/>
          <w:szCs w:val="20"/>
        </w:rPr>
      </w:pPr>
    </w:p>
    <w:p w:rsidR="00EB5140" w:rsidRPr="00F942FF" w:rsidRDefault="00B919B7" w:rsidP="00DC4F3E">
      <w:pPr>
        <w:snapToGrid w:val="0"/>
        <w:jc w:val="center"/>
        <w:rPr>
          <w:rFonts w:eastAsiaTheme="minorEastAsia"/>
          <w:sz w:val="20"/>
          <w:szCs w:val="20"/>
        </w:rPr>
      </w:pPr>
      <w:r w:rsidRPr="00F942FF">
        <w:rPr>
          <w:sz w:val="20"/>
          <w:szCs w:val="20"/>
          <w:lang w:eastAsia="en-US" w:bidi="ar-EG"/>
        </w:rPr>
        <w:t>Prof.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Dr.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Mohamed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Kotb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Ibrahim,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Dr.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Ibrahim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Mohamed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Abdelkarim,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Mohammed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Abdalla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Ibrahim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Mohamed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Azzam</w:t>
      </w:r>
    </w:p>
    <w:p w:rsidR="00EB5140" w:rsidRPr="00F942FF" w:rsidRDefault="00EB5140" w:rsidP="00DC4F3E">
      <w:pPr>
        <w:snapToGrid w:val="0"/>
        <w:jc w:val="center"/>
        <w:rPr>
          <w:rFonts w:eastAsiaTheme="minorEastAsia"/>
          <w:sz w:val="20"/>
          <w:szCs w:val="20"/>
        </w:rPr>
      </w:pPr>
    </w:p>
    <w:p w:rsidR="00EB5140" w:rsidRPr="00F942FF" w:rsidRDefault="00B919B7" w:rsidP="00DC4F3E">
      <w:pPr>
        <w:snapToGrid w:val="0"/>
        <w:jc w:val="center"/>
        <w:rPr>
          <w:sz w:val="20"/>
          <w:szCs w:val="20"/>
          <w:lang w:eastAsia="en-US" w:bidi="ar-EG"/>
        </w:rPr>
      </w:pPr>
      <w:r w:rsidRPr="00F942FF">
        <w:rPr>
          <w:sz w:val="20"/>
          <w:szCs w:val="20"/>
          <w:lang w:eastAsia="en-US" w:bidi="ar-EG"/>
        </w:rPr>
        <w:t>Dermatology,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Venereology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and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Andrology,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Faculty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of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Medicine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(for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Males)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-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Al-Azhar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University,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Egypt</w:t>
      </w:r>
    </w:p>
    <w:p w:rsidR="00EB5140" w:rsidRPr="00F942FF" w:rsidRDefault="00EB5140" w:rsidP="00DC4F3E">
      <w:pPr>
        <w:snapToGrid w:val="0"/>
        <w:jc w:val="center"/>
        <w:rPr>
          <w:sz w:val="20"/>
          <w:szCs w:val="20"/>
          <w:lang w:eastAsia="en-US" w:bidi="ar-EG"/>
        </w:rPr>
      </w:pPr>
    </w:p>
    <w:p w:rsidR="00B919B7" w:rsidRPr="00F942FF" w:rsidRDefault="00B919B7" w:rsidP="00DC4F3E">
      <w:pPr>
        <w:snapToGrid w:val="0"/>
        <w:jc w:val="both"/>
        <w:rPr>
          <w:b/>
          <w:bCs/>
          <w:sz w:val="20"/>
          <w:szCs w:val="20"/>
        </w:rPr>
      </w:pPr>
      <w:r w:rsidRPr="00F942FF">
        <w:rPr>
          <w:b/>
          <w:bCs/>
          <w:sz w:val="20"/>
          <w:szCs w:val="20"/>
        </w:rPr>
        <w:t>Abstract: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Introduction: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common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cutaneous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disease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characterized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depigmented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skin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that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may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become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source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embracement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affected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individuals.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One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popular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lines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treatment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narrow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widely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used.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Another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aims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induce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minimal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superficial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bleeding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stimulating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releases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growth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factor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start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healing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cascade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restore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normal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structure.</w:t>
      </w:r>
      <w:r w:rsidR="00EB5140" w:rsidRPr="00F942FF">
        <w:rPr>
          <w:rFonts w:eastAsiaTheme="minorEastAsia" w:hint="eastAsia"/>
          <w:sz w:val="20"/>
          <w:szCs w:val="20"/>
        </w:rPr>
        <w:t xml:space="preserve"> </w:t>
      </w:r>
      <w:r w:rsidRPr="00F942FF">
        <w:rPr>
          <w:sz w:val="20"/>
          <w:szCs w:val="20"/>
        </w:rPr>
        <w:t>Although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etiology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not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yet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well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understood,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biochemical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theory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proposed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suggesting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oxidative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stress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vitiliginous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skin.</w:t>
      </w:r>
      <w:r w:rsidR="00EB5140" w:rsidRPr="00F942FF">
        <w:rPr>
          <w:rFonts w:eastAsiaTheme="minorEastAsia" w:hint="eastAsia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plant-based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medicine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antioxidant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many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specialties.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These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antioxidant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properties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play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important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role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protecting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melanocytes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from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oxidative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thus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inhibit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progression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vitiligo.</w:t>
      </w:r>
      <w:r w:rsidR="00EB5140" w:rsidRPr="00F942FF">
        <w:rPr>
          <w:rFonts w:eastAsiaTheme="minorEastAsia" w:hint="eastAsia"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Patients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and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study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design: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randomized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trial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performed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20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selected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from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those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attending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Outpatient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Clinic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Dermatology,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Alhussein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University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Hospital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during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period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from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February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2019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till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November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2019.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sz w:val="20"/>
          <w:szCs w:val="20"/>
        </w:rPr>
        <w:t>All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participants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were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subjected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full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history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taking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complete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Those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who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had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stable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least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last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month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prior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study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beginning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ages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ranging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from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10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65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years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selected.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each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participant,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three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similar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selected;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first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solution;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second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saline;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third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only.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All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12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weeks.</w:t>
      </w:r>
      <w:r w:rsidR="00EB5140" w:rsidRPr="00F942FF">
        <w:rPr>
          <w:rFonts w:eastAsiaTheme="minorEastAsia" w:hint="eastAsia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Assessment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performed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through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three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independent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investigators.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Results: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current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results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revealed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significant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increase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among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females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males.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addition,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positive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family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history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evident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minority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cases.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also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found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that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most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common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type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widely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spread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type.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present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work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found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significant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improvement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exposed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solution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compared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only.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Furthermore,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patients’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satisfaction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significantly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high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first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group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two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groups.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also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revealed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sz w:val="20"/>
          <w:szCs w:val="20"/>
        </w:rPr>
        <w:t>significant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difference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concerning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improvement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between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exposed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exposed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only.</w:t>
      </w:r>
    </w:p>
    <w:p w:rsidR="00DC4F3E" w:rsidRPr="00F942FF" w:rsidRDefault="004340B7" w:rsidP="00DC4F3E">
      <w:pPr>
        <w:snapToGrid w:val="0"/>
        <w:jc w:val="both"/>
        <w:rPr>
          <w:rFonts w:eastAsiaTheme="minorEastAsia"/>
          <w:sz w:val="20"/>
          <w:szCs w:val="20"/>
        </w:rPr>
      </w:pPr>
      <w:r w:rsidRPr="00F942FF">
        <w:rPr>
          <w:sz w:val="20"/>
          <w:szCs w:val="20"/>
          <w:lang w:eastAsia="en-US" w:bidi="ar-EG"/>
        </w:rPr>
        <w:t>[Mohamed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Kotb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Ibrahim,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Ibrahim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Mohamed</w:t>
      </w:r>
      <w:r w:rsidR="00EB5140" w:rsidRPr="00F942FF">
        <w:rPr>
          <w:sz w:val="20"/>
          <w:szCs w:val="20"/>
          <w:lang w:eastAsia="en-US" w:bidi="ar-EG"/>
        </w:rPr>
        <w:t xml:space="preserve"> </w:t>
      </w:r>
      <w:r w:rsidRPr="00F942FF">
        <w:rPr>
          <w:sz w:val="20"/>
          <w:szCs w:val="20"/>
          <w:lang w:eastAsia="en-US" w:bidi="ar-EG"/>
        </w:rPr>
        <w:t>Abdelkarim,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Mohammed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Abdalla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Ibrahim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Mohamed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rFonts w:eastAsia="Batang"/>
          <w:sz w:val="20"/>
          <w:szCs w:val="20"/>
          <w:lang w:eastAsia="en-US"/>
        </w:rPr>
        <w:t>Azzam</w:t>
      </w:r>
      <w:r w:rsidR="00DC4F3E" w:rsidRPr="00F942FF">
        <w:rPr>
          <w:rFonts w:eastAsiaTheme="minorEastAsia" w:hint="eastAsia"/>
          <w:sz w:val="20"/>
          <w:szCs w:val="20"/>
        </w:rPr>
        <w:t>.</w:t>
      </w:r>
      <w:r w:rsidR="00EB5140" w:rsidRPr="00F942FF">
        <w:rPr>
          <w:rFonts w:eastAsia="Batang"/>
          <w:sz w:val="20"/>
          <w:szCs w:val="20"/>
          <w:lang w:eastAsia="en-US"/>
        </w:rPr>
        <w:t xml:space="preserve"> </w:t>
      </w:r>
      <w:r w:rsidRPr="00F942FF">
        <w:rPr>
          <w:b/>
          <w:bCs/>
          <w:sz w:val="20"/>
          <w:szCs w:val="20"/>
        </w:rPr>
        <w:t>Microneedling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with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Ginkgo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Biloba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Solution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plus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Narrow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Band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Ultraviolet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B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Phototherapy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in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the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Treatment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of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Non-Segmental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Vitiligo: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Comparative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Intra-Individual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Placebo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Controlled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Study</w:t>
      </w:r>
      <w:r w:rsidR="00DC4F3E" w:rsidRPr="00F942FF">
        <w:rPr>
          <w:rFonts w:eastAsiaTheme="minorEastAsia" w:hint="eastAsia"/>
          <w:b/>
          <w:bCs/>
          <w:sz w:val="20"/>
          <w:szCs w:val="20"/>
        </w:rPr>
        <w:t>.</w:t>
      </w:r>
      <w:r w:rsidR="00DC4F3E" w:rsidRPr="00F942FF">
        <w:rPr>
          <w:bCs/>
          <w:i/>
          <w:sz w:val="20"/>
          <w:szCs w:val="20"/>
        </w:rPr>
        <w:t xml:space="preserve"> N Y Sci J</w:t>
      </w:r>
      <w:r w:rsidR="00DC4F3E" w:rsidRPr="00F942FF">
        <w:rPr>
          <w:bCs/>
          <w:sz w:val="20"/>
          <w:szCs w:val="20"/>
        </w:rPr>
        <w:t xml:space="preserve"> </w:t>
      </w:r>
      <w:r w:rsidR="00DC4F3E" w:rsidRPr="00F942FF">
        <w:rPr>
          <w:sz w:val="20"/>
          <w:szCs w:val="20"/>
        </w:rPr>
        <w:t>201</w:t>
      </w:r>
      <w:r w:rsidR="00DC4F3E" w:rsidRPr="00F942FF">
        <w:rPr>
          <w:rFonts w:hint="eastAsia"/>
          <w:sz w:val="20"/>
          <w:szCs w:val="20"/>
        </w:rPr>
        <w:t>9</w:t>
      </w:r>
      <w:r w:rsidR="00DC4F3E" w:rsidRPr="00F942FF">
        <w:rPr>
          <w:sz w:val="20"/>
          <w:szCs w:val="20"/>
        </w:rPr>
        <w:t>;</w:t>
      </w:r>
      <w:r w:rsidR="00DC4F3E" w:rsidRPr="00F942FF">
        <w:rPr>
          <w:rFonts w:hint="eastAsia"/>
          <w:sz w:val="20"/>
          <w:szCs w:val="20"/>
        </w:rPr>
        <w:t>12</w:t>
      </w:r>
      <w:r w:rsidR="00DC4F3E" w:rsidRPr="00F942FF">
        <w:rPr>
          <w:sz w:val="20"/>
          <w:szCs w:val="20"/>
        </w:rPr>
        <w:t>(</w:t>
      </w:r>
      <w:r w:rsidR="00DC4F3E" w:rsidRPr="00F942FF">
        <w:rPr>
          <w:rFonts w:hint="eastAsia"/>
          <w:sz w:val="20"/>
          <w:szCs w:val="20"/>
        </w:rPr>
        <w:t>12</w:t>
      </w:r>
      <w:r w:rsidR="00DC4F3E" w:rsidRPr="00F942FF">
        <w:rPr>
          <w:sz w:val="20"/>
          <w:szCs w:val="20"/>
        </w:rPr>
        <w:t>):</w:t>
      </w:r>
      <w:r w:rsidR="00DF7312" w:rsidRPr="00F942FF">
        <w:rPr>
          <w:noProof/>
          <w:color w:val="000000"/>
          <w:sz w:val="20"/>
          <w:szCs w:val="20"/>
        </w:rPr>
        <w:t>7-1</w:t>
      </w:r>
      <w:r w:rsidR="00F942FF">
        <w:rPr>
          <w:rFonts w:eastAsiaTheme="minorEastAsia" w:hint="eastAsia"/>
          <w:noProof/>
          <w:color w:val="000000"/>
          <w:sz w:val="20"/>
          <w:szCs w:val="20"/>
        </w:rPr>
        <w:t>4</w:t>
      </w:r>
      <w:r w:rsidR="00DC4F3E" w:rsidRPr="00F942FF">
        <w:rPr>
          <w:sz w:val="20"/>
          <w:szCs w:val="20"/>
        </w:rPr>
        <w:t xml:space="preserve">]. </w:t>
      </w:r>
      <w:r w:rsidR="00DC4F3E" w:rsidRPr="00F942FF">
        <w:rPr>
          <w:iCs/>
          <w:color w:val="000000"/>
          <w:sz w:val="20"/>
          <w:szCs w:val="20"/>
        </w:rPr>
        <w:t>ISSN 1554-0200 (print); ISSN 2375-723X (online)</w:t>
      </w:r>
      <w:r w:rsidR="00DC4F3E" w:rsidRPr="00F942FF">
        <w:rPr>
          <w:sz w:val="20"/>
          <w:szCs w:val="20"/>
        </w:rPr>
        <w:t xml:space="preserve">. </w:t>
      </w:r>
      <w:hyperlink r:id="rId7" w:history="1">
        <w:r w:rsidR="00DC4F3E" w:rsidRPr="00F942FF">
          <w:rPr>
            <w:rStyle w:val="Hyperlink"/>
            <w:sz w:val="20"/>
            <w:szCs w:val="20"/>
          </w:rPr>
          <w:t>http://www.sciencepub.net/newyork</w:t>
        </w:r>
      </w:hyperlink>
      <w:r w:rsidR="00DC4F3E" w:rsidRPr="00F942FF">
        <w:rPr>
          <w:sz w:val="20"/>
          <w:szCs w:val="20"/>
        </w:rPr>
        <w:t xml:space="preserve">. </w:t>
      </w:r>
      <w:r w:rsidR="00DC4F3E" w:rsidRPr="00F942FF">
        <w:rPr>
          <w:rFonts w:eastAsiaTheme="minorEastAsia" w:hint="eastAsia"/>
          <w:sz w:val="20"/>
          <w:szCs w:val="20"/>
        </w:rPr>
        <w:t>2</w:t>
      </w:r>
      <w:r w:rsidR="00DC4F3E" w:rsidRPr="00F942FF">
        <w:rPr>
          <w:rFonts w:hint="eastAsia"/>
          <w:sz w:val="20"/>
          <w:szCs w:val="20"/>
        </w:rPr>
        <w:t xml:space="preserve">. </w:t>
      </w:r>
      <w:r w:rsidR="00DC4F3E" w:rsidRPr="00F942FF">
        <w:rPr>
          <w:color w:val="000000"/>
          <w:sz w:val="20"/>
          <w:szCs w:val="20"/>
          <w:shd w:val="clear" w:color="auto" w:fill="FFFFFF"/>
        </w:rPr>
        <w:t>doi:</w:t>
      </w:r>
      <w:hyperlink r:id="rId8" w:history="1">
        <w:r w:rsidR="00DC4F3E" w:rsidRPr="00F942FF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DC4F3E" w:rsidRPr="00F942FF">
          <w:rPr>
            <w:rStyle w:val="Hyperlink"/>
            <w:rFonts w:hint="eastAsia"/>
            <w:sz w:val="20"/>
            <w:szCs w:val="20"/>
            <w:shd w:val="clear" w:color="auto" w:fill="FFFFFF"/>
          </w:rPr>
          <w:t>nys121219.</w:t>
        </w:r>
        <w:r w:rsidR="00DC4F3E" w:rsidRPr="00F942FF">
          <w:rPr>
            <w:rStyle w:val="Hyperlink"/>
            <w:sz w:val="20"/>
            <w:szCs w:val="20"/>
            <w:shd w:val="clear" w:color="auto" w:fill="FFFFFF"/>
          </w:rPr>
          <w:t>0</w:t>
        </w:r>
        <w:r w:rsidR="00DC4F3E" w:rsidRPr="00F942FF">
          <w:rPr>
            <w:rStyle w:val="Hyperlink"/>
            <w:rFonts w:eastAsiaTheme="minorEastAsia" w:hint="eastAsia"/>
            <w:sz w:val="20"/>
            <w:szCs w:val="20"/>
            <w:shd w:val="clear" w:color="auto" w:fill="FFFFFF"/>
          </w:rPr>
          <w:t>2</w:t>
        </w:r>
      </w:hyperlink>
      <w:r w:rsidR="00DC4F3E" w:rsidRPr="00F942FF">
        <w:rPr>
          <w:color w:val="000000"/>
          <w:sz w:val="20"/>
          <w:szCs w:val="20"/>
          <w:shd w:val="clear" w:color="auto" w:fill="FFFFFF"/>
        </w:rPr>
        <w:t>.</w:t>
      </w:r>
    </w:p>
    <w:p w:rsidR="00FC225F" w:rsidRPr="00F942FF" w:rsidRDefault="00FC225F" w:rsidP="00DC4F3E">
      <w:pPr>
        <w:snapToGrid w:val="0"/>
        <w:jc w:val="both"/>
        <w:rPr>
          <w:rFonts w:eastAsiaTheme="minorEastAsia"/>
          <w:sz w:val="20"/>
          <w:szCs w:val="20"/>
        </w:rPr>
      </w:pPr>
    </w:p>
    <w:p w:rsidR="00FC225F" w:rsidRPr="00F942FF" w:rsidRDefault="00FC225F" w:rsidP="00DC4F3E">
      <w:pPr>
        <w:snapToGrid w:val="0"/>
        <w:jc w:val="both"/>
        <w:rPr>
          <w:rFonts w:eastAsiaTheme="minorEastAsia"/>
          <w:sz w:val="20"/>
          <w:szCs w:val="20"/>
          <w:lang w:eastAsia="en-US"/>
        </w:rPr>
      </w:pPr>
      <w:r w:rsidRPr="00F942FF">
        <w:rPr>
          <w:rFonts w:eastAsiaTheme="minorEastAsia" w:hint="eastAsia"/>
          <w:b/>
          <w:sz w:val="20"/>
          <w:szCs w:val="20"/>
        </w:rPr>
        <w:t>Keywords:</w:t>
      </w:r>
      <w:r w:rsidR="00EB5140" w:rsidRPr="00F942FF">
        <w:rPr>
          <w:rFonts w:eastAsiaTheme="minorEastAsia" w:hint="eastAsia"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Microneedling</w:t>
      </w:r>
      <w:r w:rsidRPr="00F942FF">
        <w:rPr>
          <w:rFonts w:eastAsiaTheme="minorEastAsia" w:hint="eastAsia"/>
          <w:bCs/>
          <w:sz w:val="20"/>
          <w:szCs w:val="20"/>
        </w:rPr>
        <w:t>;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Ginkgo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Biloba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Solution</w:t>
      </w:r>
      <w:r w:rsidRPr="00F942FF">
        <w:rPr>
          <w:rFonts w:eastAsiaTheme="minorEastAsia" w:hint="eastAsia"/>
          <w:bCs/>
          <w:sz w:val="20"/>
          <w:szCs w:val="20"/>
        </w:rPr>
        <w:t>;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Narrow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Ultraviolet</w:t>
      </w:r>
      <w:r w:rsidRPr="00F942FF">
        <w:rPr>
          <w:rFonts w:eastAsiaTheme="minorEastAsia" w:hint="eastAsia"/>
          <w:bCs/>
          <w:sz w:val="20"/>
          <w:szCs w:val="20"/>
        </w:rPr>
        <w:t>;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Phototherapy</w:t>
      </w:r>
      <w:r w:rsidRPr="00F942FF">
        <w:rPr>
          <w:rFonts w:eastAsiaTheme="minorEastAsia" w:hint="eastAsia"/>
          <w:bCs/>
          <w:sz w:val="20"/>
          <w:szCs w:val="20"/>
        </w:rPr>
        <w:t>;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Treatment</w:t>
      </w:r>
      <w:r w:rsidRPr="00F942FF">
        <w:rPr>
          <w:rFonts w:eastAsiaTheme="minorEastAsia" w:hint="eastAsia"/>
          <w:bCs/>
          <w:sz w:val="20"/>
          <w:szCs w:val="20"/>
        </w:rPr>
        <w:t>；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Non-Segmental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Vitiligo</w:t>
      </w:r>
      <w:r w:rsidRPr="00F942FF">
        <w:rPr>
          <w:rFonts w:eastAsiaTheme="minorEastAsia" w:hint="eastAsia"/>
          <w:bCs/>
          <w:sz w:val="20"/>
          <w:szCs w:val="20"/>
        </w:rPr>
        <w:t>;</w:t>
      </w:r>
      <w:r w:rsidR="00EB5140" w:rsidRPr="00F942FF">
        <w:rPr>
          <w:rFonts w:eastAsiaTheme="minorEastAsia" w:hint="eastAsia"/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Comparative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Intra-Individual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Placebo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Controlled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Study</w:t>
      </w:r>
    </w:p>
    <w:p w:rsidR="004340B7" w:rsidRPr="00F942FF" w:rsidRDefault="004340B7" w:rsidP="00DC4F3E">
      <w:pPr>
        <w:snapToGrid w:val="0"/>
        <w:jc w:val="both"/>
        <w:rPr>
          <w:b/>
          <w:bCs/>
          <w:sz w:val="20"/>
          <w:szCs w:val="20"/>
        </w:rPr>
      </w:pPr>
    </w:p>
    <w:p w:rsidR="00DC4F3E" w:rsidRPr="00F942FF" w:rsidRDefault="00DC4F3E" w:rsidP="00DC4F3E">
      <w:pPr>
        <w:snapToGrid w:val="0"/>
        <w:jc w:val="both"/>
        <w:rPr>
          <w:b/>
          <w:bCs/>
          <w:sz w:val="20"/>
          <w:szCs w:val="20"/>
        </w:rPr>
        <w:sectPr w:rsidR="00DC4F3E" w:rsidRPr="00F942FF" w:rsidSect="00DF7312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7"/>
          <w:cols w:space="720"/>
          <w:bidi/>
          <w:rtlGutter/>
          <w:docGrid w:linePitch="360"/>
        </w:sectPr>
      </w:pPr>
    </w:p>
    <w:p w:rsidR="00B919B7" w:rsidRPr="00F942FF" w:rsidRDefault="00B919B7" w:rsidP="00DC4F3E">
      <w:pPr>
        <w:snapToGrid w:val="0"/>
        <w:jc w:val="both"/>
        <w:rPr>
          <w:b/>
          <w:bCs/>
          <w:sz w:val="20"/>
          <w:szCs w:val="20"/>
        </w:rPr>
      </w:pPr>
      <w:r w:rsidRPr="00F942FF">
        <w:rPr>
          <w:b/>
          <w:bCs/>
          <w:sz w:val="20"/>
          <w:szCs w:val="20"/>
        </w:rPr>
        <w:lastRenderedPageBreak/>
        <w:t>1.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Introduction</w:t>
      </w:r>
    </w:p>
    <w:p w:rsidR="00DC4F3E" w:rsidRPr="00F942FF" w:rsidRDefault="00B919B7" w:rsidP="00DC4F3E">
      <w:pPr>
        <w:snapToGrid w:val="0"/>
        <w:ind w:firstLine="425"/>
        <w:jc w:val="both"/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</w:pP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common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incurable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disease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characterized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white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depigmented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skin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may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result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psychological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stress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those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who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affected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</w:t>
      </w:r>
      <w:r w:rsidRPr="00F942FF">
        <w:rPr>
          <w:b/>
          <w:bCs/>
          <w:color w:val="000000"/>
          <w:sz w:val="20"/>
          <w:szCs w:val="20"/>
        </w:rPr>
        <w:t>Iacovelli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et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al.,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2019)</w:t>
      </w:r>
      <w:r w:rsidRPr="00F942FF">
        <w:rPr>
          <w:color w:val="000000"/>
          <w:sz w:val="20"/>
          <w:szCs w:val="20"/>
        </w:rPr>
        <w:t>.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Globally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about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1-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3%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people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affected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(Kruger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and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Schallreuter,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2012).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sz w:val="20"/>
          <w:szCs w:val="20"/>
        </w:rPr>
        <w:t>It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classified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segmental,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non-segmental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unclassifiable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forms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Ezzedine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et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al.,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2012</w:t>
      </w:r>
      <w:r w:rsidR="00DC4F3E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).</w:t>
      </w:r>
    </w:p>
    <w:p w:rsidR="00B919B7" w:rsidRPr="00F942FF" w:rsidRDefault="00B919B7" w:rsidP="00DC4F3E">
      <w:pPr>
        <w:snapToGrid w:val="0"/>
        <w:ind w:firstLine="425"/>
        <w:jc w:val="both"/>
        <w:rPr>
          <w:b/>
          <w:bCs/>
          <w:color w:val="000000"/>
          <w:sz w:val="20"/>
          <w:szCs w:val="20"/>
        </w:rPr>
      </w:pP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etiology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vitiligo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not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yet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well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understood.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Many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theories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have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been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described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such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neurological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theory,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auto-immune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theory,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viral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intrinsic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theory.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One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these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theories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biochemical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that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support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fact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that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lastRenderedPageBreak/>
        <w:t>oxidative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stress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can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strike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melanocytes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initiates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their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apoptosis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</w:t>
      </w:r>
      <w:r w:rsidRPr="00F942FF">
        <w:rPr>
          <w:b/>
          <w:bCs/>
          <w:color w:val="000000"/>
          <w:sz w:val="20"/>
          <w:szCs w:val="20"/>
        </w:rPr>
        <w:t>Vrijman,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2019).</w:t>
      </w:r>
    </w:p>
    <w:p w:rsidR="00DF7312" w:rsidRPr="00F942FF" w:rsidRDefault="00B919B7" w:rsidP="00DC4F3E">
      <w:pPr>
        <w:snapToGrid w:val="0"/>
        <w:ind w:firstLine="425"/>
        <w:jc w:val="both"/>
        <w:rPr>
          <w:rFonts w:eastAsiaTheme="minorEastAsia"/>
          <w:b/>
          <w:bCs/>
          <w:color w:val="222222"/>
          <w:sz w:val="20"/>
          <w:szCs w:val="20"/>
          <w:shd w:val="clear" w:color="auto" w:fill="FFFFFF"/>
        </w:rPr>
      </w:pP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goal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prevent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damage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melanocytes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stimulate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their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migration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from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surrounding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skin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adnexal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reservoirs.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lines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narrow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(311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nm)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which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effective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safe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therapeutic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modality,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narrow.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Another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aims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induce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minimal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superficial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bleeding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stimulating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releases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growth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factor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start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healing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cascade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restore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normal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structure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(Majid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et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al.,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2014).</w:t>
      </w:r>
    </w:p>
    <w:p w:rsidR="00DF7312" w:rsidRPr="00F942FF" w:rsidRDefault="00DF7312" w:rsidP="00DC4F3E">
      <w:pPr>
        <w:snapToGrid w:val="0"/>
        <w:ind w:firstLine="425"/>
        <w:jc w:val="both"/>
        <w:rPr>
          <w:rFonts w:eastAsiaTheme="minorEastAsia"/>
          <w:b/>
          <w:bCs/>
          <w:color w:val="222222"/>
          <w:sz w:val="20"/>
          <w:szCs w:val="20"/>
          <w:shd w:val="clear" w:color="auto" w:fill="FFFFFF"/>
        </w:rPr>
        <w:sectPr w:rsidR="00DF7312" w:rsidRPr="00F942FF" w:rsidSect="00DC4F3E">
          <w:type w:val="continuous"/>
          <w:pgSz w:w="12240" w:h="15840"/>
          <w:pgMar w:top="1440" w:right="1440" w:bottom="1440" w:left="1440" w:header="720" w:footer="720" w:gutter="0"/>
          <w:cols w:num="2" w:space="600"/>
          <w:rtlGutter/>
          <w:docGrid w:linePitch="360"/>
        </w:sectPr>
      </w:pPr>
      <w:r w:rsidRPr="00F942FF">
        <w:rPr>
          <w:rFonts w:eastAsia="Calibri"/>
          <w:sz w:val="20"/>
          <w:szCs w:val="20"/>
        </w:rPr>
        <w:t>Ginkgo biloba is derived from maidenhair tree. Ginkgo biloba has been used in China as a</w:t>
      </w:r>
    </w:p>
    <w:p w:rsidR="00B919B7" w:rsidRPr="00F942FF" w:rsidRDefault="00B919B7" w:rsidP="00DF7312">
      <w:pPr>
        <w:snapToGrid w:val="0"/>
        <w:jc w:val="both"/>
        <w:rPr>
          <w:b/>
          <w:bCs/>
          <w:color w:val="222222"/>
          <w:sz w:val="20"/>
          <w:szCs w:val="20"/>
        </w:rPr>
      </w:pPr>
      <w:r w:rsidRPr="00F942FF">
        <w:rPr>
          <w:rFonts w:eastAsia="Calibri"/>
          <w:sz w:val="20"/>
          <w:szCs w:val="20"/>
        </w:rPr>
        <w:lastRenderedPageBreak/>
        <w:t>traditional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medicine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range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conditions,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including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asthma,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bronchitis,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heart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dysfunction,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least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5000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years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b/>
          <w:bCs/>
          <w:color w:val="222222"/>
          <w:sz w:val="20"/>
          <w:szCs w:val="20"/>
        </w:rPr>
        <w:t>Lv</w:t>
      </w:r>
      <w:r w:rsidR="00EB5140" w:rsidRPr="00F942FF">
        <w:rPr>
          <w:b/>
          <w:bCs/>
          <w:color w:val="222222"/>
          <w:sz w:val="20"/>
          <w:szCs w:val="20"/>
        </w:rPr>
        <w:t xml:space="preserve"> </w:t>
      </w:r>
      <w:r w:rsidRPr="00F942FF">
        <w:rPr>
          <w:b/>
          <w:bCs/>
          <w:color w:val="222222"/>
          <w:sz w:val="20"/>
          <w:szCs w:val="20"/>
        </w:rPr>
        <w:t>et</w:t>
      </w:r>
      <w:r w:rsidR="00EB5140" w:rsidRPr="00F942FF">
        <w:rPr>
          <w:b/>
          <w:bCs/>
          <w:color w:val="222222"/>
          <w:sz w:val="20"/>
          <w:szCs w:val="20"/>
        </w:rPr>
        <w:t xml:space="preserve"> </w:t>
      </w:r>
      <w:r w:rsidRPr="00F942FF">
        <w:rPr>
          <w:b/>
          <w:bCs/>
          <w:color w:val="222222"/>
          <w:sz w:val="20"/>
          <w:szCs w:val="20"/>
        </w:rPr>
        <w:t>al.,</w:t>
      </w:r>
      <w:r w:rsidR="00EB5140" w:rsidRPr="00F942FF">
        <w:rPr>
          <w:b/>
          <w:bCs/>
          <w:color w:val="222222"/>
          <w:sz w:val="20"/>
          <w:szCs w:val="20"/>
        </w:rPr>
        <w:t xml:space="preserve"> </w:t>
      </w:r>
      <w:r w:rsidRPr="00F942FF">
        <w:rPr>
          <w:b/>
          <w:bCs/>
          <w:color w:val="222222"/>
          <w:sz w:val="20"/>
          <w:szCs w:val="20"/>
        </w:rPr>
        <w:t>2017).</w:t>
      </w:r>
      <w:r w:rsidR="00EB5140" w:rsidRPr="00F942FF">
        <w:rPr>
          <w:b/>
          <w:bCs/>
          <w:color w:val="222222"/>
          <w:sz w:val="20"/>
          <w:szCs w:val="20"/>
        </w:rPr>
        <w:t xml:space="preserve"> 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widely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neurological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neuropsychiatric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including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dementia,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Alzheimer,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schizophrenia,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multiple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sclerosis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attention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deficit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hyperkinetic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disorder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sz w:val="20"/>
          <w:szCs w:val="20"/>
        </w:rPr>
        <w:t>Diamond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and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Mondragon,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2017).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Wang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et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al.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(2016)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reported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extract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cardio-protective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effect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against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inflammatory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reaction,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oxidative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structural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damage.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While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Oxidative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plays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major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role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antioxidant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properties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inhibit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progression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also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through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anxiolytic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properties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since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psychological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been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shown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exacerbate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sz w:val="20"/>
          <w:szCs w:val="20"/>
        </w:rPr>
        <w:t>Szczurko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et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al.,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2011).</w:t>
      </w:r>
    </w:p>
    <w:p w:rsidR="00B919B7" w:rsidRPr="00F942FF" w:rsidRDefault="00B919B7" w:rsidP="00DC4F3E">
      <w:pPr>
        <w:snapToGrid w:val="0"/>
        <w:jc w:val="both"/>
        <w:rPr>
          <w:b/>
          <w:bCs/>
          <w:sz w:val="20"/>
          <w:szCs w:val="20"/>
          <w:lang w:bidi="ar-EG"/>
        </w:rPr>
      </w:pPr>
      <w:r w:rsidRPr="00F942FF">
        <w:rPr>
          <w:b/>
          <w:bCs/>
          <w:sz w:val="20"/>
          <w:szCs w:val="20"/>
        </w:rPr>
        <w:t>Aim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of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the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work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sz w:val="20"/>
          <w:szCs w:val="20"/>
          <w:lang w:bidi="ar-EG"/>
        </w:rPr>
        <w:t>The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aim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of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this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study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is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to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evaluate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the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effect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of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microneedling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with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ginkgo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biloba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solution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on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the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outcome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in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non-segmental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vitiligo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during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the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sessions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of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narrow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band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ultraviolet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B</w:t>
      </w:r>
      <w:r w:rsidR="00EB5140" w:rsidRPr="00F942FF">
        <w:rPr>
          <w:sz w:val="20"/>
          <w:szCs w:val="20"/>
          <w:lang w:bidi="ar-EG"/>
        </w:rPr>
        <w:t xml:space="preserve"> </w:t>
      </w:r>
      <w:r w:rsidRPr="00F942FF">
        <w:rPr>
          <w:sz w:val="20"/>
          <w:szCs w:val="20"/>
          <w:lang w:bidi="ar-EG"/>
        </w:rPr>
        <w:t>phototherapy.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</w:p>
    <w:p w:rsidR="00B919B7" w:rsidRPr="00F942FF" w:rsidRDefault="004340B7" w:rsidP="00DC4F3E">
      <w:pPr>
        <w:snapToGrid w:val="0"/>
        <w:jc w:val="both"/>
        <w:rPr>
          <w:rFonts w:eastAsia="SimSun"/>
          <w:b/>
          <w:bCs/>
          <w:sz w:val="20"/>
          <w:szCs w:val="20"/>
        </w:rPr>
      </w:pPr>
      <w:r w:rsidRPr="00F942FF">
        <w:rPr>
          <w:rFonts w:eastAsia="SimSun"/>
          <w:b/>
          <w:bCs/>
          <w:sz w:val="20"/>
          <w:szCs w:val="20"/>
        </w:rPr>
        <w:t>2.</w:t>
      </w:r>
      <w:r w:rsidR="00EB5140" w:rsidRPr="00F942FF">
        <w:rPr>
          <w:rFonts w:eastAsia="SimSun"/>
          <w:b/>
          <w:bCs/>
          <w:sz w:val="20"/>
          <w:szCs w:val="20"/>
        </w:rPr>
        <w:t xml:space="preserve"> </w:t>
      </w:r>
      <w:r w:rsidR="00B919B7" w:rsidRPr="00F942FF">
        <w:rPr>
          <w:rFonts w:eastAsia="SimSun"/>
          <w:b/>
          <w:bCs/>
          <w:sz w:val="20"/>
          <w:szCs w:val="20"/>
        </w:rPr>
        <w:t>Patients</w:t>
      </w:r>
      <w:r w:rsidR="00EB5140" w:rsidRPr="00F942FF">
        <w:rPr>
          <w:rFonts w:eastAsia="SimSun"/>
          <w:b/>
          <w:bCs/>
          <w:sz w:val="20"/>
          <w:szCs w:val="20"/>
        </w:rPr>
        <w:t xml:space="preserve"> </w:t>
      </w:r>
      <w:r w:rsidR="00B919B7" w:rsidRPr="00F942FF">
        <w:rPr>
          <w:rFonts w:eastAsia="SimSun"/>
          <w:b/>
          <w:bCs/>
          <w:sz w:val="20"/>
          <w:szCs w:val="20"/>
        </w:rPr>
        <w:t>and</w:t>
      </w:r>
      <w:r w:rsidR="00EB5140" w:rsidRPr="00F942FF">
        <w:rPr>
          <w:rFonts w:eastAsia="SimSun"/>
          <w:b/>
          <w:bCs/>
          <w:sz w:val="20"/>
          <w:szCs w:val="20"/>
        </w:rPr>
        <w:t xml:space="preserve"> </w:t>
      </w:r>
      <w:r w:rsidR="00B919B7" w:rsidRPr="00F942FF">
        <w:rPr>
          <w:rFonts w:eastAsia="SimSun"/>
          <w:b/>
          <w:bCs/>
          <w:sz w:val="20"/>
          <w:szCs w:val="20"/>
        </w:rPr>
        <w:t>Methods</w:t>
      </w:r>
    </w:p>
    <w:p w:rsidR="00B919B7" w:rsidRPr="00F942FF" w:rsidRDefault="00B919B7" w:rsidP="00DC4F3E">
      <w:pPr>
        <w:snapToGrid w:val="0"/>
        <w:contextualSpacing/>
        <w:jc w:val="both"/>
        <w:rPr>
          <w:rFonts w:eastAsia="Calibri"/>
          <w:b/>
          <w:bCs/>
          <w:sz w:val="20"/>
          <w:szCs w:val="20"/>
          <w:lang w:bidi="en-US"/>
        </w:rPr>
      </w:pPr>
      <w:r w:rsidRPr="00F942FF">
        <w:rPr>
          <w:rFonts w:eastAsia="Calibri"/>
          <w:b/>
          <w:bCs/>
          <w:sz w:val="20"/>
          <w:szCs w:val="20"/>
          <w:lang w:bidi="en-US"/>
        </w:rPr>
        <w:t>Patients</w:t>
      </w:r>
    </w:p>
    <w:p w:rsidR="00EB5140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  <w:lang w:bidi="en-US"/>
        </w:rPr>
        <w:t>This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study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is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randomized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clinical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trial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included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20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patients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suffering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from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vitiligo.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These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participants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were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selected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from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those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attending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Outpatient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Clinic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Dermatology,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Alhussein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University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Hospital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during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period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from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February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2019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till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November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2019.</w:t>
      </w:r>
    </w:p>
    <w:p w:rsidR="00B919B7" w:rsidRPr="00F942FF" w:rsidRDefault="00EB5140" w:rsidP="00DC4F3E">
      <w:pPr>
        <w:snapToGrid w:val="0"/>
        <w:ind w:firstLine="425"/>
        <w:jc w:val="both"/>
        <w:rPr>
          <w:rFonts w:eastAsia="Calibri"/>
          <w:color w:val="000000"/>
          <w:sz w:val="20"/>
          <w:szCs w:val="20"/>
          <w:lang w:bidi="en-US"/>
        </w:rPr>
      </w:pPr>
      <w:r w:rsidRPr="00F942FF">
        <w:rPr>
          <w:rFonts w:eastAsia="Calibri"/>
          <w:color w:val="000000"/>
          <w:sz w:val="20"/>
          <w:szCs w:val="20"/>
          <w:lang w:bidi="en-US"/>
        </w:rPr>
        <w:t>E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thical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approval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from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The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Medical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Research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Ethics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Committee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was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obtained.</w:t>
      </w:r>
      <w:r w:rsidRPr="00F942FF">
        <w:rPr>
          <w:rFonts w:eastAsia="SimSun"/>
          <w:b/>
          <w:bCs/>
          <w:sz w:val="20"/>
          <w:szCs w:val="20"/>
        </w:rPr>
        <w:t xml:space="preserve"> </w:t>
      </w:r>
      <w:r w:rsidR="00B919B7" w:rsidRPr="00F942FF">
        <w:rPr>
          <w:rFonts w:eastAsia="SimSun"/>
          <w:sz w:val="20"/>
          <w:szCs w:val="20"/>
        </w:rPr>
        <w:t>In</w:t>
      </w:r>
      <w:r w:rsidRPr="00F942FF">
        <w:rPr>
          <w:rFonts w:eastAsia="SimSun"/>
          <w:sz w:val="20"/>
          <w:szCs w:val="20"/>
        </w:rPr>
        <w:t xml:space="preserve"> </w:t>
      </w:r>
      <w:r w:rsidR="00B919B7" w:rsidRPr="00F942FF">
        <w:rPr>
          <w:rFonts w:eastAsia="SimSun"/>
          <w:sz w:val="20"/>
          <w:szCs w:val="20"/>
        </w:rPr>
        <w:t>addition,</w:t>
      </w:r>
      <w:r w:rsidRPr="00F942FF">
        <w:rPr>
          <w:rFonts w:eastAsia="SimSun"/>
          <w:sz w:val="20"/>
          <w:szCs w:val="20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written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consents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were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taken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from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sz w:val="20"/>
          <w:szCs w:val="20"/>
          <w:lang w:bidi="en-US"/>
        </w:rPr>
        <w:t>all</w:t>
      </w:r>
      <w:r w:rsidRPr="00F942FF">
        <w:rPr>
          <w:rFonts w:eastAsia="Calibri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sz w:val="20"/>
          <w:szCs w:val="20"/>
          <w:lang w:bidi="en-US"/>
        </w:rPr>
        <w:t>participants</w:t>
      </w:r>
      <w:r w:rsidRPr="00F942FF">
        <w:rPr>
          <w:rFonts w:eastAsia="Calibri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sz w:val="20"/>
          <w:szCs w:val="20"/>
          <w:lang w:bidi="en-US"/>
        </w:rPr>
        <w:t>before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enrollment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in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the</w:t>
      </w:r>
      <w:r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="00B919B7" w:rsidRPr="00F942FF">
        <w:rPr>
          <w:rFonts w:eastAsia="Calibri"/>
          <w:color w:val="000000"/>
          <w:sz w:val="20"/>
          <w:szCs w:val="20"/>
          <w:lang w:bidi="en-US"/>
        </w:rPr>
        <w:t>study.</w:t>
      </w:r>
    </w:p>
    <w:p w:rsidR="00B919B7" w:rsidRPr="00F942FF" w:rsidRDefault="00B919B7" w:rsidP="00DC4F3E">
      <w:pPr>
        <w:pStyle w:val="ListParagraph"/>
        <w:numPr>
          <w:ilvl w:val="0"/>
          <w:numId w:val="1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sz w:val="20"/>
          <w:szCs w:val="20"/>
          <w:lang w:bidi="en-US"/>
        </w:rPr>
      </w:pPr>
      <w:r w:rsidRPr="00F942FF">
        <w:rPr>
          <w:rFonts w:eastAsia="Calibri"/>
          <w:b/>
          <w:bCs/>
          <w:sz w:val="20"/>
          <w:szCs w:val="20"/>
          <w:lang w:bidi="en-US"/>
        </w:rPr>
        <w:t>Inclusion</w:t>
      </w:r>
      <w:r w:rsidR="00EB5140" w:rsidRPr="00F942FF">
        <w:rPr>
          <w:rFonts w:eastAsia="Calibri"/>
          <w:b/>
          <w:bCs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sz w:val="20"/>
          <w:szCs w:val="20"/>
          <w:lang w:bidi="en-US"/>
        </w:rPr>
        <w:t>criteria</w:t>
      </w:r>
    </w:p>
    <w:p w:rsidR="00B919B7" w:rsidRPr="00F942FF" w:rsidRDefault="00B919B7" w:rsidP="00DC4F3E">
      <w:pPr>
        <w:numPr>
          <w:ilvl w:val="0"/>
          <w:numId w:val="2"/>
        </w:numPr>
        <w:snapToGrid w:val="0"/>
        <w:ind w:left="0"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Patients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having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which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stable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least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last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month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prior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study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beginning.</w:t>
      </w:r>
    </w:p>
    <w:p w:rsidR="00B919B7" w:rsidRPr="00F942FF" w:rsidRDefault="00B919B7" w:rsidP="00DC4F3E">
      <w:pPr>
        <w:numPr>
          <w:ilvl w:val="0"/>
          <w:numId w:val="2"/>
        </w:numPr>
        <w:snapToGrid w:val="0"/>
        <w:ind w:left="0"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Ages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ranging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from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10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65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years.</w:t>
      </w:r>
      <w:r w:rsidR="00EB5140" w:rsidRPr="00F942FF">
        <w:rPr>
          <w:rFonts w:eastAsia="Calibri"/>
          <w:sz w:val="20"/>
          <w:szCs w:val="20"/>
        </w:rPr>
        <w:t xml:space="preserve"> </w:t>
      </w:r>
    </w:p>
    <w:p w:rsidR="00B919B7" w:rsidRPr="00F942FF" w:rsidRDefault="00B919B7" w:rsidP="00DC4F3E">
      <w:pPr>
        <w:numPr>
          <w:ilvl w:val="0"/>
          <w:numId w:val="2"/>
        </w:numPr>
        <w:snapToGrid w:val="0"/>
        <w:ind w:left="0"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Both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sexes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included.</w:t>
      </w:r>
    </w:p>
    <w:p w:rsidR="00B919B7" w:rsidRPr="00F942FF" w:rsidRDefault="00B919B7" w:rsidP="00DC4F3E">
      <w:pPr>
        <w:pStyle w:val="ListParagraph"/>
        <w:numPr>
          <w:ilvl w:val="0"/>
          <w:numId w:val="1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sz w:val="20"/>
          <w:szCs w:val="20"/>
          <w:lang w:bidi="en-US"/>
        </w:rPr>
      </w:pPr>
      <w:r w:rsidRPr="00F942FF">
        <w:rPr>
          <w:rFonts w:eastAsia="Calibri"/>
          <w:b/>
          <w:bCs/>
          <w:sz w:val="20"/>
          <w:szCs w:val="20"/>
          <w:lang w:bidi="en-US"/>
        </w:rPr>
        <w:t>Exclusion</w:t>
      </w:r>
      <w:r w:rsidR="00EB5140" w:rsidRPr="00F942FF">
        <w:rPr>
          <w:rFonts w:eastAsia="Calibri"/>
          <w:b/>
          <w:bCs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sz w:val="20"/>
          <w:szCs w:val="20"/>
          <w:lang w:bidi="en-US"/>
        </w:rPr>
        <w:t>criteria</w:t>
      </w:r>
    </w:p>
    <w:p w:rsidR="00B919B7" w:rsidRPr="00F942FF" w:rsidRDefault="00B919B7" w:rsidP="00DC4F3E">
      <w:pPr>
        <w:numPr>
          <w:ilvl w:val="0"/>
          <w:numId w:val="3"/>
        </w:numPr>
        <w:snapToGrid w:val="0"/>
        <w:ind w:left="0"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Acute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chronic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diseases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anemia,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kidney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liver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disease,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diabetes,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ischemic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heart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disease,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oncological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diseases,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etc.</w:t>
      </w:r>
    </w:p>
    <w:p w:rsidR="00B919B7" w:rsidRPr="00F942FF" w:rsidRDefault="00B919B7" w:rsidP="00DC4F3E">
      <w:pPr>
        <w:numPr>
          <w:ilvl w:val="0"/>
          <w:numId w:val="3"/>
        </w:numPr>
        <w:snapToGrid w:val="0"/>
        <w:ind w:left="0"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Mentally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psychologically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disoriented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patients.</w:t>
      </w:r>
    </w:p>
    <w:p w:rsidR="00B919B7" w:rsidRPr="00F942FF" w:rsidRDefault="00B919B7" w:rsidP="00DC4F3E">
      <w:pPr>
        <w:numPr>
          <w:ilvl w:val="0"/>
          <w:numId w:val="3"/>
        </w:numPr>
        <w:snapToGrid w:val="0"/>
        <w:ind w:left="0"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Presence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active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infection.</w:t>
      </w:r>
      <w:r w:rsidR="00EB5140" w:rsidRPr="00F942FF">
        <w:rPr>
          <w:rFonts w:eastAsia="Calibri"/>
          <w:sz w:val="20"/>
          <w:szCs w:val="20"/>
        </w:rPr>
        <w:t xml:space="preserve"> </w:t>
      </w:r>
    </w:p>
    <w:p w:rsidR="00B919B7" w:rsidRPr="00F942FF" w:rsidRDefault="00B919B7" w:rsidP="00DC4F3E">
      <w:pPr>
        <w:numPr>
          <w:ilvl w:val="0"/>
          <w:numId w:val="3"/>
        </w:numPr>
        <w:snapToGrid w:val="0"/>
        <w:ind w:left="0"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Refusal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participation.</w:t>
      </w:r>
    </w:p>
    <w:p w:rsidR="00B919B7" w:rsidRPr="00F942FF" w:rsidRDefault="00B919B7" w:rsidP="00DC4F3E">
      <w:pPr>
        <w:snapToGrid w:val="0"/>
        <w:contextualSpacing/>
        <w:jc w:val="both"/>
        <w:rPr>
          <w:rFonts w:eastAsia="Calibri"/>
          <w:b/>
          <w:b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Materials</w:t>
      </w:r>
    </w:p>
    <w:p w:rsidR="00B919B7" w:rsidRPr="00F942FF" w:rsidRDefault="00B919B7" w:rsidP="00DC4F3E">
      <w:pPr>
        <w:pStyle w:val="ListParagraph"/>
        <w:numPr>
          <w:ilvl w:val="0"/>
          <w:numId w:val="4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color w:val="000000"/>
          <w:sz w:val="20"/>
          <w:szCs w:val="20"/>
          <w:lang w:bidi="en-US"/>
        </w:rPr>
      </w:pPr>
      <w:r w:rsidRPr="00F942FF">
        <w:rPr>
          <w:rFonts w:eastAsia="Calibri"/>
          <w:b/>
          <w:bCs/>
          <w:color w:val="000000"/>
          <w:sz w:val="20"/>
          <w:szCs w:val="20"/>
          <w:lang w:bidi="en-US"/>
        </w:rPr>
        <w:t>Ginkgo</w:t>
      </w:r>
      <w:r w:rsidR="00EB5140" w:rsidRPr="00F942FF">
        <w:rPr>
          <w:rFonts w:eastAsia="Calibri"/>
          <w:b/>
          <w:bCs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color w:val="000000"/>
          <w:sz w:val="20"/>
          <w:szCs w:val="20"/>
          <w:lang w:bidi="en-US"/>
        </w:rPr>
        <w:t>biloba</w:t>
      </w:r>
    </w:p>
    <w:p w:rsidR="00B919B7" w:rsidRPr="00F942FF" w:rsidRDefault="00B919B7" w:rsidP="00DC4F3E">
      <w:pPr>
        <w:pStyle w:val="ListParagraph"/>
        <w:snapToGrid w:val="0"/>
        <w:spacing w:line="240" w:lineRule="auto"/>
        <w:ind w:left="0" w:firstLine="425"/>
        <w:jc w:val="both"/>
        <w:rPr>
          <w:rFonts w:eastAsia="Calibri"/>
          <w:color w:val="000000"/>
          <w:sz w:val="20"/>
          <w:szCs w:val="20"/>
          <w:lang w:bidi="en-US"/>
        </w:rPr>
      </w:pPr>
      <w:r w:rsidRPr="00F942FF">
        <w:rPr>
          <w:rFonts w:eastAsia="Calibri"/>
          <w:color w:val="000000"/>
          <w:sz w:val="20"/>
          <w:szCs w:val="20"/>
          <w:lang w:bidi="en-US"/>
        </w:rPr>
        <w:t>Ginkgo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biloba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was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obtained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in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the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form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of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ampoules,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each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one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(2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ml)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contains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4%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ginkgo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biloba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solution®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(mccosmetics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company,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Barcelona,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Spain).</w:t>
      </w:r>
    </w:p>
    <w:p w:rsidR="00B919B7" w:rsidRPr="00F942FF" w:rsidRDefault="00B919B7" w:rsidP="00DC4F3E">
      <w:pPr>
        <w:pStyle w:val="ListParagraph"/>
        <w:numPr>
          <w:ilvl w:val="0"/>
          <w:numId w:val="4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color w:val="000000"/>
          <w:sz w:val="20"/>
          <w:szCs w:val="20"/>
          <w:lang w:bidi="en-US"/>
        </w:rPr>
      </w:pPr>
      <w:r w:rsidRPr="00F942FF">
        <w:rPr>
          <w:rFonts w:eastAsia="Calibri"/>
          <w:b/>
          <w:bCs/>
          <w:color w:val="000000"/>
          <w:sz w:val="20"/>
          <w:szCs w:val="20"/>
          <w:lang w:bidi="en-US"/>
        </w:rPr>
        <w:t>Normal</w:t>
      </w:r>
      <w:r w:rsidR="00EB5140" w:rsidRPr="00F942FF">
        <w:rPr>
          <w:rFonts w:eastAsia="Calibri"/>
          <w:b/>
          <w:bCs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color w:val="000000"/>
          <w:sz w:val="20"/>
          <w:szCs w:val="20"/>
          <w:lang w:bidi="en-US"/>
        </w:rPr>
        <w:t>saline</w:t>
      </w:r>
      <w:r w:rsidR="00EB5140" w:rsidRPr="00F942FF">
        <w:rPr>
          <w:rFonts w:eastAsia="Calibri"/>
          <w:b/>
          <w:bCs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color w:val="000000"/>
          <w:sz w:val="20"/>
          <w:szCs w:val="20"/>
          <w:lang w:bidi="en-US"/>
        </w:rPr>
        <w:t>0.9%</w:t>
      </w:r>
    </w:p>
    <w:p w:rsidR="00B919B7" w:rsidRPr="00F942FF" w:rsidRDefault="00B919B7" w:rsidP="00DC4F3E">
      <w:pPr>
        <w:pStyle w:val="ListParagraph"/>
        <w:snapToGrid w:val="0"/>
        <w:spacing w:line="240" w:lineRule="auto"/>
        <w:ind w:left="0" w:firstLine="425"/>
        <w:jc w:val="both"/>
        <w:rPr>
          <w:rFonts w:eastAsia="Calibri"/>
          <w:color w:val="000000"/>
          <w:sz w:val="20"/>
          <w:szCs w:val="20"/>
          <w:lang w:bidi="en-US"/>
        </w:rPr>
      </w:pPr>
      <w:r w:rsidRPr="00F942FF">
        <w:rPr>
          <w:rFonts w:eastAsia="Calibri"/>
          <w:color w:val="000000"/>
          <w:sz w:val="20"/>
          <w:szCs w:val="20"/>
          <w:lang w:bidi="en-US"/>
        </w:rPr>
        <w:t>Normal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saline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(sodium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chloride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0.9%)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was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obtained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in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the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form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of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500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ml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containers,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each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lastRenderedPageBreak/>
        <w:t>container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contains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0.9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gm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sodium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chloride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dissolved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it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100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ml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injection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water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(El-Fath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for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Drug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and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Cosmetics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Industries,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Borg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El-Arb,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Egypt).</w:t>
      </w:r>
    </w:p>
    <w:p w:rsidR="00B919B7" w:rsidRPr="00F942FF" w:rsidRDefault="00B919B7" w:rsidP="00DC4F3E">
      <w:pPr>
        <w:pStyle w:val="ListParagraph"/>
        <w:numPr>
          <w:ilvl w:val="0"/>
          <w:numId w:val="4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color w:val="000000"/>
          <w:sz w:val="20"/>
          <w:szCs w:val="20"/>
          <w:lang w:bidi="en-US"/>
        </w:rPr>
      </w:pPr>
      <w:r w:rsidRPr="00F942FF">
        <w:rPr>
          <w:rFonts w:eastAsia="Calibri"/>
          <w:b/>
          <w:bCs/>
          <w:sz w:val="20"/>
          <w:szCs w:val="20"/>
        </w:rPr>
        <w:t>Prilocaine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cream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5%</w:t>
      </w:r>
    </w:p>
    <w:p w:rsidR="00B919B7" w:rsidRPr="00F942FF" w:rsidRDefault="00B919B7" w:rsidP="00DC4F3E">
      <w:pPr>
        <w:pStyle w:val="ListParagraph"/>
        <w:snapToGrid w:val="0"/>
        <w:spacing w:line="240" w:lineRule="auto"/>
        <w:ind w:left="0" w:firstLine="425"/>
        <w:jc w:val="both"/>
        <w:rPr>
          <w:rFonts w:eastAsia="Calibri"/>
          <w:color w:val="000000"/>
          <w:sz w:val="20"/>
          <w:szCs w:val="20"/>
          <w:lang w:bidi="en-US"/>
        </w:rPr>
      </w:pPr>
      <w:r w:rsidRPr="00F942FF">
        <w:rPr>
          <w:rFonts w:eastAsia="Calibri"/>
          <w:sz w:val="20"/>
          <w:szCs w:val="20"/>
        </w:rPr>
        <w:t>EMLA®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cream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5%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obtained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in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the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form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5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gm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tubes,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each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one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contains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prilocaine/lidocaine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(Astra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Zeneca,</w:t>
      </w:r>
      <w:r w:rsidR="00EB5140" w:rsidRPr="00F942FF">
        <w:rPr>
          <w:rFonts w:eastAsia="Calibri"/>
          <w:color w:val="000000"/>
          <w:sz w:val="20"/>
          <w:szCs w:val="20"/>
          <w:lang w:bidi="en-US"/>
        </w:rPr>
        <w:t xml:space="preserve"> </w:t>
      </w:r>
      <w:r w:rsidRPr="00F942FF">
        <w:rPr>
          <w:rFonts w:eastAsia="Calibri"/>
          <w:color w:val="000000"/>
          <w:sz w:val="20"/>
          <w:szCs w:val="20"/>
          <w:lang w:bidi="en-US"/>
        </w:rPr>
        <w:t>Sweden).</w:t>
      </w:r>
    </w:p>
    <w:p w:rsidR="00B919B7" w:rsidRPr="00F942FF" w:rsidRDefault="00B919B7" w:rsidP="00DC4F3E">
      <w:pPr>
        <w:snapToGrid w:val="0"/>
        <w:contextualSpacing/>
        <w:jc w:val="both"/>
        <w:rPr>
          <w:rFonts w:eastAsia="Calibri"/>
          <w:b/>
          <w:bCs/>
          <w:sz w:val="20"/>
          <w:szCs w:val="20"/>
          <w:lang w:bidi="en-US"/>
        </w:rPr>
      </w:pPr>
      <w:r w:rsidRPr="00F942FF">
        <w:rPr>
          <w:rFonts w:eastAsia="Calibri"/>
          <w:b/>
          <w:bCs/>
          <w:sz w:val="20"/>
          <w:szCs w:val="20"/>
          <w:lang w:bidi="en-US"/>
        </w:rPr>
        <w:t>Methods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  <w:lang w:bidi="en-US"/>
        </w:rPr>
      </w:pPr>
      <w:r w:rsidRPr="00F942FF">
        <w:rPr>
          <w:rFonts w:eastAsia="Calibri"/>
          <w:sz w:val="20"/>
          <w:szCs w:val="20"/>
          <w:lang w:bidi="en-US"/>
        </w:rPr>
        <w:t>All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members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study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will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be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subjected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to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following:</w:t>
      </w:r>
    </w:p>
    <w:p w:rsidR="00B919B7" w:rsidRPr="00F942FF" w:rsidRDefault="00B919B7" w:rsidP="00DC4F3E">
      <w:pPr>
        <w:pStyle w:val="ListParagraph"/>
        <w:numPr>
          <w:ilvl w:val="0"/>
          <w:numId w:val="1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  <w:lang w:bidi="en-US"/>
        </w:rPr>
      </w:pPr>
      <w:r w:rsidRPr="00F942FF">
        <w:rPr>
          <w:rFonts w:eastAsia="Calibri"/>
          <w:b/>
          <w:bCs/>
          <w:sz w:val="20"/>
          <w:szCs w:val="20"/>
          <w:lang w:bidi="en-US"/>
        </w:rPr>
        <w:t>Complete</w:t>
      </w:r>
      <w:r w:rsidR="00EB5140" w:rsidRPr="00F942FF">
        <w:rPr>
          <w:rFonts w:eastAsia="Calibri"/>
          <w:b/>
          <w:bCs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sz w:val="20"/>
          <w:szCs w:val="20"/>
          <w:lang w:bidi="en-US"/>
        </w:rPr>
        <w:t>history</w:t>
      </w:r>
      <w:r w:rsidR="00EB5140" w:rsidRPr="00F942FF">
        <w:rPr>
          <w:rFonts w:eastAsia="Calibri"/>
          <w:b/>
          <w:bCs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sz w:val="20"/>
          <w:szCs w:val="20"/>
          <w:lang w:bidi="en-US"/>
        </w:rPr>
        <w:t>taking</w:t>
      </w:r>
      <w:r w:rsidR="00EB5140" w:rsidRPr="00F942FF">
        <w:rPr>
          <w:rFonts w:eastAsia="Calibri"/>
          <w:b/>
          <w:bCs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including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age,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sex,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marital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status,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address,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contact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information;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onset,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course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and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duration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present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condition,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medical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history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any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associated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systemic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or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dermatologic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diseases,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family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history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vitiligo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and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previous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treatment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for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it.</w:t>
      </w:r>
    </w:p>
    <w:p w:rsidR="00B919B7" w:rsidRPr="00F942FF" w:rsidRDefault="00B919B7" w:rsidP="00DC4F3E">
      <w:pPr>
        <w:pStyle w:val="ListParagraph"/>
        <w:numPr>
          <w:ilvl w:val="0"/>
          <w:numId w:val="1"/>
        </w:numPr>
        <w:snapToGrid w:val="0"/>
        <w:spacing w:line="240" w:lineRule="auto"/>
        <w:ind w:left="0" w:firstLine="425"/>
        <w:jc w:val="both"/>
        <w:rPr>
          <w:rFonts w:eastAsia="Calibri"/>
          <w:color w:val="000000"/>
          <w:sz w:val="20"/>
          <w:szCs w:val="20"/>
          <w:u w:val="single"/>
          <w:lang w:bidi="en-US"/>
        </w:rPr>
      </w:pPr>
      <w:r w:rsidRPr="00F942FF">
        <w:rPr>
          <w:rFonts w:eastAsia="Calibri"/>
          <w:b/>
          <w:bCs/>
          <w:sz w:val="20"/>
          <w:szCs w:val="20"/>
          <w:lang w:bidi="en-US"/>
        </w:rPr>
        <w:t>Dermatological</w:t>
      </w:r>
      <w:r w:rsidR="00EB5140" w:rsidRPr="00F942FF">
        <w:rPr>
          <w:rFonts w:eastAsia="Calibri"/>
          <w:b/>
          <w:bCs/>
          <w:sz w:val="20"/>
          <w:szCs w:val="20"/>
          <w:lang w:bidi="en-US"/>
        </w:rPr>
        <w:t xml:space="preserve"> </w:t>
      </w:r>
      <w:r w:rsidRPr="00F942FF">
        <w:rPr>
          <w:rFonts w:eastAsia="Calibri"/>
          <w:b/>
          <w:bCs/>
          <w:sz w:val="20"/>
          <w:szCs w:val="20"/>
          <w:lang w:bidi="en-US"/>
        </w:rPr>
        <w:t>examination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including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detection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lesion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site,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vitiligo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type,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site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and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size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lesions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and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skin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phototype.</w:t>
      </w:r>
    </w:p>
    <w:p w:rsidR="00B919B7" w:rsidRPr="00F942FF" w:rsidRDefault="00B919B7" w:rsidP="00DC4F3E">
      <w:pPr>
        <w:pStyle w:val="ListParagraph"/>
        <w:numPr>
          <w:ilvl w:val="0"/>
          <w:numId w:val="1"/>
        </w:numPr>
        <w:snapToGrid w:val="0"/>
        <w:spacing w:line="240" w:lineRule="auto"/>
        <w:ind w:left="0" w:firstLine="425"/>
        <w:jc w:val="both"/>
        <w:rPr>
          <w:rFonts w:eastAsia="Calibri"/>
          <w:b/>
          <w:bCs/>
          <w:color w:val="000000"/>
          <w:sz w:val="20"/>
          <w:szCs w:val="20"/>
          <w:lang w:bidi="en-US"/>
        </w:rPr>
      </w:pPr>
      <w:r w:rsidRPr="00F942FF">
        <w:rPr>
          <w:rFonts w:eastAsia="Calibri"/>
          <w:b/>
          <w:bCs/>
          <w:sz w:val="20"/>
          <w:szCs w:val="20"/>
        </w:rPr>
        <w:t>Three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vitiliginous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patches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nearly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same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size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randomly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selected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same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individual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each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patch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received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different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treatment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for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12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weeks</w:t>
      </w:r>
      <w:r w:rsidRPr="00F942FF">
        <w:rPr>
          <w:sz w:val="20"/>
          <w:szCs w:val="20"/>
        </w:rPr>
        <w:t>:</w:t>
      </w:r>
    </w:p>
    <w:p w:rsidR="00B919B7" w:rsidRPr="00F942FF" w:rsidRDefault="00B919B7" w:rsidP="00DC4F3E">
      <w:pPr>
        <w:pStyle w:val="ListParagraph"/>
        <w:numPr>
          <w:ilvl w:val="0"/>
          <w:numId w:val="5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The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first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patch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(U)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two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sessions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sz w:val="20"/>
          <w:szCs w:val="20"/>
        </w:rPr>
        <w:t>weekly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starting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dose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0.2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J/cm</w:t>
      </w:r>
      <w:r w:rsidRPr="00F942FF">
        <w:rPr>
          <w:rFonts w:eastAsia="Calibri"/>
          <w:sz w:val="20"/>
          <w:szCs w:val="20"/>
          <w:vertAlign w:val="superscript"/>
        </w:rPr>
        <w:t>2</w:t>
      </w:r>
      <w:r w:rsidR="00EB5140" w:rsidRPr="00F942FF">
        <w:rPr>
          <w:rFonts w:eastAsia="Calibri"/>
          <w:sz w:val="20"/>
          <w:szCs w:val="20"/>
          <w:vertAlign w:val="superscript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increasing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20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every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session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till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minimal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erythema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dose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achieved.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The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NB-UVB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source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UV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series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equipment,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Daavlin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7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series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(USA),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fig</w:t>
      </w:r>
      <w:r w:rsidR="00DC4F3E" w:rsidRPr="00F942FF">
        <w:rPr>
          <w:rFonts w:eastAsia="Calibri"/>
          <w:i/>
          <w:iCs/>
          <w:sz w:val="20"/>
          <w:szCs w:val="20"/>
        </w:rPr>
        <w:t>. V</w:t>
      </w:r>
      <w:r w:rsidRPr="00F942FF">
        <w:rPr>
          <w:rFonts w:eastAsia="Calibri"/>
          <w:i/>
          <w:iCs/>
          <w:sz w:val="20"/>
          <w:szCs w:val="20"/>
        </w:rPr>
        <w:t>II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with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a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spectrum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of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280-320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nm</w:t>
      </w:r>
      <w:r w:rsidRPr="00F942FF">
        <w:rPr>
          <w:i/>
          <w:iCs/>
          <w:sz w:val="20"/>
          <w:szCs w:val="20"/>
        </w:rPr>
        <w:t>.</w:t>
      </w:r>
    </w:p>
    <w:p w:rsidR="00B919B7" w:rsidRPr="00F942FF" w:rsidRDefault="00B919B7" w:rsidP="00DC4F3E">
      <w:pPr>
        <w:pStyle w:val="ListParagraph"/>
        <w:numPr>
          <w:ilvl w:val="0"/>
          <w:numId w:val="6"/>
        </w:numPr>
        <w:snapToGrid w:val="0"/>
        <w:spacing w:line="240" w:lineRule="auto"/>
        <w:ind w:left="0" w:firstLine="425"/>
        <w:jc w:val="both"/>
        <w:rPr>
          <w:rFonts w:eastAsia="Calibri"/>
          <w:i/>
          <w:i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The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second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patch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(UDS)</w:t>
      </w:r>
      <w:r w:rsidRPr="00F942FF">
        <w:rPr>
          <w:rFonts w:eastAsia="Calibri"/>
          <w:sz w:val="20"/>
          <w:szCs w:val="20"/>
        </w:rPr>
        <w:t>: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same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first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except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after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sz w:val="20"/>
          <w:szCs w:val="20"/>
        </w:rPr>
        <w:t>one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two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weekly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sessions,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skin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automatic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device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(Dr.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Pen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Auto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Microneedle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System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Ultima-A1,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Fig</w:t>
      </w:r>
      <w:r w:rsidR="00DC4F3E" w:rsidRPr="00F942FF">
        <w:rPr>
          <w:rFonts w:eastAsia="Calibri"/>
          <w:i/>
          <w:iCs/>
          <w:sz w:val="20"/>
          <w:szCs w:val="20"/>
        </w:rPr>
        <w:t>. V</w:t>
      </w:r>
      <w:r w:rsidRPr="00F942FF">
        <w:rPr>
          <w:rFonts w:eastAsia="Calibri"/>
          <w:i/>
          <w:iCs/>
          <w:sz w:val="20"/>
          <w:szCs w:val="20"/>
        </w:rPr>
        <w:t>III)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following</w:t>
      </w:r>
    </w:p>
    <w:p w:rsidR="00B919B7" w:rsidRPr="00F942FF" w:rsidRDefault="00B919B7" w:rsidP="00DC4F3E">
      <w:pPr>
        <w:pStyle w:val="ListParagraph"/>
        <w:numPr>
          <w:ilvl w:val="0"/>
          <w:numId w:val="7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Topical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anesthetic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gel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(EMLA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5%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cream)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applied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skin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under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occlusion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30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minutes.</w:t>
      </w:r>
    </w:p>
    <w:p w:rsidR="00B919B7" w:rsidRPr="00F942FF" w:rsidRDefault="00B919B7" w:rsidP="00DC4F3E">
      <w:pPr>
        <w:pStyle w:val="ListParagraph"/>
        <w:numPr>
          <w:ilvl w:val="0"/>
          <w:numId w:val="7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Skin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cleaning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ethyl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alcohol.</w:t>
      </w:r>
    </w:p>
    <w:p w:rsidR="00B919B7" w:rsidRPr="00F942FF" w:rsidRDefault="00B919B7" w:rsidP="00DC4F3E">
      <w:pPr>
        <w:pStyle w:val="ListParagraph"/>
        <w:numPr>
          <w:ilvl w:val="0"/>
          <w:numId w:val="7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dermapen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-set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needle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depth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0.5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mm-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applied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both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horizontal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vertical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lines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till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affected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area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reach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point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bleeding.</w:t>
      </w:r>
    </w:p>
    <w:p w:rsidR="00B919B7" w:rsidRPr="00F942FF" w:rsidRDefault="00B919B7" w:rsidP="00DC4F3E">
      <w:pPr>
        <w:pStyle w:val="ListParagraph"/>
        <w:numPr>
          <w:ilvl w:val="0"/>
          <w:numId w:val="7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0.5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normal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0.9%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applied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topically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bleeding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area,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rubbed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left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under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occlusion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30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minutes.</w:t>
      </w:r>
    </w:p>
    <w:p w:rsidR="00B919B7" w:rsidRPr="00F942FF" w:rsidRDefault="00B919B7" w:rsidP="00DC4F3E">
      <w:pPr>
        <w:pStyle w:val="ListParagraph"/>
        <w:numPr>
          <w:ilvl w:val="0"/>
          <w:numId w:val="8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The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third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patch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(UDG)</w:t>
      </w:r>
      <w:r w:rsidRPr="00F942FF">
        <w:rPr>
          <w:rFonts w:eastAsia="Calibri"/>
          <w:sz w:val="20"/>
          <w:szCs w:val="20"/>
        </w:rPr>
        <w:t>: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same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second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except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solution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instead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normal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after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took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place.</w:t>
      </w:r>
    </w:p>
    <w:p w:rsidR="00B919B7" w:rsidRPr="00F942FF" w:rsidRDefault="00B919B7" w:rsidP="00DC4F3E">
      <w:pPr>
        <w:snapToGrid w:val="0"/>
        <w:contextualSpacing/>
        <w:jc w:val="both"/>
        <w:rPr>
          <w:rFonts w:eastAsia="Calibri"/>
          <w:b/>
          <w:b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Evaluation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of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the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therapeutic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efficacy</w:t>
      </w:r>
    </w:p>
    <w:p w:rsidR="00B919B7" w:rsidRPr="00F942FF" w:rsidRDefault="00B919B7" w:rsidP="00DC4F3E">
      <w:pPr>
        <w:pStyle w:val="ListParagraph"/>
        <w:numPr>
          <w:ilvl w:val="0"/>
          <w:numId w:val="9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Clinical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assessment</w:t>
      </w:r>
    </w:p>
    <w:p w:rsidR="00B919B7" w:rsidRPr="00F942FF" w:rsidRDefault="00B919B7" w:rsidP="00DC4F3E">
      <w:pPr>
        <w:snapToGrid w:val="0"/>
        <w:ind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Serial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photographs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digital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camera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(BenQ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C1030,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10.0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Mega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Pixels)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same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resolution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lighting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features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taken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before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every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session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period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clinical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evaluation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degree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done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two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independent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blinded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lastRenderedPageBreak/>
        <w:t>investigators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three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scores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given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following:</w:t>
      </w:r>
    </w:p>
    <w:p w:rsidR="00B919B7" w:rsidRPr="00F942FF" w:rsidRDefault="00B919B7" w:rsidP="00DC4F3E">
      <w:pPr>
        <w:pStyle w:val="ListParagraph"/>
        <w:numPr>
          <w:ilvl w:val="0"/>
          <w:numId w:val="10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Excellent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improvement: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&gt;75%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repigmentation.</w:t>
      </w:r>
    </w:p>
    <w:p w:rsidR="00B919B7" w:rsidRPr="00F942FF" w:rsidRDefault="00B919B7" w:rsidP="00DC4F3E">
      <w:pPr>
        <w:pStyle w:val="ListParagraph"/>
        <w:numPr>
          <w:ilvl w:val="0"/>
          <w:numId w:val="10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Good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improvement: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50-75%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repigmentation.</w:t>
      </w:r>
    </w:p>
    <w:p w:rsidR="00B919B7" w:rsidRPr="00F942FF" w:rsidRDefault="00B919B7" w:rsidP="00DC4F3E">
      <w:pPr>
        <w:pStyle w:val="ListParagraph"/>
        <w:numPr>
          <w:ilvl w:val="0"/>
          <w:numId w:val="10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Fair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improvement: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25-50%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repigmentation.</w:t>
      </w:r>
    </w:p>
    <w:p w:rsidR="00DC4F3E" w:rsidRPr="00F942FF" w:rsidRDefault="00B919B7" w:rsidP="00DC4F3E">
      <w:pPr>
        <w:pStyle w:val="ListParagraph"/>
        <w:numPr>
          <w:ilvl w:val="0"/>
          <w:numId w:val="10"/>
        </w:numPr>
        <w:snapToGrid w:val="0"/>
        <w:spacing w:line="240" w:lineRule="auto"/>
        <w:ind w:left="0"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Poor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improvement: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&lt;25%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</w:t>
      </w:r>
      <w:r w:rsidR="00DC4F3E" w:rsidRPr="00F942FF">
        <w:rPr>
          <w:rFonts w:eastAsia="Calibri"/>
          <w:sz w:val="20"/>
          <w:szCs w:val="20"/>
        </w:rPr>
        <w:t>n.</w:t>
      </w:r>
    </w:p>
    <w:p w:rsidR="00EB5140" w:rsidRPr="00F942FF" w:rsidRDefault="00B919B7" w:rsidP="00DC4F3E">
      <w:pPr>
        <w:pStyle w:val="ListParagraph"/>
        <w:numPr>
          <w:ilvl w:val="0"/>
          <w:numId w:val="9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Safety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assessment</w:t>
      </w:r>
    </w:p>
    <w:p w:rsidR="00B919B7" w:rsidRPr="00F942FF" w:rsidRDefault="00EB5140" w:rsidP="00DC4F3E">
      <w:pPr>
        <w:snapToGrid w:val="0"/>
        <w:ind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T</w:t>
      </w:r>
      <w:r w:rsidR="00B919B7" w:rsidRPr="00F942FF">
        <w:rPr>
          <w:rFonts w:eastAsia="Calibri"/>
          <w:sz w:val="20"/>
          <w:szCs w:val="20"/>
        </w:rPr>
        <w:t>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patients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were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informed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report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complications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as;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erythema,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pain,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ulceration,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burning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sensation,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ecchymosis,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infection,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post-inflammatory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hyperpigmentation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or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allergic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manifestations.</w:t>
      </w:r>
    </w:p>
    <w:p w:rsidR="00B919B7" w:rsidRPr="00F942FF" w:rsidRDefault="00B919B7" w:rsidP="00DC4F3E">
      <w:pPr>
        <w:pStyle w:val="ListParagraph"/>
        <w:numPr>
          <w:ilvl w:val="0"/>
          <w:numId w:val="9"/>
        </w:numPr>
        <w:snapToGrid w:val="0"/>
        <w:spacing w:line="240" w:lineRule="auto"/>
        <w:ind w:left="0" w:firstLine="0"/>
        <w:jc w:val="both"/>
        <w:rPr>
          <w:rFonts w:eastAsia="Calibri"/>
          <w:b/>
          <w:b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Pain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assessment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during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session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</w:p>
    <w:p w:rsidR="00B919B7" w:rsidRPr="00F942FF" w:rsidRDefault="00B919B7" w:rsidP="00DC4F3E">
      <w:pPr>
        <w:snapToGrid w:val="0"/>
        <w:ind w:firstLine="425"/>
        <w:contextualSpacing/>
        <w:jc w:val="both"/>
        <w:rPr>
          <w:rFonts w:eastAsia="Calibri"/>
          <w:iCs/>
          <w:sz w:val="20"/>
          <w:szCs w:val="20"/>
          <w:lang w:bidi="en-US"/>
        </w:rPr>
      </w:pPr>
      <w:r w:rsidRPr="00F942FF">
        <w:rPr>
          <w:rFonts w:eastAsia="Calibri"/>
          <w:sz w:val="20"/>
          <w:szCs w:val="20"/>
        </w:rPr>
        <w:t>During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each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session,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participant’s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assessed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according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visual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analogue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scale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(Fig.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IX)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where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zero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means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no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pain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at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all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and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100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is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the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worst</w:t>
      </w:r>
      <w:r w:rsidR="00EB5140" w:rsidRPr="00F942FF">
        <w:rPr>
          <w:rFonts w:eastAsia="Calibri"/>
          <w:iCs/>
          <w:sz w:val="20"/>
          <w:szCs w:val="20"/>
          <w:lang w:bidi="en-US"/>
        </w:rPr>
        <w:t xml:space="preserve"> </w:t>
      </w:r>
      <w:r w:rsidRPr="00F942FF">
        <w:rPr>
          <w:rFonts w:eastAsia="Calibri"/>
          <w:iCs/>
          <w:sz w:val="20"/>
          <w:szCs w:val="20"/>
          <w:lang w:bidi="en-US"/>
        </w:rPr>
        <w:t>pain.</w:t>
      </w:r>
    </w:p>
    <w:p w:rsidR="00B919B7" w:rsidRPr="00F942FF" w:rsidRDefault="00B919B7" w:rsidP="00DC4F3E">
      <w:pPr>
        <w:snapToGrid w:val="0"/>
        <w:contextualSpacing/>
        <w:jc w:val="both"/>
        <w:rPr>
          <w:rFonts w:eastAsia="Calibri"/>
          <w:b/>
          <w:b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Statistical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analysis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of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the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data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(Dean,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2006)</w:t>
      </w:r>
      <w:r w:rsidRPr="00F942FF">
        <w:rPr>
          <w:rFonts w:eastAsia="Calibri"/>
          <w:sz w:val="20"/>
          <w:szCs w:val="20"/>
        </w:rPr>
        <w:t>.</w:t>
      </w:r>
    </w:p>
    <w:p w:rsidR="00DC4F3E" w:rsidRPr="00F942FF" w:rsidRDefault="00B919B7" w:rsidP="00DC4F3E">
      <w:pPr>
        <w:snapToGrid w:val="0"/>
        <w:ind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Data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entry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statistical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analysis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performed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SPSS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(Statistical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Package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Social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Sciences)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version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21.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Categorical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data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expressed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number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percentage.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Continuous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normally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lastRenderedPageBreak/>
        <w:t>distributed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data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expressed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mean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standard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deviation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while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none-normally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distributed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data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expressed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median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range.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quantitative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data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examined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Kolmogrov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Smirnov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test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normality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dat</w:t>
      </w:r>
      <w:r w:rsidR="00DC4F3E" w:rsidRPr="00F942FF">
        <w:rPr>
          <w:rFonts w:eastAsia="Calibri"/>
          <w:sz w:val="20"/>
          <w:szCs w:val="20"/>
        </w:rPr>
        <w:t>a.</w:t>
      </w:r>
    </w:p>
    <w:p w:rsidR="00B919B7" w:rsidRPr="00F942FF" w:rsidRDefault="00B919B7" w:rsidP="00DC4F3E">
      <w:pPr>
        <w:snapToGrid w:val="0"/>
        <w:ind w:firstLine="425"/>
        <w:contextualSpacing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Comparing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categorical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data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done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chi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square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test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fisher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exact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test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whenever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appropriate.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Statistical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significance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considered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probability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(P)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value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equal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0.05.</w:t>
      </w:r>
    </w:p>
    <w:p w:rsidR="00B919B7" w:rsidRPr="00F942FF" w:rsidRDefault="00B919B7" w:rsidP="00DC4F3E">
      <w:pPr>
        <w:snapToGrid w:val="0"/>
        <w:ind w:firstLine="425"/>
        <w:contextualSpacing/>
        <w:jc w:val="both"/>
        <w:rPr>
          <w:rFonts w:eastAsia="Calibri"/>
          <w:sz w:val="20"/>
          <w:szCs w:val="20"/>
        </w:rPr>
      </w:pPr>
    </w:p>
    <w:p w:rsidR="00B919B7" w:rsidRPr="00F942FF" w:rsidRDefault="00B919B7" w:rsidP="00DC4F3E">
      <w:pPr>
        <w:snapToGrid w:val="0"/>
        <w:contextualSpacing/>
        <w:jc w:val="both"/>
        <w:rPr>
          <w:rFonts w:eastAsia="Calibri"/>
          <w:b/>
          <w:bCs/>
          <w:sz w:val="20"/>
          <w:szCs w:val="20"/>
        </w:rPr>
      </w:pPr>
      <w:r w:rsidRPr="00F942FF">
        <w:rPr>
          <w:rFonts w:eastAsia="Calibri"/>
          <w:b/>
          <w:bCs/>
          <w:sz w:val="20"/>
          <w:szCs w:val="20"/>
        </w:rPr>
        <w:t>3.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Results</w:t>
      </w:r>
    </w:p>
    <w:p w:rsidR="00B919B7" w:rsidRPr="00F942FF" w:rsidRDefault="00B919B7" w:rsidP="00DC4F3E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(1)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shows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demographic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data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for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included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participants.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As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regard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age,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age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studied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29.8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±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18.5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with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minimum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age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11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maximum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age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60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years.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As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regard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sex,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there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were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6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males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(30%)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14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females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(70%)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studied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patients.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as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regard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family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history,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there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were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18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patients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(90%)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negative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family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history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2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patients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(10%)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positive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family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history.</w:t>
      </w:r>
    </w:p>
    <w:p w:rsidR="00DC4F3E" w:rsidRPr="00F942FF" w:rsidRDefault="00DC4F3E" w:rsidP="00DC4F3E">
      <w:pPr>
        <w:snapToGrid w:val="0"/>
        <w:jc w:val="center"/>
        <w:rPr>
          <w:b/>
          <w:sz w:val="20"/>
          <w:szCs w:val="20"/>
        </w:rPr>
        <w:sectPr w:rsidR="00DC4F3E" w:rsidRPr="00F942FF" w:rsidSect="00DF7312">
          <w:headerReference w:type="default" r:id="rId11"/>
          <w:pgSz w:w="12240" w:h="15840"/>
          <w:pgMar w:top="1440" w:right="1440" w:bottom="1440" w:left="1440" w:header="720" w:footer="720" w:gutter="0"/>
          <w:cols w:num="2" w:space="600"/>
          <w:rtlGutter/>
          <w:docGrid w:linePitch="360"/>
        </w:sectPr>
      </w:pPr>
    </w:p>
    <w:p w:rsidR="00CF5D2C" w:rsidRPr="00F942FF" w:rsidRDefault="00CF5D2C" w:rsidP="00DC4F3E">
      <w:pPr>
        <w:snapToGrid w:val="0"/>
        <w:jc w:val="center"/>
        <w:rPr>
          <w:b/>
          <w:sz w:val="20"/>
          <w:szCs w:val="20"/>
        </w:rPr>
      </w:pPr>
    </w:p>
    <w:p w:rsidR="004340B7" w:rsidRPr="00F942FF" w:rsidRDefault="004340B7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(1):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Demographic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data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for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included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participants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855"/>
        <w:gridCol w:w="2079"/>
        <w:gridCol w:w="1794"/>
        <w:gridCol w:w="2746"/>
      </w:tblGrid>
      <w:tr w:rsidR="00B919B7" w:rsidRPr="00F942FF" w:rsidTr="00EB5140">
        <w:trPr>
          <w:jc w:val="center"/>
        </w:trPr>
        <w:tc>
          <w:tcPr>
            <w:tcW w:w="2604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Demographic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data</w:t>
            </w:r>
          </w:p>
        </w:tc>
        <w:tc>
          <w:tcPr>
            <w:tcW w:w="2396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Studied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patients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(N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=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20)</w:t>
            </w:r>
          </w:p>
        </w:tc>
      </w:tr>
      <w:tr w:rsidR="00B919B7" w:rsidRPr="00F942FF" w:rsidTr="00EB5140">
        <w:trPr>
          <w:jc w:val="center"/>
        </w:trPr>
        <w:tc>
          <w:tcPr>
            <w:tcW w:w="150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snapToGrid w:val="0"/>
              <w:jc w:val="both"/>
              <w:rPr>
                <w:bCs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Age</w:t>
            </w:r>
            <w:r w:rsidR="00EB5140" w:rsidRPr="00F942FF">
              <w:rPr>
                <w:bCs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(years)</w:t>
            </w:r>
          </w:p>
        </w:tc>
        <w:tc>
          <w:tcPr>
            <w:tcW w:w="1096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Mean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±SD</w:t>
            </w:r>
          </w:p>
        </w:tc>
        <w:tc>
          <w:tcPr>
            <w:tcW w:w="2396" w:type="pct"/>
            <w:gridSpan w:val="2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29.8</w:t>
            </w:r>
            <w:r w:rsidR="00EB5140" w:rsidRPr="00F942FF">
              <w:rPr>
                <w:color w:val="000000"/>
                <w:sz w:val="19"/>
                <w:szCs w:val="19"/>
              </w:rPr>
              <w:t xml:space="preserve"> </w:t>
            </w:r>
            <w:r w:rsidRPr="00F942FF">
              <w:rPr>
                <w:color w:val="000000"/>
                <w:sz w:val="19"/>
                <w:szCs w:val="19"/>
              </w:rPr>
              <w:t>±</w:t>
            </w:r>
            <w:r w:rsidR="00EB5140" w:rsidRPr="00F942FF">
              <w:rPr>
                <w:color w:val="000000"/>
                <w:sz w:val="19"/>
                <w:szCs w:val="19"/>
              </w:rPr>
              <w:t xml:space="preserve"> </w:t>
            </w:r>
            <w:r w:rsidRPr="00F942FF">
              <w:rPr>
                <w:color w:val="000000"/>
                <w:sz w:val="19"/>
                <w:szCs w:val="19"/>
              </w:rPr>
              <w:t>18.5</w:t>
            </w:r>
          </w:p>
        </w:tc>
      </w:tr>
      <w:tr w:rsidR="00B919B7" w:rsidRPr="00F942FF" w:rsidTr="00EB5140">
        <w:trPr>
          <w:jc w:val="center"/>
        </w:trPr>
        <w:tc>
          <w:tcPr>
            <w:tcW w:w="150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96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Min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-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Max</w:t>
            </w:r>
          </w:p>
        </w:tc>
        <w:tc>
          <w:tcPr>
            <w:tcW w:w="2396" w:type="pct"/>
            <w:gridSpan w:val="2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11</w:t>
            </w:r>
            <w:r w:rsidR="00EB5140" w:rsidRPr="00F942FF">
              <w:rPr>
                <w:color w:val="000000"/>
                <w:sz w:val="19"/>
                <w:szCs w:val="19"/>
              </w:rPr>
              <w:t xml:space="preserve"> </w:t>
            </w:r>
            <w:r w:rsidRPr="00F942FF">
              <w:rPr>
                <w:color w:val="000000"/>
                <w:sz w:val="19"/>
                <w:szCs w:val="19"/>
              </w:rPr>
              <w:t>–</w:t>
            </w:r>
            <w:r w:rsidR="00EB5140" w:rsidRPr="00F942FF">
              <w:rPr>
                <w:color w:val="000000"/>
                <w:sz w:val="19"/>
                <w:szCs w:val="19"/>
              </w:rPr>
              <w:t xml:space="preserve"> </w:t>
            </w:r>
            <w:r w:rsidRPr="00F942FF">
              <w:rPr>
                <w:color w:val="000000"/>
                <w:sz w:val="19"/>
                <w:szCs w:val="19"/>
              </w:rPr>
              <w:t>60</w:t>
            </w:r>
          </w:p>
        </w:tc>
      </w:tr>
      <w:tr w:rsidR="00B919B7" w:rsidRPr="00F942FF" w:rsidTr="00EB5140">
        <w:trPr>
          <w:jc w:val="center"/>
        </w:trPr>
        <w:tc>
          <w:tcPr>
            <w:tcW w:w="150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Sex</w:t>
            </w:r>
          </w:p>
        </w:tc>
        <w:tc>
          <w:tcPr>
            <w:tcW w:w="1096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Male</w:t>
            </w:r>
          </w:p>
        </w:tc>
        <w:tc>
          <w:tcPr>
            <w:tcW w:w="947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450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30%</w:t>
            </w:r>
          </w:p>
        </w:tc>
      </w:tr>
      <w:tr w:rsidR="00B919B7" w:rsidRPr="00F942FF" w:rsidTr="00EB5140">
        <w:trPr>
          <w:jc w:val="center"/>
        </w:trPr>
        <w:tc>
          <w:tcPr>
            <w:tcW w:w="150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96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Female</w:t>
            </w:r>
          </w:p>
        </w:tc>
        <w:tc>
          <w:tcPr>
            <w:tcW w:w="947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70%</w:t>
            </w:r>
          </w:p>
        </w:tc>
      </w:tr>
      <w:tr w:rsidR="00B919B7" w:rsidRPr="00F942FF" w:rsidTr="00EB5140">
        <w:trPr>
          <w:jc w:val="center"/>
        </w:trPr>
        <w:tc>
          <w:tcPr>
            <w:tcW w:w="150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Family</w:t>
            </w:r>
            <w:r w:rsidR="00EB5140" w:rsidRPr="00F942FF">
              <w:rPr>
                <w:b/>
                <w:sz w:val="19"/>
                <w:szCs w:val="19"/>
              </w:rPr>
              <w:t xml:space="preserve"> </w:t>
            </w:r>
            <w:r w:rsidRPr="00F942FF">
              <w:rPr>
                <w:b/>
                <w:sz w:val="19"/>
                <w:szCs w:val="19"/>
              </w:rPr>
              <w:t>History</w:t>
            </w:r>
          </w:p>
        </w:tc>
        <w:tc>
          <w:tcPr>
            <w:tcW w:w="1096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Negative</w:t>
            </w:r>
          </w:p>
        </w:tc>
        <w:tc>
          <w:tcPr>
            <w:tcW w:w="947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450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90%</w:t>
            </w:r>
          </w:p>
        </w:tc>
      </w:tr>
      <w:tr w:rsidR="00B919B7" w:rsidRPr="00F942FF" w:rsidTr="00EB5140">
        <w:trPr>
          <w:jc w:val="center"/>
        </w:trPr>
        <w:tc>
          <w:tcPr>
            <w:tcW w:w="150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96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F942FF">
              <w:rPr>
                <w:b/>
                <w:sz w:val="19"/>
                <w:szCs w:val="19"/>
              </w:rPr>
              <w:t>Positive</w:t>
            </w:r>
          </w:p>
        </w:tc>
        <w:tc>
          <w:tcPr>
            <w:tcW w:w="947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F942FF">
              <w:rPr>
                <w:color w:val="000000"/>
                <w:sz w:val="19"/>
                <w:szCs w:val="19"/>
              </w:rPr>
              <w:t>10%</w:t>
            </w:r>
          </w:p>
        </w:tc>
      </w:tr>
    </w:tbl>
    <w:p w:rsidR="00B919B7" w:rsidRPr="00F942FF" w:rsidRDefault="00B919B7" w:rsidP="00DC4F3E">
      <w:pPr>
        <w:snapToGrid w:val="0"/>
        <w:jc w:val="center"/>
        <w:rPr>
          <w:rFonts w:eastAsiaTheme="minorEastAsia"/>
          <w:b/>
          <w:bCs/>
          <w:sz w:val="20"/>
          <w:szCs w:val="20"/>
        </w:rPr>
      </w:pPr>
    </w:p>
    <w:p w:rsidR="00536061" w:rsidRPr="00F942FF" w:rsidRDefault="00536061" w:rsidP="00536061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 (2):</w:t>
      </w:r>
      <w:r w:rsidRPr="00F942FF">
        <w:rPr>
          <w:b/>
          <w:color w:val="FF0000"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Description of clinical data in studied patients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764"/>
        <w:gridCol w:w="3361"/>
        <w:gridCol w:w="928"/>
        <w:gridCol w:w="1421"/>
      </w:tblGrid>
      <w:tr w:rsidR="00536061" w:rsidRPr="00F942FF" w:rsidTr="00214502">
        <w:trPr>
          <w:jc w:val="center"/>
        </w:trPr>
        <w:tc>
          <w:tcPr>
            <w:tcW w:w="3760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Clinical data</w:t>
            </w:r>
          </w:p>
        </w:tc>
        <w:tc>
          <w:tcPr>
            <w:tcW w:w="1240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536061" w:rsidRPr="00F942FF" w:rsidRDefault="00536061" w:rsidP="00F942F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Studied patients</w:t>
            </w:r>
            <w:r w:rsidR="00F942FF" w:rsidRPr="00F942FF">
              <w:rPr>
                <w:rFonts w:eastAsiaTheme="minorEastAsia" w:hint="eastAsia"/>
                <w:b/>
                <w:sz w:val="18"/>
                <w:szCs w:val="18"/>
              </w:rPr>
              <w:t xml:space="preserve"> </w:t>
            </w:r>
            <w:r w:rsidRPr="00F942FF">
              <w:rPr>
                <w:b/>
                <w:sz w:val="18"/>
                <w:szCs w:val="18"/>
              </w:rPr>
              <w:t>(N = 20)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536061" w:rsidRPr="00F942FF" w:rsidRDefault="00536061" w:rsidP="00214502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Duration of disease</w:t>
            </w:r>
            <w:r w:rsidRPr="00F942FF">
              <w:rPr>
                <w:bCs/>
                <w:sz w:val="18"/>
                <w:szCs w:val="18"/>
              </w:rPr>
              <w:t xml:space="preserve"> </w:t>
            </w:r>
            <w:r w:rsidRPr="00F942FF">
              <w:rPr>
                <w:b/>
                <w:sz w:val="18"/>
                <w:szCs w:val="18"/>
              </w:rPr>
              <w:t>(years)</w:t>
            </w: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Mean ±SD</w:t>
            </w:r>
          </w:p>
        </w:tc>
        <w:tc>
          <w:tcPr>
            <w:tcW w:w="1240" w:type="pct"/>
            <w:gridSpan w:val="2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4.05 ± 2.4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Min - Max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 – 9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Skin type</w:t>
            </w: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90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50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75%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90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25%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Type of vitiligo</w:t>
            </w: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Acral</w:t>
            </w:r>
          </w:p>
        </w:tc>
        <w:tc>
          <w:tcPr>
            <w:tcW w:w="490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10%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Wide spread</w:t>
            </w:r>
          </w:p>
        </w:tc>
        <w:tc>
          <w:tcPr>
            <w:tcW w:w="490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90%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Site of lesion</w:t>
            </w: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Arm</w:t>
            </w:r>
          </w:p>
        </w:tc>
        <w:tc>
          <w:tcPr>
            <w:tcW w:w="1240" w:type="pct"/>
            <w:gridSpan w:val="2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4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Face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 xml:space="preserve">Trunk 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Hands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6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Leg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Foot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Elbow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Neck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Previous treatment</w:t>
            </w: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UVB</w:t>
            </w:r>
          </w:p>
        </w:tc>
        <w:tc>
          <w:tcPr>
            <w:tcW w:w="1240" w:type="pct"/>
            <w:gridSpan w:val="2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20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Topical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18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Vitamins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4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systemic corticosteroids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6061" w:rsidRPr="00F942FF" w:rsidTr="00214502">
        <w:trPr>
          <w:jc w:val="center"/>
        </w:trPr>
        <w:tc>
          <w:tcPr>
            <w:tcW w:w="1986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942FF">
              <w:rPr>
                <w:b/>
                <w:sz w:val="18"/>
                <w:szCs w:val="18"/>
              </w:rPr>
              <w:t>Intra-lesional 5-fu</w:t>
            </w:r>
          </w:p>
        </w:tc>
        <w:tc>
          <w:tcPr>
            <w:tcW w:w="1240" w:type="pct"/>
            <w:gridSpan w:val="2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536061" w:rsidRPr="00F942FF" w:rsidRDefault="00536061" w:rsidP="0021450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942FF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DC4F3E" w:rsidRDefault="00DC4F3E" w:rsidP="00F942FF">
      <w:pPr>
        <w:snapToGrid w:val="0"/>
        <w:rPr>
          <w:rFonts w:eastAsiaTheme="minorEastAsia" w:hint="eastAsia"/>
          <w:b/>
          <w:sz w:val="20"/>
          <w:szCs w:val="20"/>
        </w:rPr>
      </w:pPr>
    </w:p>
    <w:p w:rsidR="00F942FF" w:rsidRDefault="00F942FF" w:rsidP="00F942FF">
      <w:pPr>
        <w:snapToGrid w:val="0"/>
        <w:rPr>
          <w:rFonts w:eastAsiaTheme="minorEastAsia" w:hint="eastAsia"/>
          <w:b/>
          <w:sz w:val="20"/>
          <w:szCs w:val="20"/>
        </w:rPr>
      </w:pPr>
    </w:p>
    <w:p w:rsidR="00F942FF" w:rsidRPr="00F942FF" w:rsidRDefault="00F942FF" w:rsidP="00DC4F3E">
      <w:pPr>
        <w:snapToGrid w:val="0"/>
        <w:jc w:val="center"/>
        <w:rPr>
          <w:rFonts w:eastAsiaTheme="minorEastAsia" w:hint="eastAsia"/>
          <w:b/>
          <w:sz w:val="20"/>
          <w:szCs w:val="20"/>
        </w:rPr>
        <w:sectPr w:rsidR="00F942FF" w:rsidRPr="00F942FF" w:rsidSect="00EB5140">
          <w:type w:val="continuous"/>
          <w:pgSz w:w="12240" w:h="15840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B5140" w:rsidRPr="00F942FF" w:rsidRDefault="00B919B7" w:rsidP="00DC4F3E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942FF">
        <w:rPr>
          <w:b/>
          <w:sz w:val="20"/>
          <w:szCs w:val="20"/>
        </w:rPr>
        <w:lastRenderedPageBreak/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(2)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table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shows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data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studied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As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regard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duration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of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disease,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duration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studied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4.05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±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2.4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with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minimum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duration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1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maximum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duration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9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years.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As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regard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skin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type,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there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were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15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patients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(75%)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skin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type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III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5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patients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(25%)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skin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type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IV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studied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patients.</w:t>
      </w:r>
    </w:p>
    <w:p w:rsidR="00EB5140" w:rsidRPr="00F942FF" w:rsidRDefault="00EB5140" w:rsidP="00DC4F3E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bCs/>
          <w:color w:val="000000"/>
          <w:sz w:val="20"/>
          <w:szCs w:val="20"/>
        </w:rPr>
        <w:t>A</w:t>
      </w:r>
      <w:r w:rsidR="00B919B7" w:rsidRPr="00F942FF">
        <w:rPr>
          <w:b/>
          <w:bCs/>
          <w:color w:val="000000"/>
          <w:sz w:val="20"/>
          <w:szCs w:val="20"/>
        </w:rPr>
        <w:t>s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regard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type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of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vitiligo,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there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were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2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patients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(10%)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of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Acral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vitiligo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and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18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patients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(90%)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of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wide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spread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vitiligo.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As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regard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Site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of</w:t>
      </w:r>
      <w:r w:rsidRPr="00F942FF">
        <w:rPr>
          <w:b/>
          <w:bCs/>
          <w:color w:val="000000"/>
          <w:sz w:val="20"/>
          <w:szCs w:val="20"/>
        </w:rPr>
        <w:t xml:space="preserve"> </w:t>
      </w:r>
      <w:r w:rsidR="00B919B7" w:rsidRPr="00F942FF">
        <w:rPr>
          <w:b/>
          <w:bCs/>
          <w:color w:val="000000"/>
          <w:sz w:val="20"/>
          <w:szCs w:val="20"/>
        </w:rPr>
        <w:t>lesion,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arm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was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in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4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patients;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Face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was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2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trunk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was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11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hands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were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lastRenderedPageBreak/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6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Legs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were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12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foot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was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12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elbow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was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2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and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neck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was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affected</w:t>
      </w:r>
      <w:r w:rsidRPr="00F942FF">
        <w:rPr>
          <w:color w:val="000000"/>
          <w:sz w:val="20"/>
          <w:szCs w:val="20"/>
        </w:rPr>
        <w:t xml:space="preserve"> </w:t>
      </w:r>
      <w:r w:rsidR="00B919B7" w:rsidRPr="00F942FF">
        <w:rPr>
          <w:color w:val="000000"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2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patients.</w:t>
      </w:r>
    </w:p>
    <w:p w:rsidR="00B919B7" w:rsidRPr="00F942FF" w:rsidRDefault="00EB5140" w:rsidP="00DC4F3E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sz w:val="20"/>
          <w:szCs w:val="20"/>
        </w:rPr>
        <w:t>A</w:t>
      </w:r>
      <w:r w:rsidR="00B919B7" w:rsidRPr="00F942FF">
        <w:rPr>
          <w:b/>
          <w:sz w:val="20"/>
          <w:szCs w:val="20"/>
        </w:rPr>
        <w:t>s</w:t>
      </w:r>
      <w:r w:rsidRPr="00F942FF">
        <w:rPr>
          <w:b/>
          <w:sz w:val="20"/>
          <w:szCs w:val="20"/>
        </w:rPr>
        <w:t xml:space="preserve"> </w:t>
      </w:r>
      <w:r w:rsidR="00B919B7" w:rsidRPr="00F942FF">
        <w:rPr>
          <w:b/>
          <w:sz w:val="20"/>
          <w:szCs w:val="20"/>
        </w:rPr>
        <w:t>regard</w:t>
      </w:r>
      <w:r w:rsidRPr="00F942FF">
        <w:rPr>
          <w:b/>
          <w:sz w:val="20"/>
          <w:szCs w:val="20"/>
        </w:rPr>
        <w:t xml:space="preserve"> </w:t>
      </w:r>
      <w:r w:rsidR="00B919B7" w:rsidRPr="00F942FF">
        <w:rPr>
          <w:b/>
          <w:sz w:val="20"/>
          <w:szCs w:val="20"/>
        </w:rPr>
        <w:t>previous</w:t>
      </w:r>
      <w:r w:rsidRPr="00F942FF">
        <w:rPr>
          <w:b/>
          <w:sz w:val="20"/>
          <w:szCs w:val="20"/>
        </w:rPr>
        <w:t xml:space="preserve"> </w:t>
      </w:r>
      <w:r w:rsidR="00B919B7" w:rsidRPr="00F942FF">
        <w:rPr>
          <w:b/>
          <w:sz w:val="20"/>
          <w:szCs w:val="20"/>
        </w:rPr>
        <w:t>treatment,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UVB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was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used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all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topical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treatment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was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used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18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vitamins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were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used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4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patients,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systemic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corticosteroids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were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used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2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and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intra-lesional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5-fu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was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used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in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1</w:t>
      </w:r>
      <w:r w:rsidRPr="00F942FF">
        <w:rPr>
          <w:bCs/>
          <w:sz w:val="20"/>
          <w:szCs w:val="20"/>
        </w:rPr>
        <w:t xml:space="preserve"> </w:t>
      </w:r>
      <w:r w:rsidR="00B919B7" w:rsidRPr="00F942FF">
        <w:rPr>
          <w:bCs/>
          <w:sz w:val="20"/>
          <w:szCs w:val="20"/>
        </w:rPr>
        <w:t>patient.</w:t>
      </w:r>
    </w:p>
    <w:p w:rsidR="00536061" w:rsidRPr="00F942FF" w:rsidRDefault="00536061" w:rsidP="00536061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sz w:val="20"/>
          <w:szCs w:val="20"/>
        </w:rPr>
        <w:t>Table (3)</w:t>
      </w:r>
      <w:r w:rsidRPr="00F942FF">
        <w:rPr>
          <w:bCs/>
          <w:sz w:val="20"/>
          <w:szCs w:val="20"/>
        </w:rPr>
        <w:t xml:space="preserve"> shows statistically significant difference </w:t>
      </w:r>
      <w:r w:rsidRPr="00F942FF">
        <w:rPr>
          <w:b/>
          <w:sz w:val="20"/>
          <w:szCs w:val="20"/>
        </w:rPr>
        <w:t>(p-value &lt; 0.05)</w:t>
      </w:r>
      <w:r w:rsidRPr="00F942FF">
        <w:rPr>
          <w:bCs/>
          <w:sz w:val="20"/>
          <w:szCs w:val="20"/>
        </w:rPr>
        <w:t xml:space="preserve"> between studied patches (UDG &amp; UDS) as regard improvement.</w:t>
      </w:r>
    </w:p>
    <w:p w:rsidR="00536061" w:rsidRPr="00F942FF" w:rsidRDefault="00536061" w:rsidP="00DC4F3E">
      <w:pPr>
        <w:snapToGrid w:val="0"/>
        <w:jc w:val="center"/>
        <w:rPr>
          <w:rFonts w:eastAsiaTheme="minorEastAsia"/>
          <w:b/>
          <w:sz w:val="20"/>
          <w:szCs w:val="20"/>
        </w:rPr>
        <w:sectPr w:rsidR="00536061" w:rsidRPr="00F942FF" w:rsidSect="00DC4F3E">
          <w:type w:val="continuous"/>
          <w:pgSz w:w="12240" w:h="15840"/>
          <w:pgMar w:top="1440" w:right="1440" w:bottom="1440" w:left="1440" w:header="720" w:footer="720" w:gutter="0"/>
          <w:cols w:num="2" w:space="600"/>
          <w:rtlGutter/>
          <w:docGrid w:linePitch="360"/>
        </w:sectPr>
      </w:pPr>
    </w:p>
    <w:p w:rsidR="00B919B7" w:rsidRPr="00F942FF" w:rsidRDefault="00B919B7" w:rsidP="00DC4F3E">
      <w:pPr>
        <w:snapToGrid w:val="0"/>
        <w:jc w:val="center"/>
        <w:rPr>
          <w:bCs/>
          <w:sz w:val="20"/>
          <w:szCs w:val="20"/>
        </w:rPr>
      </w:pPr>
    </w:p>
    <w:p w:rsidR="00F942FF" w:rsidRDefault="00F942FF" w:rsidP="00DC4F3E">
      <w:pPr>
        <w:snapToGrid w:val="0"/>
        <w:jc w:val="center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(3):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Comparison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between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studied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patches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(UDG</w:t>
      </w:r>
      <w:r w:rsidR="00EB5140" w:rsidRPr="00F942FF">
        <w:rPr>
          <w:b/>
          <w:sz w:val="20"/>
          <w:szCs w:val="20"/>
        </w:rPr>
        <w:t xml:space="preserve"> &amp; </w:t>
      </w:r>
      <w:r w:rsidRPr="00F942FF">
        <w:rPr>
          <w:b/>
          <w:sz w:val="20"/>
          <w:szCs w:val="20"/>
        </w:rPr>
        <w:t>UDS)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as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regard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improvement.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49"/>
        <w:gridCol w:w="1446"/>
        <w:gridCol w:w="642"/>
        <w:gridCol w:w="1440"/>
        <w:gridCol w:w="510"/>
        <w:gridCol w:w="781"/>
        <w:gridCol w:w="1391"/>
        <w:gridCol w:w="1215"/>
      </w:tblGrid>
      <w:tr w:rsidR="004340B7" w:rsidRPr="00F942FF" w:rsidTr="00EB5140">
        <w:trPr>
          <w:jc w:val="center"/>
        </w:trPr>
        <w:tc>
          <w:tcPr>
            <w:tcW w:w="1845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1099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UDG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(N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20)</w:t>
            </w:r>
          </w:p>
        </w:tc>
        <w:tc>
          <w:tcPr>
            <w:tcW w:w="681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UDS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(N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=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20)</w:t>
            </w:r>
          </w:p>
        </w:tc>
        <w:tc>
          <w:tcPr>
            <w:tcW w:w="734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Stat.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641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EB5140" w:rsidRPr="00F942FF" w:rsidTr="00EB5140">
        <w:trPr>
          <w:jc w:val="center"/>
        </w:trPr>
        <w:tc>
          <w:tcPr>
            <w:tcW w:w="1082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763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339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734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X</w:t>
            </w:r>
            <w:r w:rsidRPr="00F942F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EB5140" w:rsidRPr="00F942FF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=</w:t>
            </w:r>
            <w:r w:rsidR="00EB5140" w:rsidRPr="00F942FF">
              <w:rPr>
                <w:color w:val="000000"/>
                <w:sz w:val="20"/>
                <w:szCs w:val="20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8.83</w:t>
            </w:r>
          </w:p>
        </w:tc>
        <w:tc>
          <w:tcPr>
            <w:tcW w:w="641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0.032</w:t>
            </w:r>
          </w:p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B5140" w:rsidRPr="00F942FF" w:rsidTr="00EB5140">
        <w:trPr>
          <w:jc w:val="center"/>
        </w:trPr>
        <w:tc>
          <w:tcPr>
            <w:tcW w:w="1082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339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269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734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082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339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69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734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082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339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69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4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19B7" w:rsidRPr="00F942FF" w:rsidRDefault="00B919B7" w:rsidP="00DC4F3E">
      <w:pPr>
        <w:snapToGrid w:val="0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X</w:t>
      </w:r>
      <w:r w:rsidRPr="00F942FF">
        <w:rPr>
          <w:sz w:val="20"/>
          <w:szCs w:val="20"/>
          <w:vertAlign w:val="superscript"/>
        </w:rPr>
        <w:t>2</w:t>
      </w:r>
      <w:r w:rsidRPr="00F942FF">
        <w:rPr>
          <w:sz w:val="20"/>
          <w:szCs w:val="20"/>
        </w:rPr>
        <w:t>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Chi-square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test.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p-value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&lt;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0.5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considered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significant.</w:t>
      </w:r>
    </w:p>
    <w:p w:rsidR="00B919B7" w:rsidRPr="00F942FF" w:rsidRDefault="00B919B7" w:rsidP="00DC4F3E">
      <w:pPr>
        <w:snapToGrid w:val="0"/>
        <w:jc w:val="center"/>
        <w:rPr>
          <w:bCs/>
          <w:sz w:val="20"/>
          <w:szCs w:val="20"/>
        </w:rPr>
      </w:pPr>
    </w:p>
    <w:p w:rsidR="00F942FF" w:rsidRDefault="00F942FF" w:rsidP="00DC4F3E">
      <w:pPr>
        <w:snapToGrid w:val="0"/>
        <w:ind w:firstLine="425"/>
        <w:jc w:val="both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(4)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shows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statistically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significant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difference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(p-value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&lt;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0.05)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between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studied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patches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(UDG</w:t>
      </w:r>
      <w:r w:rsidR="00EB5140" w:rsidRPr="00F942FF">
        <w:rPr>
          <w:bCs/>
          <w:sz w:val="20"/>
          <w:szCs w:val="20"/>
        </w:rPr>
        <w:t xml:space="preserve"> &amp; </w:t>
      </w:r>
      <w:r w:rsidRPr="00F942FF">
        <w:rPr>
          <w:bCs/>
          <w:sz w:val="20"/>
          <w:szCs w:val="20"/>
        </w:rPr>
        <w:t>U)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regard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improvement.</w:t>
      </w: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</w:p>
    <w:p w:rsidR="00F942FF" w:rsidRDefault="00F942FF" w:rsidP="00DC4F3E">
      <w:pPr>
        <w:snapToGrid w:val="0"/>
        <w:jc w:val="center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(4):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Comparison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between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studied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patches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(UDG</w:t>
      </w:r>
      <w:r w:rsidR="00EB5140" w:rsidRPr="00F942FF">
        <w:rPr>
          <w:b/>
          <w:sz w:val="20"/>
          <w:szCs w:val="20"/>
        </w:rPr>
        <w:t xml:space="preserve"> &amp; </w:t>
      </w:r>
      <w:r w:rsidRPr="00F942FF">
        <w:rPr>
          <w:b/>
          <w:sz w:val="20"/>
          <w:szCs w:val="20"/>
        </w:rPr>
        <w:t>U)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as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regard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improvement.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95"/>
        <w:gridCol w:w="1550"/>
        <w:gridCol w:w="424"/>
        <w:gridCol w:w="959"/>
        <w:gridCol w:w="546"/>
        <w:gridCol w:w="838"/>
        <w:gridCol w:w="1662"/>
        <w:gridCol w:w="1300"/>
      </w:tblGrid>
      <w:tr w:rsidR="00CF5D2C" w:rsidRPr="00F942FF" w:rsidTr="00EB5140">
        <w:trPr>
          <w:jc w:val="center"/>
        </w:trPr>
        <w:tc>
          <w:tcPr>
            <w:tcW w:w="1977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730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UDG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(N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20)</w:t>
            </w:r>
          </w:p>
        </w:tc>
        <w:tc>
          <w:tcPr>
            <w:tcW w:w="730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(N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=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20)</w:t>
            </w:r>
          </w:p>
        </w:tc>
        <w:tc>
          <w:tcPr>
            <w:tcW w:w="87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Stat.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68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EB5140" w:rsidRPr="00F942FF" w:rsidTr="00EB5140">
        <w:trPr>
          <w:jc w:val="center"/>
        </w:trPr>
        <w:tc>
          <w:tcPr>
            <w:tcW w:w="1159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81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224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88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2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87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X</w:t>
            </w:r>
            <w:r w:rsidRPr="00F942F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EB5140" w:rsidRPr="00F942FF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=</w:t>
            </w:r>
            <w:r w:rsidR="00EB5140" w:rsidRPr="00F942FF">
              <w:rPr>
                <w:color w:val="000000"/>
                <w:sz w:val="20"/>
                <w:szCs w:val="20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12.33</w:t>
            </w:r>
          </w:p>
        </w:tc>
        <w:tc>
          <w:tcPr>
            <w:tcW w:w="68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0.006</w:t>
            </w:r>
          </w:p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B5140" w:rsidRPr="00F942FF" w:rsidTr="00EB5140">
        <w:trPr>
          <w:jc w:val="center"/>
        </w:trPr>
        <w:tc>
          <w:tcPr>
            <w:tcW w:w="1159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24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288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87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159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224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88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87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159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224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88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87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19B7" w:rsidRPr="00F942FF" w:rsidRDefault="00B919B7" w:rsidP="00DC4F3E">
      <w:pPr>
        <w:snapToGrid w:val="0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X</w:t>
      </w:r>
      <w:r w:rsidRPr="00F942FF">
        <w:rPr>
          <w:sz w:val="20"/>
          <w:szCs w:val="20"/>
          <w:vertAlign w:val="superscript"/>
        </w:rPr>
        <w:t>2</w:t>
      </w:r>
      <w:r w:rsidRPr="00F942FF">
        <w:rPr>
          <w:sz w:val="20"/>
          <w:szCs w:val="20"/>
        </w:rPr>
        <w:t>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Chi-square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test.</w:t>
      </w:r>
      <w:r w:rsidR="00EB5140" w:rsidRPr="00F942FF">
        <w:rPr>
          <w:rFonts w:eastAsiaTheme="minorEastAsia" w:hint="eastAsia"/>
          <w:sz w:val="20"/>
          <w:szCs w:val="20"/>
        </w:rPr>
        <w:t xml:space="preserve"> </w:t>
      </w:r>
      <w:r w:rsidRPr="00F942FF">
        <w:rPr>
          <w:sz w:val="20"/>
          <w:szCs w:val="20"/>
        </w:rPr>
        <w:t>S: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p-value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&lt;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0.5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considered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significant.</w:t>
      </w:r>
    </w:p>
    <w:p w:rsidR="00B919B7" w:rsidRPr="00F942FF" w:rsidRDefault="00B919B7" w:rsidP="00DC4F3E">
      <w:pPr>
        <w:snapToGrid w:val="0"/>
        <w:ind w:firstLine="425"/>
        <w:jc w:val="both"/>
        <w:rPr>
          <w:bCs/>
          <w:sz w:val="20"/>
          <w:szCs w:val="20"/>
        </w:rPr>
      </w:pP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</w:p>
    <w:p w:rsidR="00F942FF" w:rsidRDefault="00F942FF" w:rsidP="00DC4F3E">
      <w:pPr>
        <w:snapToGrid w:val="0"/>
        <w:ind w:firstLine="425"/>
        <w:jc w:val="both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(5)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shows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no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statistical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significant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difference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(p-value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&gt;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0.05)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between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studied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patches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(UDS</w:t>
      </w:r>
      <w:r w:rsidR="00EB5140" w:rsidRPr="00F942FF">
        <w:rPr>
          <w:bCs/>
          <w:sz w:val="20"/>
          <w:szCs w:val="20"/>
        </w:rPr>
        <w:t xml:space="preserve"> &amp; </w:t>
      </w:r>
      <w:r w:rsidRPr="00F942FF">
        <w:rPr>
          <w:bCs/>
          <w:sz w:val="20"/>
          <w:szCs w:val="20"/>
        </w:rPr>
        <w:t>U)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regard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improvement.</w:t>
      </w:r>
    </w:p>
    <w:p w:rsidR="00B919B7" w:rsidRPr="00F942FF" w:rsidRDefault="00B919B7" w:rsidP="00DC4F3E">
      <w:pPr>
        <w:snapToGrid w:val="0"/>
        <w:jc w:val="both"/>
        <w:rPr>
          <w:b/>
          <w:sz w:val="20"/>
          <w:szCs w:val="20"/>
        </w:rPr>
      </w:pPr>
    </w:p>
    <w:p w:rsidR="00F942FF" w:rsidRDefault="00F942FF" w:rsidP="00DC4F3E">
      <w:pPr>
        <w:snapToGrid w:val="0"/>
        <w:jc w:val="center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(5):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Comparison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between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studied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patches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(UDS</w:t>
      </w:r>
      <w:r w:rsidR="00EB5140" w:rsidRPr="00F942FF">
        <w:rPr>
          <w:b/>
          <w:sz w:val="20"/>
          <w:szCs w:val="20"/>
        </w:rPr>
        <w:t xml:space="preserve"> &amp; </w:t>
      </w:r>
      <w:r w:rsidRPr="00F942FF">
        <w:rPr>
          <w:b/>
          <w:sz w:val="20"/>
          <w:szCs w:val="20"/>
        </w:rPr>
        <w:t>U)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as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regard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improvement.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38"/>
        <w:gridCol w:w="1576"/>
        <w:gridCol w:w="555"/>
        <w:gridCol w:w="853"/>
        <w:gridCol w:w="555"/>
        <w:gridCol w:w="853"/>
        <w:gridCol w:w="1518"/>
        <w:gridCol w:w="1326"/>
      </w:tblGrid>
      <w:tr w:rsidR="00B919B7" w:rsidRPr="00F942FF" w:rsidTr="00EB5140">
        <w:trPr>
          <w:jc w:val="center"/>
        </w:trPr>
        <w:tc>
          <w:tcPr>
            <w:tcW w:w="2013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743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UDS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(N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20)</w:t>
            </w:r>
          </w:p>
        </w:tc>
        <w:tc>
          <w:tcPr>
            <w:tcW w:w="743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(N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=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20)</w:t>
            </w:r>
          </w:p>
        </w:tc>
        <w:tc>
          <w:tcPr>
            <w:tcW w:w="801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Stat.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700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EB5140" w:rsidRPr="00F942FF" w:rsidTr="00EB5140">
        <w:trPr>
          <w:jc w:val="center"/>
        </w:trPr>
        <w:tc>
          <w:tcPr>
            <w:tcW w:w="1181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832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293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93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801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X</w:t>
            </w:r>
            <w:r w:rsidRPr="00F942F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EB5140" w:rsidRPr="00F942FF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=</w:t>
            </w:r>
            <w:r w:rsidR="00EB5140" w:rsidRPr="00F942FF">
              <w:rPr>
                <w:color w:val="000000"/>
                <w:sz w:val="20"/>
                <w:szCs w:val="20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6.55</w:t>
            </w:r>
          </w:p>
        </w:tc>
        <w:tc>
          <w:tcPr>
            <w:tcW w:w="700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0.088</w:t>
            </w:r>
          </w:p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NS</w:t>
            </w:r>
          </w:p>
        </w:tc>
      </w:tr>
      <w:tr w:rsidR="00EB5140" w:rsidRPr="00F942FF" w:rsidTr="00EB5140">
        <w:trPr>
          <w:jc w:val="center"/>
        </w:trPr>
        <w:tc>
          <w:tcPr>
            <w:tcW w:w="118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93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293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80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18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293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293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80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181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293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93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801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19B7" w:rsidRPr="00F942FF" w:rsidRDefault="00B919B7" w:rsidP="00DC4F3E">
      <w:pPr>
        <w:snapToGrid w:val="0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X</w:t>
      </w:r>
      <w:r w:rsidRPr="00F942FF">
        <w:rPr>
          <w:sz w:val="20"/>
          <w:szCs w:val="20"/>
          <w:vertAlign w:val="superscript"/>
        </w:rPr>
        <w:t>2</w:t>
      </w:r>
      <w:r w:rsidRPr="00F942FF">
        <w:rPr>
          <w:sz w:val="20"/>
          <w:szCs w:val="20"/>
        </w:rPr>
        <w:t>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Chi-square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test.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NS: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p-value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&gt;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0.5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considered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non-significant.</w:t>
      </w:r>
    </w:p>
    <w:p w:rsidR="00B919B7" w:rsidRDefault="00B919B7" w:rsidP="00DC4F3E">
      <w:pPr>
        <w:snapToGrid w:val="0"/>
        <w:ind w:firstLine="425"/>
        <w:jc w:val="both"/>
        <w:rPr>
          <w:rFonts w:eastAsiaTheme="minorEastAsia" w:hint="eastAsia"/>
          <w:bCs/>
          <w:sz w:val="20"/>
          <w:szCs w:val="20"/>
        </w:rPr>
      </w:pPr>
    </w:p>
    <w:p w:rsidR="00F942FF" w:rsidRDefault="00F942FF" w:rsidP="00DC4F3E">
      <w:pPr>
        <w:snapToGrid w:val="0"/>
        <w:ind w:firstLine="425"/>
        <w:jc w:val="both"/>
        <w:rPr>
          <w:rFonts w:eastAsiaTheme="minorEastAsia" w:hint="eastAsia"/>
          <w:bCs/>
          <w:sz w:val="20"/>
          <w:szCs w:val="20"/>
        </w:rPr>
      </w:pPr>
    </w:p>
    <w:p w:rsidR="00F942FF" w:rsidRPr="00F942FF" w:rsidRDefault="00F942FF" w:rsidP="00DC4F3E">
      <w:pPr>
        <w:snapToGrid w:val="0"/>
        <w:ind w:firstLine="425"/>
        <w:jc w:val="both"/>
        <w:rPr>
          <w:rFonts w:eastAsiaTheme="minorEastAsia" w:hint="eastAsia"/>
          <w:bCs/>
          <w:sz w:val="20"/>
          <w:szCs w:val="20"/>
        </w:rPr>
      </w:pPr>
    </w:p>
    <w:p w:rsidR="00DC4F3E" w:rsidRPr="00F942FF" w:rsidRDefault="00DC4F3E" w:rsidP="00DC4F3E">
      <w:pPr>
        <w:snapToGrid w:val="0"/>
        <w:ind w:firstLine="425"/>
        <w:jc w:val="both"/>
        <w:rPr>
          <w:b/>
          <w:sz w:val="20"/>
          <w:szCs w:val="20"/>
        </w:rPr>
        <w:sectPr w:rsidR="00DC4F3E" w:rsidRPr="00F942FF" w:rsidSect="00EB5140">
          <w:type w:val="continuous"/>
          <w:pgSz w:w="12240" w:h="15840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919B7" w:rsidRPr="00F942FF" w:rsidRDefault="00B919B7" w:rsidP="00DC4F3E">
      <w:pPr>
        <w:snapToGrid w:val="0"/>
        <w:ind w:firstLine="425"/>
        <w:jc w:val="both"/>
        <w:rPr>
          <w:sz w:val="20"/>
          <w:szCs w:val="20"/>
          <w:lang w:bidi="ar-EG"/>
        </w:rPr>
      </w:pPr>
      <w:r w:rsidRPr="00F942FF">
        <w:rPr>
          <w:b/>
          <w:sz w:val="20"/>
          <w:szCs w:val="20"/>
        </w:rPr>
        <w:lastRenderedPageBreak/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(6)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shows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Description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complications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studied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As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regard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pain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during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session,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there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were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(75%)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grade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10,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(5%)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grade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20,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(10%)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grade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30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(10%)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grade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40.</w:t>
      </w:r>
    </w:p>
    <w:p w:rsidR="00CF5D2C" w:rsidRPr="00F942FF" w:rsidRDefault="00CF5D2C" w:rsidP="00DC4F3E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sz w:val="20"/>
          <w:szCs w:val="20"/>
        </w:rPr>
        <w:lastRenderedPageBreak/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(7)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shows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statistically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significant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difference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(p-value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&lt;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0.05)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between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studied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patches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(UDG</w:t>
      </w:r>
      <w:r w:rsidR="00EB5140" w:rsidRPr="00F942FF">
        <w:rPr>
          <w:bCs/>
          <w:sz w:val="20"/>
          <w:szCs w:val="20"/>
        </w:rPr>
        <w:t xml:space="preserve"> &amp; </w:t>
      </w:r>
      <w:r w:rsidRPr="00F942FF">
        <w:rPr>
          <w:bCs/>
          <w:sz w:val="20"/>
          <w:szCs w:val="20"/>
        </w:rPr>
        <w:t>UDS)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regard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satisfaction.</w:t>
      </w:r>
    </w:p>
    <w:p w:rsidR="00DC4F3E" w:rsidRPr="00F942FF" w:rsidRDefault="00DC4F3E" w:rsidP="00DC4F3E">
      <w:pPr>
        <w:snapToGrid w:val="0"/>
        <w:jc w:val="both"/>
        <w:rPr>
          <w:b/>
          <w:sz w:val="20"/>
          <w:szCs w:val="20"/>
        </w:rPr>
        <w:sectPr w:rsidR="00DC4F3E" w:rsidRPr="00F942FF" w:rsidSect="00DC4F3E">
          <w:type w:val="continuous"/>
          <w:pgSz w:w="12240" w:h="15840"/>
          <w:pgMar w:top="1440" w:right="1440" w:bottom="1440" w:left="1440" w:header="720" w:footer="720" w:gutter="0"/>
          <w:cols w:num="2" w:space="600"/>
          <w:rtlGutter/>
          <w:docGrid w:linePitch="360"/>
        </w:sectPr>
      </w:pPr>
    </w:p>
    <w:p w:rsidR="00CF5D2C" w:rsidRPr="00F942FF" w:rsidRDefault="00CF5D2C" w:rsidP="00DC4F3E">
      <w:pPr>
        <w:snapToGrid w:val="0"/>
        <w:jc w:val="both"/>
        <w:rPr>
          <w:b/>
          <w:sz w:val="20"/>
          <w:szCs w:val="20"/>
        </w:rPr>
      </w:pPr>
    </w:p>
    <w:p w:rsidR="00536061" w:rsidRPr="00F942FF" w:rsidRDefault="00536061" w:rsidP="00DC4F3E">
      <w:pPr>
        <w:snapToGrid w:val="0"/>
        <w:jc w:val="center"/>
        <w:rPr>
          <w:rFonts w:eastAsiaTheme="minorEastAsia"/>
          <w:b/>
          <w:sz w:val="20"/>
          <w:szCs w:val="20"/>
        </w:rPr>
      </w:pPr>
    </w:p>
    <w:p w:rsidR="00CF5D2C" w:rsidRPr="00F942FF" w:rsidRDefault="00CF5D2C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(6):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Description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of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complications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in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studied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patients.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682"/>
        <w:gridCol w:w="832"/>
        <w:gridCol w:w="1565"/>
        <w:gridCol w:w="2395"/>
      </w:tblGrid>
      <w:tr w:rsidR="00CF5D2C" w:rsidRPr="00F942FF" w:rsidTr="00EB5140">
        <w:trPr>
          <w:jc w:val="center"/>
        </w:trPr>
        <w:tc>
          <w:tcPr>
            <w:tcW w:w="2910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Complications</w:t>
            </w:r>
          </w:p>
        </w:tc>
        <w:tc>
          <w:tcPr>
            <w:tcW w:w="2090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CF5D2C" w:rsidRPr="00F942FF" w:rsidRDefault="00CF5D2C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Studied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patients</w:t>
            </w:r>
          </w:p>
          <w:p w:rsidR="00CF5D2C" w:rsidRPr="00F942FF" w:rsidRDefault="00CF5D2C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(N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20)</w:t>
            </w:r>
          </w:p>
        </w:tc>
      </w:tr>
      <w:tr w:rsidR="00CF5D2C" w:rsidRPr="00F942FF" w:rsidTr="00EB5140">
        <w:trPr>
          <w:jc w:val="center"/>
        </w:trPr>
        <w:tc>
          <w:tcPr>
            <w:tcW w:w="2471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Pain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during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438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26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4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75%</w:t>
            </w:r>
          </w:p>
        </w:tc>
      </w:tr>
      <w:tr w:rsidR="00CF5D2C" w:rsidRPr="00F942FF" w:rsidTr="00EB5140">
        <w:trPr>
          <w:jc w:val="center"/>
        </w:trPr>
        <w:tc>
          <w:tcPr>
            <w:tcW w:w="247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5%</w:t>
            </w:r>
          </w:p>
        </w:tc>
      </w:tr>
      <w:tr w:rsidR="00CF5D2C" w:rsidRPr="00F942FF" w:rsidTr="00EB5140">
        <w:trPr>
          <w:jc w:val="center"/>
        </w:trPr>
        <w:tc>
          <w:tcPr>
            <w:tcW w:w="2471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</w:tr>
      <w:tr w:rsidR="00CF5D2C" w:rsidRPr="00F942FF" w:rsidTr="00EB5140">
        <w:trPr>
          <w:jc w:val="center"/>
        </w:trPr>
        <w:tc>
          <w:tcPr>
            <w:tcW w:w="2471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26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CF5D2C" w:rsidRPr="00F942FF" w:rsidRDefault="00CF5D2C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</w:tr>
    </w:tbl>
    <w:p w:rsidR="00CF5D2C" w:rsidRPr="00F942FF" w:rsidRDefault="00EB5140" w:rsidP="00DC4F3E">
      <w:pPr>
        <w:snapToGrid w:val="0"/>
        <w:jc w:val="both"/>
        <w:rPr>
          <w:sz w:val="20"/>
          <w:szCs w:val="20"/>
          <w:lang w:bidi="ar-EG"/>
        </w:rPr>
      </w:pPr>
      <w:r w:rsidRPr="00F942FF">
        <w:rPr>
          <w:b/>
          <w:bCs/>
          <w:sz w:val="20"/>
          <w:szCs w:val="20"/>
        </w:rPr>
        <w:t xml:space="preserve"> </w:t>
      </w:r>
    </w:p>
    <w:p w:rsidR="00F942FF" w:rsidRDefault="00F942FF" w:rsidP="00DC4F3E">
      <w:pPr>
        <w:snapToGrid w:val="0"/>
        <w:jc w:val="center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(7):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Comparison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between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studied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patches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(UDG</w:t>
      </w:r>
      <w:r w:rsidR="00EB5140" w:rsidRPr="00F942FF">
        <w:rPr>
          <w:b/>
          <w:sz w:val="20"/>
          <w:szCs w:val="20"/>
        </w:rPr>
        <w:t xml:space="preserve"> &amp; </w:t>
      </w:r>
      <w:r w:rsidRPr="00F942FF">
        <w:rPr>
          <w:b/>
          <w:sz w:val="20"/>
          <w:szCs w:val="20"/>
        </w:rPr>
        <w:t>UDS)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as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regard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satisfaction.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09"/>
        <w:gridCol w:w="1628"/>
        <w:gridCol w:w="447"/>
        <w:gridCol w:w="1006"/>
        <w:gridCol w:w="447"/>
        <w:gridCol w:w="1006"/>
        <w:gridCol w:w="1567"/>
        <w:gridCol w:w="1364"/>
      </w:tblGrid>
      <w:tr w:rsidR="00B919B7" w:rsidRPr="00F942FF" w:rsidTr="00EB5140">
        <w:trPr>
          <w:jc w:val="center"/>
        </w:trPr>
        <w:tc>
          <w:tcPr>
            <w:tcW w:w="1918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767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UDG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(N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20)</w:t>
            </w:r>
          </w:p>
        </w:tc>
        <w:tc>
          <w:tcPr>
            <w:tcW w:w="767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UDS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(N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=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20)</w:t>
            </w:r>
          </w:p>
        </w:tc>
        <w:tc>
          <w:tcPr>
            <w:tcW w:w="82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Stat.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722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Satisfaction</w:t>
            </w: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236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36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82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X</w:t>
            </w:r>
            <w:r w:rsidRPr="00F942F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EB5140" w:rsidRPr="00F942FF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=</w:t>
            </w:r>
            <w:r w:rsidR="00EB5140" w:rsidRPr="00F942FF">
              <w:rPr>
                <w:color w:val="000000"/>
                <w:sz w:val="20"/>
                <w:szCs w:val="20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22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0.017</w:t>
            </w:r>
          </w:p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82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82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19B7" w:rsidRPr="00F942FF" w:rsidRDefault="00B919B7" w:rsidP="00DC4F3E">
      <w:pPr>
        <w:snapToGrid w:val="0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X</w:t>
      </w:r>
      <w:r w:rsidRPr="00F942FF">
        <w:rPr>
          <w:sz w:val="20"/>
          <w:szCs w:val="20"/>
          <w:vertAlign w:val="superscript"/>
        </w:rPr>
        <w:t>2</w:t>
      </w:r>
      <w:r w:rsidRPr="00F942FF">
        <w:rPr>
          <w:sz w:val="20"/>
          <w:szCs w:val="20"/>
        </w:rPr>
        <w:t>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Chi-square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test.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p-value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&lt;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0.5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considered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significant.</w:t>
      </w:r>
    </w:p>
    <w:p w:rsidR="00B919B7" w:rsidRPr="00F942FF" w:rsidRDefault="00B919B7" w:rsidP="00DC4F3E">
      <w:pPr>
        <w:snapToGrid w:val="0"/>
        <w:ind w:firstLine="425"/>
        <w:jc w:val="both"/>
        <w:rPr>
          <w:bCs/>
          <w:sz w:val="20"/>
          <w:szCs w:val="20"/>
        </w:rPr>
      </w:pPr>
    </w:p>
    <w:p w:rsidR="009976C6" w:rsidRPr="00F942FF" w:rsidRDefault="009976C6" w:rsidP="00DC4F3E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(7)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shows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statistically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significant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difference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(p-value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&lt;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0.05)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between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studied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patches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(UDG</w:t>
      </w:r>
      <w:r w:rsidR="00EB5140" w:rsidRPr="00F942FF">
        <w:rPr>
          <w:bCs/>
          <w:sz w:val="20"/>
          <w:szCs w:val="20"/>
        </w:rPr>
        <w:t xml:space="preserve"> &amp; </w:t>
      </w:r>
      <w:r w:rsidRPr="00F942FF">
        <w:rPr>
          <w:bCs/>
          <w:sz w:val="20"/>
          <w:szCs w:val="20"/>
        </w:rPr>
        <w:t>U)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regard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satisfaction.</w:t>
      </w:r>
    </w:p>
    <w:p w:rsidR="00B919B7" w:rsidRPr="00F942FF" w:rsidRDefault="00B919B7" w:rsidP="00DC4F3E">
      <w:pPr>
        <w:snapToGrid w:val="0"/>
        <w:jc w:val="both"/>
        <w:rPr>
          <w:b/>
          <w:sz w:val="20"/>
          <w:szCs w:val="20"/>
        </w:rPr>
      </w:pPr>
    </w:p>
    <w:p w:rsidR="00F942FF" w:rsidRDefault="00F942FF" w:rsidP="00DC4F3E">
      <w:pPr>
        <w:snapToGrid w:val="0"/>
        <w:jc w:val="center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(8):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Comparison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between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studied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patches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(UDG</w:t>
      </w:r>
      <w:r w:rsidR="00EB5140" w:rsidRPr="00F942FF">
        <w:rPr>
          <w:b/>
          <w:sz w:val="20"/>
          <w:szCs w:val="20"/>
        </w:rPr>
        <w:t xml:space="preserve"> &amp; </w:t>
      </w:r>
      <w:r w:rsidRPr="00F942FF">
        <w:rPr>
          <w:b/>
          <w:sz w:val="20"/>
          <w:szCs w:val="20"/>
        </w:rPr>
        <w:t>U)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as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regard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satisfaction.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741"/>
        <w:gridCol w:w="1412"/>
        <w:gridCol w:w="627"/>
        <w:gridCol w:w="1408"/>
        <w:gridCol w:w="536"/>
        <w:gridCol w:w="1205"/>
        <w:gridCol w:w="1359"/>
        <w:gridCol w:w="1186"/>
      </w:tblGrid>
      <w:tr w:rsidR="00B919B7" w:rsidRPr="00F942FF" w:rsidTr="00EB5140">
        <w:trPr>
          <w:jc w:val="center"/>
        </w:trPr>
        <w:tc>
          <w:tcPr>
            <w:tcW w:w="1664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1073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UDG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(N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20)</w:t>
            </w:r>
          </w:p>
        </w:tc>
        <w:tc>
          <w:tcPr>
            <w:tcW w:w="919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</w:t>
            </w:r>
            <w:r w:rsidR="00CF5D2C"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(N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=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20)</w:t>
            </w:r>
          </w:p>
        </w:tc>
        <w:tc>
          <w:tcPr>
            <w:tcW w:w="71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Stat.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626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EB5140" w:rsidRPr="00F942FF" w:rsidTr="00EB5140">
        <w:trPr>
          <w:jc w:val="center"/>
        </w:trPr>
        <w:tc>
          <w:tcPr>
            <w:tcW w:w="919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Satisfaction</w:t>
            </w:r>
          </w:p>
        </w:tc>
        <w:tc>
          <w:tcPr>
            <w:tcW w:w="745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331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83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45%</w:t>
            </w:r>
          </w:p>
        </w:tc>
        <w:tc>
          <w:tcPr>
            <w:tcW w:w="71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X</w:t>
            </w:r>
            <w:r w:rsidRPr="00F942F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EB5140" w:rsidRPr="00F942FF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=</w:t>
            </w:r>
            <w:r w:rsidR="00EB5140" w:rsidRPr="00F942FF">
              <w:rPr>
                <w:color w:val="000000"/>
                <w:sz w:val="20"/>
                <w:szCs w:val="20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26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0.014</w:t>
            </w:r>
          </w:p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B5140" w:rsidRPr="00F942FF" w:rsidTr="00EB5140">
        <w:trPr>
          <w:jc w:val="center"/>
        </w:trPr>
        <w:tc>
          <w:tcPr>
            <w:tcW w:w="919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331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283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71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919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331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283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71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919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331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283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FBD4B4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19B7" w:rsidRPr="00F942FF" w:rsidRDefault="00B919B7" w:rsidP="00DC4F3E">
      <w:pPr>
        <w:snapToGrid w:val="0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X</w:t>
      </w:r>
      <w:r w:rsidRPr="00F942FF">
        <w:rPr>
          <w:sz w:val="20"/>
          <w:szCs w:val="20"/>
          <w:vertAlign w:val="superscript"/>
        </w:rPr>
        <w:t>2</w:t>
      </w:r>
      <w:r w:rsidRPr="00F942FF">
        <w:rPr>
          <w:sz w:val="20"/>
          <w:szCs w:val="20"/>
        </w:rPr>
        <w:t>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Chi-square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test.</w:t>
      </w:r>
      <w:r w:rsidR="00EB5140" w:rsidRPr="00F942FF">
        <w:rPr>
          <w:rFonts w:eastAsiaTheme="minorEastAsia" w:hint="eastAsia"/>
          <w:sz w:val="20"/>
          <w:szCs w:val="20"/>
        </w:rPr>
        <w:t xml:space="preserve"> </w:t>
      </w:r>
      <w:r w:rsidRPr="00F942FF">
        <w:rPr>
          <w:sz w:val="20"/>
          <w:szCs w:val="20"/>
        </w:rPr>
        <w:t>S: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p-value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&lt;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0.5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considered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significant.</w:t>
      </w:r>
    </w:p>
    <w:p w:rsidR="009976C6" w:rsidRPr="00F942FF" w:rsidRDefault="009976C6" w:rsidP="00DC4F3E">
      <w:pPr>
        <w:snapToGrid w:val="0"/>
        <w:jc w:val="both"/>
        <w:rPr>
          <w:b/>
          <w:sz w:val="20"/>
          <w:szCs w:val="20"/>
        </w:rPr>
      </w:pPr>
    </w:p>
    <w:p w:rsidR="009976C6" w:rsidRPr="00F942FF" w:rsidRDefault="009976C6" w:rsidP="00DC4F3E">
      <w:pPr>
        <w:snapToGrid w:val="0"/>
        <w:ind w:firstLine="425"/>
        <w:jc w:val="both"/>
        <w:rPr>
          <w:bCs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(9)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shows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no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statistical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significant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difference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(p-value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&gt;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0.05)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between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studied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patches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(UDS</w:t>
      </w:r>
      <w:r w:rsidR="00EB5140" w:rsidRPr="00F942FF">
        <w:rPr>
          <w:bCs/>
          <w:sz w:val="20"/>
          <w:szCs w:val="20"/>
        </w:rPr>
        <w:t xml:space="preserve"> &amp; </w:t>
      </w:r>
      <w:r w:rsidRPr="00F942FF">
        <w:rPr>
          <w:bCs/>
          <w:sz w:val="20"/>
          <w:szCs w:val="20"/>
        </w:rPr>
        <w:t>U)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regard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satisfaction.</w:t>
      </w:r>
    </w:p>
    <w:p w:rsidR="00B919B7" w:rsidRPr="00F942FF" w:rsidRDefault="00B919B7" w:rsidP="00DC4F3E">
      <w:pPr>
        <w:snapToGrid w:val="0"/>
        <w:ind w:firstLine="425"/>
        <w:jc w:val="both"/>
        <w:rPr>
          <w:bCs/>
          <w:sz w:val="20"/>
          <w:szCs w:val="20"/>
        </w:rPr>
      </w:pPr>
    </w:p>
    <w:p w:rsidR="00F942FF" w:rsidRDefault="00F942FF" w:rsidP="00DC4F3E">
      <w:pPr>
        <w:snapToGrid w:val="0"/>
        <w:jc w:val="center"/>
        <w:rPr>
          <w:rFonts w:eastAsiaTheme="minorEastAsia" w:hint="eastAsia"/>
          <w:b/>
          <w:sz w:val="20"/>
          <w:szCs w:val="20"/>
        </w:rPr>
      </w:pPr>
    </w:p>
    <w:p w:rsidR="00B919B7" w:rsidRPr="00F942FF" w:rsidRDefault="00B919B7" w:rsidP="00DC4F3E">
      <w:pPr>
        <w:snapToGrid w:val="0"/>
        <w:jc w:val="center"/>
        <w:rPr>
          <w:b/>
          <w:sz w:val="20"/>
          <w:szCs w:val="20"/>
        </w:rPr>
      </w:pPr>
      <w:r w:rsidRPr="00F942FF">
        <w:rPr>
          <w:b/>
          <w:sz w:val="20"/>
          <w:szCs w:val="20"/>
        </w:rPr>
        <w:t>Table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(9):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Comparison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between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studied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patches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(UDS</w:t>
      </w:r>
      <w:r w:rsidR="00EB5140" w:rsidRPr="00F942FF">
        <w:rPr>
          <w:b/>
          <w:sz w:val="20"/>
          <w:szCs w:val="20"/>
        </w:rPr>
        <w:t xml:space="preserve"> &amp; </w:t>
      </w:r>
      <w:r w:rsidRPr="00F942FF">
        <w:rPr>
          <w:b/>
          <w:sz w:val="20"/>
          <w:szCs w:val="20"/>
        </w:rPr>
        <w:t>U)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as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regard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satisfaction.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09"/>
        <w:gridCol w:w="1628"/>
        <w:gridCol w:w="447"/>
        <w:gridCol w:w="1006"/>
        <w:gridCol w:w="447"/>
        <w:gridCol w:w="1006"/>
        <w:gridCol w:w="1567"/>
        <w:gridCol w:w="1364"/>
      </w:tblGrid>
      <w:tr w:rsidR="00CF5D2C" w:rsidRPr="00F942FF" w:rsidTr="00EB5140">
        <w:trPr>
          <w:jc w:val="center"/>
        </w:trPr>
        <w:tc>
          <w:tcPr>
            <w:tcW w:w="1918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Improvement</w:t>
            </w:r>
          </w:p>
        </w:tc>
        <w:tc>
          <w:tcPr>
            <w:tcW w:w="767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UDS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(N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=</w:t>
            </w:r>
            <w:r w:rsidR="00EB5140" w:rsidRPr="00F942FF">
              <w:rPr>
                <w:b/>
                <w:sz w:val="20"/>
                <w:szCs w:val="20"/>
              </w:rPr>
              <w:t xml:space="preserve"> </w:t>
            </w:r>
            <w:r w:rsidRPr="00F942FF">
              <w:rPr>
                <w:b/>
                <w:sz w:val="20"/>
                <w:szCs w:val="20"/>
              </w:rPr>
              <w:t>20)</w:t>
            </w:r>
          </w:p>
        </w:tc>
        <w:tc>
          <w:tcPr>
            <w:tcW w:w="767" w:type="pct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U</w:t>
            </w:r>
          </w:p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(N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=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20)</w:t>
            </w:r>
          </w:p>
        </w:tc>
        <w:tc>
          <w:tcPr>
            <w:tcW w:w="827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  <w:hideMark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Stat.</w:t>
            </w:r>
            <w:r w:rsidR="00EB5140" w:rsidRPr="00F942FF">
              <w:rPr>
                <w:b/>
                <w:bCs/>
                <w:sz w:val="20"/>
                <w:szCs w:val="20"/>
              </w:rPr>
              <w:t xml:space="preserve"> </w:t>
            </w:r>
            <w:r w:rsidRPr="00F942FF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722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942FF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Satisfaction</w:t>
            </w: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236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236" w:type="pct"/>
            <w:tcBorders>
              <w:top w:val="double" w:sz="4" w:space="0" w:color="00B0F0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1" w:type="pct"/>
            <w:tcBorders>
              <w:top w:val="double" w:sz="4" w:space="0" w:color="00B0F0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45%</w:t>
            </w:r>
          </w:p>
        </w:tc>
        <w:tc>
          <w:tcPr>
            <w:tcW w:w="827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X</w:t>
            </w:r>
            <w:r w:rsidRPr="00F942F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EB5140" w:rsidRPr="00F942FF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=</w:t>
            </w:r>
            <w:r w:rsidR="00EB5140" w:rsidRPr="00F942FF">
              <w:rPr>
                <w:color w:val="000000"/>
                <w:sz w:val="20"/>
                <w:szCs w:val="20"/>
              </w:rPr>
              <w:t xml:space="preserve"> </w:t>
            </w:r>
            <w:r w:rsidRPr="00F942FF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22" w:type="pct"/>
            <w:vMerge w:val="restart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0.911</w:t>
            </w:r>
          </w:p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NS</w:t>
            </w: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82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827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5140" w:rsidRPr="00F942FF" w:rsidTr="00EB5140">
        <w:trPr>
          <w:jc w:val="center"/>
        </w:trPr>
        <w:tc>
          <w:tcPr>
            <w:tcW w:w="1060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C6D9F1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2FF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236" w:type="pct"/>
            <w:tcBorders>
              <w:top w:val="single" w:sz="4" w:space="0" w:color="FFFFFF"/>
              <w:left w:val="double" w:sz="4" w:space="0" w:color="00B0F0"/>
              <w:bottom w:val="double" w:sz="4" w:space="0" w:color="00B0F0"/>
              <w:right w:val="single" w:sz="4" w:space="0" w:color="FFFFFF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42F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7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left w:val="double" w:sz="4" w:space="0" w:color="00B0F0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B919B7" w:rsidRPr="00F942FF" w:rsidRDefault="00B919B7" w:rsidP="00DC4F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19B7" w:rsidRPr="00F942FF" w:rsidRDefault="00B919B7" w:rsidP="00DC4F3E">
      <w:pPr>
        <w:snapToGrid w:val="0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X</w:t>
      </w:r>
      <w:r w:rsidRPr="00F942FF">
        <w:rPr>
          <w:sz w:val="20"/>
          <w:szCs w:val="20"/>
          <w:vertAlign w:val="superscript"/>
        </w:rPr>
        <w:t>2</w:t>
      </w:r>
      <w:r w:rsidRPr="00F942FF">
        <w:rPr>
          <w:sz w:val="20"/>
          <w:szCs w:val="20"/>
        </w:rPr>
        <w:t>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Chi-square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test.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NS: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p-value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&gt;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0.5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considered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non-significant.</w:t>
      </w:r>
    </w:p>
    <w:p w:rsidR="00B919B7" w:rsidRDefault="00B919B7" w:rsidP="00DC4F3E">
      <w:pPr>
        <w:snapToGrid w:val="0"/>
        <w:ind w:firstLine="425"/>
        <w:jc w:val="both"/>
        <w:rPr>
          <w:rFonts w:eastAsiaTheme="minorEastAsia" w:hint="eastAsia"/>
          <w:bCs/>
          <w:sz w:val="20"/>
          <w:szCs w:val="20"/>
        </w:rPr>
      </w:pPr>
    </w:p>
    <w:p w:rsidR="00F942FF" w:rsidRDefault="00F942FF" w:rsidP="00DC4F3E">
      <w:pPr>
        <w:snapToGrid w:val="0"/>
        <w:ind w:firstLine="425"/>
        <w:jc w:val="both"/>
        <w:rPr>
          <w:rFonts w:eastAsiaTheme="minorEastAsia" w:hint="eastAsia"/>
          <w:bCs/>
          <w:sz w:val="20"/>
          <w:szCs w:val="20"/>
        </w:rPr>
      </w:pPr>
    </w:p>
    <w:p w:rsidR="00F942FF" w:rsidRDefault="00F942FF" w:rsidP="00DC4F3E">
      <w:pPr>
        <w:snapToGrid w:val="0"/>
        <w:ind w:firstLine="425"/>
        <w:jc w:val="both"/>
        <w:rPr>
          <w:rFonts w:eastAsiaTheme="minorEastAsia" w:hint="eastAsia"/>
          <w:bCs/>
          <w:sz w:val="20"/>
          <w:szCs w:val="20"/>
        </w:rPr>
      </w:pPr>
    </w:p>
    <w:p w:rsidR="00F942FF" w:rsidRPr="00F942FF" w:rsidRDefault="00F942FF" w:rsidP="00DC4F3E">
      <w:pPr>
        <w:snapToGrid w:val="0"/>
        <w:ind w:firstLine="425"/>
        <w:jc w:val="both"/>
        <w:rPr>
          <w:rFonts w:eastAsiaTheme="minorEastAsia" w:hint="eastAsia"/>
          <w:bCs/>
          <w:sz w:val="20"/>
          <w:szCs w:val="20"/>
        </w:rPr>
      </w:pPr>
    </w:p>
    <w:p w:rsidR="00DC4F3E" w:rsidRPr="00F942FF" w:rsidRDefault="00DC4F3E" w:rsidP="00DC4F3E">
      <w:pPr>
        <w:snapToGrid w:val="0"/>
        <w:jc w:val="both"/>
        <w:rPr>
          <w:b/>
          <w:bCs/>
          <w:sz w:val="20"/>
          <w:szCs w:val="20"/>
        </w:rPr>
        <w:sectPr w:rsidR="00DC4F3E" w:rsidRPr="00F942FF" w:rsidSect="00EB5140">
          <w:type w:val="continuous"/>
          <w:pgSz w:w="12240" w:h="15840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919B7" w:rsidRPr="00F942FF" w:rsidRDefault="009976C6" w:rsidP="00DC4F3E">
      <w:pPr>
        <w:snapToGrid w:val="0"/>
        <w:jc w:val="both"/>
        <w:rPr>
          <w:b/>
          <w:bCs/>
          <w:sz w:val="20"/>
          <w:szCs w:val="20"/>
        </w:rPr>
      </w:pPr>
      <w:r w:rsidRPr="00F942FF">
        <w:rPr>
          <w:b/>
          <w:bCs/>
          <w:sz w:val="20"/>
          <w:szCs w:val="20"/>
        </w:rPr>
        <w:lastRenderedPageBreak/>
        <w:t>4.</w:t>
      </w:r>
      <w:r w:rsidR="00EB5140" w:rsidRPr="00F942FF">
        <w:rPr>
          <w:b/>
          <w:bCs/>
          <w:sz w:val="20"/>
          <w:szCs w:val="20"/>
        </w:rPr>
        <w:t xml:space="preserve"> </w:t>
      </w:r>
      <w:r w:rsidR="00B919B7" w:rsidRPr="00F942FF">
        <w:rPr>
          <w:b/>
          <w:bCs/>
          <w:sz w:val="20"/>
          <w:szCs w:val="20"/>
        </w:rPr>
        <w:t>Discussion</w:t>
      </w:r>
    </w:p>
    <w:p w:rsidR="00B919B7" w:rsidRPr="00F942FF" w:rsidRDefault="00B919B7" w:rsidP="00DC4F3E">
      <w:pPr>
        <w:snapToGrid w:val="0"/>
        <w:ind w:firstLine="425"/>
        <w:jc w:val="both"/>
        <w:rPr>
          <w:b/>
          <w:bCs/>
          <w:color w:val="000000"/>
          <w:sz w:val="20"/>
          <w:szCs w:val="20"/>
        </w:rPr>
      </w:pP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common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incurable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disease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characterized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white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depigmented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skin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patches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may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result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psychological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stress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those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who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affected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(</w:t>
      </w:r>
      <w:r w:rsidRPr="00F942FF">
        <w:rPr>
          <w:b/>
          <w:bCs/>
          <w:color w:val="000000"/>
          <w:sz w:val="20"/>
          <w:szCs w:val="20"/>
        </w:rPr>
        <w:t>Iacovelli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et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al.,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2019).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color w:val="000000"/>
          <w:sz w:val="20"/>
          <w:szCs w:val="20"/>
        </w:rPr>
        <w:t>Many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theories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have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been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described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to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justify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etiology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vitiligo.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One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these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theories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was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oxidative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stress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within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vitiliginous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skin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caused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by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progressive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production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reactive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oxygen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species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which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disturb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melanocytes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metabolism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subsequent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death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appearance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depigmented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macules</w:t>
      </w:r>
      <w:r w:rsidR="00EB5140" w:rsidRPr="00F942FF">
        <w:rPr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b/>
          <w:sz w:val="20"/>
          <w:szCs w:val="20"/>
        </w:rPr>
        <w:t>(</w:t>
      </w:r>
      <w:r w:rsidRPr="00F942FF">
        <w:rPr>
          <w:b/>
          <w:bCs/>
          <w:color w:val="000000"/>
          <w:sz w:val="20"/>
          <w:szCs w:val="20"/>
        </w:rPr>
        <w:t>Vrijman,</w:t>
      </w:r>
      <w:r w:rsidR="00EB5140" w:rsidRPr="00F942FF">
        <w:rPr>
          <w:b/>
          <w:bCs/>
          <w:color w:val="000000"/>
          <w:sz w:val="20"/>
          <w:szCs w:val="20"/>
        </w:rPr>
        <w:t xml:space="preserve"> </w:t>
      </w:r>
      <w:r w:rsidRPr="00F942FF">
        <w:rPr>
          <w:b/>
          <w:bCs/>
          <w:color w:val="000000"/>
          <w:sz w:val="20"/>
          <w:szCs w:val="20"/>
        </w:rPr>
        <w:t>2019).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Narrow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(NB-UVB)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considered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first-line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option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acts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mostly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inhibiting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destruction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melanocytes.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Another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aims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induce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minimal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superficial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bleeding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stimulating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releases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growth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factor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start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healing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cascade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restore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normal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structure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(Majid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et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al.,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2014).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extracts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still-used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ancient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plant-based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product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which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possess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antioxidant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properties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are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rich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in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polyphenols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and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have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the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ability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to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elevate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both</w:t>
      </w:r>
      <w:r w:rsidR="00EB5140" w:rsidRPr="00F942FF">
        <w:rPr>
          <w:rFonts w:eastAsia="Calibri"/>
          <w:sz w:val="20"/>
          <w:szCs w:val="20"/>
          <w:shd w:val="clear" w:color="auto" w:fill="FCFCFC"/>
        </w:rPr>
        <w:t xml:space="preserve"> </w:t>
      </w:r>
      <w:r w:rsidRPr="00F942FF">
        <w:rPr>
          <w:rFonts w:eastAsia="Calibri"/>
          <w:sz w:val="20"/>
          <w:szCs w:val="20"/>
        </w:rPr>
        <w:t>enzymatic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non-enzymatic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  <w:shd w:val="clear" w:color="auto" w:fill="FCFCFC"/>
        </w:rPr>
        <w:t>antioxidant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defenses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Oliveira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et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al.,</w:t>
      </w:r>
      <w:r w:rsidR="00EB5140"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b/>
          <w:bCs/>
          <w:color w:val="222222"/>
          <w:sz w:val="20"/>
          <w:szCs w:val="20"/>
          <w:shd w:val="clear" w:color="auto" w:fill="FFFFFF"/>
        </w:rPr>
        <w:t>2019).</w:t>
      </w:r>
    </w:p>
    <w:p w:rsidR="00B919B7" w:rsidRPr="00F942FF" w:rsidRDefault="00B919B7" w:rsidP="00DC4F3E">
      <w:pPr>
        <w:snapToGrid w:val="0"/>
        <w:ind w:firstLine="425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current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randomized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trial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performed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20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who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were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selected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from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those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attending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Outpatient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Clinic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of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Dermatology,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Alhussein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University</w:t>
      </w:r>
      <w:r w:rsidR="00EB5140" w:rsidRPr="00F942FF">
        <w:rPr>
          <w:rFonts w:eastAsia="Calibri"/>
          <w:sz w:val="20"/>
          <w:szCs w:val="20"/>
          <w:lang w:bidi="en-US"/>
        </w:rPr>
        <w:t xml:space="preserve"> </w:t>
      </w:r>
      <w:r w:rsidRPr="00F942FF">
        <w:rPr>
          <w:rFonts w:eastAsia="Calibri"/>
          <w:sz w:val="20"/>
          <w:szCs w:val="20"/>
          <w:lang w:bidi="en-US"/>
        </w:rPr>
        <w:t>Hospital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during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period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from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February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2019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till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November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2019.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each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participant,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three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similar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selected;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</w:t>
      </w:r>
      <w:r w:rsidRPr="00F942FF">
        <w:rPr>
          <w:rFonts w:eastAsia="Calibri"/>
          <w:sz w:val="20"/>
          <w:szCs w:val="20"/>
          <w:vertAlign w:val="superscript"/>
        </w:rPr>
        <w:t>st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(U)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only,;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</w:t>
      </w:r>
      <w:r w:rsidRPr="00F942FF">
        <w:rPr>
          <w:rFonts w:eastAsia="Calibri"/>
          <w:sz w:val="20"/>
          <w:szCs w:val="20"/>
          <w:vertAlign w:val="superscript"/>
        </w:rPr>
        <w:t>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(UDS)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saline;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3</w:t>
      </w:r>
      <w:r w:rsidRPr="00F942FF">
        <w:rPr>
          <w:rFonts w:eastAsia="Calibri"/>
          <w:sz w:val="20"/>
          <w:szCs w:val="20"/>
          <w:vertAlign w:val="superscript"/>
        </w:rPr>
        <w:t>rd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sz w:val="20"/>
          <w:szCs w:val="20"/>
        </w:rPr>
        <w:t>UDG</w:t>
      </w:r>
      <w:r w:rsidRPr="00F942FF">
        <w:rPr>
          <w:rFonts w:eastAsia="Calibri"/>
          <w:sz w:val="20"/>
          <w:szCs w:val="20"/>
        </w:rPr>
        <w:t>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exposed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solution.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Assessment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performed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through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three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independent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investigators.</w:t>
      </w:r>
    </w:p>
    <w:p w:rsidR="00B919B7" w:rsidRPr="00F942FF" w:rsidRDefault="00B919B7" w:rsidP="00DC4F3E">
      <w:pPr>
        <w:snapToGrid w:val="0"/>
        <w:ind w:firstLine="425"/>
        <w:jc w:val="both"/>
        <w:rPr>
          <w:sz w:val="20"/>
          <w:szCs w:val="20"/>
        </w:rPr>
      </w:pP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aimed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evaluate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effect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both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microneedling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ginkgo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biloba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solution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outcome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sessions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non-segmental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vitiligo.</w:t>
      </w:r>
    </w:p>
    <w:p w:rsidR="00B919B7" w:rsidRPr="00F942FF" w:rsidRDefault="00B919B7" w:rsidP="00DC4F3E">
      <w:pPr>
        <w:snapToGrid w:val="0"/>
        <w:ind w:firstLine="425"/>
        <w:jc w:val="both"/>
        <w:rPr>
          <w:i/>
          <w:iCs/>
          <w:color w:val="1C1D1E"/>
          <w:sz w:val="20"/>
          <w:szCs w:val="20"/>
          <w:shd w:val="clear" w:color="auto" w:fill="FFFFFF"/>
        </w:rPr>
      </w:pP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present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study,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age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studied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29.8±18.5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years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predominance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females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(14/20;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70%)</w:t>
      </w:r>
      <w:r w:rsidRPr="00F942FF">
        <w:rPr>
          <w:sz w:val="20"/>
          <w:szCs w:val="20"/>
        </w:rPr>
        <w:t>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also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revealed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that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only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10%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(2/20)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had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positive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family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history.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findings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concomitant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those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Shajil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et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al.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(2006)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who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examined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424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vitiligo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patients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at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Sir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Sayajirao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Gaikwad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Medical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College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hospital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Skin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and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Venereal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OPD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and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a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service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hospital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in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Vadodara,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India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declared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that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61.56%</w:t>
      </w:r>
      <w:r w:rsidR="00EB5140" w:rsidRPr="00F942FF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000000"/>
          <w:sz w:val="20"/>
          <w:szCs w:val="20"/>
          <w:shd w:val="clear" w:color="auto" w:fill="FFFFFF"/>
        </w:rPr>
        <w:t>(261/</w:t>
      </w:r>
      <w:r w:rsidR="00EB5140" w:rsidRPr="00F942FF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000000"/>
          <w:sz w:val="20"/>
          <w:szCs w:val="20"/>
          <w:shd w:val="clear" w:color="auto" w:fill="FFFFFF"/>
        </w:rPr>
        <w:t>424)</w:t>
      </w:r>
      <w:r w:rsidR="00EB5140" w:rsidRPr="00F942FF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were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females.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However,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they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described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that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about</w:t>
      </w:r>
      <w:r w:rsidR="00EB5140" w:rsidRPr="00F942FF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21.93%</w:t>
      </w:r>
      <w:r w:rsidR="00EB5140" w:rsidRPr="00F942FF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000000"/>
          <w:sz w:val="20"/>
          <w:szCs w:val="20"/>
          <w:shd w:val="clear" w:color="auto" w:fill="FFFFFF"/>
        </w:rPr>
        <w:t>(61/424)</w:t>
      </w:r>
      <w:r w:rsidR="00EB5140" w:rsidRPr="00F942FF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had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a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positive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family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history.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Also,</w:t>
      </w:r>
      <w:r w:rsidR="00EB5140" w:rsidRPr="00F942FF">
        <w:rPr>
          <w:color w:val="000000"/>
          <w:sz w:val="20"/>
          <w:szCs w:val="20"/>
          <w:shd w:val="clear" w:color="auto" w:fill="FFFFFF"/>
        </w:rPr>
        <w:t xml:space="preserve"> </w:t>
      </w:r>
      <w:r w:rsidRPr="00F942FF">
        <w:rPr>
          <w:color w:val="000000"/>
          <w:sz w:val="20"/>
          <w:szCs w:val="20"/>
          <w:shd w:val="clear" w:color="auto" w:fill="FFFFFF"/>
        </w:rPr>
        <w:t>t</w:t>
      </w:r>
      <w:r w:rsidRPr="00F942FF">
        <w:rPr>
          <w:sz w:val="20"/>
          <w:szCs w:val="20"/>
        </w:rPr>
        <w:t>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present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findings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agreement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those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Manolache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and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Benea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(2007)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who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performed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a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case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control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study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at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the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dermatological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department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of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Cetatea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Histria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Polyclinic,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Bucharest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between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March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lastRenderedPageBreak/>
        <w:t>2001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and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December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2005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and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found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female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predominance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(14/17;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82%)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was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obvious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in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patients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older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21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years,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while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below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age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both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sex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phenotypes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were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nearly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equal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(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females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represented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8/15;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53%).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previous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authors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also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added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only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18%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(6/32)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of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patients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had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positive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family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history.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Kyriakis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et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al.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(2009)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reported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also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concerning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patients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between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20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and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60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years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old,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prevalence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of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vitiligo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in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females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is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twice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of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males.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Vora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et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al.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(2014)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also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reported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among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vitiligo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patients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attending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in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outpatient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department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at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Shree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Krishna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Hospital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(SKH)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and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Matar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camp,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Gujarat,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India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from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August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2011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to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July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2012,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females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(578/1010;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57.3%)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were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more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present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males.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However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previous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authors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described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higher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percentage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of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positive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family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history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reached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20.4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%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(204/1010).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</w:p>
    <w:p w:rsidR="00B919B7" w:rsidRPr="00F942FF" w:rsidRDefault="00B919B7" w:rsidP="00DC4F3E">
      <w:pPr>
        <w:snapToGrid w:val="0"/>
        <w:ind w:firstLine="425"/>
        <w:jc w:val="both"/>
        <w:rPr>
          <w:color w:val="1C1D1E"/>
          <w:sz w:val="20"/>
          <w:szCs w:val="20"/>
          <w:shd w:val="clear" w:color="auto" w:fill="FFFFFF"/>
        </w:rPr>
      </w:pPr>
      <w:r w:rsidRPr="00F942FF">
        <w:rPr>
          <w:color w:val="1C1D1E"/>
          <w:sz w:val="20"/>
          <w:szCs w:val="20"/>
          <w:shd w:val="clear" w:color="auto" w:fill="FFFFFF"/>
        </w:rPr>
        <w:t>In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present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work,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</w:rPr>
        <w:t>mean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duration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illness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4.05</w:t>
      </w:r>
      <w:r w:rsidRPr="00F942FF">
        <w:rPr>
          <w:color w:val="000000"/>
          <w:sz w:val="20"/>
          <w:szCs w:val="20"/>
        </w:rPr>
        <w:t>±2.4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(range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from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1-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9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years)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and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the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majority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of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patients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had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skin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type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color w:val="000000"/>
          <w:sz w:val="20"/>
          <w:szCs w:val="20"/>
        </w:rPr>
        <w:t>III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i/>
          <w:iCs/>
          <w:color w:val="000000"/>
          <w:sz w:val="20"/>
          <w:szCs w:val="20"/>
        </w:rPr>
        <w:t>(15/20;</w:t>
      </w:r>
      <w:r w:rsidR="00EB5140" w:rsidRPr="00F942FF">
        <w:rPr>
          <w:i/>
          <w:iCs/>
          <w:color w:val="000000"/>
          <w:sz w:val="20"/>
          <w:szCs w:val="20"/>
        </w:rPr>
        <w:t xml:space="preserve"> </w:t>
      </w:r>
      <w:r w:rsidRPr="00F942FF">
        <w:rPr>
          <w:i/>
          <w:iCs/>
          <w:color w:val="000000"/>
          <w:sz w:val="20"/>
          <w:szCs w:val="20"/>
        </w:rPr>
        <w:t>75%)</w:t>
      </w:r>
      <w:r w:rsidRPr="00F942FF">
        <w:rPr>
          <w:color w:val="000000"/>
          <w:sz w:val="20"/>
          <w:szCs w:val="20"/>
        </w:rPr>
        <w:t>.</w:t>
      </w:r>
      <w:r w:rsidR="00EB5140" w:rsidRPr="00F942FF">
        <w:rPr>
          <w:color w:val="000000"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Shajil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et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al.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b/>
          <w:bCs/>
          <w:sz w:val="20"/>
          <w:szCs w:val="20"/>
        </w:rPr>
        <w:t>(2006)</w:t>
      </w:r>
      <w:r w:rsidR="00EB5140" w:rsidRPr="00F942FF">
        <w:rPr>
          <w:b/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reported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similar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illness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duration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their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sample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</w:t>
      </w:r>
      <w:r w:rsidRPr="00F942FF">
        <w:rPr>
          <w:i/>
          <w:iCs/>
          <w:sz w:val="20"/>
          <w:szCs w:val="20"/>
        </w:rPr>
        <w:t>the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average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was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3.3</w:t>
      </w:r>
      <w:r w:rsidR="00EB5140" w:rsidRPr="00F942FF">
        <w:rPr>
          <w:i/>
          <w:iCs/>
          <w:sz w:val="20"/>
          <w:szCs w:val="20"/>
        </w:rPr>
        <w:t xml:space="preserve"> </w:t>
      </w:r>
      <w:r w:rsidRPr="00F942FF">
        <w:rPr>
          <w:i/>
          <w:iCs/>
          <w:sz w:val="20"/>
          <w:szCs w:val="20"/>
        </w:rPr>
        <w:t>years</w:t>
      </w:r>
      <w:r w:rsidRPr="00F942FF">
        <w:rPr>
          <w:sz w:val="20"/>
          <w:szCs w:val="20"/>
        </w:rPr>
        <w:t>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well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Vora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et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al.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(2014)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who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reported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</w:rPr>
        <w:t>duration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illness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ranged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from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1-5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years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among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their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patients.</w:t>
      </w:r>
    </w:p>
    <w:p w:rsidR="00B919B7" w:rsidRPr="00F942FF" w:rsidRDefault="00B919B7" w:rsidP="00DC4F3E">
      <w:pPr>
        <w:snapToGrid w:val="0"/>
        <w:ind w:firstLine="425"/>
        <w:jc w:val="both"/>
        <w:rPr>
          <w:color w:val="1C1D1E"/>
          <w:sz w:val="20"/>
          <w:szCs w:val="20"/>
          <w:shd w:val="clear" w:color="auto" w:fill="FFFFFF"/>
        </w:rPr>
      </w:pPr>
      <w:r w:rsidRPr="00F942FF">
        <w:rPr>
          <w:color w:val="1C1D1E"/>
          <w:sz w:val="20"/>
          <w:szCs w:val="20"/>
          <w:shd w:val="clear" w:color="auto" w:fill="FFFFFF"/>
        </w:rPr>
        <w:t>In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present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work,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widely-spread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vitiligo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was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most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frequent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(18/20;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90%)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with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legs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(12/20)</w:t>
      </w:r>
      <w:r w:rsidRPr="00F942FF">
        <w:rPr>
          <w:color w:val="1C1D1E"/>
          <w:sz w:val="20"/>
          <w:szCs w:val="20"/>
          <w:shd w:val="clear" w:color="auto" w:fill="FFFFFF"/>
        </w:rPr>
        <w:t>,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foot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(12/20)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and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trunk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(11/20)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most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frequently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affected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body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parts.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These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findings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are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in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agreement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with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Vora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et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al.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b/>
          <w:bCs/>
          <w:color w:val="1C1D1E"/>
          <w:sz w:val="20"/>
          <w:szCs w:val="20"/>
          <w:shd w:val="clear" w:color="auto" w:fill="FFFFFF"/>
        </w:rPr>
        <w:t>(2014)</w:t>
      </w:r>
      <w:r w:rsidR="00EB5140" w:rsidRPr="00F942FF">
        <w:rPr>
          <w:b/>
          <w:b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who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reported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vitiligo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vulgaris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be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most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frequent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(580/1010;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57.4%).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However,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reported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that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most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frequently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affected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body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parts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were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lower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(758/1010;</w:t>
      </w:r>
      <w:r w:rsidR="00EB5140" w:rsidRPr="00F942FF">
        <w:rPr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i/>
          <w:iCs/>
          <w:color w:val="1C1D1E"/>
          <w:sz w:val="20"/>
          <w:szCs w:val="20"/>
          <w:shd w:val="clear" w:color="auto" w:fill="FFFFFF"/>
        </w:rPr>
        <w:t>75.4%)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and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upper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limbs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(688/1010;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68.3%).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color w:val="1C1D1E"/>
          <w:sz w:val="20"/>
          <w:szCs w:val="20"/>
          <w:shd w:val="clear" w:color="auto" w:fill="FFFFFF"/>
        </w:rPr>
        <w:t>In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present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work,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all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patients-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prior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to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the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study-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were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already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color w:val="1C1D1E"/>
          <w:sz w:val="20"/>
          <w:szCs w:val="20"/>
          <w:shd w:val="clear" w:color="auto" w:fill="FFFFFF"/>
        </w:rPr>
        <w:t>on</w:t>
      </w:r>
      <w:r w:rsidR="00EB5140" w:rsidRPr="00F942FF">
        <w:rPr>
          <w:color w:val="1C1D1E"/>
          <w:sz w:val="20"/>
          <w:szCs w:val="20"/>
          <w:shd w:val="clear" w:color="auto" w:fill="FFFFFF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(20/20;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100%)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which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very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popular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therapeutic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method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safe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effective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serious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side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effects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sz w:val="20"/>
          <w:szCs w:val="20"/>
        </w:rPr>
        <w:t>De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Francesco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et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al.,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2008</w:t>
      </w:r>
      <w:r w:rsidRPr="00F942FF">
        <w:rPr>
          <w:rFonts w:eastAsia="Calibri"/>
          <w:sz w:val="20"/>
          <w:szCs w:val="20"/>
        </w:rPr>
        <w:t>).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addition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other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lines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topical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(18/20;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90%)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vitamins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(4/20;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20%).</w:t>
      </w:r>
    </w:p>
    <w:p w:rsidR="00EB5140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present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study,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statistically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significant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improvement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underwent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sz w:val="20"/>
          <w:szCs w:val="20"/>
        </w:rPr>
        <w:t>UDG</w:t>
      </w:r>
      <w:r w:rsidRPr="00F942FF">
        <w:rPr>
          <w:rFonts w:eastAsia="Calibri"/>
          <w:sz w:val="20"/>
          <w:szCs w:val="20"/>
        </w:rPr>
        <w:t>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both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underwent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saline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sz w:val="20"/>
          <w:szCs w:val="20"/>
        </w:rPr>
        <w:t>UDS</w:t>
      </w:r>
      <w:r w:rsidRPr="00F942FF">
        <w:rPr>
          <w:rFonts w:eastAsia="Calibri"/>
          <w:sz w:val="20"/>
          <w:szCs w:val="20"/>
        </w:rPr>
        <w:t>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(p=0.032)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underwent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b/>
          <w:bCs/>
          <w:sz w:val="20"/>
          <w:szCs w:val="20"/>
        </w:rPr>
        <w:t>U</w:t>
      </w:r>
      <w:r w:rsidRPr="00F942FF">
        <w:rPr>
          <w:rFonts w:eastAsia="Calibri"/>
          <w:sz w:val="20"/>
          <w:szCs w:val="20"/>
        </w:rPr>
        <w:t>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(p=0.006)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30%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(6/20)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UDG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had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excellent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improvement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comparison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10%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(2/20)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UDS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comparison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only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5%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(1/20)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Pr="00F942FF">
        <w:rPr>
          <w:rFonts w:eastAsia="Calibri"/>
          <w:i/>
          <w:iCs/>
          <w:sz w:val="20"/>
          <w:szCs w:val="20"/>
        </w:rPr>
        <w:t>.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Furthermore,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poor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response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reached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80%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</w:t>
      </w:r>
      <w:r w:rsidRPr="00F942FF">
        <w:rPr>
          <w:rFonts w:eastAsia="Calibri"/>
          <w:i/>
          <w:iCs/>
          <w:sz w:val="20"/>
          <w:szCs w:val="20"/>
        </w:rPr>
        <w:t>16/20)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50%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(10/20)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UDS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25%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(5/20)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UDG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These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results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perceived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patients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themselves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UDG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caused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statistically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significant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satisfactory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results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UDS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(p=0.017)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U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(p=0.014)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lastRenderedPageBreak/>
        <w:t>same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patient.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However,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statistically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significant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difference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regarding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improvement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(p=0.088)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or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patients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satisfaction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rFonts w:eastAsia="Calibri"/>
          <w:i/>
          <w:iCs/>
          <w:sz w:val="20"/>
          <w:szCs w:val="20"/>
        </w:rPr>
        <w:t>(p=0.911)</w:t>
      </w:r>
      <w:r w:rsidR="00EB5140" w:rsidRPr="00F942FF">
        <w:rPr>
          <w:rFonts w:eastAsia="Calibri"/>
          <w:i/>
          <w:i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between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both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UDS</w:t>
      </w:r>
      <w:r w:rsidR="00EB5140" w:rsidRPr="00F942FF">
        <w:rPr>
          <w:b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/>
          <w:sz w:val="20"/>
          <w:szCs w:val="20"/>
        </w:rPr>
        <w:t>U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patches</w:t>
      </w:r>
      <w:r w:rsidRPr="00F942FF">
        <w:rPr>
          <w:rFonts w:eastAsia="Calibri"/>
          <w:sz w:val="20"/>
          <w:szCs w:val="20"/>
        </w:rPr>
        <w:t>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finding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favor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oxidative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theory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understating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etiology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addition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well-known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antioxidant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solution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showed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promising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improvement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when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compared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either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alone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Both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Xie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et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al.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(2016)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He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et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al.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b/>
          <w:bCs/>
          <w:sz w:val="20"/>
          <w:szCs w:val="20"/>
        </w:rPr>
        <w:t>(2017)</w:t>
      </w:r>
      <w:r w:rsidR="00EB5140" w:rsidRPr="00F942FF">
        <w:rPr>
          <w:rFonts w:eastAsia="Calibri"/>
          <w:b/>
          <w:bCs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suggested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also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same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oxidative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theory.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explained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oxidative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stress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depletes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nuclear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factor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</w:t>
      </w:r>
      <w:r w:rsidRPr="00F942FF">
        <w:rPr>
          <w:rFonts w:eastAsia="Calibri"/>
          <w:sz w:val="20"/>
          <w:szCs w:val="20"/>
          <w:vertAlign w:val="subscript"/>
        </w:rPr>
        <w:t>2</w:t>
      </w:r>
      <w:r w:rsidRPr="00F942FF">
        <w:rPr>
          <w:rFonts w:eastAsia="Calibri"/>
          <w:sz w:val="20"/>
          <w:szCs w:val="20"/>
        </w:rPr>
        <w:t>-related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factor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2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(Nrf2)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which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critical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transcription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factor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protecting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melanocytes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subsequent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induction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autophagy.</w:t>
      </w:r>
    </w:p>
    <w:p w:rsidR="00B919B7" w:rsidRPr="00F942FF" w:rsidRDefault="00EB5140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T</w:t>
      </w:r>
      <w:r w:rsidR="00B919B7" w:rsidRPr="00F942FF">
        <w:rPr>
          <w:rFonts w:eastAsia="Calibri"/>
          <w:sz w:val="20"/>
          <w:szCs w:val="20"/>
        </w:rPr>
        <w:t>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current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study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results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agree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with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those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Parsad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et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al.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(2003)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who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conducted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randomized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clinical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trial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52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vitiligo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patients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giving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them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ginkgo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biloba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dose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40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mg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orally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3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times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daily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for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6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month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found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that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i/>
          <w:iCs/>
          <w:sz w:val="20"/>
          <w:szCs w:val="20"/>
        </w:rPr>
        <w:t>80</w:t>
      </w:r>
      <w:r w:rsidRPr="00F942FF">
        <w:rPr>
          <w:rFonts w:eastAsia="Calibri"/>
          <w:i/>
          <w:iCs/>
          <w:sz w:val="20"/>
          <w:szCs w:val="20"/>
        </w:rPr>
        <w:t xml:space="preserve"> </w:t>
      </w:r>
      <w:r w:rsidR="00B919B7" w:rsidRPr="00F942FF">
        <w:rPr>
          <w:rFonts w:eastAsia="Calibri"/>
          <w:i/>
          <w:iCs/>
          <w:sz w:val="20"/>
          <w:szCs w:val="20"/>
        </w:rPr>
        <w:t>%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patients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showed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cessation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active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disease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more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than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i/>
          <w:iCs/>
          <w:sz w:val="20"/>
          <w:szCs w:val="20"/>
        </w:rPr>
        <w:t>40%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them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had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repigmentation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more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than75%.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Also,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Szczurko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et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al.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(2011)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observed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12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vitiligo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patients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receiving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120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mg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ginkgo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biloba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daily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for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3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month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reported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that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all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patients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showed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cessation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disease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progression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overall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average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repigmentation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exceeded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i/>
          <w:iCs/>
          <w:sz w:val="20"/>
          <w:szCs w:val="20"/>
        </w:rPr>
        <w:t>15</w:t>
      </w:r>
      <w:r w:rsidRPr="00F942FF">
        <w:rPr>
          <w:rFonts w:eastAsia="Calibri"/>
          <w:i/>
          <w:iCs/>
          <w:sz w:val="20"/>
          <w:szCs w:val="20"/>
        </w:rPr>
        <w:t xml:space="preserve"> </w:t>
      </w:r>
      <w:r w:rsidR="00B919B7" w:rsidRPr="00F942FF">
        <w:rPr>
          <w:rFonts w:eastAsia="Calibri"/>
          <w:i/>
          <w:iCs/>
          <w:sz w:val="20"/>
          <w:szCs w:val="20"/>
        </w:rPr>
        <w:t>%.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This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good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response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was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explained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Cohen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et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al.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(2015)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who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described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ginkgo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biloba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have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anti-inflammatory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properties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that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reduce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cyclooxygenase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activity,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decrease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IL-8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stimulate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vascular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endothelial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growth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factor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release.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Gianfaldoni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et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al.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(2018)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suggested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use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ginkgo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biloba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treatment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vitiligo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not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only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due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having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anti-inflammatory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but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also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immunomodulatory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properties.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Zhang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et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al.</w:t>
      </w:r>
      <w:r w:rsidRPr="00F942FF">
        <w:rPr>
          <w:rFonts w:eastAsia="Calibri"/>
          <w:b/>
          <w:bCs/>
          <w:sz w:val="20"/>
          <w:szCs w:val="20"/>
        </w:rPr>
        <w:t xml:space="preserve"> </w:t>
      </w:r>
      <w:r w:rsidR="00B919B7" w:rsidRPr="00F942FF">
        <w:rPr>
          <w:rFonts w:eastAsia="Calibri"/>
          <w:b/>
          <w:bCs/>
          <w:sz w:val="20"/>
          <w:szCs w:val="20"/>
        </w:rPr>
        <w:t>(2019)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added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that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gingko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biloba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has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ability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improve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melanocyte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viability,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restore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activity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both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superoxide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dismutase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glutathione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reductase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enzymes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and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stimulate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the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production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of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Nrf2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addition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to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its</w:t>
      </w:r>
      <w:r w:rsidRPr="00F942FF">
        <w:rPr>
          <w:rFonts w:eastAsia="Calibri"/>
          <w:sz w:val="20"/>
          <w:szCs w:val="20"/>
        </w:rPr>
        <w:t xml:space="preserve"> </w:t>
      </w:r>
      <w:r w:rsidR="00B919B7" w:rsidRPr="00F942FF">
        <w:rPr>
          <w:rFonts w:eastAsia="Calibri"/>
          <w:sz w:val="20"/>
          <w:szCs w:val="20"/>
        </w:rPr>
        <w:t>receptors.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rFonts w:eastAsia="Calibri"/>
          <w:sz w:val="20"/>
          <w:szCs w:val="20"/>
        </w:rPr>
        <w:t>These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good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results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together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with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easy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topical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application,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minimal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pain,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side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effects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patient’s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satisfaction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makes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promising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treatment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vitiligo.</w:t>
      </w:r>
    </w:p>
    <w:p w:rsidR="00B919B7" w:rsidRPr="00F942FF" w:rsidRDefault="00B919B7" w:rsidP="00DC4F3E">
      <w:pPr>
        <w:snapToGrid w:val="0"/>
        <w:jc w:val="both"/>
        <w:rPr>
          <w:b/>
          <w:bCs/>
          <w:sz w:val="20"/>
          <w:szCs w:val="20"/>
        </w:rPr>
      </w:pPr>
    </w:p>
    <w:p w:rsidR="00B919B7" w:rsidRPr="00F942FF" w:rsidRDefault="00B919B7" w:rsidP="00DC4F3E">
      <w:pPr>
        <w:snapToGrid w:val="0"/>
        <w:jc w:val="both"/>
        <w:rPr>
          <w:sz w:val="20"/>
          <w:szCs w:val="20"/>
        </w:rPr>
      </w:pPr>
      <w:r w:rsidRPr="00F942FF">
        <w:rPr>
          <w:b/>
          <w:bCs/>
          <w:sz w:val="20"/>
          <w:szCs w:val="20"/>
        </w:rPr>
        <w:t>Conclusion</w:t>
      </w:r>
    </w:p>
    <w:p w:rsidR="00B919B7" w:rsidRPr="00F942FF" w:rsidRDefault="00B919B7" w:rsidP="00DC4F3E">
      <w:pPr>
        <w:snapToGrid w:val="0"/>
        <w:ind w:firstLine="425"/>
        <w:jc w:val="both"/>
        <w:rPr>
          <w:rFonts w:eastAsia="Calibri"/>
          <w:sz w:val="20"/>
          <w:szCs w:val="20"/>
        </w:rPr>
      </w:pPr>
      <w:r w:rsidRPr="00F942FF">
        <w:rPr>
          <w:sz w:val="20"/>
          <w:szCs w:val="20"/>
        </w:rPr>
        <w:t>Combination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NB-UVB,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microneedling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ginkgo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biloba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solution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showed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promising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results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repigmentation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vitiliginous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patches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well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cessation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of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disease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progression,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especially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that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application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is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easy,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topical,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minimal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pain,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no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side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effects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and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more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patient’s</w:t>
      </w:r>
      <w:r w:rsidR="00EB5140" w:rsidRPr="00F942FF">
        <w:rPr>
          <w:rFonts w:eastAsia="Calibri"/>
          <w:sz w:val="20"/>
          <w:szCs w:val="20"/>
        </w:rPr>
        <w:t xml:space="preserve"> </w:t>
      </w:r>
      <w:r w:rsidRPr="00F942FF">
        <w:rPr>
          <w:rFonts w:eastAsia="Calibri"/>
          <w:sz w:val="20"/>
          <w:szCs w:val="20"/>
        </w:rPr>
        <w:t>satisfaction.</w:t>
      </w:r>
    </w:p>
    <w:p w:rsidR="004340B7" w:rsidRPr="00F942FF" w:rsidRDefault="004340B7" w:rsidP="00DC4F3E">
      <w:pPr>
        <w:snapToGrid w:val="0"/>
        <w:jc w:val="both"/>
        <w:rPr>
          <w:b/>
          <w:bCs/>
          <w:sz w:val="20"/>
          <w:szCs w:val="20"/>
        </w:rPr>
      </w:pPr>
    </w:p>
    <w:p w:rsidR="004340B7" w:rsidRPr="00F942FF" w:rsidRDefault="004340B7" w:rsidP="00DC4F3E">
      <w:pPr>
        <w:snapToGrid w:val="0"/>
        <w:jc w:val="both"/>
        <w:rPr>
          <w:b/>
          <w:bCs/>
          <w:sz w:val="20"/>
          <w:szCs w:val="20"/>
        </w:rPr>
      </w:pPr>
      <w:r w:rsidRPr="00F942FF">
        <w:rPr>
          <w:b/>
          <w:bCs/>
          <w:sz w:val="20"/>
          <w:szCs w:val="20"/>
        </w:rPr>
        <w:t>References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Cohen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Elbuluk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N,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Mu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EW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Orlow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SJ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(2015):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Alternative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systemic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treatments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lastRenderedPageBreak/>
        <w:t>vitiligo: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review.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American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16(6),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463-474.‏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De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Francesco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V,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Stinco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Laspina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Parlangeli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Mariuzzi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Patrone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(2008):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Immunohistochemical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before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after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narrow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(311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nm)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UVB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treatment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European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18,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292–296.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Diamond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BJ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Mondragon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(2017</w:t>
      </w:r>
      <w:r w:rsidRPr="00F942FF">
        <w:rPr>
          <w:sz w:val="20"/>
          <w:szCs w:val="20"/>
        </w:rPr>
        <w:t>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Ginkgo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biloba.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Complementary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Integrative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Treatments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Psychiatric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Practice.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Washington: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American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Psychiatric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Association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Publishing,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149.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Ezzedine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K,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Eleftheriadou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V,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Whitton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van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Geel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(2015):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Lancet,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386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(9988):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74-84.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Gianfaldoni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Wollina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U,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Tirant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Tchernev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Lotti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J.,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Satolli,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F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Lotti,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T.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(2018):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Herbal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compounds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treatment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review.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Open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access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Macedonian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medical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sciences,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6(1),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203.‏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He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Y,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Zhang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W,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Dai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W,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Cui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Wang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(2017):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Dysregulated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autophagy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increased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melanocyte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sensitivity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</w:t>
      </w:r>
      <w:r w:rsidRPr="00F942FF">
        <w:rPr>
          <w:sz w:val="20"/>
          <w:szCs w:val="20"/>
          <w:vertAlign w:val="subscript"/>
        </w:rPr>
        <w:t>2</w:t>
      </w:r>
      <w:r w:rsidRPr="00F942FF">
        <w:rPr>
          <w:sz w:val="20"/>
          <w:szCs w:val="20"/>
        </w:rPr>
        <w:t>O</w:t>
      </w:r>
      <w:r w:rsidRPr="00F942FF">
        <w:rPr>
          <w:sz w:val="20"/>
          <w:szCs w:val="20"/>
          <w:vertAlign w:val="subscript"/>
        </w:rPr>
        <w:t>2</w:t>
      </w:r>
      <w:r w:rsidRPr="00F942FF">
        <w:rPr>
          <w:sz w:val="20"/>
          <w:szCs w:val="20"/>
        </w:rPr>
        <w:t>-induced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oxidative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stress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Scientific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reports,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7,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42394.‏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Iacovelli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Filoni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Martorina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F,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Pacifico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Sperduti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Taïeb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Picardo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(2019):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Palmoplantar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overlooked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entity.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European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Academy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Venereology;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2019.‏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Kyriakis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KP,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Palamaras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Tsele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E,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Michailides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Terzoudi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(2009):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Case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detection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rates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gender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age.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International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48: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328–9.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Lv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JL,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Yang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MX,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Meng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ZQ,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SP</w:t>
      </w:r>
      <w:r w:rsidRPr="00F942FF">
        <w:rPr>
          <w:sz w:val="20"/>
          <w:szCs w:val="20"/>
        </w:rPr>
        <w:t>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et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al.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(2017):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Simultaneous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determination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eleven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components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Ginkgo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biloba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leaves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high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performance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liquid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chromatography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method.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China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Chinese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materia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medica,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42(5):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931-935.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Majid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I,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Sheikh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September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(2014):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Microneedling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applications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2014.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Manolache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Benea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V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(2007):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Stress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alopecia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areata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European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Academy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Venereology,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21: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921-928.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bCs/>
          <w:sz w:val="20"/>
          <w:szCs w:val="20"/>
        </w:rPr>
      </w:pPr>
      <w:r w:rsidRPr="00F942FF">
        <w:rPr>
          <w:bCs/>
          <w:sz w:val="20"/>
          <w:szCs w:val="20"/>
          <w:shd w:val="clear" w:color="auto" w:fill="FFFFFF"/>
        </w:rPr>
        <w:t>Oliveira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D,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Latimer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C,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Parpot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P,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Gill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CI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and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Oliveira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R</w:t>
      </w:r>
      <w:r w:rsidR="00EB5140" w:rsidRPr="00F942FF">
        <w:rPr>
          <w:bCs/>
          <w:sz w:val="20"/>
          <w:szCs w:val="20"/>
          <w:shd w:val="clear" w:color="auto" w:fill="FFFFFF"/>
        </w:rPr>
        <w:t xml:space="preserve"> </w:t>
      </w:r>
      <w:r w:rsidRPr="00F942FF">
        <w:rPr>
          <w:bCs/>
          <w:sz w:val="20"/>
          <w:szCs w:val="20"/>
          <w:shd w:val="clear" w:color="auto" w:fill="FFFFFF"/>
        </w:rPr>
        <w:t>(2019):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Antioxidant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and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antigenotoxic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activities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of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Ginkgo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biloba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L.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leaf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extract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are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retained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after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in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vitro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gastrointestinal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digestive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conditions.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European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journal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of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nutrition;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1:</w:t>
      </w:r>
      <w:r w:rsidR="00EB5140" w:rsidRPr="00F942FF">
        <w:rPr>
          <w:sz w:val="20"/>
          <w:szCs w:val="20"/>
          <w:shd w:val="clear" w:color="auto" w:fill="FFFFFF"/>
        </w:rPr>
        <w:t xml:space="preserve"> </w:t>
      </w:r>
      <w:r w:rsidRPr="00F942FF">
        <w:rPr>
          <w:sz w:val="20"/>
          <w:szCs w:val="20"/>
          <w:shd w:val="clear" w:color="auto" w:fill="FFFFFF"/>
        </w:rPr>
        <w:t>1-12.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Parsad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Dogra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Kanwar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AJ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(2003):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Quality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life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patients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Health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Qual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Life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Outcomes;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1:58.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lastRenderedPageBreak/>
        <w:t>Shajil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EM,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Agrawal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D,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Vagadia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K,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Marfatia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YS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Begum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(2006):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profiles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Vadodara,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Gujarat.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Indian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51(2),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100.</w:t>
      </w:r>
      <w:r w:rsidR="00DC4F3E" w:rsidRPr="00F942FF">
        <w:rPr>
          <w:sz w:val="20"/>
          <w:szCs w:val="20"/>
        </w:rPr>
        <w:t>‏.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Singh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Yadav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(2016):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Microncedling: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advances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widening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horizons</w:t>
      </w:r>
      <w:r w:rsidR="00DC4F3E" w:rsidRPr="00F942FF">
        <w:rPr>
          <w:sz w:val="20"/>
          <w:szCs w:val="20"/>
        </w:rPr>
        <w:t>. I</w:t>
      </w:r>
      <w:r w:rsidRPr="00F942FF">
        <w:rPr>
          <w:sz w:val="20"/>
          <w:szCs w:val="20"/>
        </w:rPr>
        <w:t>ndian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Online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7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(4):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244-24</w:t>
      </w:r>
      <w:r w:rsidR="00DC4F3E" w:rsidRPr="00F942FF">
        <w:rPr>
          <w:sz w:val="20"/>
          <w:szCs w:val="20"/>
        </w:rPr>
        <w:t>8.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Szczurko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O,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Shear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N,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Taddio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Boon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H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(2011):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Ginkgo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biloba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for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the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treatment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vulgaris: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open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label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pilot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trial.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BMC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Complementary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Alternative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Medicine;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11: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11-21.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Vora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RV,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Patel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BB,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Chaudhary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AH,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Mehta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MJ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Pilani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AP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(2014):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clinical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study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rural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set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up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Gujarat.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Indian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community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medicine: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official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publication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lastRenderedPageBreak/>
        <w:t>Indian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Association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Preventive</w:t>
      </w:r>
      <w:r w:rsidR="00EB5140" w:rsidRPr="00F942FF">
        <w:rPr>
          <w:sz w:val="20"/>
          <w:szCs w:val="20"/>
        </w:rPr>
        <w:t xml:space="preserve"> &amp; </w:t>
      </w:r>
      <w:r w:rsidRPr="00F942FF">
        <w:rPr>
          <w:sz w:val="20"/>
          <w:szCs w:val="20"/>
        </w:rPr>
        <w:t>Social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Medicine,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39(3),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143.‏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Vrijman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(2019):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Environmental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Triggers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Occupational/Contact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In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(Pp.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121-124).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Springer,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Cham.‏</w:t>
      </w:r>
    </w:p>
    <w:p w:rsidR="00DC4F3E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Xie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H,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Zhou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F,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Liu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Zhu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Q,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Li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Gao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(2016):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Vitiligo: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how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oxidative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stress-induced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autoantigens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trigger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autoimmunity?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dermatological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science,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81(1),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3-9.‏</w:t>
      </w:r>
    </w:p>
    <w:p w:rsidR="004340B7" w:rsidRPr="00F942FF" w:rsidRDefault="004340B7" w:rsidP="00DC4F3E">
      <w:pPr>
        <w:pStyle w:val="ListParagraph"/>
        <w:numPr>
          <w:ilvl w:val="0"/>
          <w:numId w:val="11"/>
        </w:numPr>
        <w:snapToGrid w:val="0"/>
        <w:spacing w:line="240" w:lineRule="auto"/>
        <w:jc w:val="both"/>
        <w:rPr>
          <w:sz w:val="20"/>
          <w:szCs w:val="20"/>
        </w:rPr>
      </w:pPr>
      <w:r w:rsidRPr="00F942FF">
        <w:rPr>
          <w:bCs/>
          <w:sz w:val="20"/>
          <w:szCs w:val="20"/>
        </w:rPr>
        <w:t>Zhang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Yi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X,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Su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X,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Jian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Z,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Cui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T,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Guo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S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and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Xiao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Q</w:t>
      </w:r>
      <w:r w:rsidR="00EB5140" w:rsidRPr="00F942FF">
        <w:rPr>
          <w:bCs/>
          <w:sz w:val="20"/>
          <w:szCs w:val="20"/>
        </w:rPr>
        <w:t xml:space="preserve"> </w:t>
      </w:r>
      <w:r w:rsidRPr="00F942FF">
        <w:rPr>
          <w:bCs/>
          <w:sz w:val="20"/>
          <w:szCs w:val="20"/>
        </w:rPr>
        <w:t>(2019):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Ginkgo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biloba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extract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protects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human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melanocytes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from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H2O2</w:t>
      </w:r>
      <w:r w:rsidRPr="00F942FF">
        <w:rPr>
          <w:rFonts w:eastAsia="宋体" w:hint="eastAsia"/>
          <w:sz w:val="20"/>
          <w:szCs w:val="20"/>
        </w:rPr>
        <w:t>‐</w:t>
      </w:r>
      <w:r w:rsidRPr="00F942FF">
        <w:rPr>
          <w:sz w:val="20"/>
          <w:szCs w:val="20"/>
        </w:rPr>
        <w:t>induced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oxidative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stress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by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activating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Nrf2.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Journal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of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cellular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and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molecular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medicine;</w:t>
      </w:r>
      <w:r w:rsidR="00EB5140" w:rsidRPr="00F942FF">
        <w:rPr>
          <w:sz w:val="20"/>
          <w:szCs w:val="20"/>
        </w:rPr>
        <w:t xml:space="preserve"> </w:t>
      </w:r>
      <w:r w:rsidRPr="00F942FF">
        <w:rPr>
          <w:sz w:val="20"/>
          <w:szCs w:val="20"/>
        </w:rPr>
        <w:t>2019.</w:t>
      </w:r>
    </w:p>
    <w:p w:rsidR="00DC4F3E" w:rsidRPr="00F942FF" w:rsidRDefault="00DC4F3E" w:rsidP="00DC4F3E">
      <w:pPr>
        <w:snapToGrid w:val="0"/>
        <w:ind w:left="425" w:hanging="425"/>
        <w:jc w:val="both"/>
        <w:rPr>
          <w:rFonts w:eastAsia="Calibri"/>
          <w:sz w:val="20"/>
          <w:szCs w:val="20"/>
        </w:rPr>
        <w:sectPr w:rsidR="00DC4F3E" w:rsidRPr="00F942FF" w:rsidSect="00DC4F3E">
          <w:type w:val="continuous"/>
          <w:pgSz w:w="12240" w:h="15840"/>
          <w:pgMar w:top="1440" w:right="1440" w:bottom="1440" w:left="1440" w:header="720" w:footer="720" w:gutter="0"/>
          <w:cols w:num="2" w:space="600"/>
          <w:rtlGutter/>
          <w:docGrid w:linePitch="360"/>
        </w:sectPr>
      </w:pPr>
    </w:p>
    <w:p w:rsidR="00B919B7" w:rsidRPr="00F942FF" w:rsidRDefault="00B919B7" w:rsidP="00DC4F3E">
      <w:pPr>
        <w:snapToGrid w:val="0"/>
        <w:ind w:left="425" w:hanging="425"/>
        <w:jc w:val="both"/>
        <w:rPr>
          <w:rFonts w:eastAsia="Calibri"/>
          <w:sz w:val="20"/>
          <w:szCs w:val="20"/>
        </w:rPr>
      </w:pPr>
    </w:p>
    <w:p w:rsidR="00EB5140" w:rsidRPr="00F942FF" w:rsidRDefault="00EB5140" w:rsidP="00DC4F3E">
      <w:pPr>
        <w:snapToGrid w:val="0"/>
        <w:ind w:firstLine="425"/>
        <w:jc w:val="both"/>
        <w:rPr>
          <w:rFonts w:eastAsiaTheme="minorEastAsia"/>
          <w:sz w:val="20"/>
          <w:szCs w:val="20"/>
          <w:lang w:bidi="ar-EG"/>
        </w:rPr>
      </w:pPr>
    </w:p>
    <w:p w:rsidR="00DC4F3E" w:rsidRPr="00F942FF" w:rsidRDefault="00DC4F3E" w:rsidP="00DC4F3E">
      <w:pPr>
        <w:snapToGrid w:val="0"/>
        <w:ind w:firstLine="425"/>
        <w:jc w:val="both"/>
        <w:rPr>
          <w:rFonts w:eastAsiaTheme="minorEastAsia"/>
          <w:sz w:val="20"/>
          <w:szCs w:val="20"/>
          <w:lang w:bidi="ar-EG"/>
        </w:rPr>
      </w:pPr>
    </w:p>
    <w:p w:rsidR="00DF63C9" w:rsidRPr="00F942FF" w:rsidRDefault="00EB5140" w:rsidP="00DC4F3E">
      <w:pPr>
        <w:snapToGrid w:val="0"/>
        <w:jc w:val="both"/>
        <w:rPr>
          <w:sz w:val="20"/>
          <w:szCs w:val="20"/>
          <w:lang w:bidi="ar-EG"/>
        </w:rPr>
      </w:pPr>
      <w:r w:rsidRPr="00F942FF">
        <w:rPr>
          <w:sz w:val="20"/>
          <w:szCs w:val="20"/>
          <w:lang w:bidi="ar-EG"/>
        </w:rPr>
        <w:t>12/2/2019</w:t>
      </w:r>
    </w:p>
    <w:sectPr w:rsidR="00DF63C9" w:rsidRPr="00F942FF" w:rsidSect="00EB5140">
      <w:type w:val="continuous"/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36" w:rsidRDefault="00C50036" w:rsidP="00B919B7">
      <w:r>
        <w:separator/>
      </w:r>
    </w:p>
  </w:endnote>
  <w:endnote w:type="continuationSeparator" w:id="0">
    <w:p w:rsidR="00C50036" w:rsidRDefault="00C50036" w:rsidP="00B9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3E" w:rsidRPr="00DC4F3E" w:rsidRDefault="001A4CB9" w:rsidP="00DC4F3E">
    <w:pPr>
      <w:jc w:val="center"/>
      <w:rPr>
        <w:sz w:val="20"/>
      </w:rPr>
    </w:pPr>
    <w:r w:rsidRPr="00DC4F3E">
      <w:rPr>
        <w:sz w:val="20"/>
      </w:rPr>
      <w:fldChar w:fldCharType="begin"/>
    </w:r>
    <w:r w:rsidR="00DC4F3E" w:rsidRPr="00DC4F3E">
      <w:rPr>
        <w:sz w:val="20"/>
      </w:rPr>
      <w:instrText xml:space="preserve"> page </w:instrText>
    </w:r>
    <w:r w:rsidRPr="00DC4F3E">
      <w:rPr>
        <w:sz w:val="20"/>
      </w:rPr>
      <w:fldChar w:fldCharType="separate"/>
    </w:r>
    <w:r w:rsidR="00F942FF">
      <w:rPr>
        <w:noProof/>
        <w:sz w:val="20"/>
      </w:rPr>
      <w:t>7</w:t>
    </w:r>
    <w:r w:rsidRPr="00DC4F3E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36" w:rsidRDefault="00C50036" w:rsidP="00B919B7">
      <w:r>
        <w:separator/>
      </w:r>
    </w:p>
  </w:footnote>
  <w:footnote w:type="continuationSeparator" w:id="0">
    <w:p w:rsidR="00C50036" w:rsidRDefault="00C50036" w:rsidP="00B9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3E" w:rsidRPr="00DF7312" w:rsidRDefault="00DF7312" w:rsidP="00DF7312">
    <w:pPr>
      <w:pStyle w:val="Header"/>
      <w:rPr>
        <w:szCs w:val="20"/>
      </w:rPr>
    </w:pPr>
    <w:r>
      <w:rPr>
        <w:noProof/>
        <w:szCs w:val="20"/>
      </w:rPr>
      <w:drawing>
        <wp:inline distT="0" distB="0" distL="0" distR="0">
          <wp:extent cx="5943600" cy="786765"/>
          <wp:effectExtent l="19050" t="0" r="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12" w:rsidRPr="00DC4F3E" w:rsidRDefault="00DF7312" w:rsidP="00DC4F3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C4F3E">
      <w:rPr>
        <w:rFonts w:hint="eastAsia"/>
        <w:sz w:val="20"/>
        <w:szCs w:val="20"/>
      </w:rPr>
      <w:tab/>
    </w:r>
    <w:r w:rsidRPr="00DC4F3E">
      <w:rPr>
        <w:sz w:val="20"/>
        <w:szCs w:val="20"/>
      </w:rPr>
      <w:t>New York Science Journal 201</w:t>
    </w:r>
    <w:r w:rsidRPr="00DC4F3E">
      <w:rPr>
        <w:rFonts w:hint="eastAsia"/>
        <w:sz w:val="20"/>
        <w:szCs w:val="20"/>
      </w:rPr>
      <w:t>9</w:t>
    </w:r>
    <w:r w:rsidRPr="00DC4F3E">
      <w:rPr>
        <w:sz w:val="20"/>
        <w:szCs w:val="20"/>
      </w:rPr>
      <w:t>;</w:t>
    </w:r>
    <w:r w:rsidRPr="00DC4F3E">
      <w:rPr>
        <w:rFonts w:hint="eastAsia"/>
        <w:sz w:val="20"/>
        <w:szCs w:val="20"/>
      </w:rPr>
      <w:t>12</w:t>
    </w:r>
    <w:r w:rsidRPr="00DC4F3E">
      <w:rPr>
        <w:sz w:val="20"/>
        <w:szCs w:val="20"/>
      </w:rPr>
      <w:t>(</w:t>
    </w:r>
    <w:r w:rsidRPr="00DC4F3E">
      <w:rPr>
        <w:rFonts w:hint="eastAsia"/>
        <w:sz w:val="20"/>
        <w:szCs w:val="20"/>
      </w:rPr>
      <w:t>12</w:t>
    </w:r>
    <w:r w:rsidRPr="00DC4F3E">
      <w:rPr>
        <w:sz w:val="20"/>
        <w:szCs w:val="20"/>
      </w:rPr>
      <w:t>)</w:t>
    </w:r>
    <w:r w:rsidRPr="00DC4F3E">
      <w:rPr>
        <w:iCs/>
        <w:sz w:val="20"/>
        <w:szCs w:val="20"/>
      </w:rPr>
      <w:t xml:space="preserve"> </w:t>
    </w:r>
    <w:r w:rsidRPr="00DC4F3E">
      <w:rPr>
        <w:rFonts w:hint="eastAsia"/>
        <w:iCs/>
        <w:sz w:val="20"/>
        <w:szCs w:val="20"/>
      </w:rPr>
      <w:tab/>
    </w:r>
    <w:r w:rsidRPr="00DC4F3E">
      <w:rPr>
        <w:iCs/>
        <w:sz w:val="20"/>
        <w:szCs w:val="20"/>
      </w:rPr>
      <w:t xml:space="preserve">  </w:t>
    </w:r>
    <w:hyperlink r:id="rId1" w:history="1">
      <w:r w:rsidRPr="00DC4F3E">
        <w:rPr>
          <w:rStyle w:val="Hyperlink"/>
          <w:sz w:val="20"/>
          <w:szCs w:val="20"/>
        </w:rPr>
        <w:t>http://www.sciencepub.net/newyork</w:t>
      </w:r>
    </w:hyperlink>
    <w:r w:rsidRPr="00DC4F3E">
      <w:rPr>
        <w:rFonts w:hint="eastAsia"/>
        <w:sz w:val="20"/>
      </w:rPr>
      <w:t xml:space="preserve">   </w:t>
    </w:r>
    <w:r w:rsidRPr="00DC4F3E">
      <w:rPr>
        <w:rFonts w:hint="eastAsia"/>
        <w:b/>
        <w:i/>
        <w:color w:val="FF0000"/>
        <w:sz w:val="20"/>
        <w:szCs w:val="20"/>
        <w:bdr w:val="single" w:sz="4" w:space="0" w:color="FF0000"/>
      </w:rPr>
      <w:t>NYJ</w:t>
    </w:r>
  </w:p>
  <w:p w:rsidR="00DF7312" w:rsidRPr="00DC4F3E" w:rsidRDefault="00DF7312" w:rsidP="00DC4F3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7960D20E"/>
    <w:lvl w:ilvl="0" w:tplc="FFFFFFFF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0000019"/>
    <w:multiLevelType w:val="hybridMultilevel"/>
    <w:tmpl w:val="5D90B3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1A"/>
    <w:multiLevelType w:val="hybridMultilevel"/>
    <w:tmpl w:val="EDD238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1B"/>
    <w:multiLevelType w:val="hybridMultilevel"/>
    <w:tmpl w:val="4FEEF3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C"/>
    <w:multiLevelType w:val="hybridMultilevel"/>
    <w:tmpl w:val="CCE626B2"/>
    <w:lvl w:ilvl="0" w:tplc="FFFFFFFF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000001D"/>
    <w:multiLevelType w:val="hybridMultilevel"/>
    <w:tmpl w:val="C944E48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E"/>
    <w:multiLevelType w:val="hybridMultilevel"/>
    <w:tmpl w:val="23CA8188"/>
    <w:lvl w:ilvl="0" w:tplc="FFFFFFFF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0000001F"/>
    <w:multiLevelType w:val="hybridMultilevel"/>
    <w:tmpl w:val="1ECCB81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20"/>
    <w:multiLevelType w:val="hybridMultilevel"/>
    <w:tmpl w:val="96CA668A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0000021"/>
    <w:multiLevelType w:val="hybridMultilevel"/>
    <w:tmpl w:val="0ACCADA4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1EA7C3F"/>
    <w:multiLevelType w:val="hybridMultilevel"/>
    <w:tmpl w:val="8FC05A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19B7"/>
    <w:rsid w:val="00051DF0"/>
    <w:rsid w:val="001A4CB9"/>
    <w:rsid w:val="004340B7"/>
    <w:rsid w:val="00536061"/>
    <w:rsid w:val="005D0CFE"/>
    <w:rsid w:val="00641343"/>
    <w:rsid w:val="006849DA"/>
    <w:rsid w:val="006B69BF"/>
    <w:rsid w:val="007410BF"/>
    <w:rsid w:val="00767F54"/>
    <w:rsid w:val="00982EB1"/>
    <w:rsid w:val="009976C6"/>
    <w:rsid w:val="009C4A30"/>
    <w:rsid w:val="00A460B4"/>
    <w:rsid w:val="00A6047A"/>
    <w:rsid w:val="00B66A1A"/>
    <w:rsid w:val="00B919B7"/>
    <w:rsid w:val="00BB6940"/>
    <w:rsid w:val="00C50036"/>
    <w:rsid w:val="00CE6E85"/>
    <w:rsid w:val="00CF5D2C"/>
    <w:rsid w:val="00DC4F3E"/>
    <w:rsid w:val="00DF63C9"/>
    <w:rsid w:val="00DF7312"/>
    <w:rsid w:val="00EB5140"/>
    <w:rsid w:val="00EC6B2F"/>
    <w:rsid w:val="00F81C60"/>
    <w:rsid w:val="00F942FF"/>
    <w:rsid w:val="00FC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6C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19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19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919B7"/>
    <w:pPr>
      <w:spacing w:line="36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976C6"/>
    <w:rPr>
      <w:rFonts w:ascii="Cambria" w:eastAsia="Times New Roman" w:hAnsi="Cambria" w:cs="Times New Roman"/>
      <w:color w:val="365F91"/>
      <w:sz w:val="32"/>
      <w:szCs w:val="32"/>
      <w:lang w:eastAsia="zh-CN"/>
    </w:rPr>
  </w:style>
  <w:style w:type="character" w:customStyle="1" w:styleId="authors">
    <w:name w:val="authors"/>
    <w:basedOn w:val="DefaultParagraphFont"/>
    <w:rsid w:val="009976C6"/>
  </w:style>
  <w:style w:type="character" w:customStyle="1" w:styleId="Date1">
    <w:name w:val="Date1"/>
    <w:basedOn w:val="DefaultParagraphFont"/>
    <w:rsid w:val="009976C6"/>
  </w:style>
  <w:style w:type="character" w:customStyle="1" w:styleId="arttitle">
    <w:name w:val="art_title"/>
    <w:basedOn w:val="DefaultParagraphFont"/>
    <w:rsid w:val="009976C6"/>
  </w:style>
  <w:style w:type="character" w:customStyle="1" w:styleId="serialtitle">
    <w:name w:val="serial_title"/>
    <w:basedOn w:val="DefaultParagraphFont"/>
    <w:rsid w:val="009976C6"/>
  </w:style>
  <w:style w:type="character" w:customStyle="1" w:styleId="volumeissue">
    <w:name w:val="volume_issue"/>
    <w:basedOn w:val="DefaultParagraphFont"/>
    <w:rsid w:val="009976C6"/>
  </w:style>
  <w:style w:type="character" w:customStyle="1" w:styleId="pagerange">
    <w:name w:val="page_range"/>
    <w:basedOn w:val="DefaultParagraphFont"/>
    <w:rsid w:val="009976C6"/>
  </w:style>
  <w:style w:type="character" w:styleId="Hyperlink">
    <w:name w:val="Hyperlink"/>
    <w:uiPriority w:val="99"/>
    <w:rsid w:val="00741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nys121219.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4060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drmonazaki</dc:creator>
  <cp:lastModifiedBy>Administrator</cp:lastModifiedBy>
  <cp:revision>3</cp:revision>
  <dcterms:created xsi:type="dcterms:W3CDTF">2019-12-04T11:33:00Z</dcterms:created>
  <dcterms:modified xsi:type="dcterms:W3CDTF">2019-12-05T03:36:00Z</dcterms:modified>
</cp:coreProperties>
</file>