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973" w:rsidRPr="00BF3275" w:rsidRDefault="00931973" w:rsidP="00DA2296">
      <w:pPr>
        <w:snapToGrid w:val="0"/>
        <w:jc w:val="center"/>
        <w:rPr>
          <w:b/>
          <w:bCs/>
          <w:sz w:val="20"/>
          <w:szCs w:val="20"/>
          <w:lang w:eastAsia="zh-CN"/>
        </w:rPr>
      </w:pPr>
    </w:p>
    <w:p w:rsidR="00462FBD" w:rsidRPr="00BF3275" w:rsidRDefault="0033091A" w:rsidP="00DA2296">
      <w:pPr>
        <w:snapToGrid w:val="0"/>
        <w:jc w:val="center"/>
        <w:rPr>
          <w:b/>
          <w:bCs/>
          <w:sz w:val="20"/>
          <w:szCs w:val="20"/>
        </w:rPr>
      </w:pPr>
      <w:r w:rsidRPr="00BF3275">
        <w:rPr>
          <w:b/>
          <w:bCs/>
          <w:sz w:val="20"/>
          <w:szCs w:val="20"/>
        </w:rPr>
        <w:t>The Role of Ultrasound in Screening of Dense Breast</w:t>
      </w:r>
    </w:p>
    <w:p w:rsidR="00462FBD" w:rsidRPr="00BF3275" w:rsidRDefault="00462FBD" w:rsidP="00DA2296">
      <w:pPr>
        <w:snapToGrid w:val="0"/>
        <w:jc w:val="center"/>
        <w:rPr>
          <w:b/>
          <w:bCs/>
          <w:sz w:val="20"/>
          <w:szCs w:val="20"/>
        </w:rPr>
      </w:pPr>
    </w:p>
    <w:p w:rsidR="00462FBD" w:rsidRPr="00BF3275" w:rsidRDefault="0033091A" w:rsidP="00DA2296">
      <w:pPr>
        <w:snapToGrid w:val="0"/>
        <w:jc w:val="center"/>
        <w:rPr>
          <w:sz w:val="20"/>
          <w:szCs w:val="20"/>
          <w:vertAlign w:val="superscript"/>
          <w:lang w:eastAsia="zh-CN"/>
        </w:rPr>
      </w:pPr>
      <w:r w:rsidRPr="00BF3275">
        <w:rPr>
          <w:sz w:val="20"/>
          <w:szCs w:val="20"/>
        </w:rPr>
        <w:t>Prof. Magda Shaaban Yakoot</w:t>
      </w:r>
      <w:r w:rsidRPr="00BF3275">
        <w:rPr>
          <w:sz w:val="20"/>
          <w:szCs w:val="20"/>
          <w:vertAlign w:val="superscript"/>
        </w:rPr>
        <w:t>1</w:t>
      </w:r>
      <w:r w:rsidRPr="00BF3275">
        <w:rPr>
          <w:sz w:val="20"/>
          <w:szCs w:val="20"/>
        </w:rPr>
        <w:t>, Dr. Abdalla Hussein Ahmed</w:t>
      </w:r>
      <w:r w:rsidRPr="00BF3275">
        <w:rPr>
          <w:sz w:val="20"/>
          <w:szCs w:val="20"/>
          <w:vertAlign w:val="superscript"/>
        </w:rPr>
        <w:t>1</w:t>
      </w:r>
      <w:r w:rsidRPr="00BF3275">
        <w:rPr>
          <w:sz w:val="20"/>
          <w:szCs w:val="20"/>
        </w:rPr>
        <w:t>, Dr. Gehan Hassan Gamal</w:t>
      </w:r>
      <w:r w:rsidRPr="00BF3275">
        <w:rPr>
          <w:sz w:val="20"/>
          <w:szCs w:val="20"/>
          <w:vertAlign w:val="superscript"/>
        </w:rPr>
        <w:t>2</w:t>
      </w:r>
      <w:r w:rsidRPr="00BF3275">
        <w:rPr>
          <w:sz w:val="20"/>
          <w:szCs w:val="20"/>
        </w:rPr>
        <w:t>, Hanan Shawky Mohammed Al Sorady</w:t>
      </w:r>
      <w:r w:rsidR="00821D10" w:rsidRPr="00BF3275">
        <w:rPr>
          <w:rFonts w:hint="eastAsia"/>
          <w:sz w:val="20"/>
          <w:szCs w:val="20"/>
          <w:vertAlign w:val="superscript"/>
          <w:lang w:eastAsia="zh-CN"/>
        </w:rPr>
        <w:t>1</w:t>
      </w:r>
    </w:p>
    <w:p w:rsidR="00462FBD" w:rsidRPr="00BF3275" w:rsidRDefault="00462FBD" w:rsidP="00DA2296">
      <w:pPr>
        <w:snapToGrid w:val="0"/>
        <w:jc w:val="center"/>
        <w:rPr>
          <w:sz w:val="20"/>
          <w:szCs w:val="20"/>
          <w:vertAlign w:val="superscript"/>
          <w:lang w:eastAsia="zh-CN"/>
        </w:rPr>
      </w:pPr>
    </w:p>
    <w:p w:rsidR="00C5408B" w:rsidRPr="00BF3275" w:rsidRDefault="00DB7A58" w:rsidP="00DA2296">
      <w:pPr>
        <w:snapToGrid w:val="0"/>
        <w:jc w:val="center"/>
        <w:rPr>
          <w:sz w:val="20"/>
          <w:szCs w:val="20"/>
          <w:lang w:eastAsia="zh-CN"/>
        </w:rPr>
      </w:pPr>
      <w:r w:rsidRPr="00BF3275">
        <w:rPr>
          <w:sz w:val="20"/>
          <w:szCs w:val="20"/>
          <w:vertAlign w:val="superscript"/>
        </w:rPr>
        <w:t>1</w:t>
      </w:r>
      <w:r w:rsidR="0033091A" w:rsidRPr="00BF3275">
        <w:rPr>
          <w:sz w:val="20"/>
          <w:szCs w:val="20"/>
        </w:rPr>
        <w:t>Radiodiagnosis Department,</w:t>
      </w:r>
      <w:r w:rsidR="00462FBD" w:rsidRPr="00BF3275">
        <w:rPr>
          <w:sz w:val="20"/>
          <w:szCs w:val="20"/>
        </w:rPr>
        <w:t xml:space="preserve"> </w:t>
      </w:r>
      <w:r w:rsidR="0033091A" w:rsidRPr="00BF3275">
        <w:rPr>
          <w:sz w:val="20"/>
          <w:szCs w:val="20"/>
        </w:rPr>
        <w:t>Faculty of Medicine for Girls, Al-Azhar University,</w:t>
      </w:r>
      <w:r w:rsidRPr="00BF3275">
        <w:rPr>
          <w:sz w:val="20"/>
          <w:szCs w:val="20"/>
        </w:rPr>
        <w:t xml:space="preserve"> Egypt</w:t>
      </w:r>
    </w:p>
    <w:p w:rsidR="00462FBD" w:rsidRPr="00BF3275" w:rsidRDefault="0033091A" w:rsidP="00DA2296">
      <w:pPr>
        <w:snapToGrid w:val="0"/>
        <w:jc w:val="center"/>
        <w:rPr>
          <w:sz w:val="20"/>
          <w:szCs w:val="20"/>
        </w:rPr>
      </w:pPr>
      <w:r w:rsidRPr="00BF3275">
        <w:rPr>
          <w:sz w:val="20"/>
          <w:szCs w:val="20"/>
          <w:vertAlign w:val="superscript"/>
        </w:rPr>
        <w:t>2</w:t>
      </w:r>
      <w:r w:rsidRPr="00BF3275">
        <w:rPr>
          <w:sz w:val="20"/>
          <w:szCs w:val="20"/>
        </w:rPr>
        <w:t xml:space="preserve"> </w:t>
      </w:r>
      <w:r w:rsidR="00DB7A58" w:rsidRPr="00BF3275">
        <w:rPr>
          <w:sz w:val="20"/>
          <w:szCs w:val="20"/>
        </w:rPr>
        <w:t xml:space="preserve">Radiodiagnosis Department, </w:t>
      </w:r>
      <w:r w:rsidRPr="00BF3275">
        <w:rPr>
          <w:sz w:val="20"/>
          <w:szCs w:val="20"/>
        </w:rPr>
        <w:t>Faculty of Medicine, October 6 University</w:t>
      </w:r>
      <w:r w:rsidR="00DB7A58" w:rsidRPr="00BF3275">
        <w:rPr>
          <w:sz w:val="20"/>
          <w:szCs w:val="20"/>
        </w:rPr>
        <w:t>, Egypt</w:t>
      </w:r>
    </w:p>
    <w:p w:rsidR="00462FBD" w:rsidRPr="00BF3275" w:rsidRDefault="00462FBD" w:rsidP="00DA2296">
      <w:pPr>
        <w:snapToGrid w:val="0"/>
        <w:jc w:val="center"/>
        <w:rPr>
          <w:sz w:val="20"/>
          <w:szCs w:val="20"/>
        </w:rPr>
      </w:pPr>
    </w:p>
    <w:p w:rsidR="0033091A" w:rsidRPr="00BF3275" w:rsidRDefault="00DB7A58" w:rsidP="00DA2296">
      <w:pPr>
        <w:snapToGrid w:val="0"/>
        <w:jc w:val="both"/>
        <w:rPr>
          <w:sz w:val="20"/>
          <w:szCs w:val="20"/>
        </w:rPr>
      </w:pPr>
      <w:r w:rsidRPr="00BF3275">
        <w:rPr>
          <w:b/>
          <w:bCs/>
          <w:sz w:val="20"/>
          <w:szCs w:val="20"/>
        </w:rPr>
        <w:t xml:space="preserve">Abstract: </w:t>
      </w:r>
      <w:r w:rsidR="0033091A" w:rsidRPr="00BF3275">
        <w:rPr>
          <w:b/>
          <w:bCs/>
          <w:sz w:val="20"/>
          <w:szCs w:val="20"/>
        </w:rPr>
        <w:t>Background:</w:t>
      </w:r>
      <w:r w:rsidR="006B1CBD" w:rsidRPr="00BF3275">
        <w:rPr>
          <w:b/>
          <w:bCs/>
          <w:sz w:val="20"/>
          <w:szCs w:val="20"/>
        </w:rPr>
        <w:t xml:space="preserve"> </w:t>
      </w:r>
      <w:r w:rsidR="006B1CBD" w:rsidRPr="00BF3275">
        <w:rPr>
          <w:sz w:val="20"/>
          <w:szCs w:val="20"/>
        </w:rPr>
        <w:t>Despite recent improvements in mammography equipment and technique, the radiographically dense breast remains difficult to image. The problems in imaging the dense breast account for a large percentage of the cases of mammographically “missed” carcinomas. Other imaging modalities-such as ultrasonography, transillumination, thermography, computed tomography, magnetic resonance imaging, and radionuclide imaging-have been investigated for use in breast cancer detection.</w:t>
      </w:r>
      <w:r w:rsidRPr="00BF3275">
        <w:rPr>
          <w:b/>
          <w:bCs/>
          <w:sz w:val="20"/>
          <w:szCs w:val="20"/>
        </w:rPr>
        <w:t xml:space="preserve"> </w:t>
      </w:r>
      <w:r w:rsidR="0033091A" w:rsidRPr="00BF3275">
        <w:rPr>
          <w:b/>
          <w:bCs/>
          <w:sz w:val="20"/>
          <w:szCs w:val="20"/>
        </w:rPr>
        <w:t>Objectives:</w:t>
      </w:r>
      <w:r w:rsidR="00F207A9" w:rsidRPr="00BF3275">
        <w:rPr>
          <w:b/>
          <w:bCs/>
          <w:sz w:val="20"/>
          <w:szCs w:val="20"/>
        </w:rPr>
        <w:t xml:space="preserve"> </w:t>
      </w:r>
      <w:r w:rsidR="00413D6E" w:rsidRPr="00BF3275">
        <w:rPr>
          <w:sz w:val="20"/>
          <w:szCs w:val="20"/>
        </w:rPr>
        <w:t>The aim of this study was to assess the reliability of the sonographic Breast Imaging Reporting and Data System (BIRADS) classification in differentiating benign from malignant breast masses.</w:t>
      </w:r>
      <w:r w:rsidRPr="00BF3275">
        <w:rPr>
          <w:b/>
          <w:bCs/>
          <w:sz w:val="20"/>
          <w:szCs w:val="20"/>
        </w:rPr>
        <w:t xml:space="preserve"> </w:t>
      </w:r>
      <w:r w:rsidR="0033091A" w:rsidRPr="00BF3275">
        <w:rPr>
          <w:b/>
          <w:bCs/>
          <w:sz w:val="20"/>
          <w:szCs w:val="20"/>
        </w:rPr>
        <w:t>Patients and Methods:</w:t>
      </w:r>
      <w:r w:rsidR="00715DB8" w:rsidRPr="00BF3275">
        <w:rPr>
          <w:b/>
          <w:bCs/>
          <w:sz w:val="20"/>
          <w:szCs w:val="20"/>
          <w:lang w:bidi="en-US"/>
        </w:rPr>
        <w:t xml:space="preserve"> </w:t>
      </w:r>
      <w:r w:rsidR="00715DB8" w:rsidRPr="00BF3275">
        <w:rPr>
          <w:sz w:val="20"/>
          <w:szCs w:val="20"/>
          <w:lang w:bidi="en-US"/>
        </w:rPr>
        <w:t>This is prospective study involved 50 asymptomatic females their age range from 40 to 70 years. These females are carefully selected from a lot number of females who subjected to screening mammography. These 50 females with mammographically dense breast undergo additional screening by ultrasonography. To assess the role of ultrasound in screening of female with mamoghraphiclly dense breast at radiology department of Al- zahraa university hospital. The present study started at January 2019 till August 2019.</w:t>
      </w:r>
      <w:r w:rsidRPr="00BF3275">
        <w:rPr>
          <w:b/>
          <w:bCs/>
          <w:sz w:val="20"/>
          <w:szCs w:val="20"/>
        </w:rPr>
        <w:t xml:space="preserve"> </w:t>
      </w:r>
      <w:r w:rsidR="0033091A" w:rsidRPr="00BF3275">
        <w:rPr>
          <w:b/>
          <w:bCs/>
          <w:sz w:val="20"/>
          <w:szCs w:val="20"/>
        </w:rPr>
        <w:t>Results:</w:t>
      </w:r>
      <w:r w:rsidR="00413D6E" w:rsidRPr="00BF3275">
        <w:rPr>
          <w:b/>
          <w:bCs/>
          <w:sz w:val="20"/>
          <w:szCs w:val="20"/>
        </w:rPr>
        <w:t xml:space="preserve"> </w:t>
      </w:r>
      <w:r w:rsidR="00413D6E" w:rsidRPr="00BF3275">
        <w:rPr>
          <w:sz w:val="20"/>
          <w:szCs w:val="20"/>
        </w:rPr>
        <w:t>Lesions that are classified as BIRADS II all were benign and not subjected to histopathology, while lesions classified as BIRADS III, IV were subjected to histopathology. Among all lesion classified as BIRADS III 94.5% were benign and only 5.5% were malignant, finally lesions classified as BIRADS IV show 100 % malignant. Of the 21 lesion subjected to histopathology 17 were benign and 4 were malignant. Of the benign lesion all are fibro adenoma. Of the malignant lesion 3 lesions were invasive ductal carcinoma and one lesion was invasive lobular carcinoma. The results of the present study demonstrate the clear association between ACR BTIRADS classification and the pathology results</w:t>
      </w:r>
      <w:r w:rsidR="00DE2288" w:rsidRPr="00BF3275">
        <w:rPr>
          <w:sz w:val="20"/>
          <w:szCs w:val="20"/>
        </w:rPr>
        <w:t xml:space="preserve">. </w:t>
      </w:r>
      <w:r w:rsidR="00DE2288" w:rsidRPr="00BF3275">
        <w:rPr>
          <w:b/>
          <w:bCs/>
          <w:sz w:val="20"/>
          <w:szCs w:val="20"/>
        </w:rPr>
        <w:t>C</w:t>
      </w:r>
      <w:r w:rsidR="0033091A" w:rsidRPr="00BF3275">
        <w:rPr>
          <w:b/>
          <w:bCs/>
          <w:sz w:val="20"/>
          <w:szCs w:val="20"/>
        </w:rPr>
        <w:t>onclusion:</w:t>
      </w:r>
      <w:r w:rsidR="00413D6E" w:rsidRPr="00BF3275">
        <w:rPr>
          <w:b/>
          <w:bCs/>
          <w:sz w:val="20"/>
          <w:szCs w:val="20"/>
        </w:rPr>
        <w:t xml:space="preserve"> </w:t>
      </w:r>
      <w:r w:rsidR="00413D6E" w:rsidRPr="00BF3275">
        <w:rPr>
          <w:sz w:val="20"/>
          <w:szCs w:val="20"/>
        </w:rPr>
        <w:t>Every woman in the state of Connecticut who undergoes mammography and demonstrates breast density &gt;50% must be informed of the following: ‘‘If your mammogram demonstrates that you have dense breast tissue, which could hide small abnormalities, you might benefit from supplementary screening tests, which can include abreast ultrasound screening or a breast MRI examination, or both, depending on your individual risk factors.</w:t>
      </w:r>
    </w:p>
    <w:p w:rsidR="00DA2296" w:rsidRPr="00BF3275" w:rsidRDefault="00821D10" w:rsidP="00DA2296">
      <w:pPr>
        <w:snapToGrid w:val="0"/>
        <w:jc w:val="both"/>
        <w:rPr>
          <w:b/>
          <w:bCs/>
          <w:sz w:val="20"/>
          <w:szCs w:val="20"/>
        </w:rPr>
      </w:pPr>
      <w:r w:rsidRPr="00BF3275">
        <w:rPr>
          <w:rFonts w:hint="eastAsia"/>
          <w:sz w:val="20"/>
          <w:szCs w:val="20"/>
          <w:lang w:eastAsia="zh-CN"/>
        </w:rPr>
        <w:t>[</w:t>
      </w:r>
      <w:r w:rsidR="00DB7A58" w:rsidRPr="00BF3275">
        <w:rPr>
          <w:sz w:val="20"/>
          <w:szCs w:val="20"/>
        </w:rPr>
        <w:t>Magda Shaaban Yakoot, Abdalla Hussein Ahmed, Gehan Hassan Gamal, Hanan Shawky Mohammed Al Sorady</w:t>
      </w:r>
      <w:r w:rsidRPr="00BF3275">
        <w:rPr>
          <w:rFonts w:hint="eastAsia"/>
          <w:sz w:val="20"/>
          <w:szCs w:val="20"/>
          <w:lang w:eastAsia="zh-CN"/>
        </w:rPr>
        <w:t>.</w:t>
      </w:r>
      <w:r w:rsidR="00DB7A58" w:rsidRPr="00BF3275">
        <w:rPr>
          <w:sz w:val="20"/>
          <w:szCs w:val="20"/>
        </w:rPr>
        <w:t xml:space="preserve"> </w:t>
      </w:r>
      <w:r w:rsidR="00DB7A58" w:rsidRPr="00BF3275">
        <w:rPr>
          <w:b/>
          <w:bCs/>
          <w:sz w:val="20"/>
          <w:szCs w:val="20"/>
        </w:rPr>
        <w:t>The Role of Ultrasound in Screening of Dense Breast</w:t>
      </w:r>
      <w:r w:rsidR="00DA2296" w:rsidRPr="00BF3275">
        <w:rPr>
          <w:rFonts w:eastAsia="Times New Roman"/>
          <w:b/>
          <w:bCs/>
          <w:sz w:val="20"/>
          <w:szCs w:val="20"/>
          <w:lang w:bidi="fa-IR"/>
        </w:rPr>
        <w:t>.</w:t>
      </w:r>
      <w:r w:rsidR="00DA2296" w:rsidRPr="00BF3275">
        <w:rPr>
          <w:bCs/>
          <w:i/>
          <w:sz w:val="20"/>
          <w:szCs w:val="20"/>
        </w:rPr>
        <w:t xml:space="preserve"> N Y Sci J</w:t>
      </w:r>
      <w:r w:rsidR="00DA2296" w:rsidRPr="00BF3275">
        <w:rPr>
          <w:bCs/>
          <w:sz w:val="20"/>
          <w:szCs w:val="20"/>
        </w:rPr>
        <w:t xml:space="preserve"> </w:t>
      </w:r>
      <w:r w:rsidR="00DA2296" w:rsidRPr="00BF3275">
        <w:rPr>
          <w:sz w:val="20"/>
          <w:szCs w:val="20"/>
        </w:rPr>
        <w:t>201</w:t>
      </w:r>
      <w:r w:rsidR="00DA2296" w:rsidRPr="00BF3275">
        <w:rPr>
          <w:rFonts w:hint="eastAsia"/>
          <w:sz w:val="20"/>
          <w:szCs w:val="20"/>
        </w:rPr>
        <w:t>9</w:t>
      </w:r>
      <w:r w:rsidR="00DA2296" w:rsidRPr="00BF3275">
        <w:rPr>
          <w:sz w:val="20"/>
          <w:szCs w:val="20"/>
        </w:rPr>
        <w:t>;</w:t>
      </w:r>
      <w:r w:rsidR="00DA2296" w:rsidRPr="00BF3275">
        <w:rPr>
          <w:rFonts w:hint="eastAsia"/>
          <w:sz w:val="20"/>
          <w:szCs w:val="20"/>
        </w:rPr>
        <w:t>12</w:t>
      </w:r>
      <w:r w:rsidR="00DA2296" w:rsidRPr="00BF3275">
        <w:rPr>
          <w:sz w:val="20"/>
          <w:szCs w:val="20"/>
        </w:rPr>
        <w:t>(</w:t>
      </w:r>
      <w:r w:rsidR="00DA2296" w:rsidRPr="00BF3275">
        <w:rPr>
          <w:rFonts w:hint="eastAsia"/>
          <w:sz w:val="20"/>
          <w:szCs w:val="20"/>
        </w:rPr>
        <w:t>12</w:t>
      </w:r>
      <w:r w:rsidR="00DA2296" w:rsidRPr="00BF3275">
        <w:rPr>
          <w:sz w:val="20"/>
          <w:szCs w:val="20"/>
        </w:rPr>
        <w:t>):</w:t>
      </w:r>
      <w:r w:rsidR="00A8445F" w:rsidRPr="00BF3275">
        <w:rPr>
          <w:noProof/>
          <w:color w:val="000000"/>
          <w:sz w:val="20"/>
          <w:szCs w:val="20"/>
        </w:rPr>
        <w:t>41-4</w:t>
      </w:r>
      <w:r w:rsidR="0038154B">
        <w:rPr>
          <w:rFonts w:hint="eastAsia"/>
          <w:noProof/>
          <w:color w:val="000000"/>
          <w:sz w:val="20"/>
          <w:szCs w:val="20"/>
          <w:lang w:eastAsia="zh-CN"/>
        </w:rPr>
        <w:t>8</w:t>
      </w:r>
      <w:r w:rsidR="00DA2296" w:rsidRPr="00BF3275">
        <w:rPr>
          <w:sz w:val="20"/>
          <w:szCs w:val="20"/>
        </w:rPr>
        <w:t xml:space="preserve">]. </w:t>
      </w:r>
      <w:r w:rsidR="00DA2296" w:rsidRPr="00BF3275">
        <w:rPr>
          <w:iCs/>
          <w:color w:val="000000"/>
          <w:sz w:val="20"/>
          <w:szCs w:val="20"/>
        </w:rPr>
        <w:t>ISSN 1554-0200 (print); ISSN 2375-723X (online)</w:t>
      </w:r>
      <w:r w:rsidR="00DA2296" w:rsidRPr="00BF3275">
        <w:rPr>
          <w:sz w:val="20"/>
          <w:szCs w:val="20"/>
        </w:rPr>
        <w:t xml:space="preserve">. </w:t>
      </w:r>
      <w:hyperlink r:id="rId7" w:history="1">
        <w:r w:rsidR="00DA2296" w:rsidRPr="00BF3275">
          <w:rPr>
            <w:rStyle w:val="Hyperlink"/>
            <w:sz w:val="20"/>
            <w:szCs w:val="20"/>
          </w:rPr>
          <w:t>http://www.sciencepub.net/newyork</w:t>
        </w:r>
      </w:hyperlink>
      <w:r w:rsidR="00DA2296" w:rsidRPr="00BF3275">
        <w:rPr>
          <w:sz w:val="20"/>
          <w:szCs w:val="20"/>
        </w:rPr>
        <w:t xml:space="preserve">. </w:t>
      </w:r>
      <w:r w:rsidR="00DA2296" w:rsidRPr="00BF3275">
        <w:rPr>
          <w:rFonts w:hint="eastAsia"/>
          <w:sz w:val="20"/>
          <w:szCs w:val="20"/>
          <w:lang w:eastAsia="zh-CN"/>
        </w:rPr>
        <w:t>6</w:t>
      </w:r>
      <w:r w:rsidR="00DA2296" w:rsidRPr="00BF3275">
        <w:rPr>
          <w:rFonts w:hint="eastAsia"/>
          <w:sz w:val="20"/>
          <w:szCs w:val="20"/>
        </w:rPr>
        <w:t xml:space="preserve">. </w:t>
      </w:r>
      <w:r w:rsidR="00DA2296" w:rsidRPr="00BF3275">
        <w:rPr>
          <w:color w:val="000000"/>
          <w:sz w:val="20"/>
          <w:szCs w:val="20"/>
          <w:shd w:val="clear" w:color="auto" w:fill="FFFFFF"/>
        </w:rPr>
        <w:t>doi:</w:t>
      </w:r>
      <w:hyperlink r:id="rId8" w:history="1">
        <w:r w:rsidR="00DA2296" w:rsidRPr="00BF3275">
          <w:rPr>
            <w:rStyle w:val="Hyperlink"/>
            <w:sz w:val="20"/>
            <w:szCs w:val="20"/>
            <w:shd w:val="clear" w:color="auto" w:fill="FFFFFF"/>
          </w:rPr>
          <w:t>10.7537/mars</w:t>
        </w:r>
        <w:r w:rsidR="00DA2296" w:rsidRPr="00BF3275">
          <w:rPr>
            <w:rStyle w:val="Hyperlink"/>
            <w:rFonts w:hint="eastAsia"/>
            <w:sz w:val="20"/>
            <w:szCs w:val="20"/>
            <w:shd w:val="clear" w:color="auto" w:fill="FFFFFF"/>
          </w:rPr>
          <w:t>nys121219.</w:t>
        </w:r>
        <w:r w:rsidR="00DA2296" w:rsidRPr="00BF3275">
          <w:rPr>
            <w:rStyle w:val="Hyperlink"/>
            <w:sz w:val="20"/>
            <w:szCs w:val="20"/>
            <w:shd w:val="clear" w:color="auto" w:fill="FFFFFF"/>
          </w:rPr>
          <w:t>0</w:t>
        </w:r>
        <w:r w:rsidR="00DA2296" w:rsidRPr="00BF3275">
          <w:rPr>
            <w:rStyle w:val="Hyperlink"/>
            <w:rFonts w:hint="eastAsia"/>
            <w:sz w:val="20"/>
            <w:szCs w:val="20"/>
            <w:shd w:val="clear" w:color="auto" w:fill="FFFFFF"/>
            <w:lang w:eastAsia="zh-CN"/>
          </w:rPr>
          <w:t>6</w:t>
        </w:r>
      </w:hyperlink>
      <w:r w:rsidR="00DA2296" w:rsidRPr="00BF3275">
        <w:rPr>
          <w:color w:val="000000"/>
          <w:sz w:val="20"/>
          <w:szCs w:val="20"/>
          <w:shd w:val="clear" w:color="auto" w:fill="FFFFFF"/>
        </w:rPr>
        <w:t>.</w:t>
      </w:r>
    </w:p>
    <w:p w:rsidR="00DA2296" w:rsidRPr="00BF3275" w:rsidRDefault="00DA2296" w:rsidP="00DA2296">
      <w:pPr>
        <w:snapToGrid w:val="0"/>
        <w:jc w:val="both"/>
        <w:rPr>
          <w:b/>
          <w:bCs/>
          <w:sz w:val="20"/>
          <w:szCs w:val="20"/>
          <w:lang w:eastAsia="zh-CN"/>
        </w:rPr>
      </w:pPr>
    </w:p>
    <w:p w:rsidR="0033091A" w:rsidRPr="00BF3275" w:rsidRDefault="0033091A" w:rsidP="00DA2296">
      <w:pPr>
        <w:snapToGrid w:val="0"/>
        <w:jc w:val="both"/>
        <w:rPr>
          <w:sz w:val="20"/>
          <w:szCs w:val="20"/>
        </w:rPr>
      </w:pPr>
      <w:r w:rsidRPr="00BF3275">
        <w:rPr>
          <w:b/>
          <w:bCs/>
          <w:sz w:val="20"/>
          <w:szCs w:val="20"/>
        </w:rPr>
        <w:t>Keywords:</w:t>
      </w:r>
      <w:r w:rsidR="00CE7E42" w:rsidRPr="00BF3275">
        <w:rPr>
          <w:b/>
          <w:bCs/>
          <w:sz w:val="20"/>
          <w:szCs w:val="20"/>
        </w:rPr>
        <w:t xml:space="preserve"> </w:t>
      </w:r>
      <w:r w:rsidR="00CE7E42" w:rsidRPr="00BF3275">
        <w:rPr>
          <w:sz w:val="20"/>
          <w:szCs w:val="20"/>
        </w:rPr>
        <w:t>Ultrasound, Dense Breast</w:t>
      </w:r>
    </w:p>
    <w:p w:rsidR="00DB7A58" w:rsidRPr="00BF3275" w:rsidRDefault="00DB7A58" w:rsidP="00DA2296">
      <w:pPr>
        <w:snapToGrid w:val="0"/>
        <w:jc w:val="both"/>
        <w:rPr>
          <w:b/>
          <w:bCs/>
          <w:sz w:val="20"/>
          <w:szCs w:val="20"/>
        </w:rPr>
      </w:pPr>
    </w:p>
    <w:p w:rsidR="00DA2296" w:rsidRPr="00BF3275" w:rsidRDefault="00DA2296" w:rsidP="00DA2296">
      <w:pPr>
        <w:snapToGrid w:val="0"/>
        <w:jc w:val="both"/>
        <w:rPr>
          <w:b/>
          <w:bCs/>
          <w:sz w:val="20"/>
          <w:szCs w:val="20"/>
        </w:rPr>
        <w:sectPr w:rsidR="00DA2296" w:rsidRPr="00BF3275" w:rsidSect="00A8445F">
          <w:headerReference w:type="default" r:id="rId9"/>
          <w:footerReference w:type="even" r:id="rId10"/>
          <w:footerReference w:type="default" r:id="rId11"/>
          <w:type w:val="continuous"/>
          <w:pgSz w:w="12240" w:h="15840" w:code="9"/>
          <w:pgMar w:top="1440" w:right="1440" w:bottom="1440" w:left="1440" w:header="720" w:footer="720" w:gutter="0"/>
          <w:pgNumType w:start="41"/>
          <w:cols w:space="720"/>
          <w:docGrid w:linePitch="360" w:charSpace="4096"/>
        </w:sectPr>
      </w:pPr>
    </w:p>
    <w:p w:rsidR="0033091A" w:rsidRPr="00BF3275" w:rsidRDefault="00DB7A58" w:rsidP="00DA2296">
      <w:pPr>
        <w:snapToGrid w:val="0"/>
        <w:jc w:val="both"/>
        <w:rPr>
          <w:sz w:val="20"/>
          <w:szCs w:val="20"/>
        </w:rPr>
      </w:pPr>
      <w:r w:rsidRPr="00BF3275">
        <w:rPr>
          <w:b/>
          <w:bCs/>
          <w:sz w:val="20"/>
          <w:szCs w:val="20"/>
        </w:rPr>
        <w:lastRenderedPageBreak/>
        <w:t>1. Introduction</w:t>
      </w:r>
    </w:p>
    <w:p w:rsidR="0033091A" w:rsidRPr="00BF3275" w:rsidRDefault="0033091A" w:rsidP="00DA2296">
      <w:pPr>
        <w:snapToGrid w:val="0"/>
        <w:ind w:firstLine="425"/>
        <w:jc w:val="both"/>
        <w:rPr>
          <w:sz w:val="20"/>
          <w:szCs w:val="20"/>
        </w:rPr>
      </w:pPr>
      <w:r w:rsidRPr="00BF3275">
        <w:rPr>
          <w:sz w:val="20"/>
          <w:szCs w:val="20"/>
        </w:rPr>
        <w:t xml:space="preserve">Despite recent improvements in mammography equipment and technique, the radiographically dense breast remains difficult to image. The problems in imaging the dense breast account for a large percentage of the cases of mammographically “missed” carcinomas. Other imaging modalities-such as ultrasonography, transillumination, thermography, computed tomography, magnetic resonance imaging, and radionuclide imaging-have been investigated for use in breast cancer detection </w:t>
      </w:r>
      <w:r w:rsidRPr="00BF3275">
        <w:rPr>
          <w:b/>
          <w:bCs/>
          <w:i/>
          <w:iCs/>
          <w:sz w:val="20"/>
          <w:szCs w:val="20"/>
        </w:rPr>
        <w:t>(</w:t>
      </w:r>
      <w:r w:rsidR="002051F4" w:rsidRPr="00BF3275">
        <w:rPr>
          <w:b/>
          <w:bCs/>
          <w:i/>
          <w:iCs/>
          <w:sz w:val="20"/>
          <w:szCs w:val="20"/>
        </w:rPr>
        <w:t>Crystal et al., 2003</w:t>
      </w:r>
      <w:r w:rsidRPr="00BF3275">
        <w:rPr>
          <w:b/>
          <w:bCs/>
          <w:i/>
          <w:iCs/>
          <w:sz w:val="20"/>
          <w:szCs w:val="20"/>
        </w:rPr>
        <w:t>).</w:t>
      </w:r>
    </w:p>
    <w:p w:rsidR="0033091A" w:rsidRPr="00BF3275" w:rsidRDefault="0033091A" w:rsidP="00DA2296">
      <w:pPr>
        <w:snapToGrid w:val="0"/>
        <w:ind w:firstLine="425"/>
        <w:jc w:val="both"/>
        <w:rPr>
          <w:sz w:val="20"/>
          <w:szCs w:val="20"/>
        </w:rPr>
      </w:pPr>
      <w:r w:rsidRPr="00BF3275">
        <w:rPr>
          <w:sz w:val="20"/>
          <w:szCs w:val="20"/>
        </w:rPr>
        <w:t>Mammography is the only screening modality that has been proved to reduce breast cancer mortality</w:t>
      </w:r>
      <w:r w:rsidR="005F6E7D" w:rsidRPr="00BF3275">
        <w:rPr>
          <w:sz w:val="20"/>
          <w:szCs w:val="20"/>
        </w:rPr>
        <w:t xml:space="preserve">. </w:t>
      </w:r>
      <w:r w:rsidRPr="00BF3275">
        <w:rPr>
          <w:sz w:val="20"/>
          <w:szCs w:val="20"/>
        </w:rPr>
        <w:t xml:space="preserve">However, its ability to depict small non-calcified carcinomas varies greatly with breast tissue composition. While mammography detects up to 98% of carcinomas in fatty breasts, sensitivity declines </w:t>
      </w:r>
      <w:r w:rsidRPr="00BF3275">
        <w:rPr>
          <w:sz w:val="20"/>
          <w:szCs w:val="20"/>
        </w:rPr>
        <w:lastRenderedPageBreak/>
        <w:t xml:space="preserve">significantly with increasing breast density and may be as low as 30%–48% in extremely dense breasts </w:t>
      </w:r>
      <w:r w:rsidRPr="00BF3275">
        <w:rPr>
          <w:b/>
          <w:bCs/>
          <w:i/>
          <w:iCs/>
          <w:sz w:val="20"/>
          <w:szCs w:val="20"/>
        </w:rPr>
        <w:t xml:space="preserve">(Nelson </w:t>
      </w:r>
      <w:r w:rsidR="005F6E7D" w:rsidRPr="00BF3275">
        <w:rPr>
          <w:b/>
          <w:bCs/>
          <w:i/>
          <w:iCs/>
          <w:sz w:val="20"/>
          <w:szCs w:val="20"/>
        </w:rPr>
        <w:t xml:space="preserve">et al., </w:t>
      </w:r>
      <w:r w:rsidRPr="00BF3275">
        <w:rPr>
          <w:b/>
          <w:bCs/>
          <w:i/>
          <w:iCs/>
          <w:sz w:val="20"/>
          <w:szCs w:val="20"/>
        </w:rPr>
        <w:t>2009).</w:t>
      </w:r>
    </w:p>
    <w:p w:rsidR="0033091A" w:rsidRPr="00BF3275" w:rsidRDefault="0033091A" w:rsidP="00DA2296">
      <w:pPr>
        <w:snapToGrid w:val="0"/>
        <w:ind w:firstLine="425"/>
        <w:jc w:val="both"/>
        <w:rPr>
          <w:sz w:val="20"/>
          <w:szCs w:val="20"/>
        </w:rPr>
      </w:pPr>
      <w:r w:rsidRPr="00BF3275">
        <w:rPr>
          <w:sz w:val="20"/>
          <w:szCs w:val="20"/>
        </w:rPr>
        <w:t xml:space="preserve">Ultrasound is a promising adjunctive screening modality, because it is widely available, relatively inexpensive, and well tolerated by patients. In addition, suspicious breast lesions can be readily biopsied under ultrasound guidance </w:t>
      </w:r>
      <w:r w:rsidRPr="00BF3275">
        <w:rPr>
          <w:b/>
          <w:bCs/>
          <w:i/>
          <w:iCs/>
          <w:sz w:val="20"/>
          <w:szCs w:val="20"/>
        </w:rPr>
        <w:t xml:space="preserve">(Crystal </w:t>
      </w:r>
      <w:r w:rsidR="005F6E7D" w:rsidRPr="00BF3275">
        <w:rPr>
          <w:b/>
          <w:bCs/>
          <w:i/>
          <w:iCs/>
          <w:sz w:val="20"/>
          <w:szCs w:val="20"/>
        </w:rPr>
        <w:t xml:space="preserve">et al., </w:t>
      </w:r>
      <w:r w:rsidRPr="00BF3275">
        <w:rPr>
          <w:b/>
          <w:bCs/>
          <w:i/>
          <w:iCs/>
          <w:sz w:val="20"/>
          <w:szCs w:val="20"/>
        </w:rPr>
        <w:t>2003).</w:t>
      </w:r>
    </w:p>
    <w:p w:rsidR="0033091A" w:rsidRPr="00BF3275" w:rsidRDefault="0033091A" w:rsidP="00DA2296">
      <w:pPr>
        <w:snapToGrid w:val="0"/>
        <w:ind w:firstLine="425"/>
        <w:jc w:val="both"/>
        <w:rPr>
          <w:sz w:val="20"/>
          <w:szCs w:val="20"/>
        </w:rPr>
      </w:pPr>
      <w:r w:rsidRPr="00BF3275">
        <w:rPr>
          <w:sz w:val="20"/>
          <w:szCs w:val="20"/>
        </w:rPr>
        <w:t xml:space="preserve">Multiple studies demonstrate that supplemental screening breast US generates an incremental cancer detection rate of 2.3–4.6 cancers per 1000 women screened </w:t>
      </w:r>
      <w:r w:rsidRPr="00BF3275">
        <w:rPr>
          <w:b/>
          <w:bCs/>
          <w:i/>
          <w:iCs/>
          <w:sz w:val="20"/>
          <w:szCs w:val="20"/>
        </w:rPr>
        <w:t xml:space="preserve">(Kaplan </w:t>
      </w:r>
      <w:r w:rsidR="005F6E7D" w:rsidRPr="00BF3275">
        <w:rPr>
          <w:b/>
          <w:bCs/>
          <w:i/>
          <w:iCs/>
          <w:sz w:val="20"/>
          <w:szCs w:val="20"/>
        </w:rPr>
        <w:t xml:space="preserve">et al., </w:t>
      </w:r>
      <w:r w:rsidRPr="00BF3275">
        <w:rPr>
          <w:b/>
          <w:bCs/>
          <w:i/>
          <w:iCs/>
          <w:sz w:val="20"/>
          <w:szCs w:val="20"/>
        </w:rPr>
        <w:t>2001).</w:t>
      </w:r>
    </w:p>
    <w:p w:rsidR="00A8445F" w:rsidRPr="00BF3275" w:rsidRDefault="0033091A" w:rsidP="00DA2296">
      <w:pPr>
        <w:snapToGrid w:val="0"/>
        <w:ind w:firstLine="425"/>
        <w:jc w:val="both"/>
        <w:rPr>
          <w:sz w:val="20"/>
          <w:szCs w:val="20"/>
        </w:rPr>
        <w:sectPr w:rsidR="00A8445F" w:rsidRPr="00BF3275" w:rsidSect="00DA2296">
          <w:type w:val="continuous"/>
          <w:pgSz w:w="12240" w:h="15840" w:code="9"/>
          <w:pgMar w:top="1440" w:right="1440" w:bottom="1440" w:left="1440" w:header="720" w:footer="720" w:gutter="0"/>
          <w:cols w:num="2" w:space="600"/>
          <w:docGrid w:linePitch="360" w:charSpace="4096"/>
        </w:sectPr>
      </w:pPr>
      <w:r w:rsidRPr="00BF3275">
        <w:rPr>
          <w:sz w:val="20"/>
          <w:szCs w:val="20"/>
        </w:rPr>
        <w:t xml:space="preserve">However, screening breast US is limited by low specificity and low positive predictive values (PPVs) compared with those of screening mammography. Because there is no direct proved mortality benefit </w:t>
      </w:r>
    </w:p>
    <w:p w:rsidR="0033091A" w:rsidRPr="00BF3275" w:rsidRDefault="0033091A" w:rsidP="00A8445F">
      <w:pPr>
        <w:snapToGrid w:val="0"/>
        <w:jc w:val="both"/>
        <w:rPr>
          <w:sz w:val="20"/>
          <w:szCs w:val="20"/>
        </w:rPr>
      </w:pPr>
      <w:r w:rsidRPr="00BF3275">
        <w:rPr>
          <w:sz w:val="20"/>
          <w:szCs w:val="20"/>
        </w:rPr>
        <w:lastRenderedPageBreak/>
        <w:t xml:space="preserve">from screening breast US, it is also controversial </w:t>
      </w:r>
      <w:r w:rsidRPr="00BF3275">
        <w:rPr>
          <w:b/>
          <w:bCs/>
          <w:i/>
          <w:iCs/>
          <w:sz w:val="20"/>
          <w:szCs w:val="20"/>
        </w:rPr>
        <w:t xml:space="preserve">(Kopans </w:t>
      </w:r>
      <w:r w:rsidR="005F6E7D" w:rsidRPr="00BF3275">
        <w:rPr>
          <w:b/>
          <w:bCs/>
          <w:i/>
          <w:iCs/>
          <w:sz w:val="20"/>
          <w:szCs w:val="20"/>
        </w:rPr>
        <w:t xml:space="preserve">et al., </w:t>
      </w:r>
      <w:r w:rsidRPr="00BF3275">
        <w:rPr>
          <w:b/>
          <w:bCs/>
          <w:i/>
          <w:iCs/>
          <w:sz w:val="20"/>
          <w:szCs w:val="20"/>
        </w:rPr>
        <w:t>2004).</w:t>
      </w:r>
    </w:p>
    <w:p w:rsidR="0033091A" w:rsidRPr="00BF3275" w:rsidRDefault="0033091A" w:rsidP="00DA2296">
      <w:pPr>
        <w:snapToGrid w:val="0"/>
        <w:ind w:firstLine="425"/>
        <w:jc w:val="both"/>
        <w:rPr>
          <w:sz w:val="20"/>
          <w:szCs w:val="20"/>
        </w:rPr>
      </w:pPr>
      <w:r w:rsidRPr="00BF3275">
        <w:rPr>
          <w:sz w:val="20"/>
          <w:szCs w:val="20"/>
        </w:rPr>
        <w:t xml:space="preserve">Women with dense breast tissue have up to a six fold greater risk of interval cancer and an overall worse prognosis for subsequent cancers detected clinically. In addition, the risk of developing cancer is four to six times higher in women with dense breast tissue compared with the risk in women without dense breast tissue </w:t>
      </w:r>
      <w:r w:rsidRPr="00BF3275">
        <w:rPr>
          <w:b/>
          <w:bCs/>
          <w:i/>
          <w:iCs/>
          <w:sz w:val="20"/>
          <w:szCs w:val="20"/>
        </w:rPr>
        <w:t>(Harvey and Bovbjerg,</w:t>
      </w:r>
      <w:r w:rsidR="00540263" w:rsidRPr="00BF3275">
        <w:rPr>
          <w:b/>
          <w:bCs/>
          <w:i/>
          <w:iCs/>
          <w:sz w:val="20"/>
          <w:szCs w:val="20"/>
        </w:rPr>
        <w:t xml:space="preserve"> </w:t>
      </w:r>
      <w:r w:rsidRPr="00BF3275">
        <w:rPr>
          <w:b/>
          <w:bCs/>
          <w:i/>
          <w:iCs/>
          <w:sz w:val="20"/>
          <w:szCs w:val="20"/>
        </w:rPr>
        <w:t>2004).</w:t>
      </w:r>
    </w:p>
    <w:p w:rsidR="0033091A" w:rsidRPr="00BF3275" w:rsidRDefault="00DB7A58" w:rsidP="00DA2296">
      <w:pPr>
        <w:snapToGrid w:val="0"/>
        <w:jc w:val="both"/>
        <w:rPr>
          <w:b/>
          <w:bCs/>
          <w:sz w:val="20"/>
          <w:szCs w:val="20"/>
        </w:rPr>
      </w:pPr>
      <w:r w:rsidRPr="00BF3275">
        <w:rPr>
          <w:b/>
          <w:bCs/>
          <w:sz w:val="20"/>
          <w:szCs w:val="20"/>
        </w:rPr>
        <w:t>Aim of the Work</w:t>
      </w:r>
    </w:p>
    <w:p w:rsidR="0033091A" w:rsidRPr="00BF3275" w:rsidRDefault="0033091A" w:rsidP="00DA2296">
      <w:pPr>
        <w:snapToGrid w:val="0"/>
        <w:ind w:firstLine="425"/>
        <w:jc w:val="both"/>
        <w:rPr>
          <w:sz w:val="20"/>
          <w:szCs w:val="20"/>
        </w:rPr>
      </w:pPr>
      <w:r w:rsidRPr="00BF3275">
        <w:rPr>
          <w:sz w:val="20"/>
          <w:szCs w:val="20"/>
        </w:rPr>
        <w:t>The role of ultrasound in screening of dense breast in Al-zahraa university hospital.</w:t>
      </w:r>
      <w:r w:rsidR="00672552" w:rsidRPr="00BF3275">
        <w:rPr>
          <w:sz w:val="20"/>
          <w:szCs w:val="20"/>
        </w:rPr>
        <w:t xml:space="preserve"> This study aims to evaluate the role of ultrasound in screening of dense breast and detection of any breast lesion and classification according breast imaging, reporting and data system [BI-RADS] and pathology diagnosis after biopsy as the reference study.</w:t>
      </w:r>
    </w:p>
    <w:p w:rsidR="00DB7A58" w:rsidRPr="00BF3275" w:rsidRDefault="00DB7A58" w:rsidP="00DA2296">
      <w:pPr>
        <w:snapToGrid w:val="0"/>
        <w:jc w:val="both"/>
        <w:rPr>
          <w:b/>
          <w:bCs/>
          <w:sz w:val="20"/>
          <w:szCs w:val="20"/>
        </w:rPr>
      </w:pPr>
    </w:p>
    <w:p w:rsidR="0033091A" w:rsidRPr="00BF3275" w:rsidRDefault="00DB7A58" w:rsidP="00DA2296">
      <w:pPr>
        <w:snapToGrid w:val="0"/>
        <w:jc w:val="both"/>
        <w:rPr>
          <w:sz w:val="20"/>
          <w:szCs w:val="20"/>
        </w:rPr>
      </w:pPr>
      <w:r w:rsidRPr="00BF3275">
        <w:rPr>
          <w:b/>
          <w:bCs/>
          <w:sz w:val="20"/>
          <w:szCs w:val="20"/>
        </w:rPr>
        <w:t>2. Patients and Methods</w:t>
      </w:r>
    </w:p>
    <w:p w:rsidR="00F1353C" w:rsidRPr="00BF3275" w:rsidRDefault="00F1353C" w:rsidP="00DA2296">
      <w:pPr>
        <w:snapToGrid w:val="0"/>
        <w:ind w:firstLine="425"/>
        <w:jc w:val="both"/>
        <w:rPr>
          <w:sz w:val="20"/>
          <w:szCs w:val="20"/>
          <w:lang w:bidi="en-US"/>
        </w:rPr>
      </w:pPr>
      <w:r w:rsidRPr="00BF3275">
        <w:rPr>
          <w:sz w:val="20"/>
          <w:szCs w:val="20"/>
          <w:lang w:bidi="en-US"/>
        </w:rPr>
        <w:t>This is prospective study involved 50</w:t>
      </w:r>
      <w:r w:rsidR="005F6E7D" w:rsidRPr="00BF3275">
        <w:rPr>
          <w:sz w:val="20"/>
          <w:szCs w:val="20"/>
          <w:lang w:bidi="en-US"/>
        </w:rPr>
        <w:t xml:space="preserve"> </w:t>
      </w:r>
      <w:r w:rsidRPr="00BF3275">
        <w:rPr>
          <w:sz w:val="20"/>
          <w:szCs w:val="20"/>
          <w:lang w:bidi="en-US"/>
        </w:rPr>
        <w:t>asymptomatic</w:t>
      </w:r>
      <w:r w:rsidR="005F6E7D" w:rsidRPr="00BF3275">
        <w:rPr>
          <w:sz w:val="20"/>
          <w:szCs w:val="20"/>
          <w:lang w:bidi="en-US"/>
        </w:rPr>
        <w:t xml:space="preserve"> </w:t>
      </w:r>
      <w:r w:rsidRPr="00BF3275">
        <w:rPr>
          <w:sz w:val="20"/>
          <w:szCs w:val="20"/>
          <w:lang w:bidi="en-US"/>
        </w:rPr>
        <w:t>females</w:t>
      </w:r>
      <w:r w:rsidR="005F6E7D" w:rsidRPr="00BF3275">
        <w:rPr>
          <w:sz w:val="20"/>
          <w:szCs w:val="20"/>
          <w:lang w:bidi="en-US"/>
        </w:rPr>
        <w:t xml:space="preserve"> </w:t>
      </w:r>
      <w:r w:rsidRPr="00BF3275">
        <w:rPr>
          <w:sz w:val="20"/>
          <w:szCs w:val="20"/>
          <w:lang w:bidi="en-US"/>
        </w:rPr>
        <w:t>their age range from 40 to 70 years</w:t>
      </w:r>
      <w:r w:rsidR="005F6E7D" w:rsidRPr="00BF3275">
        <w:rPr>
          <w:sz w:val="20"/>
          <w:szCs w:val="20"/>
          <w:lang w:bidi="en-US"/>
        </w:rPr>
        <w:t xml:space="preserve">. </w:t>
      </w:r>
      <w:r w:rsidR="000A6012" w:rsidRPr="00BF3275">
        <w:rPr>
          <w:sz w:val="20"/>
          <w:szCs w:val="20"/>
          <w:lang w:bidi="en-US"/>
        </w:rPr>
        <w:t>T</w:t>
      </w:r>
      <w:r w:rsidRPr="00BF3275">
        <w:rPr>
          <w:sz w:val="20"/>
          <w:szCs w:val="20"/>
          <w:lang w:bidi="en-US"/>
        </w:rPr>
        <w:t>hese females are carefully selected from a lot number of females who subjected to screening mammography</w:t>
      </w:r>
      <w:r w:rsidR="005F6E7D" w:rsidRPr="00BF3275">
        <w:rPr>
          <w:sz w:val="20"/>
          <w:szCs w:val="20"/>
          <w:lang w:bidi="en-US"/>
        </w:rPr>
        <w:t xml:space="preserve">. </w:t>
      </w:r>
      <w:r w:rsidR="000A6012" w:rsidRPr="00BF3275">
        <w:rPr>
          <w:sz w:val="20"/>
          <w:szCs w:val="20"/>
          <w:lang w:bidi="en-US"/>
        </w:rPr>
        <w:t>T</w:t>
      </w:r>
      <w:r w:rsidRPr="00BF3275">
        <w:rPr>
          <w:sz w:val="20"/>
          <w:szCs w:val="20"/>
          <w:lang w:bidi="en-US"/>
        </w:rPr>
        <w:t xml:space="preserve">hese 50 females with mammographically dense breast undergo additional screening by ultrasonography. To assess </w:t>
      </w:r>
      <w:r w:rsidR="000A6012" w:rsidRPr="00BF3275">
        <w:rPr>
          <w:sz w:val="20"/>
          <w:szCs w:val="20"/>
          <w:lang w:bidi="en-US"/>
        </w:rPr>
        <w:t>t</w:t>
      </w:r>
      <w:r w:rsidRPr="00BF3275">
        <w:rPr>
          <w:sz w:val="20"/>
          <w:szCs w:val="20"/>
          <w:lang w:bidi="en-US"/>
        </w:rPr>
        <w:t>he role of ultrasound</w:t>
      </w:r>
      <w:r w:rsidR="005F6E7D" w:rsidRPr="00BF3275">
        <w:rPr>
          <w:sz w:val="20"/>
          <w:szCs w:val="20"/>
          <w:lang w:bidi="en-US"/>
        </w:rPr>
        <w:t xml:space="preserve"> </w:t>
      </w:r>
      <w:r w:rsidRPr="00BF3275">
        <w:rPr>
          <w:sz w:val="20"/>
          <w:szCs w:val="20"/>
          <w:lang w:bidi="en-US"/>
        </w:rPr>
        <w:t>in</w:t>
      </w:r>
      <w:r w:rsidR="005F6E7D" w:rsidRPr="00BF3275">
        <w:rPr>
          <w:sz w:val="20"/>
          <w:szCs w:val="20"/>
          <w:lang w:bidi="en-US"/>
        </w:rPr>
        <w:t xml:space="preserve"> </w:t>
      </w:r>
      <w:r w:rsidRPr="00BF3275">
        <w:rPr>
          <w:sz w:val="20"/>
          <w:szCs w:val="20"/>
          <w:lang w:bidi="en-US"/>
        </w:rPr>
        <w:t>screening</w:t>
      </w:r>
      <w:r w:rsidR="005F6E7D" w:rsidRPr="00BF3275">
        <w:rPr>
          <w:sz w:val="20"/>
          <w:szCs w:val="20"/>
          <w:lang w:bidi="en-US"/>
        </w:rPr>
        <w:t xml:space="preserve"> </w:t>
      </w:r>
      <w:r w:rsidRPr="00BF3275">
        <w:rPr>
          <w:sz w:val="20"/>
          <w:szCs w:val="20"/>
          <w:lang w:bidi="en-US"/>
        </w:rPr>
        <w:t>of female with mamoghraphiclly dense breast at radiology department of Al- zahraa university hospital. The present study started at January 2019 till August 2019</w:t>
      </w:r>
      <w:r w:rsidR="005F6E7D" w:rsidRPr="00BF3275">
        <w:rPr>
          <w:sz w:val="20"/>
          <w:szCs w:val="20"/>
          <w:lang w:bidi="en-US"/>
        </w:rPr>
        <w:t xml:space="preserve">. </w:t>
      </w:r>
    </w:p>
    <w:p w:rsidR="00F1353C" w:rsidRPr="00BF3275" w:rsidRDefault="00F1353C" w:rsidP="00DA2296">
      <w:pPr>
        <w:snapToGrid w:val="0"/>
        <w:jc w:val="both"/>
        <w:rPr>
          <w:b/>
          <w:bCs/>
          <w:sz w:val="20"/>
          <w:szCs w:val="20"/>
          <w:lang w:bidi="en-US"/>
        </w:rPr>
      </w:pPr>
      <w:r w:rsidRPr="00BF3275">
        <w:rPr>
          <w:b/>
          <w:bCs/>
          <w:sz w:val="20"/>
          <w:szCs w:val="20"/>
          <w:lang w:bidi="en-US"/>
        </w:rPr>
        <w:t>Inclusion criteria:</w:t>
      </w:r>
    </w:p>
    <w:p w:rsidR="00F1353C" w:rsidRPr="00BF3275" w:rsidRDefault="00F1353C" w:rsidP="00DA2296">
      <w:pPr>
        <w:snapToGrid w:val="0"/>
        <w:ind w:firstLine="425"/>
        <w:jc w:val="both"/>
        <w:rPr>
          <w:sz w:val="20"/>
          <w:szCs w:val="20"/>
          <w:lang w:bidi="en-US"/>
        </w:rPr>
      </w:pPr>
      <w:r w:rsidRPr="00BF3275">
        <w:rPr>
          <w:sz w:val="20"/>
          <w:szCs w:val="20"/>
          <w:lang w:bidi="en-US"/>
        </w:rPr>
        <w:t>All patients included in this study had the following criteria:</w:t>
      </w:r>
    </w:p>
    <w:p w:rsidR="00F1353C" w:rsidRPr="00BF3275" w:rsidRDefault="00F1353C" w:rsidP="00DA2296">
      <w:pPr>
        <w:numPr>
          <w:ilvl w:val="0"/>
          <w:numId w:val="4"/>
        </w:numPr>
        <w:snapToGrid w:val="0"/>
        <w:ind w:left="0" w:firstLine="425"/>
        <w:jc w:val="both"/>
        <w:rPr>
          <w:sz w:val="20"/>
          <w:szCs w:val="20"/>
          <w:lang w:bidi="en-US"/>
        </w:rPr>
      </w:pPr>
      <w:r w:rsidRPr="00BF3275">
        <w:rPr>
          <w:sz w:val="20"/>
          <w:szCs w:val="20"/>
          <w:lang w:bidi="en-US"/>
        </w:rPr>
        <w:t>Females</w:t>
      </w:r>
    </w:p>
    <w:p w:rsidR="00F1353C" w:rsidRPr="00BF3275" w:rsidRDefault="00F1353C" w:rsidP="00DA2296">
      <w:pPr>
        <w:numPr>
          <w:ilvl w:val="0"/>
          <w:numId w:val="4"/>
        </w:numPr>
        <w:snapToGrid w:val="0"/>
        <w:ind w:left="0" w:firstLine="425"/>
        <w:jc w:val="both"/>
        <w:rPr>
          <w:sz w:val="20"/>
          <w:szCs w:val="20"/>
          <w:lang w:bidi="en-US"/>
        </w:rPr>
      </w:pPr>
      <w:r w:rsidRPr="00BF3275">
        <w:rPr>
          <w:sz w:val="20"/>
          <w:szCs w:val="20"/>
          <w:lang w:bidi="en-US"/>
        </w:rPr>
        <w:t>Age (40--70) years old</w:t>
      </w:r>
    </w:p>
    <w:p w:rsidR="00F1353C" w:rsidRPr="00BF3275" w:rsidRDefault="00F1353C" w:rsidP="00DA2296">
      <w:pPr>
        <w:snapToGrid w:val="0"/>
        <w:jc w:val="both"/>
        <w:rPr>
          <w:b/>
          <w:sz w:val="20"/>
          <w:szCs w:val="20"/>
          <w:lang w:bidi="en-US"/>
        </w:rPr>
      </w:pPr>
      <w:r w:rsidRPr="00BF3275">
        <w:rPr>
          <w:b/>
          <w:sz w:val="20"/>
          <w:szCs w:val="20"/>
          <w:lang w:bidi="en-US"/>
        </w:rPr>
        <w:t>Exclusion criteria:</w:t>
      </w:r>
    </w:p>
    <w:p w:rsidR="00F1353C" w:rsidRPr="00BF3275" w:rsidRDefault="00F1353C" w:rsidP="00DA2296">
      <w:pPr>
        <w:numPr>
          <w:ilvl w:val="0"/>
          <w:numId w:val="4"/>
        </w:numPr>
        <w:snapToGrid w:val="0"/>
        <w:ind w:left="0" w:firstLine="425"/>
        <w:jc w:val="both"/>
        <w:rPr>
          <w:sz w:val="20"/>
          <w:szCs w:val="20"/>
          <w:lang w:bidi="en-US"/>
        </w:rPr>
      </w:pPr>
      <w:r w:rsidRPr="00BF3275">
        <w:rPr>
          <w:sz w:val="20"/>
          <w:szCs w:val="20"/>
          <w:lang w:bidi="en-US"/>
        </w:rPr>
        <w:t>Age below 40 years old.</w:t>
      </w:r>
    </w:p>
    <w:p w:rsidR="00F1353C" w:rsidRPr="00BF3275" w:rsidRDefault="000A6012" w:rsidP="00DA2296">
      <w:pPr>
        <w:numPr>
          <w:ilvl w:val="0"/>
          <w:numId w:val="4"/>
        </w:numPr>
        <w:snapToGrid w:val="0"/>
        <w:ind w:left="0" w:firstLine="425"/>
        <w:jc w:val="both"/>
        <w:rPr>
          <w:sz w:val="20"/>
          <w:szCs w:val="20"/>
          <w:lang w:bidi="en-US"/>
        </w:rPr>
      </w:pPr>
      <w:r w:rsidRPr="00BF3275">
        <w:rPr>
          <w:sz w:val="20"/>
          <w:szCs w:val="20"/>
          <w:lang w:bidi="en-US"/>
        </w:rPr>
        <w:t>P</w:t>
      </w:r>
      <w:r w:rsidR="00F1353C" w:rsidRPr="00BF3275">
        <w:rPr>
          <w:sz w:val="20"/>
          <w:szCs w:val="20"/>
          <w:lang w:bidi="en-US"/>
        </w:rPr>
        <w:t>regnant.</w:t>
      </w:r>
    </w:p>
    <w:p w:rsidR="00C17030" w:rsidRPr="00BF3275" w:rsidRDefault="00F1353C" w:rsidP="00DA2296">
      <w:pPr>
        <w:numPr>
          <w:ilvl w:val="0"/>
          <w:numId w:val="4"/>
        </w:numPr>
        <w:snapToGrid w:val="0"/>
        <w:ind w:left="0" w:firstLine="425"/>
        <w:jc w:val="both"/>
        <w:rPr>
          <w:sz w:val="20"/>
          <w:szCs w:val="20"/>
          <w:lang w:bidi="en-US"/>
        </w:rPr>
      </w:pPr>
      <w:r w:rsidRPr="00BF3275">
        <w:rPr>
          <w:sz w:val="20"/>
          <w:szCs w:val="20"/>
          <w:lang w:bidi="en-US"/>
        </w:rPr>
        <w:t>Males.</w:t>
      </w:r>
    </w:p>
    <w:p w:rsidR="00F1353C" w:rsidRPr="00BF3275" w:rsidRDefault="00F1353C" w:rsidP="00DA2296">
      <w:pPr>
        <w:snapToGrid w:val="0"/>
        <w:jc w:val="both"/>
        <w:rPr>
          <w:b/>
          <w:bCs/>
          <w:sz w:val="20"/>
          <w:szCs w:val="20"/>
          <w:lang w:bidi="en-US"/>
        </w:rPr>
      </w:pPr>
      <w:r w:rsidRPr="00BF3275">
        <w:rPr>
          <w:b/>
          <w:bCs/>
          <w:sz w:val="20"/>
          <w:szCs w:val="20"/>
          <w:lang w:bidi="en-US"/>
        </w:rPr>
        <w:t>Patient assessment:</w:t>
      </w:r>
    </w:p>
    <w:p w:rsidR="00F1353C" w:rsidRPr="00BF3275" w:rsidRDefault="00F1353C" w:rsidP="00DA2296">
      <w:pPr>
        <w:snapToGrid w:val="0"/>
        <w:ind w:firstLine="425"/>
        <w:jc w:val="both"/>
        <w:rPr>
          <w:sz w:val="20"/>
          <w:szCs w:val="20"/>
          <w:lang w:bidi="en-US"/>
        </w:rPr>
      </w:pPr>
      <w:r w:rsidRPr="00BF3275">
        <w:rPr>
          <w:sz w:val="20"/>
          <w:szCs w:val="20"/>
          <w:lang w:bidi="en-US"/>
        </w:rPr>
        <w:t>Assessment composed of</w:t>
      </w:r>
      <w:r w:rsidR="005F6E7D" w:rsidRPr="00BF3275">
        <w:rPr>
          <w:sz w:val="20"/>
          <w:szCs w:val="20"/>
          <w:lang w:bidi="en-US"/>
        </w:rPr>
        <w:t xml:space="preserve">; </w:t>
      </w:r>
    </w:p>
    <w:p w:rsidR="00F1353C" w:rsidRPr="00BF3275" w:rsidRDefault="00F1353C" w:rsidP="00DA2296">
      <w:pPr>
        <w:numPr>
          <w:ilvl w:val="0"/>
          <w:numId w:val="3"/>
        </w:numPr>
        <w:snapToGrid w:val="0"/>
        <w:ind w:left="0" w:firstLine="425"/>
        <w:jc w:val="both"/>
        <w:rPr>
          <w:sz w:val="20"/>
          <w:szCs w:val="20"/>
          <w:lang w:bidi="en-US"/>
        </w:rPr>
      </w:pPr>
      <w:r w:rsidRPr="00BF3275">
        <w:rPr>
          <w:sz w:val="20"/>
          <w:szCs w:val="20"/>
          <w:lang w:bidi="en-US"/>
        </w:rPr>
        <w:t>Full history and clinical data</w:t>
      </w:r>
      <w:r w:rsidR="005F6E7D" w:rsidRPr="00BF3275">
        <w:rPr>
          <w:sz w:val="20"/>
          <w:szCs w:val="20"/>
          <w:lang w:bidi="en-US"/>
        </w:rPr>
        <w:t xml:space="preserve">; </w:t>
      </w:r>
      <w:r w:rsidRPr="00BF3275">
        <w:rPr>
          <w:sz w:val="20"/>
          <w:szCs w:val="20"/>
          <w:lang w:bidi="en-US"/>
        </w:rPr>
        <w:t>proper and full history from the patient taken including age, age of last child, date of last period and it is regularity (if still menstruating), complaint</w:t>
      </w:r>
      <w:r w:rsidR="005F6E7D" w:rsidRPr="00BF3275">
        <w:rPr>
          <w:sz w:val="20"/>
          <w:szCs w:val="20"/>
          <w:lang w:bidi="en-US"/>
        </w:rPr>
        <w:t xml:space="preserve">, </w:t>
      </w:r>
      <w:r w:rsidRPr="00BF3275">
        <w:rPr>
          <w:sz w:val="20"/>
          <w:szCs w:val="20"/>
          <w:lang w:bidi="en-US"/>
        </w:rPr>
        <w:t>positive family history, past history of (presence of hormonal replacement etc)</w:t>
      </w:r>
    </w:p>
    <w:p w:rsidR="00F1353C" w:rsidRPr="00BF3275" w:rsidRDefault="00F1353C" w:rsidP="00DA2296">
      <w:pPr>
        <w:numPr>
          <w:ilvl w:val="0"/>
          <w:numId w:val="3"/>
        </w:numPr>
        <w:snapToGrid w:val="0"/>
        <w:ind w:left="0" w:firstLine="425"/>
        <w:jc w:val="both"/>
        <w:rPr>
          <w:sz w:val="20"/>
          <w:szCs w:val="20"/>
          <w:lang w:bidi="en-US"/>
        </w:rPr>
      </w:pPr>
      <w:r w:rsidRPr="00BF3275">
        <w:rPr>
          <w:sz w:val="20"/>
          <w:szCs w:val="20"/>
          <w:lang w:bidi="en-US"/>
        </w:rPr>
        <w:t>Explanation of the procedure to the patient and her consent,</w:t>
      </w:r>
    </w:p>
    <w:p w:rsidR="00F1353C" w:rsidRPr="00BF3275" w:rsidRDefault="00F1353C" w:rsidP="00DA2296">
      <w:pPr>
        <w:numPr>
          <w:ilvl w:val="0"/>
          <w:numId w:val="3"/>
        </w:numPr>
        <w:snapToGrid w:val="0"/>
        <w:ind w:left="0" w:firstLine="425"/>
        <w:jc w:val="both"/>
        <w:rPr>
          <w:b/>
          <w:sz w:val="20"/>
          <w:szCs w:val="20"/>
          <w:lang w:bidi="en-US"/>
        </w:rPr>
      </w:pPr>
      <w:r w:rsidRPr="00BF3275">
        <w:rPr>
          <w:sz w:val="20"/>
          <w:szCs w:val="20"/>
          <w:lang w:bidi="en-US"/>
        </w:rPr>
        <w:t>Ask the patient to exposed the examined area including both breast and axilla.</w:t>
      </w:r>
    </w:p>
    <w:p w:rsidR="00DE2288" w:rsidRPr="00BF3275" w:rsidRDefault="00F1353C" w:rsidP="00DA2296">
      <w:pPr>
        <w:snapToGrid w:val="0"/>
        <w:ind w:firstLine="425"/>
        <w:jc w:val="both"/>
        <w:rPr>
          <w:sz w:val="20"/>
          <w:szCs w:val="20"/>
          <w:lang w:bidi="en-US"/>
        </w:rPr>
      </w:pPr>
      <w:r w:rsidRPr="00BF3275">
        <w:rPr>
          <w:b/>
          <w:sz w:val="20"/>
          <w:szCs w:val="20"/>
          <w:lang w:bidi="en-US"/>
        </w:rPr>
        <w:t>Actual exam</w:t>
      </w:r>
      <w:r w:rsidRPr="00BF3275">
        <w:rPr>
          <w:sz w:val="20"/>
          <w:szCs w:val="20"/>
          <w:lang w:bidi="en-US"/>
        </w:rPr>
        <w:t>: two examination were don</w:t>
      </w:r>
      <w:r w:rsidR="00DE2288" w:rsidRPr="00BF3275">
        <w:rPr>
          <w:sz w:val="20"/>
          <w:szCs w:val="20"/>
          <w:lang w:bidi="en-US"/>
        </w:rPr>
        <w:t>e.</w:t>
      </w:r>
    </w:p>
    <w:p w:rsidR="00F1353C" w:rsidRPr="00BF3275" w:rsidRDefault="00F1353C" w:rsidP="00DA2296">
      <w:pPr>
        <w:snapToGrid w:val="0"/>
        <w:ind w:firstLine="425"/>
        <w:jc w:val="both"/>
        <w:rPr>
          <w:sz w:val="20"/>
          <w:szCs w:val="20"/>
          <w:lang w:bidi="en-US"/>
        </w:rPr>
      </w:pPr>
      <w:r w:rsidRPr="00BF3275">
        <w:rPr>
          <w:b/>
          <w:sz w:val="20"/>
          <w:szCs w:val="20"/>
          <w:lang w:bidi="en-US"/>
        </w:rPr>
        <w:t>A-Mammography</w:t>
      </w:r>
      <w:r w:rsidR="005F6E7D" w:rsidRPr="00BF3275">
        <w:rPr>
          <w:b/>
          <w:sz w:val="20"/>
          <w:szCs w:val="20"/>
          <w:lang w:bidi="en-US"/>
        </w:rPr>
        <w:t xml:space="preserve">; </w:t>
      </w:r>
      <w:r w:rsidRPr="00BF3275">
        <w:rPr>
          <w:sz w:val="20"/>
          <w:szCs w:val="20"/>
          <w:lang w:bidi="en-US"/>
        </w:rPr>
        <w:t>was done for:</w:t>
      </w:r>
    </w:p>
    <w:p w:rsidR="00F1353C" w:rsidRPr="00BF3275" w:rsidRDefault="000A6012" w:rsidP="00DA2296">
      <w:pPr>
        <w:numPr>
          <w:ilvl w:val="0"/>
          <w:numId w:val="7"/>
        </w:numPr>
        <w:tabs>
          <w:tab w:val="clear" w:pos="1440"/>
          <w:tab w:val="num" w:pos="360"/>
        </w:tabs>
        <w:snapToGrid w:val="0"/>
        <w:ind w:left="0" w:firstLine="425"/>
        <w:jc w:val="both"/>
        <w:rPr>
          <w:sz w:val="20"/>
          <w:szCs w:val="20"/>
          <w:lang w:bidi="en-US"/>
        </w:rPr>
      </w:pPr>
      <w:r w:rsidRPr="00BF3275">
        <w:rPr>
          <w:sz w:val="20"/>
          <w:szCs w:val="20"/>
          <w:lang w:bidi="en-US"/>
        </w:rPr>
        <w:t>E</w:t>
      </w:r>
      <w:r w:rsidR="00F1353C" w:rsidRPr="00BF3275">
        <w:rPr>
          <w:sz w:val="20"/>
          <w:szCs w:val="20"/>
          <w:lang w:bidi="en-US"/>
        </w:rPr>
        <w:t>valuation of breast density and grading according to ACR-BIRADS (A</w:t>
      </w:r>
      <w:r w:rsidR="00DE2288" w:rsidRPr="00BF3275">
        <w:rPr>
          <w:sz w:val="20"/>
          <w:szCs w:val="20"/>
          <w:lang w:bidi="en-US"/>
        </w:rPr>
        <w:t>, B, C</w:t>
      </w:r>
      <w:r w:rsidR="00F1353C" w:rsidRPr="00BF3275">
        <w:rPr>
          <w:sz w:val="20"/>
          <w:szCs w:val="20"/>
          <w:lang w:bidi="en-US"/>
        </w:rPr>
        <w:t xml:space="preserve"> and D</w:t>
      </w:r>
      <w:r w:rsidR="00DE2288" w:rsidRPr="00BF3275">
        <w:rPr>
          <w:sz w:val="20"/>
          <w:szCs w:val="20"/>
          <w:lang w:bidi="en-US"/>
        </w:rPr>
        <w:t>) a</w:t>
      </w:r>
      <w:r w:rsidR="00F1353C" w:rsidRPr="00BF3275">
        <w:rPr>
          <w:sz w:val="20"/>
          <w:szCs w:val="20"/>
          <w:lang w:bidi="en-US"/>
        </w:rPr>
        <w:t>nd only female with ACR_C and D included at this study and subjected to additional screening ultrasound.</w:t>
      </w:r>
    </w:p>
    <w:p w:rsidR="00F1353C" w:rsidRPr="00BF3275" w:rsidRDefault="000A6012" w:rsidP="00DA2296">
      <w:pPr>
        <w:numPr>
          <w:ilvl w:val="0"/>
          <w:numId w:val="7"/>
        </w:numPr>
        <w:tabs>
          <w:tab w:val="clear" w:pos="1440"/>
          <w:tab w:val="num" w:pos="360"/>
        </w:tabs>
        <w:snapToGrid w:val="0"/>
        <w:ind w:left="0" w:firstLine="425"/>
        <w:jc w:val="both"/>
        <w:rPr>
          <w:sz w:val="20"/>
          <w:szCs w:val="20"/>
          <w:lang w:bidi="en-US"/>
        </w:rPr>
      </w:pPr>
      <w:r w:rsidRPr="00BF3275">
        <w:rPr>
          <w:sz w:val="20"/>
          <w:szCs w:val="20"/>
          <w:lang w:bidi="en-US"/>
        </w:rPr>
        <w:lastRenderedPageBreak/>
        <w:t>D</w:t>
      </w:r>
      <w:r w:rsidR="00F1353C" w:rsidRPr="00BF3275">
        <w:rPr>
          <w:sz w:val="20"/>
          <w:szCs w:val="20"/>
          <w:lang w:bidi="en-US"/>
        </w:rPr>
        <w:t>etection of micro calcification</w:t>
      </w:r>
      <w:r w:rsidR="005F6E7D" w:rsidRPr="00BF3275">
        <w:rPr>
          <w:sz w:val="20"/>
          <w:szCs w:val="20"/>
          <w:lang w:bidi="en-US"/>
        </w:rPr>
        <w:t xml:space="preserve">, </w:t>
      </w:r>
      <w:r w:rsidR="00F1353C" w:rsidRPr="00BF3275">
        <w:rPr>
          <w:sz w:val="20"/>
          <w:szCs w:val="20"/>
          <w:lang w:bidi="en-US"/>
        </w:rPr>
        <w:t>architectural distortion and asymmetry in breast density</w:t>
      </w:r>
      <w:r w:rsidR="005F6E7D" w:rsidRPr="00BF3275">
        <w:rPr>
          <w:sz w:val="20"/>
          <w:szCs w:val="20"/>
          <w:lang w:bidi="en-US"/>
        </w:rPr>
        <w:t xml:space="preserve">. </w:t>
      </w:r>
    </w:p>
    <w:p w:rsidR="00F1353C" w:rsidRPr="00BF3275" w:rsidRDefault="00F1353C" w:rsidP="00DA2296">
      <w:pPr>
        <w:numPr>
          <w:ilvl w:val="0"/>
          <w:numId w:val="7"/>
        </w:numPr>
        <w:tabs>
          <w:tab w:val="clear" w:pos="1440"/>
          <w:tab w:val="num" w:pos="360"/>
        </w:tabs>
        <w:snapToGrid w:val="0"/>
        <w:ind w:left="0" w:firstLine="425"/>
        <w:jc w:val="both"/>
        <w:rPr>
          <w:sz w:val="20"/>
          <w:szCs w:val="20"/>
          <w:lang w:bidi="en-US"/>
        </w:rPr>
      </w:pPr>
      <w:r w:rsidRPr="00BF3275">
        <w:rPr>
          <w:sz w:val="20"/>
          <w:szCs w:val="20"/>
          <w:lang w:bidi="en-US"/>
        </w:rPr>
        <w:t>Mammography was done at digital mammography model FFDM at mammography unit at radiology department of alzahraa university in the following step.</w:t>
      </w:r>
    </w:p>
    <w:p w:rsidR="00F1353C" w:rsidRPr="00BF3275" w:rsidRDefault="00F1353C" w:rsidP="00DA2296">
      <w:pPr>
        <w:snapToGrid w:val="0"/>
        <w:jc w:val="both"/>
        <w:rPr>
          <w:b/>
          <w:bCs/>
          <w:sz w:val="20"/>
          <w:szCs w:val="20"/>
          <w:lang w:bidi="en-US"/>
        </w:rPr>
      </w:pPr>
      <w:r w:rsidRPr="00BF3275">
        <w:rPr>
          <w:b/>
          <w:bCs/>
          <w:sz w:val="20"/>
          <w:szCs w:val="20"/>
          <w:lang w:bidi="en-US"/>
        </w:rPr>
        <w:t>Craniocudal view</w:t>
      </w:r>
      <w:r w:rsidR="000A6012" w:rsidRPr="00BF3275">
        <w:rPr>
          <w:b/>
          <w:bCs/>
          <w:sz w:val="20"/>
          <w:szCs w:val="20"/>
          <w:lang w:bidi="en-US"/>
        </w:rPr>
        <w:t xml:space="preserve"> </w:t>
      </w:r>
      <w:r w:rsidRPr="00BF3275">
        <w:rPr>
          <w:b/>
          <w:bCs/>
          <w:sz w:val="20"/>
          <w:szCs w:val="20"/>
          <w:lang w:bidi="en-US"/>
        </w:rPr>
        <w:t>(CC)</w:t>
      </w:r>
    </w:p>
    <w:p w:rsidR="00F1353C" w:rsidRPr="00BF3275" w:rsidRDefault="00F1353C" w:rsidP="00DA2296">
      <w:pPr>
        <w:snapToGrid w:val="0"/>
        <w:ind w:firstLine="425"/>
        <w:jc w:val="both"/>
        <w:rPr>
          <w:sz w:val="20"/>
          <w:szCs w:val="20"/>
        </w:rPr>
      </w:pPr>
      <w:r w:rsidRPr="00BF3275">
        <w:rPr>
          <w:sz w:val="20"/>
          <w:szCs w:val="20"/>
          <w:lang w:bidi="en-US"/>
        </w:rPr>
        <w:t>Key Steps in Positioning CC View</w:t>
      </w:r>
    </w:p>
    <w:p w:rsidR="00F1353C" w:rsidRPr="00BF3275" w:rsidRDefault="00F1353C" w:rsidP="00DA2296">
      <w:pPr>
        <w:numPr>
          <w:ilvl w:val="0"/>
          <w:numId w:val="7"/>
        </w:numPr>
        <w:tabs>
          <w:tab w:val="clear" w:pos="1440"/>
          <w:tab w:val="num" w:pos="360"/>
        </w:tabs>
        <w:snapToGrid w:val="0"/>
        <w:ind w:left="0" w:firstLine="425"/>
        <w:jc w:val="both"/>
        <w:rPr>
          <w:sz w:val="20"/>
          <w:szCs w:val="20"/>
        </w:rPr>
      </w:pPr>
      <w:r w:rsidRPr="00BF3275">
        <w:rPr>
          <w:sz w:val="20"/>
          <w:szCs w:val="20"/>
          <w:lang w:bidi="en-US"/>
        </w:rPr>
        <w:t>The patient stands with the feet slightly apart with weight equally distributed., The breast is mobilized upwards and is also pulled outwards</w:t>
      </w:r>
      <w:r w:rsidR="000A6012" w:rsidRPr="00BF3275">
        <w:rPr>
          <w:sz w:val="20"/>
          <w:szCs w:val="20"/>
          <w:lang w:bidi="en-US"/>
        </w:rPr>
        <w:t xml:space="preserve"> </w:t>
      </w:r>
      <w:r w:rsidRPr="00BF3275">
        <w:rPr>
          <w:sz w:val="20"/>
          <w:szCs w:val="20"/>
          <w:lang w:bidi="en-US"/>
        </w:rPr>
        <w:t>away from the body as much as possible, so that The arm on the side to be examined is by the Side, The contra lateral arm is raised holding the machine for support. The patient’s head was away from the side being examined. The breast is lifted and the image receptor is positioned at the level of the infra mammary crease. The nipple should be centered. Both the medial and lateral halves of the breast should be in the collimated area and we usually start by the right breast.</w:t>
      </w:r>
    </w:p>
    <w:p w:rsidR="00F1353C" w:rsidRPr="00BF3275" w:rsidRDefault="00F1353C" w:rsidP="00DA2296">
      <w:pPr>
        <w:snapToGrid w:val="0"/>
        <w:jc w:val="both"/>
        <w:rPr>
          <w:sz w:val="20"/>
          <w:szCs w:val="20"/>
          <w:lang w:bidi="en-US"/>
        </w:rPr>
      </w:pPr>
      <w:r w:rsidRPr="00BF3275">
        <w:rPr>
          <w:b/>
          <w:sz w:val="20"/>
          <w:szCs w:val="20"/>
          <w:lang w:bidi="en-US"/>
        </w:rPr>
        <w:t>B-</w:t>
      </w:r>
      <w:r w:rsidR="000A6012" w:rsidRPr="00BF3275">
        <w:rPr>
          <w:b/>
          <w:sz w:val="20"/>
          <w:szCs w:val="20"/>
          <w:lang w:bidi="en-US"/>
        </w:rPr>
        <w:t xml:space="preserve"> </w:t>
      </w:r>
      <w:r w:rsidRPr="00BF3275">
        <w:rPr>
          <w:b/>
          <w:sz w:val="20"/>
          <w:szCs w:val="20"/>
          <w:lang w:bidi="en-US"/>
        </w:rPr>
        <w:t>Ultrasound</w:t>
      </w:r>
    </w:p>
    <w:p w:rsidR="00F1353C" w:rsidRPr="00BF3275" w:rsidRDefault="00F1353C" w:rsidP="00DA2296">
      <w:pPr>
        <w:snapToGrid w:val="0"/>
        <w:ind w:firstLine="425"/>
        <w:jc w:val="both"/>
        <w:rPr>
          <w:sz w:val="20"/>
          <w:szCs w:val="20"/>
          <w:lang w:bidi="en-US"/>
        </w:rPr>
      </w:pPr>
      <w:r w:rsidRPr="00BF3275">
        <w:rPr>
          <w:sz w:val="20"/>
          <w:szCs w:val="20"/>
          <w:lang w:bidi="en-US"/>
        </w:rPr>
        <w:t xml:space="preserve">The US equipment we used was Phillips health care affinitin70 G. The breast examination performed by high </w:t>
      </w:r>
      <w:r w:rsidR="00BF3275" w:rsidRPr="00BF3275">
        <w:rPr>
          <w:sz w:val="20"/>
          <w:szCs w:val="20"/>
          <w:lang w:bidi="en-US"/>
        </w:rPr>
        <w:t>resolution</w:t>
      </w:r>
      <w:r w:rsidRPr="00BF3275">
        <w:rPr>
          <w:sz w:val="20"/>
          <w:szCs w:val="20"/>
          <w:lang w:bidi="en-US"/>
        </w:rPr>
        <w:t xml:space="preserve"> ultrasound transducers </w:t>
      </w:r>
      <w:r w:rsidR="005F6E7D" w:rsidRPr="00BF3275">
        <w:rPr>
          <w:sz w:val="20"/>
          <w:szCs w:val="20"/>
          <w:lang w:bidi="en-US"/>
        </w:rPr>
        <w:t>(</w:t>
      </w:r>
      <w:r w:rsidRPr="00BF3275">
        <w:rPr>
          <w:sz w:val="20"/>
          <w:szCs w:val="20"/>
          <w:lang w:bidi="en-US"/>
        </w:rPr>
        <w:t>5– 12 MHz). The room was darkened sufficiently to eliminate screen reflections and to create optimal conditions to perceive image details. The machine and the operator are on the right of the patient. The patient is placed in a supine position with arms raised over the head for examination of medial half of the breast. The lateral half of the breast is examined while in slight oblique position</w:t>
      </w:r>
      <w:r w:rsidR="000A6012" w:rsidRPr="00BF3275">
        <w:rPr>
          <w:sz w:val="20"/>
          <w:szCs w:val="20"/>
          <w:lang w:bidi="en-US"/>
        </w:rPr>
        <w:t>.</w:t>
      </w:r>
    </w:p>
    <w:p w:rsidR="00F1353C" w:rsidRPr="00BF3275" w:rsidRDefault="00F1353C" w:rsidP="00DA2296">
      <w:pPr>
        <w:snapToGrid w:val="0"/>
        <w:jc w:val="both"/>
        <w:rPr>
          <w:b/>
          <w:bCs/>
          <w:sz w:val="20"/>
          <w:szCs w:val="20"/>
          <w:lang w:bidi="en-US"/>
        </w:rPr>
      </w:pPr>
      <w:r w:rsidRPr="00BF3275">
        <w:rPr>
          <w:b/>
          <w:bCs/>
          <w:sz w:val="20"/>
          <w:szCs w:val="20"/>
          <w:lang w:bidi="en-US"/>
        </w:rPr>
        <w:t>Scanning Technique</w:t>
      </w:r>
    </w:p>
    <w:p w:rsidR="00F1353C" w:rsidRPr="00BF3275" w:rsidRDefault="00F1353C" w:rsidP="00DA2296">
      <w:pPr>
        <w:snapToGrid w:val="0"/>
        <w:ind w:firstLine="425"/>
        <w:jc w:val="both"/>
        <w:rPr>
          <w:sz w:val="20"/>
          <w:szCs w:val="20"/>
        </w:rPr>
      </w:pPr>
      <w:r w:rsidRPr="00BF3275">
        <w:rPr>
          <w:sz w:val="20"/>
          <w:szCs w:val="20"/>
          <w:lang w:bidi="en-US"/>
        </w:rPr>
        <w:t>The transducer should always be perpendicular to the skin surface. Compression is useful to avoid refraction and scattering from normal anatomical structures</w:t>
      </w:r>
      <w:r w:rsidR="005F6E7D" w:rsidRPr="00BF3275">
        <w:rPr>
          <w:sz w:val="20"/>
          <w:szCs w:val="20"/>
          <w:lang w:bidi="en-US"/>
        </w:rPr>
        <w:t xml:space="preserve">. </w:t>
      </w:r>
      <w:r w:rsidRPr="00BF3275">
        <w:rPr>
          <w:sz w:val="20"/>
          <w:szCs w:val="20"/>
          <w:lang w:bidi="en-US"/>
        </w:rPr>
        <w:t>Both breasts were systematically examined by right one</w:t>
      </w:r>
      <w:r w:rsidR="005F6E7D" w:rsidRPr="00BF3275">
        <w:rPr>
          <w:sz w:val="20"/>
          <w:szCs w:val="20"/>
          <w:lang w:bidi="en-US"/>
        </w:rPr>
        <w:t xml:space="preserve"> </w:t>
      </w:r>
      <w:r w:rsidRPr="00BF3275">
        <w:rPr>
          <w:sz w:val="20"/>
          <w:szCs w:val="20"/>
          <w:lang w:bidi="en-US"/>
        </w:rPr>
        <w:t>firstly</w:t>
      </w:r>
      <w:r w:rsidR="005F6E7D" w:rsidRPr="00BF3275">
        <w:rPr>
          <w:sz w:val="20"/>
          <w:szCs w:val="20"/>
          <w:lang w:bidi="en-US"/>
        </w:rPr>
        <w:t xml:space="preserve"> </w:t>
      </w:r>
      <w:r w:rsidRPr="00BF3275">
        <w:rPr>
          <w:sz w:val="20"/>
          <w:szCs w:val="20"/>
          <w:lang w:bidi="en-US"/>
        </w:rPr>
        <w:t>with</w:t>
      </w:r>
      <w:r w:rsidR="005F6E7D" w:rsidRPr="00BF3275">
        <w:rPr>
          <w:sz w:val="20"/>
          <w:szCs w:val="20"/>
          <w:lang w:bidi="en-US"/>
        </w:rPr>
        <w:t xml:space="preserve"> </w:t>
      </w:r>
      <w:r w:rsidRPr="00BF3275">
        <w:rPr>
          <w:sz w:val="20"/>
          <w:szCs w:val="20"/>
          <w:lang w:bidi="en-US"/>
        </w:rPr>
        <w:t>overlapping</w:t>
      </w:r>
      <w:r w:rsidR="005F6E7D" w:rsidRPr="00BF3275">
        <w:rPr>
          <w:sz w:val="20"/>
          <w:szCs w:val="20"/>
          <w:lang w:bidi="en-US"/>
        </w:rPr>
        <w:t xml:space="preserve"> </w:t>
      </w:r>
      <w:r w:rsidRPr="00BF3275">
        <w:rPr>
          <w:sz w:val="20"/>
          <w:szCs w:val="20"/>
          <w:lang w:bidi="en-US"/>
        </w:rPr>
        <w:t>scans</w:t>
      </w:r>
      <w:r w:rsidR="005F6E7D" w:rsidRPr="00BF3275">
        <w:rPr>
          <w:sz w:val="20"/>
          <w:szCs w:val="20"/>
          <w:lang w:bidi="en-US"/>
        </w:rPr>
        <w:t xml:space="preserve"> </w:t>
      </w:r>
      <w:r w:rsidRPr="00BF3275">
        <w:rPr>
          <w:sz w:val="20"/>
          <w:szCs w:val="20"/>
          <w:lang w:bidi="en-US"/>
        </w:rPr>
        <w:t>in</w:t>
      </w:r>
      <w:r w:rsidR="005F6E7D" w:rsidRPr="00BF3275">
        <w:rPr>
          <w:sz w:val="20"/>
          <w:szCs w:val="20"/>
          <w:lang w:bidi="en-US"/>
        </w:rPr>
        <w:t xml:space="preserve"> </w:t>
      </w:r>
      <w:r w:rsidRPr="00BF3275">
        <w:rPr>
          <w:sz w:val="20"/>
          <w:szCs w:val="20"/>
          <w:lang w:bidi="en-US"/>
        </w:rPr>
        <w:t>clockwise</w:t>
      </w:r>
      <w:r w:rsidR="005F6E7D" w:rsidRPr="00BF3275">
        <w:rPr>
          <w:sz w:val="20"/>
          <w:szCs w:val="20"/>
          <w:lang w:bidi="en-US"/>
        </w:rPr>
        <w:t xml:space="preserve"> </w:t>
      </w:r>
      <w:r w:rsidRPr="00BF3275">
        <w:rPr>
          <w:sz w:val="20"/>
          <w:szCs w:val="20"/>
          <w:lang w:bidi="en-US"/>
        </w:rPr>
        <w:t>pattern. Then retro areolar region was separately scanning with angled views to ensure the complete coverage of all breast tissue.</w:t>
      </w:r>
      <w:r w:rsidR="000A6012" w:rsidRPr="00BF3275">
        <w:rPr>
          <w:sz w:val="20"/>
          <w:szCs w:val="20"/>
          <w:lang w:bidi="en-US"/>
        </w:rPr>
        <w:t xml:space="preserve"> </w:t>
      </w:r>
      <w:r w:rsidRPr="00BF3275">
        <w:rPr>
          <w:sz w:val="20"/>
          <w:szCs w:val="20"/>
          <w:lang w:bidi="en-US"/>
        </w:rPr>
        <w:t xml:space="preserve">The breast scanned to determined the parenchymal echo </w:t>
      </w:r>
      <w:r w:rsidR="00BF3275" w:rsidRPr="00BF3275">
        <w:rPr>
          <w:sz w:val="20"/>
          <w:szCs w:val="20"/>
          <w:lang w:bidi="en-US"/>
        </w:rPr>
        <w:t>texture</w:t>
      </w:r>
      <w:r w:rsidRPr="00BF3275">
        <w:rPr>
          <w:sz w:val="20"/>
          <w:szCs w:val="20"/>
          <w:lang w:bidi="en-US"/>
        </w:rPr>
        <w:t xml:space="preserve"> and identification of any diffuse or focal abnormality. A color Doppler examination used to supplement the gray scale evaluation of either diffuse or focal abnormality of the breast. Axilla bilaterally are examined simultaneously with ipsilateral breast.</w:t>
      </w:r>
      <w:r w:rsidR="000A6012" w:rsidRPr="00BF3275">
        <w:rPr>
          <w:sz w:val="20"/>
          <w:szCs w:val="20"/>
          <w:lang w:bidi="en-US"/>
        </w:rPr>
        <w:t xml:space="preserve"> </w:t>
      </w:r>
      <w:r w:rsidRPr="00BF3275">
        <w:rPr>
          <w:sz w:val="20"/>
          <w:szCs w:val="20"/>
          <w:lang w:bidi="en-US"/>
        </w:rPr>
        <w:t>After examination of both breast and axilla and identification of the lesion we interpretate image as follow.</w:t>
      </w:r>
    </w:p>
    <w:p w:rsidR="00F1353C" w:rsidRPr="00BF3275" w:rsidRDefault="00F1353C" w:rsidP="00DA2296">
      <w:pPr>
        <w:snapToGrid w:val="0"/>
        <w:jc w:val="both"/>
        <w:rPr>
          <w:b/>
          <w:bCs/>
          <w:sz w:val="20"/>
          <w:szCs w:val="20"/>
          <w:lang w:bidi="en-US"/>
        </w:rPr>
      </w:pPr>
      <w:r w:rsidRPr="00BF3275">
        <w:rPr>
          <w:b/>
          <w:bCs/>
          <w:sz w:val="20"/>
          <w:szCs w:val="20"/>
          <w:lang w:bidi="en-US"/>
        </w:rPr>
        <w:t>Statistical analysis:</w:t>
      </w:r>
    </w:p>
    <w:p w:rsidR="00F1353C" w:rsidRPr="00BF3275" w:rsidRDefault="00F1353C" w:rsidP="00DA2296">
      <w:pPr>
        <w:snapToGrid w:val="0"/>
        <w:ind w:firstLine="425"/>
        <w:jc w:val="both"/>
        <w:rPr>
          <w:sz w:val="20"/>
          <w:szCs w:val="20"/>
        </w:rPr>
      </w:pPr>
      <w:r w:rsidRPr="00BF3275">
        <w:rPr>
          <w:sz w:val="20"/>
          <w:szCs w:val="20"/>
          <w:lang w:bidi="en-US"/>
        </w:rPr>
        <w:t>Data were analyzed using Statistical Program for Social Science (SPSS) version 15.0. Quantitative data were expressed as mean± standard deviation (SD). Qualitative data were expressed as frequency and percentage.</w:t>
      </w:r>
      <w:r w:rsidR="000A6012" w:rsidRPr="00BF3275">
        <w:rPr>
          <w:sz w:val="20"/>
          <w:szCs w:val="20"/>
          <w:lang w:bidi="en-US"/>
        </w:rPr>
        <w:t xml:space="preserve"> </w:t>
      </w:r>
      <w:r w:rsidRPr="00BF3275">
        <w:rPr>
          <w:sz w:val="20"/>
          <w:szCs w:val="20"/>
          <w:lang w:bidi="en-US"/>
        </w:rPr>
        <w:t xml:space="preserve">Independent-samples t-test of </w:t>
      </w:r>
      <w:r w:rsidRPr="00BF3275">
        <w:rPr>
          <w:sz w:val="20"/>
          <w:szCs w:val="20"/>
          <w:lang w:bidi="en-US"/>
        </w:rPr>
        <w:lastRenderedPageBreak/>
        <w:t>significance: was used when comparing between two means.</w:t>
      </w:r>
      <w:r w:rsidR="000A6012" w:rsidRPr="00BF3275">
        <w:rPr>
          <w:sz w:val="20"/>
          <w:szCs w:val="20"/>
          <w:lang w:bidi="en-US"/>
        </w:rPr>
        <w:t xml:space="preserve"> </w:t>
      </w:r>
      <w:r w:rsidRPr="00BF3275">
        <w:rPr>
          <w:sz w:val="20"/>
          <w:szCs w:val="20"/>
          <w:lang w:bidi="en-US"/>
        </w:rPr>
        <w:t>Chi-square test: was used when comparing between non-parametric data.</w:t>
      </w:r>
      <w:r w:rsidR="000A6012" w:rsidRPr="00BF3275">
        <w:rPr>
          <w:sz w:val="20"/>
          <w:szCs w:val="20"/>
          <w:lang w:bidi="en-US"/>
        </w:rPr>
        <w:t xml:space="preserve"> </w:t>
      </w:r>
      <w:r w:rsidRPr="00BF3275">
        <w:rPr>
          <w:sz w:val="20"/>
          <w:szCs w:val="20"/>
          <w:lang w:bidi="en-US"/>
        </w:rPr>
        <w:t>A one-way analysis of variance (ANOVA): when comparing between more than two means.</w:t>
      </w:r>
      <w:r w:rsidR="000A6012" w:rsidRPr="00BF3275">
        <w:rPr>
          <w:sz w:val="20"/>
          <w:szCs w:val="20"/>
          <w:lang w:bidi="en-US"/>
        </w:rPr>
        <w:t xml:space="preserve"> </w:t>
      </w:r>
      <w:r w:rsidRPr="00BF3275">
        <w:rPr>
          <w:sz w:val="20"/>
          <w:szCs w:val="20"/>
          <w:lang w:bidi="en-US"/>
        </w:rPr>
        <w:t>Probability (P-value)</w:t>
      </w:r>
      <w:r w:rsidR="000A6012" w:rsidRPr="00BF3275">
        <w:rPr>
          <w:sz w:val="20"/>
          <w:szCs w:val="20"/>
          <w:lang w:bidi="en-US"/>
        </w:rPr>
        <w:t xml:space="preserve">: </w:t>
      </w:r>
      <w:r w:rsidRPr="00BF3275">
        <w:rPr>
          <w:sz w:val="20"/>
          <w:szCs w:val="20"/>
          <w:lang w:bidi="en-US"/>
        </w:rPr>
        <w:t>P-value &lt; 0.05 was considered significant</w:t>
      </w:r>
      <w:r w:rsidR="000A6012" w:rsidRPr="00BF3275">
        <w:rPr>
          <w:sz w:val="20"/>
          <w:szCs w:val="20"/>
          <w:lang w:bidi="en-US"/>
        </w:rPr>
        <w:t xml:space="preserve">, </w:t>
      </w:r>
      <w:r w:rsidRPr="00BF3275">
        <w:rPr>
          <w:sz w:val="20"/>
          <w:szCs w:val="20"/>
          <w:lang w:bidi="en-US"/>
        </w:rPr>
        <w:t>P-value &lt; 0.001 was considered as highly significant</w:t>
      </w:r>
      <w:r w:rsidR="000A6012" w:rsidRPr="00BF3275">
        <w:rPr>
          <w:sz w:val="20"/>
          <w:szCs w:val="20"/>
          <w:lang w:bidi="en-US"/>
        </w:rPr>
        <w:t xml:space="preserve">, </w:t>
      </w:r>
      <w:r w:rsidRPr="00BF3275">
        <w:rPr>
          <w:sz w:val="20"/>
          <w:szCs w:val="20"/>
          <w:lang w:bidi="en-US"/>
        </w:rPr>
        <w:t>P-value &gt; 0.05 was considered insignificant.</w:t>
      </w:r>
    </w:p>
    <w:p w:rsidR="00BF3275" w:rsidRDefault="00BF3275" w:rsidP="00DA2296">
      <w:pPr>
        <w:snapToGrid w:val="0"/>
        <w:jc w:val="both"/>
        <w:rPr>
          <w:rFonts w:hint="eastAsia"/>
          <w:b/>
          <w:bCs/>
          <w:sz w:val="20"/>
          <w:szCs w:val="20"/>
          <w:lang w:eastAsia="zh-CN"/>
        </w:rPr>
      </w:pPr>
    </w:p>
    <w:p w:rsidR="00C17030" w:rsidRPr="00BF3275" w:rsidRDefault="00DB7A58" w:rsidP="00DA2296">
      <w:pPr>
        <w:snapToGrid w:val="0"/>
        <w:jc w:val="both"/>
        <w:rPr>
          <w:b/>
          <w:bCs/>
          <w:sz w:val="20"/>
          <w:szCs w:val="20"/>
        </w:rPr>
      </w:pPr>
      <w:r w:rsidRPr="00BF3275">
        <w:rPr>
          <w:b/>
          <w:bCs/>
          <w:sz w:val="20"/>
          <w:szCs w:val="20"/>
        </w:rPr>
        <w:t>3. Results</w:t>
      </w:r>
    </w:p>
    <w:p w:rsidR="00BF3275" w:rsidRDefault="00BF3275" w:rsidP="00BF3275">
      <w:pPr>
        <w:snapToGrid w:val="0"/>
        <w:ind w:firstLine="720"/>
        <w:jc w:val="both"/>
        <w:rPr>
          <w:rFonts w:hint="eastAsia"/>
          <w:b/>
          <w:sz w:val="20"/>
          <w:szCs w:val="20"/>
          <w:lang w:eastAsia="zh-CN"/>
        </w:rPr>
      </w:pPr>
      <w:r w:rsidRPr="00BF3275">
        <w:rPr>
          <w:sz w:val="20"/>
          <w:szCs w:val="20"/>
        </w:rPr>
        <w:t>This table shows the</w:t>
      </w:r>
      <w:r w:rsidRPr="00BF3275">
        <w:rPr>
          <w:b/>
          <w:bCs/>
          <w:sz w:val="20"/>
          <w:szCs w:val="20"/>
        </w:rPr>
        <w:t xml:space="preserve"> </w:t>
      </w:r>
      <w:r w:rsidRPr="00BF3275">
        <w:rPr>
          <w:sz w:val="20"/>
          <w:szCs w:val="20"/>
        </w:rPr>
        <w:t xml:space="preserve">description of </w:t>
      </w:r>
      <w:r w:rsidRPr="00BF3275">
        <w:rPr>
          <w:bCs/>
          <w:sz w:val="20"/>
          <w:szCs w:val="20"/>
        </w:rPr>
        <w:t>age in studied patients</w:t>
      </w:r>
      <w:r w:rsidRPr="00BF3275">
        <w:rPr>
          <w:sz w:val="20"/>
          <w:szCs w:val="20"/>
        </w:rPr>
        <w:t xml:space="preserve">. The mean </w:t>
      </w:r>
      <w:r w:rsidRPr="00BF3275">
        <w:rPr>
          <w:bCs/>
          <w:sz w:val="20"/>
          <w:szCs w:val="20"/>
        </w:rPr>
        <w:t>age in studied patients</w:t>
      </w:r>
      <w:r w:rsidRPr="00BF3275">
        <w:rPr>
          <w:sz w:val="20"/>
          <w:szCs w:val="20"/>
        </w:rPr>
        <w:t xml:space="preserve"> was 45.9 ± 5.1 years with minimum age of 40 years and maximum age of 57 years. There were 29 patients (58%) </w:t>
      </w:r>
      <w:r w:rsidRPr="00BF3275">
        <w:rPr>
          <w:bCs/>
          <w:sz w:val="20"/>
          <w:szCs w:val="20"/>
        </w:rPr>
        <w:t xml:space="preserve">≤ 45 years and 21 patients </w:t>
      </w:r>
      <w:r w:rsidRPr="00BF3275">
        <w:rPr>
          <w:b/>
          <w:sz w:val="20"/>
          <w:szCs w:val="20"/>
        </w:rPr>
        <w:t xml:space="preserve">&gt; </w:t>
      </w:r>
      <w:r w:rsidRPr="00BF3275">
        <w:rPr>
          <w:bCs/>
          <w:sz w:val="20"/>
          <w:szCs w:val="20"/>
        </w:rPr>
        <w:t>45 years</w:t>
      </w:r>
      <w:r>
        <w:rPr>
          <w:rFonts w:hint="eastAsia"/>
          <w:bCs/>
          <w:sz w:val="20"/>
          <w:szCs w:val="20"/>
          <w:lang w:eastAsia="zh-CN"/>
        </w:rPr>
        <w:t xml:space="preserve"> (Table 1)</w:t>
      </w:r>
      <w:r w:rsidRPr="00BF3275">
        <w:rPr>
          <w:bCs/>
          <w:sz w:val="20"/>
          <w:szCs w:val="20"/>
        </w:rPr>
        <w:t>.</w:t>
      </w:r>
    </w:p>
    <w:p w:rsidR="00BF3275" w:rsidRPr="00BF3275" w:rsidRDefault="00BF3275" w:rsidP="00DA2296">
      <w:pPr>
        <w:snapToGrid w:val="0"/>
        <w:jc w:val="center"/>
        <w:rPr>
          <w:rFonts w:hint="eastAsia"/>
          <w:b/>
          <w:sz w:val="20"/>
          <w:szCs w:val="20"/>
          <w:lang w:eastAsia="zh-CN"/>
        </w:rPr>
        <w:sectPr w:rsidR="00BF3275" w:rsidRPr="00BF3275" w:rsidSect="00A8445F">
          <w:headerReference w:type="default" r:id="rId12"/>
          <w:pgSz w:w="12240" w:h="15840" w:code="9"/>
          <w:pgMar w:top="1440" w:right="1440" w:bottom="1440" w:left="1440" w:header="720" w:footer="720" w:gutter="0"/>
          <w:cols w:num="2" w:space="600"/>
          <w:docGrid w:linePitch="360" w:charSpace="4096"/>
        </w:sectPr>
      </w:pPr>
    </w:p>
    <w:p w:rsidR="00DB7A58" w:rsidRPr="00BF3275" w:rsidRDefault="00DB7A58" w:rsidP="00DA2296">
      <w:pPr>
        <w:snapToGrid w:val="0"/>
        <w:jc w:val="center"/>
        <w:rPr>
          <w:b/>
          <w:sz w:val="20"/>
          <w:szCs w:val="20"/>
        </w:rPr>
      </w:pPr>
    </w:p>
    <w:p w:rsidR="0038154B" w:rsidRDefault="0038154B" w:rsidP="00DA2296">
      <w:pPr>
        <w:snapToGrid w:val="0"/>
        <w:jc w:val="center"/>
        <w:rPr>
          <w:rFonts w:hint="eastAsia"/>
          <w:b/>
          <w:sz w:val="20"/>
          <w:szCs w:val="20"/>
          <w:lang w:eastAsia="zh-CN"/>
        </w:rPr>
      </w:pPr>
    </w:p>
    <w:p w:rsidR="00AD3741" w:rsidRPr="00BF3275" w:rsidRDefault="00AD3741" w:rsidP="00DA2296">
      <w:pPr>
        <w:snapToGrid w:val="0"/>
        <w:jc w:val="center"/>
        <w:rPr>
          <w:bCs/>
          <w:sz w:val="20"/>
          <w:szCs w:val="20"/>
        </w:rPr>
      </w:pPr>
      <w:r w:rsidRPr="00BF3275">
        <w:rPr>
          <w:b/>
          <w:sz w:val="20"/>
          <w:szCs w:val="20"/>
        </w:rPr>
        <w:t xml:space="preserve">Table </w:t>
      </w:r>
      <w:r w:rsidR="005F6E7D" w:rsidRPr="00BF3275">
        <w:rPr>
          <w:b/>
          <w:sz w:val="20"/>
          <w:szCs w:val="20"/>
        </w:rPr>
        <w:t>(</w:t>
      </w:r>
      <w:r w:rsidRPr="00BF3275">
        <w:rPr>
          <w:b/>
          <w:sz w:val="20"/>
          <w:szCs w:val="20"/>
        </w:rPr>
        <w:t xml:space="preserve">1): </w:t>
      </w:r>
      <w:r w:rsidRPr="00BF3275">
        <w:rPr>
          <w:bCs/>
          <w:sz w:val="20"/>
          <w:szCs w:val="20"/>
        </w:rPr>
        <w:t>Description of age in studied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853"/>
        <w:gridCol w:w="2691"/>
        <w:gridCol w:w="1554"/>
        <w:gridCol w:w="2376"/>
      </w:tblGrid>
      <w:tr w:rsidR="00AD3741" w:rsidRPr="00BF3275" w:rsidTr="00462FBD">
        <w:trPr>
          <w:jc w:val="center"/>
        </w:trPr>
        <w:tc>
          <w:tcPr>
            <w:tcW w:w="2925" w:type="pct"/>
            <w:gridSpan w:val="2"/>
            <w:vAlign w:val="center"/>
          </w:tcPr>
          <w:p w:rsidR="00AD3741" w:rsidRPr="00BF3275" w:rsidRDefault="00AD3741" w:rsidP="00DA2296">
            <w:pPr>
              <w:snapToGrid w:val="0"/>
              <w:jc w:val="both"/>
              <w:rPr>
                <w:b/>
                <w:sz w:val="20"/>
                <w:szCs w:val="20"/>
              </w:rPr>
            </w:pPr>
            <w:r w:rsidRPr="00BF3275">
              <w:rPr>
                <w:b/>
                <w:sz w:val="20"/>
                <w:szCs w:val="20"/>
              </w:rPr>
              <w:t>Variables</w:t>
            </w:r>
          </w:p>
        </w:tc>
        <w:tc>
          <w:tcPr>
            <w:tcW w:w="2075" w:type="pct"/>
            <w:gridSpan w:val="2"/>
            <w:vAlign w:val="center"/>
          </w:tcPr>
          <w:p w:rsidR="00AD3741" w:rsidRPr="00BF3275" w:rsidRDefault="00AD3741" w:rsidP="00DA2296">
            <w:pPr>
              <w:snapToGrid w:val="0"/>
              <w:jc w:val="both"/>
              <w:rPr>
                <w:b/>
                <w:sz w:val="20"/>
                <w:szCs w:val="20"/>
              </w:rPr>
            </w:pPr>
            <w:r w:rsidRPr="00BF3275">
              <w:rPr>
                <w:b/>
                <w:sz w:val="20"/>
                <w:szCs w:val="20"/>
              </w:rPr>
              <w:t>Studied patients</w:t>
            </w:r>
          </w:p>
        </w:tc>
      </w:tr>
      <w:tr w:rsidR="00AD3741" w:rsidRPr="00BF3275" w:rsidTr="00462FBD">
        <w:trPr>
          <w:jc w:val="center"/>
        </w:trPr>
        <w:tc>
          <w:tcPr>
            <w:tcW w:w="1506" w:type="pct"/>
            <w:vMerge w:val="restart"/>
            <w:vAlign w:val="center"/>
          </w:tcPr>
          <w:p w:rsidR="00AD3741" w:rsidRPr="00BF3275" w:rsidRDefault="00AD3741" w:rsidP="00DA2296">
            <w:pPr>
              <w:snapToGrid w:val="0"/>
              <w:jc w:val="both"/>
              <w:rPr>
                <w:b/>
                <w:sz w:val="20"/>
                <w:szCs w:val="20"/>
              </w:rPr>
            </w:pPr>
            <w:r w:rsidRPr="00BF3275">
              <w:rPr>
                <w:b/>
                <w:sz w:val="20"/>
                <w:szCs w:val="20"/>
              </w:rPr>
              <w:t>Age (years)</w:t>
            </w:r>
          </w:p>
          <w:p w:rsidR="00AD3741" w:rsidRPr="00BF3275" w:rsidRDefault="00AD3741" w:rsidP="00DA2296">
            <w:pPr>
              <w:snapToGrid w:val="0"/>
              <w:jc w:val="both"/>
              <w:rPr>
                <w:b/>
                <w:sz w:val="20"/>
                <w:szCs w:val="20"/>
              </w:rPr>
            </w:pPr>
            <w:r w:rsidRPr="00BF3275">
              <w:rPr>
                <w:b/>
                <w:sz w:val="20"/>
                <w:szCs w:val="20"/>
              </w:rPr>
              <w:t>(N = 50)</w:t>
            </w:r>
          </w:p>
        </w:tc>
        <w:tc>
          <w:tcPr>
            <w:tcW w:w="1420" w:type="pct"/>
            <w:vAlign w:val="center"/>
          </w:tcPr>
          <w:p w:rsidR="00AD3741" w:rsidRPr="00BF3275" w:rsidRDefault="00AD3741" w:rsidP="00DA2296">
            <w:pPr>
              <w:snapToGrid w:val="0"/>
              <w:jc w:val="both"/>
              <w:rPr>
                <w:b/>
                <w:sz w:val="20"/>
                <w:szCs w:val="20"/>
              </w:rPr>
            </w:pPr>
            <w:r w:rsidRPr="00BF3275">
              <w:rPr>
                <w:b/>
                <w:sz w:val="20"/>
                <w:szCs w:val="20"/>
              </w:rPr>
              <w:t>Mean ±SD</w:t>
            </w:r>
          </w:p>
        </w:tc>
        <w:tc>
          <w:tcPr>
            <w:tcW w:w="2075" w:type="pct"/>
            <w:gridSpan w:val="2"/>
            <w:vAlign w:val="center"/>
          </w:tcPr>
          <w:p w:rsidR="00AD3741" w:rsidRPr="00BF3275" w:rsidRDefault="00AD3741" w:rsidP="00DA2296">
            <w:pPr>
              <w:snapToGrid w:val="0"/>
              <w:jc w:val="both"/>
              <w:rPr>
                <w:sz w:val="20"/>
                <w:szCs w:val="20"/>
              </w:rPr>
            </w:pPr>
            <w:r w:rsidRPr="00BF3275">
              <w:rPr>
                <w:sz w:val="20"/>
                <w:szCs w:val="20"/>
              </w:rPr>
              <w:t>45.9 ± 5.1</w:t>
            </w:r>
          </w:p>
        </w:tc>
      </w:tr>
      <w:tr w:rsidR="00AD3741" w:rsidRPr="00BF3275" w:rsidTr="00462FBD">
        <w:trPr>
          <w:jc w:val="center"/>
        </w:trPr>
        <w:tc>
          <w:tcPr>
            <w:tcW w:w="1506" w:type="pct"/>
            <w:vMerge/>
            <w:vAlign w:val="center"/>
          </w:tcPr>
          <w:p w:rsidR="00AD3741" w:rsidRPr="00BF3275" w:rsidRDefault="00AD3741" w:rsidP="00DA2296">
            <w:pPr>
              <w:snapToGrid w:val="0"/>
              <w:jc w:val="both"/>
              <w:rPr>
                <w:b/>
                <w:bCs/>
                <w:sz w:val="20"/>
                <w:szCs w:val="20"/>
              </w:rPr>
            </w:pPr>
          </w:p>
        </w:tc>
        <w:tc>
          <w:tcPr>
            <w:tcW w:w="1420" w:type="pct"/>
            <w:vAlign w:val="center"/>
          </w:tcPr>
          <w:p w:rsidR="00AD3741" w:rsidRPr="00BF3275" w:rsidRDefault="00AD3741" w:rsidP="00DA2296">
            <w:pPr>
              <w:snapToGrid w:val="0"/>
              <w:jc w:val="both"/>
              <w:rPr>
                <w:b/>
                <w:sz w:val="20"/>
                <w:szCs w:val="20"/>
              </w:rPr>
            </w:pPr>
            <w:r w:rsidRPr="00BF3275">
              <w:rPr>
                <w:b/>
                <w:sz w:val="20"/>
                <w:szCs w:val="20"/>
              </w:rPr>
              <w:t>Min - Max</w:t>
            </w:r>
          </w:p>
        </w:tc>
        <w:tc>
          <w:tcPr>
            <w:tcW w:w="2075" w:type="pct"/>
            <w:gridSpan w:val="2"/>
            <w:vAlign w:val="center"/>
          </w:tcPr>
          <w:p w:rsidR="00AD3741" w:rsidRPr="00BF3275" w:rsidRDefault="00AD3741" w:rsidP="00DA2296">
            <w:pPr>
              <w:snapToGrid w:val="0"/>
              <w:jc w:val="both"/>
              <w:rPr>
                <w:sz w:val="20"/>
                <w:szCs w:val="20"/>
              </w:rPr>
            </w:pPr>
            <w:r w:rsidRPr="00BF3275">
              <w:rPr>
                <w:sz w:val="20"/>
                <w:szCs w:val="20"/>
              </w:rPr>
              <w:t>40 – 57</w:t>
            </w:r>
          </w:p>
        </w:tc>
      </w:tr>
      <w:tr w:rsidR="00AD3741" w:rsidRPr="00BF3275" w:rsidTr="00462FBD">
        <w:trPr>
          <w:jc w:val="center"/>
        </w:trPr>
        <w:tc>
          <w:tcPr>
            <w:tcW w:w="1506" w:type="pct"/>
            <w:vMerge w:val="restart"/>
            <w:vAlign w:val="center"/>
          </w:tcPr>
          <w:p w:rsidR="00AD3741" w:rsidRPr="00BF3275" w:rsidRDefault="00AD3741" w:rsidP="00DA2296">
            <w:pPr>
              <w:snapToGrid w:val="0"/>
              <w:jc w:val="both"/>
              <w:rPr>
                <w:b/>
                <w:sz w:val="20"/>
                <w:szCs w:val="20"/>
              </w:rPr>
            </w:pPr>
            <w:r w:rsidRPr="00BF3275">
              <w:rPr>
                <w:b/>
                <w:sz w:val="20"/>
                <w:szCs w:val="20"/>
              </w:rPr>
              <w:t>Age groups</w:t>
            </w:r>
          </w:p>
          <w:p w:rsidR="00AD3741" w:rsidRPr="00BF3275" w:rsidRDefault="00AD3741" w:rsidP="00DA2296">
            <w:pPr>
              <w:snapToGrid w:val="0"/>
              <w:jc w:val="both"/>
              <w:rPr>
                <w:b/>
                <w:sz w:val="20"/>
                <w:szCs w:val="20"/>
              </w:rPr>
            </w:pPr>
            <w:r w:rsidRPr="00BF3275">
              <w:rPr>
                <w:b/>
                <w:sz w:val="20"/>
                <w:szCs w:val="20"/>
              </w:rPr>
              <w:t>(N = 50)</w:t>
            </w:r>
          </w:p>
        </w:tc>
        <w:tc>
          <w:tcPr>
            <w:tcW w:w="1420" w:type="pct"/>
            <w:vAlign w:val="center"/>
          </w:tcPr>
          <w:p w:rsidR="00AD3741" w:rsidRPr="00BF3275" w:rsidRDefault="00AD3741" w:rsidP="00DA2296">
            <w:pPr>
              <w:snapToGrid w:val="0"/>
              <w:jc w:val="both"/>
              <w:rPr>
                <w:b/>
                <w:sz w:val="20"/>
                <w:szCs w:val="20"/>
              </w:rPr>
            </w:pPr>
            <w:r w:rsidRPr="00BF3275">
              <w:rPr>
                <w:b/>
                <w:sz w:val="20"/>
                <w:szCs w:val="20"/>
              </w:rPr>
              <w:t>≤ 45 years</w:t>
            </w:r>
          </w:p>
        </w:tc>
        <w:tc>
          <w:tcPr>
            <w:tcW w:w="820" w:type="pct"/>
            <w:vAlign w:val="center"/>
          </w:tcPr>
          <w:p w:rsidR="00AD3741" w:rsidRPr="00BF3275" w:rsidRDefault="00AD3741" w:rsidP="00DA2296">
            <w:pPr>
              <w:snapToGrid w:val="0"/>
              <w:jc w:val="both"/>
              <w:rPr>
                <w:sz w:val="20"/>
                <w:szCs w:val="20"/>
              </w:rPr>
            </w:pPr>
            <w:r w:rsidRPr="00BF3275">
              <w:rPr>
                <w:sz w:val="20"/>
                <w:szCs w:val="20"/>
              </w:rPr>
              <w:t>29</w:t>
            </w:r>
          </w:p>
        </w:tc>
        <w:tc>
          <w:tcPr>
            <w:tcW w:w="1255" w:type="pct"/>
            <w:vAlign w:val="center"/>
          </w:tcPr>
          <w:p w:rsidR="00AD3741" w:rsidRPr="00BF3275" w:rsidRDefault="00AD3741" w:rsidP="00DA2296">
            <w:pPr>
              <w:snapToGrid w:val="0"/>
              <w:jc w:val="both"/>
              <w:rPr>
                <w:sz w:val="20"/>
                <w:szCs w:val="20"/>
              </w:rPr>
            </w:pPr>
            <w:r w:rsidRPr="00BF3275">
              <w:rPr>
                <w:sz w:val="20"/>
                <w:szCs w:val="20"/>
              </w:rPr>
              <w:t>58%</w:t>
            </w:r>
          </w:p>
        </w:tc>
      </w:tr>
      <w:tr w:rsidR="00AD3741" w:rsidRPr="00BF3275" w:rsidTr="00462FBD">
        <w:trPr>
          <w:jc w:val="center"/>
        </w:trPr>
        <w:tc>
          <w:tcPr>
            <w:tcW w:w="1506" w:type="pct"/>
            <w:vMerge/>
            <w:vAlign w:val="center"/>
          </w:tcPr>
          <w:p w:rsidR="00AD3741" w:rsidRPr="00BF3275" w:rsidRDefault="00AD3741" w:rsidP="00DA2296">
            <w:pPr>
              <w:snapToGrid w:val="0"/>
              <w:jc w:val="both"/>
              <w:rPr>
                <w:b/>
                <w:bCs/>
                <w:sz w:val="20"/>
                <w:szCs w:val="20"/>
              </w:rPr>
            </w:pPr>
          </w:p>
        </w:tc>
        <w:tc>
          <w:tcPr>
            <w:tcW w:w="1420" w:type="pct"/>
            <w:vAlign w:val="center"/>
          </w:tcPr>
          <w:p w:rsidR="00AD3741" w:rsidRPr="00BF3275" w:rsidRDefault="00AD3741" w:rsidP="00DA2296">
            <w:pPr>
              <w:snapToGrid w:val="0"/>
              <w:jc w:val="both"/>
              <w:rPr>
                <w:b/>
                <w:sz w:val="20"/>
                <w:szCs w:val="20"/>
              </w:rPr>
            </w:pPr>
            <w:r w:rsidRPr="00BF3275">
              <w:rPr>
                <w:b/>
                <w:sz w:val="20"/>
                <w:szCs w:val="20"/>
              </w:rPr>
              <w:t>&gt; 45 years</w:t>
            </w:r>
          </w:p>
        </w:tc>
        <w:tc>
          <w:tcPr>
            <w:tcW w:w="820" w:type="pct"/>
            <w:vAlign w:val="center"/>
          </w:tcPr>
          <w:p w:rsidR="00AD3741" w:rsidRPr="00BF3275" w:rsidRDefault="00AD3741" w:rsidP="00DA2296">
            <w:pPr>
              <w:snapToGrid w:val="0"/>
              <w:jc w:val="both"/>
              <w:rPr>
                <w:sz w:val="20"/>
                <w:szCs w:val="20"/>
              </w:rPr>
            </w:pPr>
            <w:r w:rsidRPr="00BF3275">
              <w:rPr>
                <w:sz w:val="20"/>
                <w:szCs w:val="20"/>
              </w:rPr>
              <w:t>21</w:t>
            </w:r>
          </w:p>
        </w:tc>
        <w:tc>
          <w:tcPr>
            <w:tcW w:w="1255" w:type="pct"/>
            <w:vAlign w:val="center"/>
          </w:tcPr>
          <w:p w:rsidR="00AD3741" w:rsidRPr="00BF3275" w:rsidRDefault="00AD3741" w:rsidP="00DA2296">
            <w:pPr>
              <w:snapToGrid w:val="0"/>
              <w:jc w:val="both"/>
              <w:rPr>
                <w:sz w:val="20"/>
                <w:szCs w:val="20"/>
              </w:rPr>
            </w:pPr>
            <w:r w:rsidRPr="00BF3275">
              <w:rPr>
                <w:sz w:val="20"/>
                <w:szCs w:val="20"/>
              </w:rPr>
              <w:t>42%</w:t>
            </w:r>
          </w:p>
        </w:tc>
      </w:tr>
    </w:tbl>
    <w:p w:rsidR="00DB7A58" w:rsidRDefault="00DB7A58" w:rsidP="00DA2296">
      <w:pPr>
        <w:snapToGrid w:val="0"/>
        <w:ind w:firstLine="425"/>
        <w:jc w:val="both"/>
        <w:rPr>
          <w:rFonts w:hint="eastAsia"/>
          <w:sz w:val="20"/>
          <w:szCs w:val="20"/>
          <w:lang w:eastAsia="zh-CN"/>
        </w:rPr>
      </w:pPr>
    </w:p>
    <w:p w:rsidR="0038154B" w:rsidRPr="00BF3275" w:rsidRDefault="0038154B" w:rsidP="00DA2296">
      <w:pPr>
        <w:snapToGrid w:val="0"/>
        <w:ind w:firstLine="425"/>
        <w:jc w:val="both"/>
        <w:rPr>
          <w:rFonts w:hint="eastAsia"/>
          <w:sz w:val="20"/>
          <w:szCs w:val="20"/>
          <w:lang w:eastAsia="zh-CN"/>
        </w:rPr>
      </w:pPr>
    </w:p>
    <w:p w:rsidR="00AD3741" w:rsidRPr="00BF3275" w:rsidRDefault="00BF3275" w:rsidP="00DA2296">
      <w:pPr>
        <w:snapToGrid w:val="0"/>
        <w:ind w:firstLine="425"/>
        <w:jc w:val="both"/>
        <w:rPr>
          <w:sz w:val="20"/>
          <w:szCs w:val="20"/>
        </w:rPr>
      </w:pPr>
      <w:r w:rsidRPr="00BF3275">
        <w:rPr>
          <w:sz w:val="20"/>
          <w:szCs w:val="20"/>
        </w:rPr>
        <w:t>This table shows the</w:t>
      </w:r>
      <w:r w:rsidRPr="00BF3275">
        <w:rPr>
          <w:b/>
          <w:bCs/>
          <w:sz w:val="20"/>
          <w:szCs w:val="20"/>
        </w:rPr>
        <w:t xml:space="preserve"> </w:t>
      </w:r>
      <w:r w:rsidRPr="00BF3275">
        <w:rPr>
          <w:sz w:val="20"/>
          <w:szCs w:val="20"/>
        </w:rPr>
        <w:t xml:space="preserve">description of </w:t>
      </w:r>
      <w:r w:rsidRPr="00BF3275">
        <w:rPr>
          <w:bCs/>
          <w:sz w:val="20"/>
          <w:szCs w:val="20"/>
        </w:rPr>
        <w:t>predisposing factors</w:t>
      </w:r>
      <w:r w:rsidRPr="00BF3275">
        <w:rPr>
          <w:b/>
          <w:sz w:val="20"/>
          <w:szCs w:val="20"/>
        </w:rPr>
        <w:t xml:space="preserve"> </w:t>
      </w:r>
      <w:r w:rsidRPr="00BF3275">
        <w:rPr>
          <w:bCs/>
          <w:sz w:val="20"/>
          <w:szCs w:val="20"/>
        </w:rPr>
        <w:t>in studied patients</w:t>
      </w:r>
      <w:r w:rsidRPr="00BF3275">
        <w:rPr>
          <w:sz w:val="20"/>
          <w:szCs w:val="20"/>
        </w:rPr>
        <w:t>. There were 8 patients (16%) had positive family history, 5 patients (10%) had hormonal risk factor while there were 37 patients (74%) had no predisposing risk factors</w:t>
      </w:r>
      <w:r>
        <w:rPr>
          <w:rFonts w:hint="eastAsia"/>
          <w:sz w:val="20"/>
          <w:szCs w:val="20"/>
          <w:lang w:eastAsia="zh-CN"/>
        </w:rPr>
        <w:t xml:space="preserve"> (Table 2)</w:t>
      </w:r>
      <w:r w:rsidRPr="00BF3275">
        <w:rPr>
          <w:sz w:val="20"/>
          <w:szCs w:val="20"/>
        </w:rPr>
        <w:t>.</w:t>
      </w:r>
    </w:p>
    <w:p w:rsidR="00DB7A58" w:rsidRPr="00BF3275" w:rsidRDefault="00DB7A58" w:rsidP="00DA2296">
      <w:pPr>
        <w:snapToGrid w:val="0"/>
        <w:jc w:val="center"/>
        <w:rPr>
          <w:b/>
          <w:sz w:val="20"/>
          <w:szCs w:val="20"/>
        </w:rPr>
      </w:pPr>
    </w:p>
    <w:p w:rsidR="00AD3741" w:rsidRPr="00BF3275" w:rsidRDefault="00AD3741" w:rsidP="00DA2296">
      <w:pPr>
        <w:snapToGrid w:val="0"/>
        <w:jc w:val="center"/>
        <w:rPr>
          <w:bCs/>
          <w:sz w:val="20"/>
          <w:szCs w:val="20"/>
        </w:rPr>
      </w:pPr>
      <w:r w:rsidRPr="00BF3275">
        <w:rPr>
          <w:b/>
          <w:sz w:val="20"/>
          <w:szCs w:val="20"/>
        </w:rPr>
        <w:t>Table (2</w:t>
      </w:r>
      <w:r w:rsidR="005F6E7D" w:rsidRPr="00BF3275">
        <w:rPr>
          <w:b/>
          <w:sz w:val="20"/>
          <w:szCs w:val="20"/>
        </w:rPr>
        <w:t>)</w:t>
      </w:r>
      <w:r w:rsidRPr="00BF3275">
        <w:rPr>
          <w:b/>
          <w:sz w:val="20"/>
          <w:szCs w:val="20"/>
        </w:rPr>
        <w:t xml:space="preserve">: </w:t>
      </w:r>
      <w:r w:rsidRPr="00BF3275">
        <w:rPr>
          <w:bCs/>
          <w:sz w:val="20"/>
          <w:szCs w:val="20"/>
        </w:rPr>
        <w:t>Description of predisposing factors in studied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3109"/>
        <w:gridCol w:w="2605"/>
        <w:gridCol w:w="1486"/>
        <w:gridCol w:w="2274"/>
      </w:tblGrid>
      <w:tr w:rsidR="00AD3741" w:rsidRPr="00BF3275" w:rsidTr="00462FBD">
        <w:trPr>
          <w:jc w:val="center"/>
        </w:trPr>
        <w:tc>
          <w:tcPr>
            <w:tcW w:w="3016" w:type="pct"/>
            <w:gridSpan w:val="2"/>
            <w:vAlign w:val="center"/>
          </w:tcPr>
          <w:p w:rsidR="00AD3741" w:rsidRPr="00BF3275" w:rsidRDefault="00AD3741" w:rsidP="00DA2296">
            <w:pPr>
              <w:snapToGrid w:val="0"/>
              <w:jc w:val="both"/>
              <w:rPr>
                <w:b/>
                <w:sz w:val="20"/>
                <w:szCs w:val="20"/>
              </w:rPr>
            </w:pPr>
            <w:r w:rsidRPr="00BF3275">
              <w:rPr>
                <w:b/>
                <w:sz w:val="20"/>
                <w:szCs w:val="20"/>
              </w:rPr>
              <w:t>Variables</w:t>
            </w:r>
          </w:p>
        </w:tc>
        <w:tc>
          <w:tcPr>
            <w:tcW w:w="1984" w:type="pct"/>
            <w:gridSpan w:val="2"/>
            <w:vAlign w:val="center"/>
          </w:tcPr>
          <w:p w:rsidR="00AD3741" w:rsidRPr="00BF3275" w:rsidRDefault="00AD3741" w:rsidP="00DA2296">
            <w:pPr>
              <w:snapToGrid w:val="0"/>
              <w:jc w:val="both"/>
              <w:rPr>
                <w:b/>
                <w:sz w:val="20"/>
                <w:szCs w:val="20"/>
              </w:rPr>
            </w:pPr>
            <w:r w:rsidRPr="00BF3275">
              <w:rPr>
                <w:b/>
                <w:sz w:val="20"/>
                <w:szCs w:val="20"/>
              </w:rPr>
              <w:t>Studied patients (N = 50)</w:t>
            </w:r>
          </w:p>
        </w:tc>
      </w:tr>
      <w:tr w:rsidR="00AD3741" w:rsidRPr="00BF3275" w:rsidTr="00462FBD">
        <w:trPr>
          <w:jc w:val="center"/>
        </w:trPr>
        <w:tc>
          <w:tcPr>
            <w:tcW w:w="1641" w:type="pct"/>
            <w:vMerge w:val="restart"/>
            <w:vAlign w:val="center"/>
          </w:tcPr>
          <w:p w:rsidR="00AD3741" w:rsidRPr="00BF3275" w:rsidRDefault="00AD3741" w:rsidP="00DA2296">
            <w:pPr>
              <w:snapToGrid w:val="0"/>
              <w:jc w:val="both"/>
              <w:rPr>
                <w:b/>
                <w:sz w:val="20"/>
                <w:szCs w:val="20"/>
              </w:rPr>
            </w:pPr>
            <w:r w:rsidRPr="00BF3275">
              <w:rPr>
                <w:b/>
                <w:sz w:val="20"/>
                <w:szCs w:val="20"/>
              </w:rPr>
              <w:t>Predisposing factors</w:t>
            </w:r>
          </w:p>
        </w:tc>
        <w:tc>
          <w:tcPr>
            <w:tcW w:w="1375" w:type="pct"/>
            <w:vAlign w:val="center"/>
          </w:tcPr>
          <w:p w:rsidR="00AD3741" w:rsidRPr="00BF3275" w:rsidRDefault="00AD3741" w:rsidP="00DA2296">
            <w:pPr>
              <w:snapToGrid w:val="0"/>
              <w:jc w:val="both"/>
              <w:rPr>
                <w:b/>
                <w:sz w:val="20"/>
                <w:szCs w:val="20"/>
              </w:rPr>
            </w:pPr>
            <w:r w:rsidRPr="00BF3275">
              <w:rPr>
                <w:b/>
                <w:sz w:val="20"/>
                <w:szCs w:val="20"/>
              </w:rPr>
              <w:t>No PF</w:t>
            </w:r>
          </w:p>
        </w:tc>
        <w:tc>
          <w:tcPr>
            <w:tcW w:w="784" w:type="pct"/>
            <w:vAlign w:val="center"/>
          </w:tcPr>
          <w:p w:rsidR="00AD3741" w:rsidRPr="00BF3275" w:rsidRDefault="00AD3741" w:rsidP="00DA2296">
            <w:pPr>
              <w:snapToGrid w:val="0"/>
              <w:jc w:val="both"/>
              <w:rPr>
                <w:sz w:val="20"/>
                <w:szCs w:val="20"/>
              </w:rPr>
            </w:pPr>
            <w:r w:rsidRPr="00BF3275">
              <w:rPr>
                <w:sz w:val="20"/>
                <w:szCs w:val="20"/>
              </w:rPr>
              <w:t>37</w:t>
            </w:r>
          </w:p>
        </w:tc>
        <w:tc>
          <w:tcPr>
            <w:tcW w:w="1200" w:type="pct"/>
            <w:vAlign w:val="center"/>
          </w:tcPr>
          <w:p w:rsidR="00AD3741" w:rsidRPr="00BF3275" w:rsidRDefault="00AD3741" w:rsidP="00DA2296">
            <w:pPr>
              <w:snapToGrid w:val="0"/>
              <w:jc w:val="both"/>
              <w:rPr>
                <w:sz w:val="20"/>
                <w:szCs w:val="20"/>
              </w:rPr>
            </w:pPr>
            <w:r w:rsidRPr="00BF3275">
              <w:rPr>
                <w:sz w:val="20"/>
                <w:szCs w:val="20"/>
              </w:rPr>
              <w:t>74%</w:t>
            </w:r>
          </w:p>
        </w:tc>
      </w:tr>
      <w:tr w:rsidR="00AD3741" w:rsidRPr="00BF3275" w:rsidTr="00462FBD">
        <w:trPr>
          <w:jc w:val="center"/>
        </w:trPr>
        <w:tc>
          <w:tcPr>
            <w:tcW w:w="1641" w:type="pct"/>
            <w:vMerge/>
            <w:vAlign w:val="center"/>
          </w:tcPr>
          <w:p w:rsidR="00AD3741" w:rsidRPr="00BF3275" w:rsidRDefault="00AD3741" w:rsidP="00DA2296">
            <w:pPr>
              <w:snapToGrid w:val="0"/>
              <w:jc w:val="both"/>
              <w:rPr>
                <w:b/>
                <w:bCs/>
                <w:sz w:val="20"/>
                <w:szCs w:val="20"/>
              </w:rPr>
            </w:pPr>
          </w:p>
        </w:tc>
        <w:tc>
          <w:tcPr>
            <w:tcW w:w="1375" w:type="pct"/>
            <w:vAlign w:val="center"/>
          </w:tcPr>
          <w:p w:rsidR="00AD3741" w:rsidRPr="00BF3275" w:rsidRDefault="00AD3741" w:rsidP="00DA2296">
            <w:pPr>
              <w:snapToGrid w:val="0"/>
              <w:jc w:val="both"/>
              <w:rPr>
                <w:b/>
                <w:sz w:val="20"/>
                <w:szCs w:val="20"/>
              </w:rPr>
            </w:pPr>
            <w:r w:rsidRPr="00BF3275">
              <w:rPr>
                <w:b/>
                <w:sz w:val="20"/>
                <w:szCs w:val="20"/>
              </w:rPr>
              <w:t>Positive FH</w:t>
            </w:r>
          </w:p>
        </w:tc>
        <w:tc>
          <w:tcPr>
            <w:tcW w:w="784" w:type="pct"/>
            <w:vAlign w:val="center"/>
          </w:tcPr>
          <w:p w:rsidR="00AD3741" w:rsidRPr="00BF3275" w:rsidRDefault="00AD3741" w:rsidP="00DA2296">
            <w:pPr>
              <w:snapToGrid w:val="0"/>
              <w:jc w:val="both"/>
              <w:rPr>
                <w:sz w:val="20"/>
                <w:szCs w:val="20"/>
              </w:rPr>
            </w:pPr>
            <w:r w:rsidRPr="00BF3275">
              <w:rPr>
                <w:sz w:val="20"/>
                <w:szCs w:val="20"/>
              </w:rPr>
              <w:t>8</w:t>
            </w:r>
          </w:p>
        </w:tc>
        <w:tc>
          <w:tcPr>
            <w:tcW w:w="1200" w:type="pct"/>
            <w:vAlign w:val="center"/>
          </w:tcPr>
          <w:p w:rsidR="00AD3741" w:rsidRPr="00BF3275" w:rsidRDefault="00AD3741" w:rsidP="00DA2296">
            <w:pPr>
              <w:snapToGrid w:val="0"/>
              <w:jc w:val="both"/>
              <w:rPr>
                <w:sz w:val="20"/>
                <w:szCs w:val="20"/>
              </w:rPr>
            </w:pPr>
            <w:r w:rsidRPr="00BF3275">
              <w:rPr>
                <w:sz w:val="20"/>
                <w:szCs w:val="20"/>
              </w:rPr>
              <w:t>16%</w:t>
            </w:r>
          </w:p>
        </w:tc>
      </w:tr>
      <w:tr w:rsidR="00AD3741" w:rsidRPr="00BF3275" w:rsidTr="00462FBD">
        <w:trPr>
          <w:jc w:val="center"/>
        </w:trPr>
        <w:tc>
          <w:tcPr>
            <w:tcW w:w="1641" w:type="pct"/>
            <w:vMerge/>
            <w:vAlign w:val="center"/>
          </w:tcPr>
          <w:p w:rsidR="00AD3741" w:rsidRPr="00BF3275" w:rsidRDefault="00AD3741" w:rsidP="00DA2296">
            <w:pPr>
              <w:snapToGrid w:val="0"/>
              <w:jc w:val="both"/>
              <w:rPr>
                <w:b/>
                <w:bCs/>
                <w:sz w:val="20"/>
                <w:szCs w:val="20"/>
              </w:rPr>
            </w:pPr>
          </w:p>
        </w:tc>
        <w:tc>
          <w:tcPr>
            <w:tcW w:w="1375" w:type="pct"/>
            <w:vAlign w:val="center"/>
          </w:tcPr>
          <w:p w:rsidR="00AD3741" w:rsidRPr="00BF3275" w:rsidRDefault="00AD3741" w:rsidP="00DA2296">
            <w:pPr>
              <w:snapToGrid w:val="0"/>
              <w:jc w:val="both"/>
              <w:rPr>
                <w:b/>
                <w:sz w:val="20"/>
                <w:szCs w:val="20"/>
              </w:rPr>
            </w:pPr>
            <w:r w:rsidRPr="00BF3275">
              <w:rPr>
                <w:b/>
                <w:sz w:val="20"/>
                <w:szCs w:val="20"/>
              </w:rPr>
              <w:t>Hormonal factor</w:t>
            </w:r>
          </w:p>
        </w:tc>
        <w:tc>
          <w:tcPr>
            <w:tcW w:w="784" w:type="pct"/>
            <w:vAlign w:val="center"/>
          </w:tcPr>
          <w:p w:rsidR="00AD3741" w:rsidRPr="00BF3275" w:rsidRDefault="00AD3741" w:rsidP="00DA2296">
            <w:pPr>
              <w:snapToGrid w:val="0"/>
              <w:jc w:val="both"/>
              <w:rPr>
                <w:sz w:val="20"/>
                <w:szCs w:val="20"/>
              </w:rPr>
            </w:pPr>
            <w:r w:rsidRPr="00BF3275">
              <w:rPr>
                <w:sz w:val="20"/>
                <w:szCs w:val="20"/>
              </w:rPr>
              <w:t>5</w:t>
            </w:r>
          </w:p>
        </w:tc>
        <w:tc>
          <w:tcPr>
            <w:tcW w:w="1200" w:type="pct"/>
            <w:vAlign w:val="center"/>
          </w:tcPr>
          <w:p w:rsidR="00AD3741" w:rsidRPr="00BF3275" w:rsidRDefault="00AD3741" w:rsidP="00DA2296">
            <w:pPr>
              <w:snapToGrid w:val="0"/>
              <w:jc w:val="both"/>
              <w:rPr>
                <w:sz w:val="20"/>
                <w:szCs w:val="20"/>
              </w:rPr>
            </w:pPr>
            <w:r w:rsidRPr="00BF3275">
              <w:rPr>
                <w:sz w:val="20"/>
                <w:szCs w:val="20"/>
              </w:rPr>
              <w:t>10%</w:t>
            </w:r>
          </w:p>
        </w:tc>
      </w:tr>
    </w:tbl>
    <w:p w:rsidR="00DB7A58" w:rsidRDefault="00DB7A58" w:rsidP="00DA2296">
      <w:pPr>
        <w:snapToGrid w:val="0"/>
        <w:ind w:firstLine="425"/>
        <w:jc w:val="both"/>
        <w:rPr>
          <w:rFonts w:hint="eastAsia"/>
          <w:sz w:val="20"/>
          <w:szCs w:val="20"/>
          <w:lang w:eastAsia="zh-CN"/>
        </w:rPr>
      </w:pPr>
    </w:p>
    <w:p w:rsidR="0038154B" w:rsidRDefault="0038154B" w:rsidP="00DA2296">
      <w:pPr>
        <w:snapToGrid w:val="0"/>
        <w:ind w:firstLine="425"/>
        <w:jc w:val="both"/>
        <w:rPr>
          <w:rFonts w:hint="eastAsia"/>
          <w:sz w:val="20"/>
          <w:szCs w:val="20"/>
          <w:lang w:eastAsia="zh-CN"/>
        </w:rPr>
      </w:pPr>
    </w:p>
    <w:p w:rsidR="00BF3275" w:rsidRPr="00BF3275" w:rsidRDefault="00BF3275" w:rsidP="00BF3275">
      <w:pPr>
        <w:snapToGrid w:val="0"/>
        <w:ind w:firstLine="425"/>
        <w:jc w:val="both"/>
        <w:rPr>
          <w:bCs/>
          <w:sz w:val="20"/>
          <w:szCs w:val="20"/>
        </w:rPr>
      </w:pPr>
      <w:r w:rsidRPr="00BF3275">
        <w:rPr>
          <w:bCs/>
          <w:sz w:val="20"/>
          <w:szCs w:val="20"/>
        </w:rPr>
        <w:t xml:space="preserve">This table shows no statistical significant difference </w:t>
      </w:r>
      <w:r w:rsidRPr="00BF3275">
        <w:rPr>
          <w:b/>
          <w:sz w:val="20"/>
          <w:szCs w:val="20"/>
        </w:rPr>
        <w:t>(p-value &gt; 0.05)</w:t>
      </w:r>
      <w:r w:rsidRPr="00BF3275">
        <w:rPr>
          <w:bCs/>
          <w:sz w:val="20"/>
          <w:szCs w:val="20"/>
        </w:rPr>
        <w:t xml:space="preserve"> between age of patients as regard U/S results</w:t>
      </w:r>
      <w:r>
        <w:rPr>
          <w:rFonts w:hint="eastAsia"/>
          <w:bCs/>
          <w:sz w:val="20"/>
          <w:szCs w:val="20"/>
          <w:lang w:eastAsia="zh-CN"/>
        </w:rPr>
        <w:t xml:space="preserve"> </w:t>
      </w:r>
      <w:r>
        <w:rPr>
          <w:rFonts w:hint="eastAsia"/>
          <w:sz w:val="20"/>
          <w:szCs w:val="20"/>
          <w:lang w:eastAsia="zh-CN"/>
        </w:rPr>
        <w:t>(Table 3)</w:t>
      </w:r>
      <w:r w:rsidRPr="00BF3275">
        <w:rPr>
          <w:bCs/>
          <w:sz w:val="20"/>
          <w:szCs w:val="20"/>
        </w:rPr>
        <w:t>.</w:t>
      </w:r>
    </w:p>
    <w:p w:rsidR="00DB7A58" w:rsidRPr="00BF3275" w:rsidRDefault="00DB7A58" w:rsidP="00DA2296">
      <w:pPr>
        <w:snapToGrid w:val="0"/>
        <w:jc w:val="center"/>
        <w:rPr>
          <w:b/>
          <w:sz w:val="20"/>
          <w:szCs w:val="20"/>
        </w:rPr>
      </w:pPr>
    </w:p>
    <w:p w:rsidR="00AD3741" w:rsidRPr="00BF3275" w:rsidRDefault="00AD3741" w:rsidP="00DA2296">
      <w:pPr>
        <w:snapToGrid w:val="0"/>
        <w:jc w:val="center"/>
        <w:rPr>
          <w:bCs/>
          <w:sz w:val="20"/>
          <w:szCs w:val="20"/>
        </w:rPr>
      </w:pPr>
      <w:r w:rsidRPr="00BF3275">
        <w:rPr>
          <w:b/>
          <w:sz w:val="20"/>
          <w:szCs w:val="20"/>
        </w:rPr>
        <w:t xml:space="preserve">Table </w:t>
      </w:r>
      <w:r w:rsidR="005F6E7D" w:rsidRPr="00BF3275">
        <w:rPr>
          <w:b/>
          <w:sz w:val="20"/>
          <w:szCs w:val="20"/>
        </w:rPr>
        <w:t>(</w:t>
      </w:r>
      <w:r w:rsidR="000A6012" w:rsidRPr="00BF3275">
        <w:rPr>
          <w:b/>
          <w:sz w:val="20"/>
          <w:szCs w:val="20"/>
        </w:rPr>
        <w:t>3</w:t>
      </w:r>
      <w:r w:rsidRPr="00BF3275">
        <w:rPr>
          <w:b/>
          <w:sz w:val="20"/>
          <w:szCs w:val="20"/>
        </w:rPr>
        <w:t xml:space="preserve">): </w:t>
      </w:r>
      <w:r w:rsidRPr="00BF3275">
        <w:rPr>
          <w:bCs/>
          <w:sz w:val="20"/>
          <w:szCs w:val="20"/>
        </w:rPr>
        <w:t>Comparison between age of patients as regard U/S results.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475"/>
        <w:gridCol w:w="819"/>
        <w:gridCol w:w="2008"/>
        <w:gridCol w:w="1935"/>
        <w:gridCol w:w="2206"/>
        <w:gridCol w:w="1031"/>
      </w:tblGrid>
      <w:tr w:rsidR="00AD3741" w:rsidRPr="00BF3275" w:rsidTr="00462FBD">
        <w:trPr>
          <w:jc w:val="center"/>
        </w:trPr>
        <w:tc>
          <w:tcPr>
            <w:tcW w:w="1211" w:type="pct"/>
            <w:gridSpan w:val="2"/>
            <w:vMerge w:val="restart"/>
            <w:vAlign w:val="center"/>
          </w:tcPr>
          <w:p w:rsidR="00AD3741" w:rsidRPr="00BF3275" w:rsidRDefault="00AD3741" w:rsidP="00DA2296">
            <w:pPr>
              <w:snapToGrid w:val="0"/>
              <w:jc w:val="both"/>
              <w:rPr>
                <w:b/>
                <w:sz w:val="20"/>
                <w:szCs w:val="20"/>
              </w:rPr>
            </w:pPr>
            <w:r w:rsidRPr="00BF3275">
              <w:rPr>
                <w:b/>
                <w:sz w:val="20"/>
                <w:szCs w:val="20"/>
              </w:rPr>
              <w:t>Variables</w:t>
            </w:r>
          </w:p>
        </w:tc>
        <w:tc>
          <w:tcPr>
            <w:tcW w:w="3244" w:type="pct"/>
            <w:gridSpan w:val="3"/>
            <w:vAlign w:val="center"/>
          </w:tcPr>
          <w:p w:rsidR="00AD3741" w:rsidRPr="00BF3275" w:rsidRDefault="00AD3741" w:rsidP="00DA2296">
            <w:pPr>
              <w:snapToGrid w:val="0"/>
              <w:jc w:val="both"/>
              <w:rPr>
                <w:b/>
                <w:bCs/>
                <w:sz w:val="20"/>
                <w:szCs w:val="20"/>
              </w:rPr>
            </w:pPr>
            <w:r w:rsidRPr="00BF3275">
              <w:rPr>
                <w:b/>
                <w:bCs/>
                <w:sz w:val="20"/>
                <w:szCs w:val="20"/>
              </w:rPr>
              <w:t>U/S results</w:t>
            </w:r>
          </w:p>
        </w:tc>
        <w:tc>
          <w:tcPr>
            <w:tcW w:w="544" w:type="pct"/>
            <w:vMerge w:val="restart"/>
            <w:vAlign w:val="center"/>
          </w:tcPr>
          <w:p w:rsidR="00AD3741" w:rsidRPr="00BF3275" w:rsidRDefault="00AD3741" w:rsidP="00DA2296">
            <w:pPr>
              <w:snapToGrid w:val="0"/>
              <w:jc w:val="both"/>
              <w:rPr>
                <w:b/>
                <w:bCs/>
                <w:sz w:val="20"/>
                <w:szCs w:val="20"/>
              </w:rPr>
            </w:pPr>
            <w:r w:rsidRPr="00BF3275">
              <w:rPr>
                <w:b/>
                <w:bCs/>
                <w:sz w:val="20"/>
                <w:szCs w:val="20"/>
              </w:rPr>
              <w:t>P-value</w:t>
            </w:r>
          </w:p>
        </w:tc>
      </w:tr>
      <w:tr w:rsidR="00AD3741" w:rsidRPr="00BF3275" w:rsidTr="00462FBD">
        <w:trPr>
          <w:jc w:val="center"/>
        </w:trPr>
        <w:tc>
          <w:tcPr>
            <w:tcW w:w="1211" w:type="pct"/>
            <w:gridSpan w:val="2"/>
            <w:vMerge/>
            <w:vAlign w:val="center"/>
          </w:tcPr>
          <w:p w:rsidR="00AD3741" w:rsidRPr="00BF3275" w:rsidRDefault="00AD3741" w:rsidP="00DA2296">
            <w:pPr>
              <w:snapToGrid w:val="0"/>
              <w:jc w:val="both"/>
              <w:rPr>
                <w:b/>
                <w:sz w:val="20"/>
                <w:szCs w:val="20"/>
              </w:rPr>
            </w:pPr>
          </w:p>
        </w:tc>
        <w:tc>
          <w:tcPr>
            <w:tcW w:w="1060" w:type="pct"/>
            <w:vAlign w:val="center"/>
          </w:tcPr>
          <w:p w:rsidR="00AD3741" w:rsidRPr="00BF3275" w:rsidRDefault="00AD3741" w:rsidP="00DA2296">
            <w:pPr>
              <w:snapToGrid w:val="0"/>
              <w:jc w:val="both"/>
              <w:rPr>
                <w:b/>
                <w:sz w:val="20"/>
                <w:szCs w:val="20"/>
              </w:rPr>
            </w:pPr>
            <w:r w:rsidRPr="00BF3275">
              <w:rPr>
                <w:b/>
                <w:sz w:val="20"/>
                <w:szCs w:val="20"/>
              </w:rPr>
              <w:t>Normal</w:t>
            </w:r>
            <w:r w:rsidR="000A6012" w:rsidRPr="00BF3275">
              <w:rPr>
                <w:b/>
                <w:sz w:val="20"/>
                <w:szCs w:val="20"/>
              </w:rPr>
              <w:t xml:space="preserve"> </w:t>
            </w:r>
            <w:r w:rsidRPr="00BF3275">
              <w:rPr>
                <w:b/>
                <w:sz w:val="20"/>
                <w:szCs w:val="20"/>
              </w:rPr>
              <w:t>(n = 35)</w:t>
            </w:r>
          </w:p>
        </w:tc>
        <w:tc>
          <w:tcPr>
            <w:tcW w:w="1021" w:type="pct"/>
            <w:vAlign w:val="center"/>
          </w:tcPr>
          <w:p w:rsidR="00AD3741" w:rsidRPr="00BF3275" w:rsidRDefault="00AD3741" w:rsidP="00DA2296">
            <w:pPr>
              <w:snapToGrid w:val="0"/>
              <w:jc w:val="both"/>
              <w:rPr>
                <w:b/>
                <w:sz w:val="20"/>
                <w:szCs w:val="20"/>
              </w:rPr>
            </w:pPr>
            <w:r w:rsidRPr="00BF3275">
              <w:rPr>
                <w:b/>
                <w:sz w:val="20"/>
                <w:szCs w:val="20"/>
              </w:rPr>
              <w:t>Benign</w:t>
            </w:r>
            <w:r w:rsidR="000A6012" w:rsidRPr="00BF3275">
              <w:rPr>
                <w:b/>
                <w:sz w:val="20"/>
                <w:szCs w:val="20"/>
              </w:rPr>
              <w:t xml:space="preserve"> </w:t>
            </w:r>
            <w:r w:rsidRPr="00BF3275">
              <w:rPr>
                <w:b/>
                <w:sz w:val="20"/>
                <w:szCs w:val="20"/>
              </w:rPr>
              <w:t>(n = 12)</w:t>
            </w:r>
          </w:p>
        </w:tc>
        <w:tc>
          <w:tcPr>
            <w:tcW w:w="1164" w:type="pct"/>
            <w:vAlign w:val="center"/>
          </w:tcPr>
          <w:p w:rsidR="00AD3741" w:rsidRPr="00BF3275" w:rsidRDefault="00AD3741" w:rsidP="00DA2296">
            <w:pPr>
              <w:snapToGrid w:val="0"/>
              <w:jc w:val="both"/>
              <w:rPr>
                <w:b/>
                <w:sz w:val="20"/>
                <w:szCs w:val="20"/>
              </w:rPr>
            </w:pPr>
            <w:r w:rsidRPr="00BF3275">
              <w:rPr>
                <w:b/>
                <w:sz w:val="20"/>
                <w:szCs w:val="20"/>
              </w:rPr>
              <w:t>Suspicious</w:t>
            </w:r>
            <w:r w:rsidR="000A6012" w:rsidRPr="00BF3275">
              <w:rPr>
                <w:b/>
                <w:sz w:val="20"/>
                <w:szCs w:val="20"/>
              </w:rPr>
              <w:t xml:space="preserve"> </w:t>
            </w:r>
            <w:r w:rsidRPr="00BF3275">
              <w:rPr>
                <w:b/>
                <w:sz w:val="20"/>
                <w:szCs w:val="20"/>
              </w:rPr>
              <w:t>(n = 3)</w:t>
            </w:r>
          </w:p>
        </w:tc>
        <w:tc>
          <w:tcPr>
            <w:tcW w:w="544" w:type="pct"/>
            <w:vMerge/>
            <w:vAlign w:val="center"/>
          </w:tcPr>
          <w:p w:rsidR="00AD3741" w:rsidRPr="00BF3275" w:rsidRDefault="00AD3741" w:rsidP="00DA2296">
            <w:pPr>
              <w:snapToGrid w:val="0"/>
              <w:jc w:val="both"/>
              <w:rPr>
                <w:sz w:val="20"/>
                <w:szCs w:val="20"/>
              </w:rPr>
            </w:pPr>
          </w:p>
        </w:tc>
      </w:tr>
      <w:tr w:rsidR="00AD3741" w:rsidRPr="00BF3275" w:rsidTr="00462FBD">
        <w:trPr>
          <w:jc w:val="center"/>
        </w:trPr>
        <w:tc>
          <w:tcPr>
            <w:tcW w:w="779" w:type="pct"/>
            <w:vMerge w:val="restart"/>
            <w:vAlign w:val="center"/>
          </w:tcPr>
          <w:p w:rsidR="00AD3741" w:rsidRPr="00BF3275" w:rsidRDefault="00AD3741" w:rsidP="00DA2296">
            <w:pPr>
              <w:snapToGrid w:val="0"/>
              <w:jc w:val="both"/>
              <w:rPr>
                <w:b/>
                <w:sz w:val="20"/>
                <w:szCs w:val="20"/>
              </w:rPr>
            </w:pPr>
            <w:r w:rsidRPr="00BF3275">
              <w:rPr>
                <w:b/>
                <w:sz w:val="20"/>
                <w:szCs w:val="20"/>
              </w:rPr>
              <w:t>Age (years)</w:t>
            </w:r>
          </w:p>
        </w:tc>
        <w:tc>
          <w:tcPr>
            <w:tcW w:w="432" w:type="pct"/>
            <w:vAlign w:val="center"/>
          </w:tcPr>
          <w:p w:rsidR="00AD3741" w:rsidRPr="00BF3275" w:rsidRDefault="00AD3741" w:rsidP="00DA2296">
            <w:pPr>
              <w:snapToGrid w:val="0"/>
              <w:jc w:val="both"/>
              <w:rPr>
                <w:b/>
                <w:sz w:val="20"/>
                <w:szCs w:val="20"/>
              </w:rPr>
            </w:pPr>
            <w:r w:rsidRPr="00BF3275">
              <w:rPr>
                <w:b/>
                <w:sz w:val="20"/>
                <w:szCs w:val="20"/>
              </w:rPr>
              <w:t>Mean</w:t>
            </w:r>
          </w:p>
        </w:tc>
        <w:tc>
          <w:tcPr>
            <w:tcW w:w="1060" w:type="pct"/>
            <w:vAlign w:val="center"/>
          </w:tcPr>
          <w:p w:rsidR="00AD3741" w:rsidRPr="00BF3275" w:rsidRDefault="00AD3741" w:rsidP="00DA2296">
            <w:pPr>
              <w:snapToGrid w:val="0"/>
              <w:jc w:val="both"/>
              <w:rPr>
                <w:sz w:val="20"/>
                <w:szCs w:val="20"/>
              </w:rPr>
            </w:pPr>
            <w:r w:rsidRPr="00BF3275">
              <w:rPr>
                <w:sz w:val="20"/>
                <w:szCs w:val="20"/>
              </w:rPr>
              <w:t>46.7</w:t>
            </w:r>
          </w:p>
        </w:tc>
        <w:tc>
          <w:tcPr>
            <w:tcW w:w="1021" w:type="pct"/>
            <w:vAlign w:val="center"/>
          </w:tcPr>
          <w:p w:rsidR="00AD3741" w:rsidRPr="00BF3275" w:rsidRDefault="00AD3741" w:rsidP="00DA2296">
            <w:pPr>
              <w:snapToGrid w:val="0"/>
              <w:jc w:val="both"/>
              <w:rPr>
                <w:sz w:val="20"/>
                <w:szCs w:val="20"/>
              </w:rPr>
            </w:pPr>
            <w:r w:rsidRPr="00BF3275">
              <w:rPr>
                <w:sz w:val="20"/>
                <w:szCs w:val="20"/>
              </w:rPr>
              <w:t>43.6</w:t>
            </w:r>
          </w:p>
        </w:tc>
        <w:tc>
          <w:tcPr>
            <w:tcW w:w="1164" w:type="pct"/>
            <w:vAlign w:val="center"/>
          </w:tcPr>
          <w:p w:rsidR="00AD3741" w:rsidRPr="00BF3275" w:rsidRDefault="00AD3741" w:rsidP="00DA2296">
            <w:pPr>
              <w:snapToGrid w:val="0"/>
              <w:jc w:val="both"/>
              <w:rPr>
                <w:sz w:val="20"/>
                <w:szCs w:val="20"/>
              </w:rPr>
            </w:pPr>
            <w:r w:rsidRPr="00BF3275">
              <w:rPr>
                <w:sz w:val="20"/>
                <w:szCs w:val="20"/>
              </w:rPr>
              <w:t>44.0</w:t>
            </w:r>
          </w:p>
        </w:tc>
        <w:tc>
          <w:tcPr>
            <w:tcW w:w="544" w:type="pct"/>
            <w:vMerge w:val="restart"/>
            <w:vAlign w:val="center"/>
          </w:tcPr>
          <w:p w:rsidR="00AD3741" w:rsidRPr="00BF3275" w:rsidRDefault="00AD3741" w:rsidP="00DA2296">
            <w:pPr>
              <w:snapToGrid w:val="0"/>
              <w:jc w:val="both"/>
              <w:rPr>
                <w:sz w:val="20"/>
                <w:szCs w:val="20"/>
              </w:rPr>
            </w:pPr>
            <w:r w:rsidRPr="00BF3275">
              <w:rPr>
                <w:sz w:val="20"/>
                <w:szCs w:val="20"/>
              </w:rPr>
              <w:t>0.125</w:t>
            </w:r>
          </w:p>
          <w:p w:rsidR="00AD3741" w:rsidRPr="00BF3275" w:rsidRDefault="00AD3741" w:rsidP="00DA2296">
            <w:pPr>
              <w:snapToGrid w:val="0"/>
              <w:jc w:val="both"/>
              <w:rPr>
                <w:sz w:val="20"/>
                <w:szCs w:val="20"/>
              </w:rPr>
            </w:pPr>
            <w:r w:rsidRPr="00BF3275">
              <w:rPr>
                <w:sz w:val="20"/>
                <w:szCs w:val="20"/>
              </w:rPr>
              <w:t>NS</w:t>
            </w:r>
          </w:p>
        </w:tc>
      </w:tr>
      <w:tr w:rsidR="00AD3741" w:rsidRPr="00BF3275" w:rsidTr="00462FBD">
        <w:trPr>
          <w:jc w:val="center"/>
        </w:trPr>
        <w:tc>
          <w:tcPr>
            <w:tcW w:w="779" w:type="pct"/>
            <w:vMerge/>
            <w:vAlign w:val="center"/>
          </w:tcPr>
          <w:p w:rsidR="00AD3741" w:rsidRPr="00BF3275" w:rsidRDefault="00AD3741" w:rsidP="00DA2296">
            <w:pPr>
              <w:snapToGrid w:val="0"/>
              <w:jc w:val="both"/>
              <w:rPr>
                <w:b/>
                <w:bCs/>
                <w:sz w:val="20"/>
                <w:szCs w:val="20"/>
              </w:rPr>
            </w:pPr>
          </w:p>
        </w:tc>
        <w:tc>
          <w:tcPr>
            <w:tcW w:w="432" w:type="pct"/>
            <w:vAlign w:val="center"/>
          </w:tcPr>
          <w:p w:rsidR="00AD3741" w:rsidRPr="00BF3275" w:rsidRDefault="00AD3741" w:rsidP="00DA2296">
            <w:pPr>
              <w:snapToGrid w:val="0"/>
              <w:jc w:val="both"/>
              <w:rPr>
                <w:b/>
                <w:sz w:val="20"/>
                <w:szCs w:val="20"/>
              </w:rPr>
            </w:pPr>
            <w:r w:rsidRPr="00BF3275">
              <w:rPr>
                <w:b/>
                <w:sz w:val="20"/>
                <w:szCs w:val="20"/>
              </w:rPr>
              <w:t>±SD</w:t>
            </w:r>
          </w:p>
        </w:tc>
        <w:tc>
          <w:tcPr>
            <w:tcW w:w="1060" w:type="pct"/>
            <w:vAlign w:val="center"/>
          </w:tcPr>
          <w:p w:rsidR="00AD3741" w:rsidRPr="00BF3275" w:rsidRDefault="00AD3741" w:rsidP="00DA2296">
            <w:pPr>
              <w:snapToGrid w:val="0"/>
              <w:jc w:val="both"/>
              <w:rPr>
                <w:sz w:val="20"/>
                <w:szCs w:val="20"/>
              </w:rPr>
            </w:pPr>
            <w:r w:rsidRPr="00BF3275">
              <w:rPr>
                <w:sz w:val="20"/>
                <w:szCs w:val="20"/>
              </w:rPr>
              <w:t>4.9</w:t>
            </w:r>
          </w:p>
        </w:tc>
        <w:tc>
          <w:tcPr>
            <w:tcW w:w="1021" w:type="pct"/>
            <w:vAlign w:val="center"/>
          </w:tcPr>
          <w:p w:rsidR="00AD3741" w:rsidRPr="00BF3275" w:rsidRDefault="00AD3741" w:rsidP="00DA2296">
            <w:pPr>
              <w:snapToGrid w:val="0"/>
              <w:jc w:val="both"/>
              <w:rPr>
                <w:sz w:val="20"/>
                <w:szCs w:val="20"/>
              </w:rPr>
            </w:pPr>
            <w:r w:rsidRPr="00BF3275">
              <w:rPr>
                <w:sz w:val="20"/>
                <w:szCs w:val="20"/>
              </w:rPr>
              <w:t>4.7</w:t>
            </w:r>
          </w:p>
        </w:tc>
        <w:tc>
          <w:tcPr>
            <w:tcW w:w="1164" w:type="pct"/>
            <w:vAlign w:val="center"/>
          </w:tcPr>
          <w:p w:rsidR="00AD3741" w:rsidRPr="00BF3275" w:rsidRDefault="00AD3741" w:rsidP="00DA2296">
            <w:pPr>
              <w:snapToGrid w:val="0"/>
              <w:jc w:val="both"/>
              <w:rPr>
                <w:sz w:val="20"/>
                <w:szCs w:val="20"/>
              </w:rPr>
            </w:pPr>
            <w:r w:rsidRPr="00BF3275">
              <w:rPr>
                <w:sz w:val="20"/>
                <w:szCs w:val="20"/>
              </w:rPr>
              <w:t>6.08</w:t>
            </w:r>
          </w:p>
        </w:tc>
        <w:tc>
          <w:tcPr>
            <w:tcW w:w="544" w:type="pct"/>
            <w:vMerge/>
            <w:vAlign w:val="center"/>
          </w:tcPr>
          <w:p w:rsidR="00AD3741" w:rsidRPr="00BF3275" w:rsidRDefault="00AD3741" w:rsidP="00DA2296">
            <w:pPr>
              <w:snapToGrid w:val="0"/>
              <w:jc w:val="both"/>
              <w:rPr>
                <w:b/>
                <w:sz w:val="20"/>
                <w:szCs w:val="20"/>
              </w:rPr>
            </w:pPr>
          </w:p>
        </w:tc>
      </w:tr>
    </w:tbl>
    <w:p w:rsidR="00AD3741" w:rsidRPr="00BF3275" w:rsidRDefault="00AD3741" w:rsidP="00DE2288">
      <w:pPr>
        <w:snapToGrid w:val="0"/>
        <w:jc w:val="both"/>
        <w:rPr>
          <w:bCs/>
          <w:sz w:val="20"/>
          <w:szCs w:val="20"/>
        </w:rPr>
      </w:pPr>
      <w:r w:rsidRPr="00BF3275">
        <w:rPr>
          <w:bCs/>
          <w:sz w:val="20"/>
          <w:szCs w:val="20"/>
        </w:rPr>
        <w:t>NS: p-value &gt; 0.05 is considered non-significant.</w:t>
      </w:r>
    </w:p>
    <w:p w:rsidR="00DB7A58" w:rsidRDefault="00DB7A58" w:rsidP="00DA2296">
      <w:pPr>
        <w:snapToGrid w:val="0"/>
        <w:ind w:firstLine="425"/>
        <w:jc w:val="both"/>
        <w:rPr>
          <w:rFonts w:hint="eastAsia"/>
          <w:bCs/>
          <w:sz w:val="20"/>
          <w:szCs w:val="20"/>
          <w:lang w:eastAsia="zh-CN"/>
        </w:rPr>
      </w:pPr>
    </w:p>
    <w:p w:rsidR="0038154B" w:rsidRDefault="0038154B" w:rsidP="00DA2296">
      <w:pPr>
        <w:snapToGrid w:val="0"/>
        <w:ind w:firstLine="425"/>
        <w:jc w:val="both"/>
        <w:rPr>
          <w:rFonts w:hint="eastAsia"/>
          <w:bCs/>
          <w:sz w:val="20"/>
          <w:szCs w:val="20"/>
          <w:lang w:eastAsia="zh-CN"/>
        </w:rPr>
      </w:pPr>
    </w:p>
    <w:p w:rsidR="00BF3275" w:rsidRPr="00BF3275" w:rsidRDefault="00BF3275" w:rsidP="00DA2296">
      <w:pPr>
        <w:snapToGrid w:val="0"/>
        <w:ind w:firstLine="425"/>
        <w:jc w:val="both"/>
        <w:rPr>
          <w:rFonts w:hint="eastAsia"/>
          <w:bCs/>
          <w:sz w:val="20"/>
          <w:szCs w:val="20"/>
          <w:lang w:eastAsia="zh-CN"/>
        </w:rPr>
      </w:pPr>
      <w:r w:rsidRPr="00BF3275">
        <w:rPr>
          <w:sz w:val="20"/>
          <w:szCs w:val="20"/>
        </w:rPr>
        <w:t>This table shows the</w:t>
      </w:r>
      <w:r w:rsidRPr="00BF3275">
        <w:rPr>
          <w:b/>
          <w:bCs/>
          <w:sz w:val="20"/>
          <w:szCs w:val="20"/>
        </w:rPr>
        <w:t xml:space="preserve"> </w:t>
      </w:r>
      <w:r w:rsidRPr="00BF3275">
        <w:rPr>
          <w:sz w:val="20"/>
          <w:szCs w:val="20"/>
        </w:rPr>
        <w:t xml:space="preserve">description of </w:t>
      </w:r>
      <w:r w:rsidRPr="00BF3275">
        <w:rPr>
          <w:bCs/>
          <w:sz w:val="20"/>
          <w:szCs w:val="20"/>
        </w:rPr>
        <w:t>BIRADs</w:t>
      </w:r>
      <w:r w:rsidRPr="00BF3275">
        <w:rPr>
          <w:b/>
          <w:sz w:val="20"/>
          <w:szCs w:val="20"/>
        </w:rPr>
        <w:t xml:space="preserve"> </w:t>
      </w:r>
      <w:r w:rsidRPr="00BF3275">
        <w:rPr>
          <w:bCs/>
          <w:sz w:val="20"/>
          <w:szCs w:val="20"/>
        </w:rPr>
        <w:t>in studied patients</w:t>
      </w:r>
      <w:r w:rsidRPr="00BF3275">
        <w:rPr>
          <w:sz w:val="20"/>
          <w:szCs w:val="20"/>
        </w:rPr>
        <w:t>. There were 35 patients (70%) BIRADs I, 2 patients (4%) BIRADs II, 10 patients (20%) BIRADs III and 3 patients (6%) BIRADs IV</w:t>
      </w:r>
      <w:r>
        <w:rPr>
          <w:rFonts w:hint="eastAsia"/>
          <w:sz w:val="20"/>
          <w:szCs w:val="20"/>
          <w:lang w:eastAsia="zh-CN"/>
        </w:rPr>
        <w:t xml:space="preserve"> (Table 4)</w:t>
      </w:r>
      <w:r w:rsidRPr="00BF3275">
        <w:rPr>
          <w:sz w:val="20"/>
          <w:szCs w:val="20"/>
        </w:rPr>
        <w:t>.</w:t>
      </w:r>
    </w:p>
    <w:p w:rsidR="00DB7A58" w:rsidRPr="00BF3275" w:rsidRDefault="00DB7A58" w:rsidP="00DA2296">
      <w:pPr>
        <w:snapToGrid w:val="0"/>
        <w:jc w:val="center"/>
        <w:rPr>
          <w:b/>
          <w:sz w:val="20"/>
          <w:szCs w:val="20"/>
        </w:rPr>
      </w:pPr>
    </w:p>
    <w:p w:rsidR="00AD3741" w:rsidRPr="00BF3275" w:rsidRDefault="00AD3741" w:rsidP="00DA2296">
      <w:pPr>
        <w:snapToGrid w:val="0"/>
        <w:jc w:val="center"/>
        <w:rPr>
          <w:bCs/>
          <w:sz w:val="20"/>
          <w:szCs w:val="20"/>
        </w:rPr>
      </w:pPr>
      <w:r w:rsidRPr="00BF3275">
        <w:rPr>
          <w:b/>
          <w:sz w:val="20"/>
          <w:szCs w:val="20"/>
        </w:rPr>
        <w:t>Table (</w:t>
      </w:r>
      <w:r w:rsidR="000A6012" w:rsidRPr="00BF3275">
        <w:rPr>
          <w:b/>
          <w:sz w:val="20"/>
          <w:szCs w:val="20"/>
        </w:rPr>
        <w:t>4</w:t>
      </w:r>
      <w:r w:rsidR="005F6E7D" w:rsidRPr="00BF3275">
        <w:rPr>
          <w:b/>
          <w:sz w:val="20"/>
          <w:szCs w:val="20"/>
        </w:rPr>
        <w:t>)</w:t>
      </w:r>
      <w:r w:rsidRPr="00BF3275">
        <w:rPr>
          <w:b/>
          <w:sz w:val="20"/>
          <w:szCs w:val="20"/>
        </w:rPr>
        <w:t xml:space="preserve">: </w:t>
      </w:r>
      <w:r w:rsidRPr="00BF3275">
        <w:rPr>
          <w:bCs/>
          <w:sz w:val="20"/>
          <w:szCs w:val="20"/>
        </w:rPr>
        <w:t>Description of BIRADs in studied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315"/>
        <w:gridCol w:w="963"/>
        <w:gridCol w:w="2448"/>
        <w:gridCol w:w="3748"/>
      </w:tblGrid>
      <w:tr w:rsidR="00AD3741" w:rsidRPr="00BF3275" w:rsidTr="00462FBD">
        <w:trPr>
          <w:jc w:val="center"/>
        </w:trPr>
        <w:tc>
          <w:tcPr>
            <w:tcW w:w="1730" w:type="pct"/>
            <w:gridSpan w:val="2"/>
            <w:vAlign w:val="center"/>
          </w:tcPr>
          <w:p w:rsidR="00AD3741" w:rsidRPr="00BF3275" w:rsidRDefault="00AD3741" w:rsidP="00DA2296">
            <w:pPr>
              <w:snapToGrid w:val="0"/>
              <w:jc w:val="both"/>
              <w:rPr>
                <w:b/>
                <w:sz w:val="20"/>
                <w:szCs w:val="20"/>
              </w:rPr>
            </w:pPr>
            <w:r w:rsidRPr="00BF3275">
              <w:rPr>
                <w:b/>
                <w:sz w:val="20"/>
                <w:szCs w:val="20"/>
              </w:rPr>
              <w:t>Variables</w:t>
            </w:r>
          </w:p>
        </w:tc>
        <w:tc>
          <w:tcPr>
            <w:tcW w:w="3270" w:type="pct"/>
            <w:gridSpan w:val="2"/>
            <w:vAlign w:val="center"/>
          </w:tcPr>
          <w:p w:rsidR="00AD3741" w:rsidRPr="00BF3275" w:rsidRDefault="00AD3741" w:rsidP="00DA2296">
            <w:pPr>
              <w:snapToGrid w:val="0"/>
              <w:jc w:val="both"/>
              <w:rPr>
                <w:b/>
                <w:sz w:val="20"/>
                <w:szCs w:val="20"/>
              </w:rPr>
            </w:pPr>
            <w:r w:rsidRPr="00BF3275">
              <w:rPr>
                <w:b/>
                <w:sz w:val="20"/>
                <w:szCs w:val="20"/>
              </w:rPr>
              <w:t>Studied patients (N = 50)</w:t>
            </w:r>
          </w:p>
        </w:tc>
      </w:tr>
      <w:tr w:rsidR="00AD3741" w:rsidRPr="00BF3275" w:rsidTr="00462FBD">
        <w:trPr>
          <w:jc w:val="center"/>
        </w:trPr>
        <w:tc>
          <w:tcPr>
            <w:tcW w:w="1222" w:type="pct"/>
            <w:vMerge w:val="restart"/>
            <w:vAlign w:val="center"/>
          </w:tcPr>
          <w:p w:rsidR="00AD3741" w:rsidRPr="00BF3275" w:rsidRDefault="00AD3741" w:rsidP="00DA2296">
            <w:pPr>
              <w:snapToGrid w:val="0"/>
              <w:jc w:val="both"/>
              <w:rPr>
                <w:b/>
                <w:sz w:val="20"/>
                <w:szCs w:val="20"/>
              </w:rPr>
            </w:pPr>
            <w:r w:rsidRPr="00BF3275">
              <w:rPr>
                <w:b/>
                <w:sz w:val="20"/>
                <w:szCs w:val="20"/>
              </w:rPr>
              <w:t>BIRADs</w:t>
            </w:r>
          </w:p>
        </w:tc>
        <w:tc>
          <w:tcPr>
            <w:tcW w:w="508" w:type="pct"/>
            <w:vAlign w:val="center"/>
          </w:tcPr>
          <w:p w:rsidR="00AD3741" w:rsidRPr="00BF3275" w:rsidRDefault="00AD3741" w:rsidP="00DA2296">
            <w:pPr>
              <w:snapToGrid w:val="0"/>
              <w:jc w:val="both"/>
              <w:rPr>
                <w:b/>
                <w:sz w:val="20"/>
                <w:szCs w:val="20"/>
              </w:rPr>
            </w:pPr>
            <w:r w:rsidRPr="00BF3275">
              <w:rPr>
                <w:b/>
                <w:sz w:val="20"/>
                <w:szCs w:val="20"/>
              </w:rPr>
              <w:t>I</w:t>
            </w:r>
          </w:p>
        </w:tc>
        <w:tc>
          <w:tcPr>
            <w:tcW w:w="1292" w:type="pct"/>
            <w:vAlign w:val="center"/>
          </w:tcPr>
          <w:p w:rsidR="00AD3741" w:rsidRPr="00BF3275" w:rsidRDefault="00AD3741" w:rsidP="00DA2296">
            <w:pPr>
              <w:snapToGrid w:val="0"/>
              <w:jc w:val="both"/>
              <w:rPr>
                <w:sz w:val="20"/>
                <w:szCs w:val="20"/>
              </w:rPr>
            </w:pPr>
            <w:r w:rsidRPr="00BF3275">
              <w:rPr>
                <w:sz w:val="20"/>
                <w:szCs w:val="20"/>
              </w:rPr>
              <w:t>35</w:t>
            </w:r>
          </w:p>
        </w:tc>
        <w:tc>
          <w:tcPr>
            <w:tcW w:w="1978" w:type="pct"/>
            <w:vAlign w:val="center"/>
          </w:tcPr>
          <w:p w:rsidR="00AD3741" w:rsidRPr="00BF3275" w:rsidRDefault="00AD3741" w:rsidP="00DA2296">
            <w:pPr>
              <w:snapToGrid w:val="0"/>
              <w:jc w:val="both"/>
              <w:rPr>
                <w:sz w:val="20"/>
                <w:szCs w:val="20"/>
              </w:rPr>
            </w:pPr>
            <w:r w:rsidRPr="00BF3275">
              <w:rPr>
                <w:sz w:val="20"/>
                <w:szCs w:val="20"/>
              </w:rPr>
              <w:t>70%</w:t>
            </w:r>
          </w:p>
        </w:tc>
      </w:tr>
      <w:tr w:rsidR="00AD3741" w:rsidRPr="00BF3275" w:rsidTr="00462FBD">
        <w:trPr>
          <w:jc w:val="center"/>
        </w:trPr>
        <w:tc>
          <w:tcPr>
            <w:tcW w:w="1222" w:type="pct"/>
            <w:vMerge/>
            <w:vAlign w:val="center"/>
          </w:tcPr>
          <w:p w:rsidR="00AD3741" w:rsidRPr="00BF3275" w:rsidRDefault="00AD3741" w:rsidP="00DA2296">
            <w:pPr>
              <w:snapToGrid w:val="0"/>
              <w:jc w:val="both"/>
              <w:rPr>
                <w:b/>
                <w:sz w:val="20"/>
                <w:szCs w:val="20"/>
              </w:rPr>
            </w:pPr>
          </w:p>
        </w:tc>
        <w:tc>
          <w:tcPr>
            <w:tcW w:w="508" w:type="pct"/>
            <w:vAlign w:val="center"/>
          </w:tcPr>
          <w:p w:rsidR="00AD3741" w:rsidRPr="00BF3275" w:rsidRDefault="00AD3741" w:rsidP="00DA2296">
            <w:pPr>
              <w:snapToGrid w:val="0"/>
              <w:jc w:val="both"/>
              <w:rPr>
                <w:b/>
                <w:sz w:val="20"/>
                <w:szCs w:val="20"/>
              </w:rPr>
            </w:pPr>
            <w:r w:rsidRPr="00BF3275">
              <w:rPr>
                <w:b/>
                <w:sz w:val="20"/>
                <w:szCs w:val="20"/>
              </w:rPr>
              <w:t>II</w:t>
            </w:r>
          </w:p>
        </w:tc>
        <w:tc>
          <w:tcPr>
            <w:tcW w:w="1292" w:type="pct"/>
            <w:vAlign w:val="center"/>
          </w:tcPr>
          <w:p w:rsidR="00AD3741" w:rsidRPr="00BF3275" w:rsidRDefault="00AD3741" w:rsidP="00DA2296">
            <w:pPr>
              <w:snapToGrid w:val="0"/>
              <w:jc w:val="both"/>
              <w:rPr>
                <w:sz w:val="20"/>
                <w:szCs w:val="20"/>
              </w:rPr>
            </w:pPr>
            <w:r w:rsidRPr="00BF3275">
              <w:rPr>
                <w:sz w:val="20"/>
                <w:szCs w:val="20"/>
              </w:rPr>
              <w:t>2</w:t>
            </w:r>
          </w:p>
        </w:tc>
        <w:tc>
          <w:tcPr>
            <w:tcW w:w="1978" w:type="pct"/>
            <w:vAlign w:val="center"/>
          </w:tcPr>
          <w:p w:rsidR="00AD3741" w:rsidRPr="00BF3275" w:rsidRDefault="00AD3741" w:rsidP="00DA2296">
            <w:pPr>
              <w:snapToGrid w:val="0"/>
              <w:jc w:val="both"/>
              <w:rPr>
                <w:sz w:val="20"/>
                <w:szCs w:val="20"/>
              </w:rPr>
            </w:pPr>
            <w:r w:rsidRPr="00BF3275">
              <w:rPr>
                <w:sz w:val="20"/>
                <w:szCs w:val="20"/>
              </w:rPr>
              <w:t>4%</w:t>
            </w:r>
          </w:p>
        </w:tc>
      </w:tr>
      <w:tr w:rsidR="00AD3741" w:rsidRPr="00BF3275" w:rsidTr="00462FBD">
        <w:trPr>
          <w:jc w:val="center"/>
        </w:trPr>
        <w:tc>
          <w:tcPr>
            <w:tcW w:w="1222" w:type="pct"/>
            <w:vMerge/>
            <w:vAlign w:val="center"/>
          </w:tcPr>
          <w:p w:rsidR="00AD3741" w:rsidRPr="00BF3275" w:rsidRDefault="00AD3741" w:rsidP="00DA2296">
            <w:pPr>
              <w:snapToGrid w:val="0"/>
              <w:jc w:val="both"/>
              <w:rPr>
                <w:b/>
                <w:sz w:val="20"/>
                <w:szCs w:val="20"/>
              </w:rPr>
            </w:pPr>
          </w:p>
        </w:tc>
        <w:tc>
          <w:tcPr>
            <w:tcW w:w="508" w:type="pct"/>
            <w:vAlign w:val="center"/>
          </w:tcPr>
          <w:p w:rsidR="00AD3741" w:rsidRPr="00BF3275" w:rsidRDefault="00AD3741" w:rsidP="00DA2296">
            <w:pPr>
              <w:snapToGrid w:val="0"/>
              <w:jc w:val="both"/>
              <w:rPr>
                <w:b/>
                <w:sz w:val="20"/>
                <w:szCs w:val="20"/>
              </w:rPr>
            </w:pPr>
            <w:r w:rsidRPr="00BF3275">
              <w:rPr>
                <w:b/>
                <w:sz w:val="20"/>
                <w:szCs w:val="20"/>
              </w:rPr>
              <w:t>III</w:t>
            </w:r>
          </w:p>
        </w:tc>
        <w:tc>
          <w:tcPr>
            <w:tcW w:w="1292" w:type="pct"/>
            <w:vAlign w:val="center"/>
          </w:tcPr>
          <w:p w:rsidR="00AD3741" w:rsidRPr="00BF3275" w:rsidRDefault="00AD3741" w:rsidP="00DA2296">
            <w:pPr>
              <w:snapToGrid w:val="0"/>
              <w:jc w:val="both"/>
              <w:rPr>
                <w:sz w:val="20"/>
                <w:szCs w:val="20"/>
              </w:rPr>
            </w:pPr>
            <w:r w:rsidRPr="00BF3275">
              <w:rPr>
                <w:sz w:val="20"/>
                <w:szCs w:val="20"/>
              </w:rPr>
              <w:t>10</w:t>
            </w:r>
          </w:p>
        </w:tc>
        <w:tc>
          <w:tcPr>
            <w:tcW w:w="1978" w:type="pct"/>
            <w:vAlign w:val="center"/>
          </w:tcPr>
          <w:p w:rsidR="00AD3741" w:rsidRPr="00BF3275" w:rsidRDefault="00AD3741" w:rsidP="00DA2296">
            <w:pPr>
              <w:snapToGrid w:val="0"/>
              <w:jc w:val="both"/>
              <w:rPr>
                <w:sz w:val="20"/>
                <w:szCs w:val="20"/>
              </w:rPr>
            </w:pPr>
            <w:r w:rsidRPr="00BF3275">
              <w:rPr>
                <w:sz w:val="20"/>
                <w:szCs w:val="20"/>
              </w:rPr>
              <w:t>20%</w:t>
            </w:r>
          </w:p>
        </w:tc>
      </w:tr>
      <w:tr w:rsidR="00AD3741" w:rsidRPr="00BF3275" w:rsidTr="00462FBD">
        <w:trPr>
          <w:jc w:val="center"/>
        </w:trPr>
        <w:tc>
          <w:tcPr>
            <w:tcW w:w="1222" w:type="pct"/>
            <w:vMerge/>
            <w:vAlign w:val="center"/>
          </w:tcPr>
          <w:p w:rsidR="00AD3741" w:rsidRPr="00BF3275" w:rsidRDefault="00AD3741" w:rsidP="00DA2296">
            <w:pPr>
              <w:snapToGrid w:val="0"/>
              <w:jc w:val="both"/>
              <w:rPr>
                <w:b/>
                <w:bCs/>
                <w:sz w:val="20"/>
                <w:szCs w:val="20"/>
              </w:rPr>
            </w:pPr>
          </w:p>
        </w:tc>
        <w:tc>
          <w:tcPr>
            <w:tcW w:w="508" w:type="pct"/>
            <w:vAlign w:val="center"/>
          </w:tcPr>
          <w:p w:rsidR="00AD3741" w:rsidRPr="00BF3275" w:rsidRDefault="00AD3741" w:rsidP="00DA2296">
            <w:pPr>
              <w:snapToGrid w:val="0"/>
              <w:jc w:val="both"/>
              <w:rPr>
                <w:b/>
                <w:sz w:val="20"/>
                <w:szCs w:val="20"/>
              </w:rPr>
            </w:pPr>
            <w:r w:rsidRPr="00BF3275">
              <w:rPr>
                <w:b/>
                <w:sz w:val="20"/>
                <w:szCs w:val="20"/>
              </w:rPr>
              <w:t>IV</w:t>
            </w:r>
          </w:p>
        </w:tc>
        <w:tc>
          <w:tcPr>
            <w:tcW w:w="1292" w:type="pct"/>
            <w:vAlign w:val="center"/>
          </w:tcPr>
          <w:p w:rsidR="00AD3741" w:rsidRPr="00BF3275" w:rsidRDefault="00AD3741" w:rsidP="00DA2296">
            <w:pPr>
              <w:snapToGrid w:val="0"/>
              <w:jc w:val="both"/>
              <w:rPr>
                <w:sz w:val="20"/>
                <w:szCs w:val="20"/>
              </w:rPr>
            </w:pPr>
            <w:r w:rsidRPr="00BF3275">
              <w:rPr>
                <w:sz w:val="20"/>
                <w:szCs w:val="20"/>
              </w:rPr>
              <w:t>3</w:t>
            </w:r>
          </w:p>
        </w:tc>
        <w:tc>
          <w:tcPr>
            <w:tcW w:w="1978" w:type="pct"/>
            <w:vAlign w:val="center"/>
          </w:tcPr>
          <w:p w:rsidR="00AD3741" w:rsidRPr="00BF3275" w:rsidRDefault="00AD3741" w:rsidP="00DA2296">
            <w:pPr>
              <w:snapToGrid w:val="0"/>
              <w:jc w:val="both"/>
              <w:rPr>
                <w:sz w:val="20"/>
                <w:szCs w:val="20"/>
              </w:rPr>
            </w:pPr>
            <w:r w:rsidRPr="00BF3275">
              <w:rPr>
                <w:sz w:val="20"/>
                <w:szCs w:val="20"/>
              </w:rPr>
              <w:t>6%</w:t>
            </w:r>
          </w:p>
        </w:tc>
      </w:tr>
    </w:tbl>
    <w:p w:rsidR="00DB7A58" w:rsidRDefault="00DB7A58" w:rsidP="00BF3275">
      <w:pPr>
        <w:snapToGrid w:val="0"/>
        <w:rPr>
          <w:rFonts w:hint="eastAsia"/>
          <w:b/>
          <w:sz w:val="20"/>
          <w:szCs w:val="20"/>
          <w:lang w:eastAsia="zh-CN"/>
        </w:rPr>
      </w:pPr>
    </w:p>
    <w:p w:rsidR="00BF3275" w:rsidRDefault="00BF3275" w:rsidP="00BF3275">
      <w:pPr>
        <w:snapToGrid w:val="0"/>
        <w:ind w:firstLine="720"/>
        <w:rPr>
          <w:rFonts w:hint="eastAsia"/>
          <w:sz w:val="20"/>
          <w:szCs w:val="20"/>
          <w:lang w:eastAsia="zh-CN"/>
        </w:rPr>
      </w:pPr>
      <w:r w:rsidRPr="00BF3275">
        <w:rPr>
          <w:sz w:val="20"/>
          <w:szCs w:val="20"/>
        </w:rPr>
        <w:t>This table shows the</w:t>
      </w:r>
      <w:r w:rsidRPr="00BF3275">
        <w:rPr>
          <w:b/>
          <w:bCs/>
          <w:sz w:val="20"/>
          <w:szCs w:val="20"/>
        </w:rPr>
        <w:t xml:space="preserve"> </w:t>
      </w:r>
      <w:r w:rsidRPr="00BF3275">
        <w:rPr>
          <w:sz w:val="20"/>
          <w:szCs w:val="20"/>
        </w:rPr>
        <w:t xml:space="preserve">description of </w:t>
      </w:r>
      <w:r w:rsidRPr="00BF3275">
        <w:rPr>
          <w:bCs/>
          <w:sz w:val="20"/>
          <w:szCs w:val="20"/>
        </w:rPr>
        <w:t>recommendations</w:t>
      </w:r>
      <w:r w:rsidRPr="00BF3275">
        <w:rPr>
          <w:b/>
          <w:sz w:val="20"/>
          <w:szCs w:val="20"/>
        </w:rPr>
        <w:t xml:space="preserve"> </w:t>
      </w:r>
      <w:r w:rsidRPr="00BF3275">
        <w:rPr>
          <w:bCs/>
          <w:sz w:val="20"/>
          <w:szCs w:val="20"/>
        </w:rPr>
        <w:t>in studied patients</w:t>
      </w:r>
      <w:r w:rsidRPr="00BF3275">
        <w:rPr>
          <w:sz w:val="20"/>
          <w:szCs w:val="20"/>
        </w:rPr>
        <w:t>. Biopsy was recommended in 3 patients (6%), follow up every 6 months was recommended in</w:t>
      </w:r>
      <w:r>
        <w:rPr>
          <w:rFonts w:hint="eastAsia"/>
          <w:sz w:val="20"/>
          <w:szCs w:val="20"/>
          <w:lang w:eastAsia="zh-CN"/>
        </w:rPr>
        <w:t xml:space="preserve"> </w:t>
      </w:r>
      <w:r w:rsidRPr="00BF3275">
        <w:rPr>
          <w:sz w:val="20"/>
          <w:szCs w:val="20"/>
        </w:rPr>
        <w:t>12 patients (24%) and routine screening every year was recommended in 35 patients (70%)</w:t>
      </w:r>
      <w:r>
        <w:rPr>
          <w:rFonts w:hint="eastAsia"/>
          <w:sz w:val="20"/>
          <w:szCs w:val="20"/>
          <w:lang w:eastAsia="zh-CN"/>
        </w:rPr>
        <w:t xml:space="preserve"> (Table 5)</w:t>
      </w:r>
      <w:r w:rsidRPr="00BF3275">
        <w:rPr>
          <w:sz w:val="20"/>
          <w:szCs w:val="20"/>
        </w:rPr>
        <w:t>.</w:t>
      </w:r>
    </w:p>
    <w:p w:rsidR="0038154B" w:rsidRDefault="0038154B" w:rsidP="00DA2296">
      <w:pPr>
        <w:snapToGrid w:val="0"/>
        <w:jc w:val="center"/>
        <w:rPr>
          <w:rFonts w:hint="eastAsia"/>
          <w:b/>
          <w:sz w:val="20"/>
          <w:szCs w:val="20"/>
          <w:lang w:eastAsia="zh-CN"/>
        </w:rPr>
      </w:pPr>
    </w:p>
    <w:p w:rsidR="00AD3741" w:rsidRPr="00BF3275" w:rsidRDefault="00AD3741" w:rsidP="00DA2296">
      <w:pPr>
        <w:snapToGrid w:val="0"/>
        <w:jc w:val="center"/>
        <w:rPr>
          <w:bCs/>
          <w:sz w:val="20"/>
          <w:szCs w:val="20"/>
        </w:rPr>
      </w:pPr>
      <w:r w:rsidRPr="00BF3275">
        <w:rPr>
          <w:b/>
          <w:sz w:val="20"/>
          <w:szCs w:val="20"/>
        </w:rPr>
        <w:t xml:space="preserve">Table </w:t>
      </w:r>
      <w:r w:rsidR="005F6E7D" w:rsidRPr="00BF3275">
        <w:rPr>
          <w:b/>
          <w:sz w:val="20"/>
          <w:szCs w:val="20"/>
        </w:rPr>
        <w:t>(</w:t>
      </w:r>
      <w:r w:rsidR="000A6012" w:rsidRPr="00BF3275">
        <w:rPr>
          <w:b/>
          <w:sz w:val="20"/>
          <w:szCs w:val="20"/>
        </w:rPr>
        <w:t>5</w:t>
      </w:r>
      <w:r w:rsidRPr="00BF3275">
        <w:rPr>
          <w:b/>
          <w:sz w:val="20"/>
          <w:szCs w:val="20"/>
        </w:rPr>
        <w:t xml:space="preserve">): </w:t>
      </w:r>
      <w:r w:rsidRPr="00BF3275">
        <w:rPr>
          <w:bCs/>
          <w:sz w:val="20"/>
          <w:szCs w:val="20"/>
        </w:rPr>
        <w:t>Description of recommendations in studied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455"/>
        <w:gridCol w:w="3769"/>
        <w:gridCol w:w="1285"/>
        <w:gridCol w:w="1965"/>
      </w:tblGrid>
      <w:tr w:rsidR="00AD3741" w:rsidRPr="00BF3275" w:rsidTr="00462FBD">
        <w:trPr>
          <w:jc w:val="center"/>
        </w:trPr>
        <w:tc>
          <w:tcPr>
            <w:tcW w:w="3285" w:type="pct"/>
            <w:gridSpan w:val="2"/>
            <w:vAlign w:val="center"/>
          </w:tcPr>
          <w:p w:rsidR="00AD3741" w:rsidRPr="00BF3275" w:rsidRDefault="00AD3741" w:rsidP="00DA2296">
            <w:pPr>
              <w:snapToGrid w:val="0"/>
              <w:jc w:val="both"/>
              <w:rPr>
                <w:b/>
                <w:sz w:val="20"/>
                <w:szCs w:val="20"/>
              </w:rPr>
            </w:pPr>
            <w:r w:rsidRPr="00BF3275">
              <w:rPr>
                <w:b/>
                <w:sz w:val="20"/>
                <w:szCs w:val="20"/>
              </w:rPr>
              <w:t>Variables</w:t>
            </w:r>
          </w:p>
        </w:tc>
        <w:tc>
          <w:tcPr>
            <w:tcW w:w="1715" w:type="pct"/>
            <w:gridSpan w:val="2"/>
            <w:vAlign w:val="center"/>
          </w:tcPr>
          <w:p w:rsidR="00AD3741" w:rsidRPr="00BF3275" w:rsidRDefault="00AD3741" w:rsidP="00DA2296">
            <w:pPr>
              <w:snapToGrid w:val="0"/>
              <w:jc w:val="both"/>
              <w:rPr>
                <w:b/>
                <w:sz w:val="20"/>
                <w:szCs w:val="20"/>
              </w:rPr>
            </w:pPr>
            <w:r w:rsidRPr="00BF3275">
              <w:rPr>
                <w:b/>
                <w:sz w:val="20"/>
                <w:szCs w:val="20"/>
              </w:rPr>
              <w:t>Studied patients</w:t>
            </w:r>
            <w:r w:rsidR="00DB7A58" w:rsidRPr="00BF3275">
              <w:rPr>
                <w:b/>
                <w:sz w:val="20"/>
                <w:szCs w:val="20"/>
              </w:rPr>
              <w:t xml:space="preserve"> </w:t>
            </w:r>
            <w:r w:rsidRPr="00BF3275">
              <w:rPr>
                <w:b/>
                <w:sz w:val="20"/>
                <w:szCs w:val="20"/>
              </w:rPr>
              <w:t>(N = 50)</w:t>
            </w:r>
          </w:p>
        </w:tc>
      </w:tr>
      <w:tr w:rsidR="00AD3741" w:rsidRPr="00BF3275" w:rsidTr="00462FBD">
        <w:trPr>
          <w:jc w:val="center"/>
        </w:trPr>
        <w:tc>
          <w:tcPr>
            <w:tcW w:w="1296" w:type="pct"/>
            <w:vMerge w:val="restart"/>
            <w:vAlign w:val="center"/>
          </w:tcPr>
          <w:p w:rsidR="00AD3741" w:rsidRPr="00BF3275" w:rsidRDefault="00AD3741" w:rsidP="00DA2296">
            <w:pPr>
              <w:snapToGrid w:val="0"/>
              <w:jc w:val="both"/>
              <w:rPr>
                <w:b/>
                <w:sz w:val="20"/>
                <w:szCs w:val="20"/>
              </w:rPr>
            </w:pPr>
            <w:r w:rsidRPr="00BF3275">
              <w:rPr>
                <w:b/>
                <w:sz w:val="20"/>
                <w:szCs w:val="20"/>
              </w:rPr>
              <w:t>Recommendations</w:t>
            </w:r>
          </w:p>
        </w:tc>
        <w:tc>
          <w:tcPr>
            <w:tcW w:w="1989" w:type="pct"/>
            <w:vAlign w:val="center"/>
          </w:tcPr>
          <w:p w:rsidR="00AD3741" w:rsidRPr="00BF3275" w:rsidRDefault="00AD3741" w:rsidP="00DA2296">
            <w:pPr>
              <w:snapToGrid w:val="0"/>
              <w:jc w:val="both"/>
              <w:rPr>
                <w:b/>
                <w:sz w:val="20"/>
                <w:szCs w:val="20"/>
              </w:rPr>
            </w:pPr>
            <w:r w:rsidRPr="00BF3275">
              <w:rPr>
                <w:b/>
                <w:sz w:val="20"/>
                <w:szCs w:val="20"/>
              </w:rPr>
              <w:t>Biopsy</w:t>
            </w:r>
          </w:p>
        </w:tc>
        <w:tc>
          <w:tcPr>
            <w:tcW w:w="678" w:type="pct"/>
            <w:vAlign w:val="center"/>
          </w:tcPr>
          <w:p w:rsidR="00AD3741" w:rsidRPr="00BF3275" w:rsidRDefault="00AD3741" w:rsidP="00DA2296">
            <w:pPr>
              <w:snapToGrid w:val="0"/>
              <w:jc w:val="both"/>
              <w:rPr>
                <w:sz w:val="20"/>
                <w:szCs w:val="20"/>
              </w:rPr>
            </w:pPr>
            <w:r w:rsidRPr="00BF3275">
              <w:rPr>
                <w:sz w:val="20"/>
                <w:szCs w:val="20"/>
              </w:rPr>
              <w:t>3</w:t>
            </w:r>
          </w:p>
        </w:tc>
        <w:tc>
          <w:tcPr>
            <w:tcW w:w="1038" w:type="pct"/>
            <w:vAlign w:val="center"/>
          </w:tcPr>
          <w:p w:rsidR="00AD3741" w:rsidRPr="00BF3275" w:rsidRDefault="00AD3741" w:rsidP="00DA2296">
            <w:pPr>
              <w:snapToGrid w:val="0"/>
              <w:jc w:val="both"/>
              <w:rPr>
                <w:sz w:val="20"/>
                <w:szCs w:val="20"/>
              </w:rPr>
            </w:pPr>
            <w:r w:rsidRPr="00BF3275">
              <w:rPr>
                <w:sz w:val="20"/>
                <w:szCs w:val="20"/>
              </w:rPr>
              <w:t>6%</w:t>
            </w:r>
          </w:p>
        </w:tc>
      </w:tr>
      <w:tr w:rsidR="00AD3741" w:rsidRPr="00BF3275" w:rsidTr="00462FBD">
        <w:trPr>
          <w:jc w:val="center"/>
        </w:trPr>
        <w:tc>
          <w:tcPr>
            <w:tcW w:w="1296" w:type="pct"/>
            <w:vMerge/>
            <w:vAlign w:val="center"/>
          </w:tcPr>
          <w:p w:rsidR="00AD3741" w:rsidRPr="00BF3275" w:rsidRDefault="00AD3741" w:rsidP="00DA2296">
            <w:pPr>
              <w:snapToGrid w:val="0"/>
              <w:jc w:val="both"/>
              <w:rPr>
                <w:b/>
                <w:sz w:val="20"/>
                <w:szCs w:val="20"/>
              </w:rPr>
            </w:pPr>
          </w:p>
        </w:tc>
        <w:tc>
          <w:tcPr>
            <w:tcW w:w="1989" w:type="pct"/>
            <w:vAlign w:val="center"/>
          </w:tcPr>
          <w:p w:rsidR="00AD3741" w:rsidRPr="00BF3275" w:rsidRDefault="00AD3741" w:rsidP="00DA2296">
            <w:pPr>
              <w:snapToGrid w:val="0"/>
              <w:jc w:val="both"/>
              <w:rPr>
                <w:b/>
                <w:sz w:val="20"/>
                <w:szCs w:val="20"/>
              </w:rPr>
            </w:pPr>
            <w:r w:rsidRPr="00BF3275">
              <w:rPr>
                <w:b/>
                <w:sz w:val="20"/>
                <w:szCs w:val="20"/>
              </w:rPr>
              <w:t>Follow up every 6 month</w:t>
            </w:r>
          </w:p>
        </w:tc>
        <w:tc>
          <w:tcPr>
            <w:tcW w:w="678" w:type="pct"/>
            <w:vAlign w:val="center"/>
          </w:tcPr>
          <w:p w:rsidR="00AD3741" w:rsidRPr="00BF3275" w:rsidRDefault="00AD3741" w:rsidP="00DA2296">
            <w:pPr>
              <w:snapToGrid w:val="0"/>
              <w:jc w:val="both"/>
              <w:rPr>
                <w:sz w:val="20"/>
                <w:szCs w:val="20"/>
              </w:rPr>
            </w:pPr>
            <w:r w:rsidRPr="00BF3275">
              <w:rPr>
                <w:sz w:val="20"/>
                <w:szCs w:val="20"/>
              </w:rPr>
              <w:t>12</w:t>
            </w:r>
          </w:p>
        </w:tc>
        <w:tc>
          <w:tcPr>
            <w:tcW w:w="1038" w:type="pct"/>
            <w:vAlign w:val="center"/>
          </w:tcPr>
          <w:p w:rsidR="00AD3741" w:rsidRPr="00BF3275" w:rsidRDefault="00AD3741" w:rsidP="00DA2296">
            <w:pPr>
              <w:snapToGrid w:val="0"/>
              <w:jc w:val="both"/>
              <w:rPr>
                <w:sz w:val="20"/>
                <w:szCs w:val="20"/>
              </w:rPr>
            </w:pPr>
            <w:r w:rsidRPr="00BF3275">
              <w:rPr>
                <w:sz w:val="20"/>
                <w:szCs w:val="20"/>
              </w:rPr>
              <w:t>24%</w:t>
            </w:r>
          </w:p>
        </w:tc>
      </w:tr>
      <w:tr w:rsidR="00AD3741" w:rsidRPr="00BF3275" w:rsidTr="00462FBD">
        <w:trPr>
          <w:jc w:val="center"/>
        </w:trPr>
        <w:tc>
          <w:tcPr>
            <w:tcW w:w="1296" w:type="pct"/>
            <w:vMerge/>
            <w:vAlign w:val="center"/>
          </w:tcPr>
          <w:p w:rsidR="00AD3741" w:rsidRPr="00BF3275" w:rsidRDefault="00AD3741" w:rsidP="00DA2296">
            <w:pPr>
              <w:snapToGrid w:val="0"/>
              <w:jc w:val="both"/>
              <w:rPr>
                <w:b/>
                <w:bCs/>
                <w:sz w:val="20"/>
                <w:szCs w:val="20"/>
              </w:rPr>
            </w:pPr>
          </w:p>
        </w:tc>
        <w:tc>
          <w:tcPr>
            <w:tcW w:w="1989" w:type="pct"/>
            <w:vAlign w:val="center"/>
          </w:tcPr>
          <w:p w:rsidR="00AD3741" w:rsidRPr="00BF3275" w:rsidRDefault="00AD3741" w:rsidP="00DA2296">
            <w:pPr>
              <w:snapToGrid w:val="0"/>
              <w:jc w:val="both"/>
              <w:rPr>
                <w:b/>
                <w:sz w:val="20"/>
                <w:szCs w:val="20"/>
              </w:rPr>
            </w:pPr>
            <w:r w:rsidRPr="00BF3275">
              <w:rPr>
                <w:b/>
                <w:sz w:val="20"/>
                <w:szCs w:val="20"/>
              </w:rPr>
              <w:t>Routine screening every year</w:t>
            </w:r>
          </w:p>
        </w:tc>
        <w:tc>
          <w:tcPr>
            <w:tcW w:w="678" w:type="pct"/>
            <w:vAlign w:val="center"/>
          </w:tcPr>
          <w:p w:rsidR="00AD3741" w:rsidRPr="00BF3275" w:rsidRDefault="00AD3741" w:rsidP="00DA2296">
            <w:pPr>
              <w:snapToGrid w:val="0"/>
              <w:jc w:val="both"/>
              <w:rPr>
                <w:sz w:val="20"/>
                <w:szCs w:val="20"/>
              </w:rPr>
            </w:pPr>
            <w:r w:rsidRPr="00BF3275">
              <w:rPr>
                <w:sz w:val="20"/>
                <w:szCs w:val="20"/>
              </w:rPr>
              <w:t>35</w:t>
            </w:r>
          </w:p>
        </w:tc>
        <w:tc>
          <w:tcPr>
            <w:tcW w:w="1038" w:type="pct"/>
            <w:vAlign w:val="center"/>
          </w:tcPr>
          <w:p w:rsidR="00AD3741" w:rsidRPr="00BF3275" w:rsidRDefault="00AD3741" w:rsidP="00DA2296">
            <w:pPr>
              <w:snapToGrid w:val="0"/>
              <w:jc w:val="both"/>
              <w:rPr>
                <w:sz w:val="20"/>
                <w:szCs w:val="20"/>
              </w:rPr>
            </w:pPr>
            <w:r w:rsidRPr="00BF3275">
              <w:rPr>
                <w:sz w:val="20"/>
                <w:szCs w:val="20"/>
              </w:rPr>
              <w:t>70%</w:t>
            </w:r>
          </w:p>
        </w:tc>
      </w:tr>
    </w:tbl>
    <w:p w:rsidR="0038154B" w:rsidRPr="00BF3275" w:rsidRDefault="0038154B" w:rsidP="00DA2296">
      <w:pPr>
        <w:snapToGrid w:val="0"/>
        <w:ind w:firstLine="425"/>
        <w:jc w:val="both"/>
        <w:rPr>
          <w:rFonts w:hint="eastAsia"/>
          <w:sz w:val="20"/>
          <w:szCs w:val="20"/>
          <w:lang w:eastAsia="zh-CN"/>
        </w:rPr>
      </w:pPr>
    </w:p>
    <w:p w:rsidR="00AD3741" w:rsidRPr="00BF3275" w:rsidRDefault="00BF3275" w:rsidP="00DA2296">
      <w:pPr>
        <w:snapToGrid w:val="0"/>
        <w:ind w:firstLine="425"/>
        <w:jc w:val="both"/>
        <w:rPr>
          <w:sz w:val="20"/>
          <w:szCs w:val="20"/>
        </w:rPr>
      </w:pPr>
      <w:r w:rsidRPr="00BF3275">
        <w:rPr>
          <w:sz w:val="20"/>
          <w:szCs w:val="20"/>
        </w:rPr>
        <w:t>This table shows the</w:t>
      </w:r>
      <w:r w:rsidRPr="00BF3275">
        <w:rPr>
          <w:b/>
          <w:bCs/>
          <w:sz w:val="20"/>
          <w:szCs w:val="20"/>
        </w:rPr>
        <w:t xml:space="preserve"> </w:t>
      </w:r>
      <w:r w:rsidRPr="00BF3275">
        <w:rPr>
          <w:sz w:val="20"/>
          <w:szCs w:val="20"/>
        </w:rPr>
        <w:t xml:space="preserve">description of </w:t>
      </w:r>
      <w:r w:rsidRPr="00BF3275">
        <w:rPr>
          <w:bCs/>
          <w:sz w:val="20"/>
          <w:szCs w:val="20"/>
        </w:rPr>
        <w:t>histopathology</w:t>
      </w:r>
      <w:r w:rsidRPr="00BF3275">
        <w:rPr>
          <w:b/>
          <w:sz w:val="20"/>
          <w:szCs w:val="20"/>
        </w:rPr>
        <w:t xml:space="preserve"> </w:t>
      </w:r>
      <w:r w:rsidRPr="00BF3275">
        <w:rPr>
          <w:bCs/>
          <w:sz w:val="20"/>
          <w:szCs w:val="20"/>
        </w:rPr>
        <w:t>in studied lesions</w:t>
      </w:r>
      <w:r w:rsidRPr="00BF3275">
        <w:rPr>
          <w:sz w:val="20"/>
          <w:szCs w:val="20"/>
        </w:rPr>
        <w:t>. There were 17 lesions (81%) were benign, 4 lesions (19%) were malignant. All benign lesions (81%) were fibro adenoma, 3 malignant lesions (14.2%) were invasive ductal carcinoma and 1 malignant lesion (4.8%) was invasive lobular carcinoma</w:t>
      </w:r>
      <w:r>
        <w:rPr>
          <w:rFonts w:hint="eastAsia"/>
          <w:sz w:val="20"/>
          <w:szCs w:val="20"/>
          <w:lang w:eastAsia="zh-CN"/>
        </w:rPr>
        <w:t xml:space="preserve"> (Table 6)</w:t>
      </w:r>
      <w:r w:rsidRPr="00BF3275">
        <w:rPr>
          <w:sz w:val="20"/>
          <w:szCs w:val="20"/>
        </w:rPr>
        <w:t>.</w:t>
      </w:r>
    </w:p>
    <w:p w:rsidR="00931973" w:rsidRPr="00BF3275" w:rsidRDefault="00931973" w:rsidP="00DA2296">
      <w:pPr>
        <w:snapToGrid w:val="0"/>
        <w:jc w:val="center"/>
        <w:rPr>
          <w:b/>
          <w:sz w:val="20"/>
          <w:szCs w:val="20"/>
          <w:lang w:eastAsia="zh-CN"/>
        </w:rPr>
      </w:pPr>
    </w:p>
    <w:p w:rsidR="00AD3741" w:rsidRPr="00BF3275" w:rsidRDefault="00AD3741" w:rsidP="00DA2296">
      <w:pPr>
        <w:snapToGrid w:val="0"/>
        <w:jc w:val="center"/>
        <w:rPr>
          <w:bCs/>
          <w:sz w:val="20"/>
          <w:szCs w:val="20"/>
        </w:rPr>
      </w:pPr>
      <w:r w:rsidRPr="00BF3275">
        <w:rPr>
          <w:b/>
          <w:sz w:val="20"/>
          <w:szCs w:val="20"/>
        </w:rPr>
        <w:t>Table (</w:t>
      </w:r>
      <w:r w:rsidR="000A6012" w:rsidRPr="00BF3275">
        <w:rPr>
          <w:b/>
          <w:sz w:val="20"/>
          <w:szCs w:val="20"/>
        </w:rPr>
        <w:t>6</w:t>
      </w:r>
      <w:r w:rsidR="005F6E7D" w:rsidRPr="00BF3275">
        <w:rPr>
          <w:b/>
          <w:sz w:val="20"/>
          <w:szCs w:val="20"/>
        </w:rPr>
        <w:t>)</w:t>
      </w:r>
      <w:r w:rsidRPr="00BF3275">
        <w:rPr>
          <w:b/>
          <w:sz w:val="20"/>
          <w:szCs w:val="20"/>
        </w:rPr>
        <w:t xml:space="preserve">: </w:t>
      </w:r>
      <w:r w:rsidRPr="00BF3275">
        <w:rPr>
          <w:bCs/>
          <w:sz w:val="20"/>
          <w:szCs w:val="20"/>
        </w:rPr>
        <w:t>Description of histopathology results in studied lesions.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477"/>
        <w:gridCol w:w="3742"/>
        <w:gridCol w:w="1080"/>
        <w:gridCol w:w="2175"/>
      </w:tblGrid>
      <w:tr w:rsidR="00AD3741" w:rsidRPr="00BF3275" w:rsidTr="00462FBD">
        <w:trPr>
          <w:jc w:val="center"/>
        </w:trPr>
        <w:tc>
          <w:tcPr>
            <w:tcW w:w="3282" w:type="pct"/>
            <w:gridSpan w:val="2"/>
            <w:vAlign w:val="center"/>
          </w:tcPr>
          <w:p w:rsidR="00AD3741" w:rsidRPr="00BF3275" w:rsidRDefault="00AD3741" w:rsidP="00DA2296">
            <w:pPr>
              <w:snapToGrid w:val="0"/>
              <w:jc w:val="both"/>
              <w:rPr>
                <w:b/>
                <w:sz w:val="20"/>
                <w:szCs w:val="20"/>
              </w:rPr>
            </w:pPr>
            <w:r w:rsidRPr="00BF3275">
              <w:rPr>
                <w:b/>
                <w:sz w:val="20"/>
                <w:szCs w:val="20"/>
              </w:rPr>
              <w:t>Variables</w:t>
            </w:r>
          </w:p>
        </w:tc>
        <w:tc>
          <w:tcPr>
            <w:tcW w:w="1718" w:type="pct"/>
            <w:gridSpan w:val="2"/>
            <w:vAlign w:val="center"/>
          </w:tcPr>
          <w:p w:rsidR="00AD3741" w:rsidRPr="00BF3275" w:rsidRDefault="00AD3741" w:rsidP="00DA2296">
            <w:pPr>
              <w:snapToGrid w:val="0"/>
              <w:jc w:val="both"/>
              <w:rPr>
                <w:b/>
                <w:sz w:val="20"/>
                <w:szCs w:val="20"/>
              </w:rPr>
            </w:pPr>
            <w:r w:rsidRPr="00BF3275">
              <w:rPr>
                <w:b/>
                <w:sz w:val="20"/>
                <w:szCs w:val="20"/>
              </w:rPr>
              <w:t>Studied lesions (N = 21)</w:t>
            </w:r>
          </w:p>
        </w:tc>
      </w:tr>
      <w:tr w:rsidR="00AD3741" w:rsidRPr="00BF3275" w:rsidTr="00462FBD">
        <w:trPr>
          <w:jc w:val="center"/>
        </w:trPr>
        <w:tc>
          <w:tcPr>
            <w:tcW w:w="1307" w:type="pct"/>
            <w:vMerge w:val="restart"/>
            <w:vAlign w:val="center"/>
          </w:tcPr>
          <w:p w:rsidR="00AD3741" w:rsidRPr="00BF3275" w:rsidRDefault="00AD3741" w:rsidP="00DA2296">
            <w:pPr>
              <w:snapToGrid w:val="0"/>
              <w:jc w:val="both"/>
              <w:rPr>
                <w:b/>
                <w:sz w:val="20"/>
                <w:szCs w:val="20"/>
              </w:rPr>
            </w:pPr>
            <w:r w:rsidRPr="00BF3275">
              <w:rPr>
                <w:b/>
                <w:sz w:val="20"/>
                <w:szCs w:val="20"/>
              </w:rPr>
              <w:t>Histopathology</w:t>
            </w:r>
          </w:p>
        </w:tc>
        <w:tc>
          <w:tcPr>
            <w:tcW w:w="1975" w:type="pct"/>
            <w:vAlign w:val="center"/>
          </w:tcPr>
          <w:p w:rsidR="00AD3741" w:rsidRPr="00BF3275" w:rsidRDefault="00AD3741" w:rsidP="00DA2296">
            <w:pPr>
              <w:snapToGrid w:val="0"/>
              <w:jc w:val="both"/>
              <w:rPr>
                <w:b/>
                <w:sz w:val="20"/>
                <w:szCs w:val="20"/>
              </w:rPr>
            </w:pPr>
            <w:r w:rsidRPr="00BF3275">
              <w:rPr>
                <w:b/>
                <w:sz w:val="20"/>
                <w:szCs w:val="20"/>
              </w:rPr>
              <w:t>Benign lesion</w:t>
            </w:r>
          </w:p>
        </w:tc>
        <w:tc>
          <w:tcPr>
            <w:tcW w:w="570" w:type="pct"/>
            <w:vAlign w:val="center"/>
          </w:tcPr>
          <w:p w:rsidR="00AD3741" w:rsidRPr="00BF3275" w:rsidRDefault="00AD3741" w:rsidP="00DA2296">
            <w:pPr>
              <w:snapToGrid w:val="0"/>
              <w:jc w:val="both"/>
              <w:rPr>
                <w:sz w:val="20"/>
                <w:szCs w:val="20"/>
              </w:rPr>
            </w:pPr>
            <w:r w:rsidRPr="00BF3275">
              <w:rPr>
                <w:sz w:val="20"/>
                <w:szCs w:val="20"/>
              </w:rPr>
              <w:t>17</w:t>
            </w:r>
          </w:p>
        </w:tc>
        <w:tc>
          <w:tcPr>
            <w:tcW w:w="1147" w:type="pct"/>
            <w:vAlign w:val="center"/>
          </w:tcPr>
          <w:p w:rsidR="00AD3741" w:rsidRPr="00BF3275" w:rsidRDefault="00AD3741" w:rsidP="00DA2296">
            <w:pPr>
              <w:snapToGrid w:val="0"/>
              <w:jc w:val="both"/>
              <w:rPr>
                <w:sz w:val="20"/>
                <w:szCs w:val="20"/>
              </w:rPr>
            </w:pPr>
            <w:r w:rsidRPr="00BF3275">
              <w:rPr>
                <w:sz w:val="20"/>
                <w:szCs w:val="20"/>
              </w:rPr>
              <w:t>81%</w:t>
            </w:r>
          </w:p>
        </w:tc>
      </w:tr>
      <w:tr w:rsidR="00AD3741" w:rsidRPr="00BF3275" w:rsidTr="00462FBD">
        <w:trPr>
          <w:jc w:val="center"/>
        </w:trPr>
        <w:tc>
          <w:tcPr>
            <w:tcW w:w="1307" w:type="pct"/>
            <w:vMerge/>
            <w:vAlign w:val="center"/>
          </w:tcPr>
          <w:p w:rsidR="00AD3741" w:rsidRPr="00BF3275" w:rsidRDefault="00AD3741" w:rsidP="00DA2296">
            <w:pPr>
              <w:snapToGrid w:val="0"/>
              <w:jc w:val="both"/>
              <w:rPr>
                <w:b/>
                <w:bCs/>
                <w:sz w:val="20"/>
                <w:szCs w:val="20"/>
              </w:rPr>
            </w:pPr>
          </w:p>
        </w:tc>
        <w:tc>
          <w:tcPr>
            <w:tcW w:w="1975" w:type="pct"/>
            <w:vAlign w:val="center"/>
          </w:tcPr>
          <w:p w:rsidR="00AD3741" w:rsidRPr="00BF3275" w:rsidRDefault="00AD3741" w:rsidP="00DA2296">
            <w:pPr>
              <w:snapToGrid w:val="0"/>
              <w:jc w:val="both"/>
              <w:rPr>
                <w:b/>
                <w:sz w:val="20"/>
                <w:szCs w:val="20"/>
              </w:rPr>
            </w:pPr>
            <w:r w:rsidRPr="00BF3275">
              <w:rPr>
                <w:b/>
                <w:sz w:val="20"/>
                <w:szCs w:val="20"/>
              </w:rPr>
              <w:t>Malignant lesion</w:t>
            </w:r>
          </w:p>
        </w:tc>
        <w:tc>
          <w:tcPr>
            <w:tcW w:w="570" w:type="pct"/>
            <w:vAlign w:val="center"/>
          </w:tcPr>
          <w:p w:rsidR="00AD3741" w:rsidRPr="00BF3275" w:rsidRDefault="00AD3741" w:rsidP="00DA2296">
            <w:pPr>
              <w:snapToGrid w:val="0"/>
              <w:jc w:val="both"/>
              <w:rPr>
                <w:sz w:val="20"/>
                <w:szCs w:val="20"/>
              </w:rPr>
            </w:pPr>
            <w:r w:rsidRPr="00BF3275">
              <w:rPr>
                <w:sz w:val="20"/>
                <w:szCs w:val="20"/>
              </w:rPr>
              <w:t>4</w:t>
            </w:r>
          </w:p>
        </w:tc>
        <w:tc>
          <w:tcPr>
            <w:tcW w:w="1147" w:type="pct"/>
            <w:vAlign w:val="center"/>
          </w:tcPr>
          <w:p w:rsidR="00AD3741" w:rsidRPr="00BF3275" w:rsidRDefault="00AD3741" w:rsidP="00DA2296">
            <w:pPr>
              <w:snapToGrid w:val="0"/>
              <w:jc w:val="both"/>
              <w:rPr>
                <w:sz w:val="20"/>
                <w:szCs w:val="20"/>
              </w:rPr>
            </w:pPr>
            <w:r w:rsidRPr="00BF3275">
              <w:rPr>
                <w:sz w:val="20"/>
                <w:szCs w:val="20"/>
              </w:rPr>
              <w:t>19%</w:t>
            </w:r>
          </w:p>
        </w:tc>
      </w:tr>
      <w:tr w:rsidR="00AD3741" w:rsidRPr="00BF3275" w:rsidTr="00462FBD">
        <w:trPr>
          <w:jc w:val="center"/>
        </w:trPr>
        <w:tc>
          <w:tcPr>
            <w:tcW w:w="1307" w:type="pct"/>
            <w:vAlign w:val="center"/>
          </w:tcPr>
          <w:p w:rsidR="00AD3741" w:rsidRPr="00BF3275" w:rsidRDefault="00AD3741" w:rsidP="00DA2296">
            <w:pPr>
              <w:snapToGrid w:val="0"/>
              <w:jc w:val="both"/>
              <w:rPr>
                <w:b/>
                <w:sz w:val="20"/>
                <w:szCs w:val="20"/>
              </w:rPr>
            </w:pPr>
            <w:r w:rsidRPr="00BF3275">
              <w:rPr>
                <w:b/>
                <w:sz w:val="20"/>
                <w:szCs w:val="20"/>
              </w:rPr>
              <w:t>Benign lesions</w:t>
            </w:r>
          </w:p>
        </w:tc>
        <w:tc>
          <w:tcPr>
            <w:tcW w:w="1975" w:type="pct"/>
            <w:vAlign w:val="center"/>
          </w:tcPr>
          <w:p w:rsidR="00AD3741" w:rsidRPr="00BF3275" w:rsidRDefault="00AD3741" w:rsidP="00DA2296">
            <w:pPr>
              <w:snapToGrid w:val="0"/>
              <w:jc w:val="both"/>
              <w:rPr>
                <w:b/>
                <w:sz w:val="20"/>
                <w:szCs w:val="20"/>
              </w:rPr>
            </w:pPr>
            <w:r w:rsidRPr="00BF3275">
              <w:rPr>
                <w:b/>
                <w:sz w:val="20"/>
                <w:szCs w:val="20"/>
              </w:rPr>
              <w:t>Fibro adenoma</w:t>
            </w:r>
          </w:p>
        </w:tc>
        <w:tc>
          <w:tcPr>
            <w:tcW w:w="570" w:type="pct"/>
            <w:vAlign w:val="center"/>
          </w:tcPr>
          <w:p w:rsidR="00AD3741" w:rsidRPr="00BF3275" w:rsidRDefault="00AD3741" w:rsidP="00DA2296">
            <w:pPr>
              <w:snapToGrid w:val="0"/>
              <w:jc w:val="both"/>
              <w:rPr>
                <w:sz w:val="20"/>
                <w:szCs w:val="20"/>
              </w:rPr>
            </w:pPr>
            <w:r w:rsidRPr="00BF3275">
              <w:rPr>
                <w:sz w:val="20"/>
                <w:szCs w:val="20"/>
              </w:rPr>
              <w:t>17</w:t>
            </w:r>
          </w:p>
        </w:tc>
        <w:tc>
          <w:tcPr>
            <w:tcW w:w="1147" w:type="pct"/>
            <w:vAlign w:val="center"/>
          </w:tcPr>
          <w:p w:rsidR="00AD3741" w:rsidRPr="00BF3275" w:rsidRDefault="00AD3741" w:rsidP="00DA2296">
            <w:pPr>
              <w:snapToGrid w:val="0"/>
              <w:jc w:val="both"/>
              <w:rPr>
                <w:sz w:val="20"/>
                <w:szCs w:val="20"/>
              </w:rPr>
            </w:pPr>
            <w:r w:rsidRPr="00BF3275">
              <w:rPr>
                <w:sz w:val="20"/>
                <w:szCs w:val="20"/>
              </w:rPr>
              <w:t>81%</w:t>
            </w:r>
          </w:p>
        </w:tc>
      </w:tr>
      <w:tr w:rsidR="00AD3741" w:rsidRPr="00BF3275" w:rsidTr="00462FBD">
        <w:trPr>
          <w:jc w:val="center"/>
        </w:trPr>
        <w:tc>
          <w:tcPr>
            <w:tcW w:w="1307" w:type="pct"/>
            <w:vMerge w:val="restart"/>
            <w:vAlign w:val="center"/>
          </w:tcPr>
          <w:p w:rsidR="00AD3741" w:rsidRPr="00BF3275" w:rsidRDefault="00AD3741" w:rsidP="00DA2296">
            <w:pPr>
              <w:snapToGrid w:val="0"/>
              <w:jc w:val="both"/>
              <w:rPr>
                <w:b/>
                <w:sz w:val="20"/>
                <w:szCs w:val="20"/>
              </w:rPr>
            </w:pPr>
            <w:r w:rsidRPr="00BF3275">
              <w:rPr>
                <w:b/>
                <w:sz w:val="20"/>
                <w:szCs w:val="20"/>
              </w:rPr>
              <w:t>Malignant lesions</w:t>
            </w:r>
          </w:p>
        </w:tc>
        <w:tc>
          <w:tcPr>
            <w:tcW w:w="1975" w:type="pct"/>
            <w:vAlign w:val="center"/>
          </w:tcPr>
          <w:p w:rsidR="00AD3741" w:rsidRPr="00BF3275" w:rsidRDefault="00AD3741" w:rsidP="00DA2296">
            <w:pPr>
              <w:snapToGrid w:val="0"/>
              <w:jc w:val="both"/>
              <w:rPr>
                <w:b/>
                <w:sz w:val="20"/>
                <w:szCs w:val="20"/>
              </w:rPr>
            </w:pPr>
            <w:r w:rsidRPr="00BF3275">
              <w:rPr>
                <w:b/>
                <w:sz w:val="20"/>
                <w:szCs w:val="20"/>
              </w:rPr>
              <w:t>Invasive ductal carcinoma</w:t>
            </w:r>
          </w:p>
        </w:tc>
        <w:tc>
          <w:tcPr>
            <w:tcW w:w="570" w:type="pct"/>
            <w:vAlign w:val="center"/>
          </w:tcPr>
          <w:p w:rsidR="00AD3741" w:rsidRPr="00BF3275" w:rsidRDefault="00AD3741" w:rsidP="00DA2296">
            <w:pPr>
              <w:snapToGrid w:val="0"/>
              <w:jc w:val="both"/>
              <w:rPr>
                <w:sz w:val="20"/>
                <w:szCs w:val="20"/>
              </w:rPr>
            </w:pPr>
            <w:r w:rsidRPr="00BF3275">
              <w:rPr>
                <w:sz w:val="20"/>
                <w:szCs w:val="20"/>
              </w:rPr>
              <w:t>3</w:t>
            </w:r>
          </w:p>
        </w:tc>
        <w:tc>
          <w:tcPr>
            <w:tcW w:w="1147" w:type="pct"/>
            <w:vAlign w:val="center"/>
          </w:tcPr>
          <w:p w:rsidR="00AD3741" w:rsidRPr="00BF3275" w:rsidRDefault="00AD3741" w:rsidP="00DA2296">
            <w:pPr>
              <w:snapToGrid w:val="0"/>
              <w:jc w:val="both"/>
              <w:rPr>
                <w:sz w:val="20"/>
                <w:szCs w:val="20"/>
              </w:rPr>
            </w:pPr>
            <w:r w:rsidRPr="00BF3275">
              <w:rPr>
                <w:sz w:val="20"/>
                <w:szCs w:val="20"/>
              </w:rPr>
              <w:t>14.2%</w:t>
            </w:r>
          </w:p>
        </w:tc>
      </w:tr>
      <w:tr w:rsidR="00AD3741" w:rsidRPr="00BF3275" w:rsidTr="00462FBD">
        <w:trPr>
          <w:jc w:val="center"/>
        </w:trPr>
        <w:tc>
          <w:tcPr>
            <w:tcW w:w="1307" w:type="pct"/>
            <w:vMerge/>
            <w:vAlign w:val="center"/>
          </w:tcPr>
          <w:p w:rsidR="00AD3741" w:rsidRPr="00BF3275" w:rsidRDefault="00AD3741" w:rsidP="00DA2296">
            <w:pPr>
              <w:snapToGrid w:val="0"/>
              <w:jc w:val="both"/>
              <w:rPr>
                <w:b/>
                <w:bCs/>
                <w:sz w:val="20"/>
                <w:szCs w:val="20"/>
              </w:rPr>
            </w:pPr>
          </w:p>
        </w:tc>
        <w:tc>
          <w:tcPr>
            <w:tcW w:w="1975" w:type="pct"/>
            <w:vAlign w:val="center"/>
          </w:tcPr>
          <w:p w:rsidR="00AD3741" w:rsidRPr="00BF3275" w:rsidRDefault="00AD3741" w:rsidP="00DA2296">
            <w:pPr>
              <w:snapToGrid w:val="0"/>
              <w:jc w:val="both"/>
              <w:rPr>
                <w:b/>
                <w:sz w:val="20"/>
                <w:szCs w:val="20"/>
              </w:rPr>
            </w:pPr>
            <w:r w:rsidRPr="00BF3275">
              <w:rPr>
                <w:b/>
                <w:sz w:val="20"/>
                <w:szCs w:val="20"/>
              </w:rPr>
              <w:t>Invasive lobular carcinoma</w:t>
            </w:r>
          </w:p>
        </w:tc>
        <w:tc>
          <w:tcPr>
            <w:tcW w:w="570" w:type="pct"/>
            <w:vAlign w:val="center"/>
          </w:tcPr>
          <w:p w:rsidR="00AD3741" w:rsidRPr="00BF3275" w:rsidRDefault="00AD3741" w:rsidP="00DA2296">
            <w:pPr>
              <w:snapToGrid w:val="0"/>
              <w:jc w:val="both"/>
              <w:rPr>
                <w:sz w:val="20"/>
                <w:szCs w:val="20"/>
              </w:rPr>
            </w:pPr>
            <w:r w:rsidRPr="00BF3275">
              <w:rPr>
                <w:sz w:val="20"/>
                <w:szCs w:val="20"/>
              </w:rPr>
              <w:t>1</w:t>
            </w:r>
          </w:p>
        </w:tc>
        <w:tc>
          <w:tcPr>
            <w:tcW w:w="1147" w:type="pct"/>
            <w:vAlign w:val="center"/>
          </w:tcPr>
          <w:p w:rsidR="00AD3741" w:rsidRPr="00BF3275" w:rsidRDefault="00AD3741" w:rsidP="00DA2296">
            <w:pPr>
              <w:snapToGrid w:val="0"/>
              <w:jc w:val="both"/>
              <w:rPr>
                <w:sz w:val="20"/>
                <w:szCs w:val="20"/>
              </w:rPr>
            </w:pPr>
            <w:r w:rsidRPr="00BF3275">
              <w:rPr>
                <w:sz w:val="20"/>
                <w:szCs w:val="20"/>
              </w:rPr>
              <w:t>4.8%</w:t>
            </w:r>
          </w:p>
        </w:tc>
      </w:tr>
    </w:tbl>
    <w:p w:rsidR="0038154B" w:rsidRPr="00BF3275" w:rsidRDefault="0038154B" w:rsidP="00DA2296">
      <w:pPr>
        <w:snapToGrid w:val="0"/>
        <w:ind w:firstLine="425"/>
        <w:jc w:val="both"/>
        <w:rPr>
          <w:rFonts w:hint="eastAsia"/>
          <w:sz w:val="20"/>
          <w:szCs w:val="20"/>
          <w:lang w:eastAsia="zh-CN"/>
        </w:rPr>
      </w:pPr>
    </w:p>
    <w:p w:rsidR="00AD3741" w:rsidRPr="00BF3275" w:rsidRDefault="00BF3275" w:rsidP="00DE2288">
      <w:pPr>
        <w:snapToGrid w:val="0"/>
        <w:ind w:firstLine="425"/>
        <w:jc w:val="both"/>
        <w:rPr>
          <w:sz w:val="20"/>
          <w:szCs w:val="20"/>
        </w:rPr>
      </w:pPr>
      <w:r w:rsidRPr="00BF3275">
        <w:rPr>
          <w:sz w:val="20"/>
          <w:szCs w:val="20"/>
        </w:rPr>
        <w:t>This table shows the Diagnostic performance of U/S in relation to Histopathology results. Total studied patients were 21 patients. There were 3 patients (14.3%) true positive, 17 patients (81%) true negative, 0 patient (0%) false positive and 1 patients (4.7%) false negative. Thus U/S had the sensitivity of 75%, specificity of 100%, PPV of 100%, NPV of 94.4% and accuracy of 95.2%</w:t>
      </w:r>
      <w:r>
        <w:rPr>
          <w:rFonts w:hint="eastAsia"/>
          <w:sz w:val="20"/>
          <w:szCs w:val="20"/>
          <w:lang w:eastAsia="zh-CN"/>
        </w:rPr>
        <w:t xml:space="preserve"> (Table 7)</w:t>
      </w:r>
      <w:r w:rsidRPr="00BF3275">
        <w:rPr>
          <w:sz w:val="20"/>
          <w:szCs w:val="20"/>
        </w:rPr>
        <w:t>.</w:t>
      </w:r>
    </w:p>
    <w:p w:rsidR="00DE2288" w:rsidRPr="00BF3275" w:rsidRDefault="00DE2288" w:rsidP="00DA2296">
      <w:pPr>
        <w:snapToGrid w:val="0"/>
        <w:jc w:val="center"/>
        <w:rPr>
          <w:b/>
          <w:bCs/>
          <w:sz w:val="20"/>
          <w:szCs w:val="20"/>
          <w:lang w:eastAsia="zh-CN"/>
        </w:rPr>
      </w:pPr>
    </w:p>
    <w:p w:rsidR="00AD3741" w:rsidRPr="00BF3275" w:rsidRDefault="00AD3741" w:rsidP="00DA2296">
      <w:pPr>
        <w:snapToGrid w:val="0"/>
        <w:jc w:val="center"/>
        <w:rPr>
          <w:sz w:val="20"/>
          <w:szCs w:val="20"/>
        </w:rPr>
      </w:pPr>
      <w:r w:rsidRPr="00BF3275">
        <w:rPr>
          <w:b/>
          <w:bCs/>
          <w:sz w:val="20"/>
          <w:szCs w:val="20"/>
        </w:rPr>
        <w:t>Table (</w:t>
      </w:r>
      <w:r w:rsidR="000A6012" w:rsidRPr="00BF3275">
        <w:rPr>
          <w:b/>
          <w:bCs/>
          <w:sz w:val="20"/>
          <w:szCs w:val="20"/>
        </w:rPr>
        <w:t>7</w:t>
      </w:r>
      <w:r w:rsidRPr="00BF3275">
        <w:rPr>
          <w:b/>
          <w:bCs/>
          <w:sz w:val="20"/>
          <w:szCs w:val="20"/>
        </w:rPr>
        <w:t xml:space="preserve">): </w:t>
      </w:r>
      <w:r w:rsidRPr="00BF3275">
        <w:rPr>
          <w:sz w:val="20"/>
          <w:szCs w:val="20"/>
        </w:rPr>
        <w:t>Diagnostic performance of U/S in relation to Histopathology results.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189"/>
        <w:gridCol w:w="466"/>
        <w:gridCol w:w="1442"/>
        <w:gridCol w:w="756"/>
        <w:gridCol w:w="1239"/>
        <w:gridCol w:w="661"/>
        <w:gridCol w:w="1281"/>
        <w:gridCol w:w="1019"/>
        <w:gridCol w:w="1421"/>
      </w:tblGrid>
      <w:tr w:rsidR="00AD3741" w:rsidRPr="00BF3275" w:rsidTr="00462FBD">
        <w:trPr>
          <w:jc w:val="center"/>
        </w:trPr>
        <w:tc>
          <w:tcPr>
            <w:tcW w:w="627"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(n = 21)</w:t>
            </w:r>
          </w:p>
        </w:tc>
        <w:tc>
          <w:tcPr>
            <w:tcW w:w="1007"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True positive</w:t>
            </w:r>
          </w:p>
        </w:tc>
        <w:tc>
          <w:tcPr>
            <w:tcW w:w="1053"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True negative</w:t>
            </w:r>
          </w:p>
        </w:tc>
        <w:tc>
          <w:tcPr>
            <w:tcW w:w="1025"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False positive</w:t>
            </w:r>
          </w:p>
        </w:tc>
        <w:tc>
          <w:tcPr>
            <w:tcW w:w="1289"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False negative</w:t>
            </w:r>
          </w:p>
        </w:tc>
      </w:tr>
      <w:tr w:rsidR="00462FBD" w:rsidRPr="00BF3275" w:rsidTr="00462FBD">
        <w:trPr>
          <w:jc w:val="center"/>
        </w:trPr>
        <w:tc>
          <w:tcPr>
            <w:tcW w:w="627"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U/S</w:t>
            </w:r>
          </w:p>
        </w:tc>
        <w:tc>
          <w:tcPr>
            <w:tcW w:w="246"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3</w:t>
            </w:r>
          </w:p>
        </w:tc>
        <w:tc>
          <w:tcPr>
            <w:tcW w:w="761"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14.3%</w:t>
            </w:r>
          </w:p>
        </w:tc>
        <w:tc>
          <w:tcPr>
            <w:tcW w:w="399"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17</w:t>
            </w:r>
          </w:p>
        </w:tc>
        <w:tc>
          <w:tcPr>
            <w:tcW w:w="654"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81%</w:t>
            </w:r>
          </w:p>
        </w:tc>
        <w:tc>
          <w:tcPr>
            <w:tcW w:w="349"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0</w:t>
            </w:r>
          </w:p>
        </w:tc>
        <w:tc>
          <w:tcPr>
            <w:tcW w:w="676"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0%</w:t>
            </w:r>
          </w:p>
        </w:tc>
        <w:tc>
          <w:tcPr>
            <w:tcW w:w="538"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1</w:t>
            </w:r>
          </w:p>
        </w:tc>
        <w:tc>
          <w:tcPr>
            <w:tcW w:w="750"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4.7%</w:t>
            </w:r>
          </w:p>
        </w:tc>
      </w:tr>
      <w:tr w:rsidR="00AD3741" w:rsidRPr="00BF3275" w:rsidTr="00462FBD">
        <w:trPr>
          <w:jc w:val="center"/>
        </w:trPr>
        <w:tc>
          <w:tcPr>
            <w:tcW w:w="627" w:type="pct"/>
            <w:shd w:val="clear" w:color="auto" w:fill="auto"/>
            <w:vAlign w:val="center"/>
          </w:tcPr>
          <w:p w:rsidR="00AD3741" w:rsidRPr="00BF3275" w:rsidRDefault="00AD3741" w:rsidP="00DA2296">
            <w:pPr>
              <w:snapToGrid w:val="0"/>
              <w:jc w:val="both"/>
              <w:rPr>
                <w:b/>
                <w:bCs/>
                <w:sz w:val="20"/>
                <w:szCs w:val="20"/>
              </w:rPr>
            </w:pPr>
          </w:p>
        </w:tc>
        <w:tc>
          <w:tcPr>
            <w:tcW w:w="1007"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Sensitivity</w:t>
            </w:r>
          </w:p>
        </w:tc>
        <w:tc>
          <w:tcPr>
            <w:tcW w:w="1053"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Specificity</w:t>
            </w:r>
          </w:p>
        </w:tc>
        <w:tc>
          <w:tcPr>
            <w:tcW w:w="1025"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PPV</w:t>
            </w:r>
          </w:p>
        </w:tc>
        <w:tc>
          <w:tcPr>
            <w:tcW w:w="538"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NPV</w:t>
            </w:r>
          </w:p>
        </w:tc>
        <w:tc>
          <w:tcPr>
            <w:tcW w:w="750"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Accuracy</w:t>
            </w:r>
          </w:p>
        </w:tc>
      </w:tr>
      <w:tr w:rsidR="00AD3741" w:rsidRPr="00BF3275" w:rsidTr="00462FBD">
        <w:trPr>
          <w:jc w:val="center"/>
        </w:trPr>
        <w:tc>
          <w:tcPr>
            <w:tcW w:w="627"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U/S</w:t>
            </w:r>
          </w:p>
        </w:tc>
        <w:tc>
          <w:tcPr>
            <w:tcW w:w="1007"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75%</w:t>
            </w:r>
          </w:p>
        </w:tc>
        <w:tc>
          <w:tcPr>
            <w:tcW w:w="1053"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100%</w:t>
            </w:r>
          </w:p>
        </w:tc>
        <w:tc>
          <w:tcPr>
            <w:tcW w:w="1025" w:type="pct"/>
            <w:gridSpan w:val="2"/>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100%</w:t>
            </w:r>
          </w:p>
        </w:tc>
        <w:tc>
          <w:tcPr>
            <w:tcW w:w="538"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94.4%</w:t>
            </w:r>
          </w:p>
        </w:tc>
        <w:tc>
          <w:tcPr>
            <w:tcW w:w="750" w:type="pct"/>
            <w:shd w:val="clear" w:color="auto" w:fill="auto"/>
            <w:vAlign w:val="center"/>
          </w:tcPr>
          <w:p w:rsidR="00AD3741" w:rsidRPr="00BF3275" w:rsidRDefault="00AD3741" w:rsidP="00DA2296">
            <w:pPr>
              <w:snapToGrid w:val="0"/>
              <w:jc w:val="both"/>
              <w:rPr>
                <w:b/>
                <w:bCs/>
                <w:sz w:val="20"/>
                <w:szCs w:val="20"/>
              </w:rPr>
            </w:pPr>
            <w:r w:rsidRPr="00BF3275">
              <w:rPr>
                <w:b/>
                <w:bCs/>
                <w:sz w:val="20"/>
                <w:szCs w:val="20"/>
              </w:rPr>
              <w:t>95.2%</w:t>
            </w:r>
          </w:p>
        </w:tc>
      </w:tr>
    </w:tbl>
    <w:p w:rsidR="0038154B" w:rsidRPr="00BF3275" w:rsidRDefault="0038154B" w:rsidP="00DA2296">
      <w:pPr>
        <w:snapToGrid w:val="0"/>
        <w:ind w:firstLine="425"/>
        <w:jc w:val="both"/>
        <w:rPr>
          <w:rFonts w:hint="eastAsia"/>
          <w:sz w:val="20"/>
          <w:szCs w:val="20"/>
          <w:lang w:eastAsia="zh-CN"/>
        </w:rPr>
      </w:pPr>
    </w:p>
    <w:p w:rsidR="00BF3275" w:rsidRPr="00BF3275" w:rsidRDefault="00BF3275" w:rsidP="00BF3275">
      <w:pPr>
        <w:snapToGrid w:val="0"/>
        <w:ind w:firstLine="425"/>
        <w:jc w:val="both"/>
        <w:rPr>
          <w:sz w:val="20"/>
          <w:szCs w:val="20"/>
        </w:rPr>
      </w:pPr>
      <w:r w:rsidRPr="00BF3275">
        <w:rPr>
          <w:bCs/>
          <w:sz w:val="20"/>
          <w:szCs w:val="20"/>
        </w:rPr>
        <w:t xml:space="preserve">This table shows no statistical significant relation </w:t>
      </w:r>
      <w:r w:rsidRPr="00BF3275">
        <w:rPr>
          <w:b/>
          <w:sz w:val="20"/>
          <w:szCs w:val="20"/>
        </w:rPr>
        <w:t>(p-value &gt; 0.05)</w:t>
      </w:r>
      <w:r w:rsidRPr="00BF3275">
        <w:rPr>
          <w:bCs/>
          <w:sz w:val="20"/>
          <w:szCs w:val="20"/>
        </w:rPr>
        <w:t xml:space="preserve"> between U.S results and age of patients</w:t>
      </w:r>
      <w:r>
        <w:rPr>
          <w:rFonts w:hint="eastAsia"/>
          <w:bCs/>
          <w:sz w:val="20"/>
          <w:szCs w:val="20"/>
          <w:lang w:eastAsia="zh-CN"/>
        </w:rPr>
        <w:t xml:space="preserve"> </w:t>
      </w:r>
      <w:r>
        <w:rPr>
          <w:rFonts w:hint="eastAsia"/>
          <w:sz w:val="20"/>
          <w:szCs w:val="20"/>
          <w:lang w:eastAsia="zh-CN"/>
        </w:rPr>
        <w:t>(Table 8)</w:t>
      </w:r>
      <w:r w:rsidRPr="00BF3275">
        <w:rPr>
          <w:bCs/>
          <w:sz w:val="20"/>
          <w:szCs w:val="20"/>
        </w:rPr>
        <w:t>.</w:t>
      </w:r>
    </w:p>
    <w:p w:rsidR="00DE2288" w:rsidRPr="00BF3275" w:rsidRDefault="00DE2288" w:rsidP="00DA2296">
      <w:pPr>
        <w:snapToGrid w:val="0"/>
        <w:jc w:val="center"/>
        <w:rPr>
          <w:b/>
          <w:sz w:val="20"/>
          <w:szCs w:val="20"/>
          <w:lang w:eastAsia="zh-CN"/>
        </w:rPr>
      </w:pPr>
    </w:p>
    <w:p w:rsidR="00AD3741" w:rsidRPr="00BF3275" w:rsidRDefault="00AD3741" w:rsidP="00DA2296">
      <w:pPr>
        <w:snapToGrid w:val="0"/>
        <w:jc w:val="center"/>
        <w:rPr>
          <w:bCs/>
          <w:sz w:val="20"/>
          <w:szCs w:val="20"/>
        </w:rPr>
      </w:pPr>
      <w:r w:rsidRPr="00BF3275">
        <w:rPr>
          <w:b/>
          <w:sz w:val="20"/>
          <w:szCs w:val="20"/>
        </w:rPr>
        <w:t>Table (</w:t>
      </w:r>
      <w:r w:rsidR="000A6012" w:rsidRPr="00BF3275">
        <w:rPr>
          <w:b/>
          <w:sz w:val="20"/>
          <w:szCs w:val="20"/>
        </w:rPr>
        <w:t>8</w:t>
      </w:r>
      <w:r w:rsidR="005F6E7D" w:rsidRPr="00BF3275">
        <w:rPr>
          <w:b/>
          <w:sz w:val="20"/>
          <w:szCs w:val="20"/>
        </w:rPr>
        <w:t>)</w:t>
      </w:r>
      <w:r w:rsidRPr="00BF3275">
        <w:rPr>
          <w:b/>
          <w:sz w:val="20"/>
          <w:szCs w:val="20"/>
        </w:rPr>
        <w:t xml:space="preserve">: </w:t>
      </w:r>
      <w:r w:rsidR="000A6012" w:rsidRPr="00BF3275">
        <w:rPr>
          <w:bCs/>
          <w:sz w:val="20"/>
          <w:szCs w:val="20"/>
        </w:rPr>
        <w:t>R</w:t>
      </w:r>
      <w:r w:rsidRPr="00BF3275">
        <w:rPr>
          <w:bCs/>
          <w:sz w:val="20"/>
          <w:szCs w:val="20"/>
        </w:rPr>
        <w:t>elation between U.S results and age of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872"/>
        <w:gridCol w:w="1040"/>
        <w:gridCol w:w="2454"/>
        <w:gridCol w:w="2799"/>
        <w:gridCol w:w="1309"/>
      </w:tblGrid>
      <w:tr w:rsidR="00AD3741" w:rsidRPr="00BF3275" w:rsidTr="00462FBD">
        <w:trPr>
          <w:jc w:val="center"/>
        </w:trPr>
        <w:tc>
          <w:tcPr>
            <w:tcW w:w="1537" w:type="pct"/>
            <w:gridSpan w:val="2"/>
            <w:vMerge w:val="restart"/>
            <w:vAlign w:val="center"/>
          </w:tcPr>
          <w:p w:rsidR="00AD3741" w:rsidRPr="00BF3275" w:rsidRDefault="00AD3741" w:rsidP="00DA2296">
            <w:pPr>
              <w:snapToGrid w:val="0"/>
              <w:jc w:val="both"/>
              <w:rPr>
                <w:b/>
                <w:sz w:val="20"/>
                <w:szCs w:val="20"/>
              </w:rPr>
            </w:pPr>
            <w:r w:rsidRPr="00BF3275">
              <w:rPr>
                <w:b/>
                <w:sz w:val="20"/>
                <w:szCs w:val="20"/>
              </w:rPr>
              <w:t>Variables</w:t>
            </w:r>
          </w:p>
        </w:tc>
        <w:tc>
          <w:tcPr>
            <w:tcW w:w="2772" w:type="pct"/>
            <w:gridSpan w:val="2"/>
            <w:vAlign w:val="center"/>
          </w:tcPr>
          <w:p w:rsidR="00AD3741" w:rsidRPr="00BF3275" w:rsidRDefault="00AD3741" w:rsidP="00DA2296">
            <w:pPr>
              <w:snapToGrid w:val="0"/>
              <w:jc w:val="both"/>
              <w:rPr>
                <w:b/>
                <w:bCs/>
                <w:sz w:val="20"/>
                <w:szCs w:val="20"/>
              </w:rPr>
            </w:pPr>
            <w:r w:rsidRPr="00BF3275">
              <w:rPr>
                <w:b/>
                <w:bCs/>
                <w:sz w:val="20"/>
                <w:szCs w:val="20"/>
              </w:rPr>
              <w:t>U/S results</w:t>
            </w:r>
          </w:p>
        </w:tc>
        <w:tc>
          <w:tcPr>
            <w:tcW w:w="691" w:type="pct"/>
            <w:vMerge w:val="restart"/>
            <w:vAlign w:val="center"/>
          </w:tcPr>
          <w:p w:rsidR="00AD3741" w:rsidRPr="00BF3275" w:rsidRDefault="00AD3741" w:rsidP="00DA2296">
            <w:pPr>
              <w:snapToGrid w:val="0"/>
              <w:jc w:val="both"/>
              <w:rPr>
                <w:b/>
                <w:bCs/>
                <w:sz w:val="20"/>
                <w:szCs w:val="20"/>
              </w:rPr>
            </w:pPr>
            <w:r w:rsidRPr="00BF3275">
              <w:rPr>
                <w:b/>
                <w:bCs/>
                <w:sz w:val="20"/>
                <w:szCs w:val="20"/>
              </w:rPr>
              <w:t>P-value</w:t>
            </w:r>
          </w:p>
        </w:tc>
      </w:tr>
      <w:tr w:rsidR="00AD3741" w:rsidRPr="00BF3275" w:rsidTr="00462FBD">
        <w:trPr>
          <w:jc w:val="center"/>
        </w:trPr>
        <w:tc>
          <w:tcPr>
            <w:tcW w:w="1537" w:type="pct"/>
            <w:gridSpan w:val="2"/>
            <w:vMerge/>
            <w:vAlign w:val="center"/>
          </w:tcPr>
          <w:p w:rsidR="00AD3741" w:rsidRPr="00BF3275" w:rsidRDefault="00AD3741" w:rsidP="00DA2296">
            <w:pPr>
              <w:snapToGrid w:val="0"/>
              <w:jc w:val="both"/>
              <w:rPr>
                <w:b/>
                <w:sz w:val="20"/>
                <w:szCs w:val="20"/>
              </w:rPr>
            </w:pPr>
          </w:p>
        </w:tc>
        <w:tc>
          <w:tcPr>
            <w:tcW w:w="1295" w:type="pct"/>
            <w:vAlign w:val="center"/>
          </w:tcPr>
          <w:p w:rsidR="00AD3741" w:rsidRPr="00BF3275" w:rsidRDefault="00AD3741" w:rsidP="00DA2296">
            <w:pPr>
              <w:snapToGrid w:val="0"/>
              <w:jc w:val="both"/>
              <w:rPr>
                <w:b/>
                <w:sz w:val="20"/>
                <w:szCs w:val="20"/>
              </w:rPr>
            </w:pPr>
            <w:r w:rsidRPr="00BF3275">
              <w:rPr>
                <w:b/>
                <w:sz w:val="20"/>
                <w:szCs w:val="20"/>
              </w:rPr>
              <w:t>Benign</w:t>
            </w:r>
            <w:r w:rsidR="000A6012" w:rsidRPr="00BF3275">
              <w:rPr>
                <w:b/>
                <w:sz w:val="20"/>
                <w:szCs w:val="20"/>
              </w:rPr>
              <w:t xml:space="preserve"> </w:t>
            </w:r>
            <w:r w:rsidRPr="00BF3275">
              <w:rPr>
                <w:b/>
                <w:sz w:val="20"/>
                <w:szCs w:val="20"/>
              </w:rPr>
              <w:t>(n = 18)</w:t>
            </w:r>
          </w:p>
        </w:tc>
        <w:tc>
          <w:tcPr>
            <w:tcW w:w="1477" w:type="pct"/>
            <w:vAlign w:val="center"/>
          </w:tcPr>
          <w:p w:rsidR="00AD3741" w:rsidRPr="00BF3275" w:rsidRDefault="00AD3741" w:rsidP="00DA2296">
            <w:pPr>
              <w:snapToGrid w:val="0"/>
              <w:jc w:val="both"/>
              <w:rPr>
                <w:b/>
                <w:sz w:val="20"/>
                <w:szCs w:val="20"/>
              </w:rPr>
            </w:pPr>
            <w:r w:rsidRPr="00BF3275">
              <w:rPr>
                <w:b/>
                <w:sz w:val="20"/>
                <w:szCs w:val="20"/>
              </w:rPr>
              <w:t>Suspicious</w:t>
            </w:r>
            <w:r w:rsidR="000A6012" w:rsidRPr="00BF3275">
              <w:rPr>
                <w:b/>
                <w:sz w:val="20"/>
                <w:szCs w:val="20"/>
              </w:rPr>
              <w:t xml:space="preserve"> </w:t>
            </w:r>
            <w:r w:rsidRPr="00BF3275">
              <w:rPr>
                <w:b/>
                <w:sz w:val="20"/>
                <w:szCs w:val="20"/>
              </w:rPr>
              <w:t>(n = 3)</w:t>
            </w:r>
          </w:p>
        </w:tc>
        <w:tc>
          <w:tcPr>
            <w:tcW w:w="691" w:type="pct"/>
            <w:vMerge/>
            <w:vAlign w:val="center"/>
          </w:tcPr>
          <w:p w:rsidR="00AD3741" w:rsidRPr="00BF3275" w:rsidRDefault="00AD3741" w:rsidP="00DA2296">
            <w:pPr>
              <w:snapToGrid w:val="0"/>
              <w:jc w:val="both"/>
              <w:rPr>
                <w:sz w:val="20"/>
                <w:szCs w:val="20"/>
              </w:rPr>
            </w:pPr>
          </w:p>
        </w:tc>
      </w:tr>
      <w:tr w:rsidR="00AD3741" w:rsidRPr="00BF3275" w:rsidTr="00462FBD">
        <w:trPr>
          <w:jc w:val="center"/>
        </w:trPr>
        <w:tc>
          <w:tcPr>
            <w:tcW w:w="988" w:type="pct"/>
            <w:vMerge w:val="restart"/>
            <w:vAlign w:val="center"/>
          </w:tcPr>
          <w:p w:rsidR="00AD3741" w:rsidRPr="00BF3275" w:rsidRDefault="00AD3741" w:rsidP="00DA2296">
            <w:pPr>
              <w:snapToGrid w:val="0"/>
              <w:jc w:val="both"/>
              <w:rPr>
                <w:b/>
                <w:sz w:val="20"/>
                <w:szCs w:val="20"/>
              </w:rPr>
            </w:pPr>
            <w:r w:rsidRPr="00BF3275">
              <w:rPr>
                <w:b/>
                <w:sz w:val="20"/>
                <w:szCs w:val="20"/>
              </w:rPr>
              <w:t>Age (years)</w:t>
            </w:r>
          </w:p>
        </w:tc>
        <w:tc>
          <w:tcPr>
            <w:tcW w:w="549" w:type="pct"/>
            <w:vAlign w:val="center"/>
          </w:tcPr>
          <w:p w:rsidR="00AD3741" w:rsidRPr="00BF3275" w:rsidRDefault="00AD3741" w:rsidP="00DA2296">
            <w:pPr>
              <w:snapToGrid w:val="0"/>
              <w:jc w:val="both"/>
              <w:rPr>
                <w:b/>
                <w:sz w:val="20"/>
                <w:szCs w:val="20"/>
              </w:rPr>
            </w:pPr>
            <w:r w:rsidRPr="00BF3275">
              <w:rPr>
                <w:b/>
                <w:sz w:val="20"/>
                <w:szCs w:val="20"/>
              </w:rPr>
              <w:t>Mean</w:t>
            </w:r>
          </w:p>
        </w:tc>
        <w:tc>
          <w:tcPr>
            <w:tcW w:w="1295" w:type="pct"/>
            <w:vAlign w:val="center"/>
          </w:tcPr>
          <w:p w:rsidR="00AD3741" w:rsidRPr="00BF3275" w:rsidRDefault="00AD3741" w:rsidP="00DA2296">
            <w:pPr>
              <w:snapToGrid w:val="0"/>
              <w:jc w:val="both"/>
              <w:rPr>
                <w:sz w:val="20"/>
                <w:szCs w:val="20"/>
              </w:rPr>
            </w:pPr>
            <w:r w:rsidRPr="00BF3275">
              <w:rPr>
                <w:sz w:val="20"/>
                <w:szCs w:val="20"/>
              </w:rPr>
              <w:t>44.5</w:t>
            </w:r>
          </w:p>
        </w:tc>
        <w:tc>
          <w:tcPr>
            <w:tcW w:w="1477" w:type="pct"/>
            <w:vAlign w:val="center"/>
          </w:tcPr>
          <w:p w:rsidR="00AD3741" w:rsidRPr="00BF3275" w:rsidRDefault="00AD3741" w:rsidP="00DA2296">
            <w:pPr>
              <w:snapToGrid w:val="0"/>
              <w:jc w:val="both"/>
              <w:rPr>
                <w:sz w:val="20"/>
                <w:szCs w:val="20"/>
              </w:rPr>
            </w:pPr>
            <w:r w:rsidRPr="00BF3275">
              <w:rPr>
                <w:sz w:val="20"/>
                <w:szCs w:val="20"/>
              </w:rPr>
              <w:t>44.0</w:t>
            </w:r>
          </w:p>
        </w:tc>
        <w:tc>
          <w:tcPr>
            <w:tcW w:w="691" w:type="pct"/>
            <w:vMerge w:val="restart"/>
            <w:vAlign w:val="center"/>
          </w:tcPr>
          <w:p w:rsidR="00AD3741" w:rsidRPr="00BF3275" w:rsidRDefault="00AD3741" w:rsidP="00DA2296">
            <w:pPr>
              <w:snapToGrid w:val="0"/>
              <w:jc w:val="both"/>
              <w:rPr>
                <w:sz w:val="20"/>
                <w:szCs w:val="20"/>
              </w:rPr>
            </w:pPr>
            <w:r w:rsidRPr="00BF3275">
              <w:rPr>
                <w:sz w:val="20"/>
                <w:szCs w:val="20"/>
              </w:rPr>
              <w:t>0.863</w:t>
            </w:r>
          </w:p>
          <w:p w:rsidR="00AD3741" w:rsidRPr="00BF3275" w:rsidRDefault="00AD3741" w:rsidP="00DA2296">
            <w:pPr>
              <w:snapToGrid w:val="0"/>
              <w:jc w:val="both"/>
              <w:rPr>
                <w:sz w:val="20"/>
                <w:szCs w:val="20"/>
              </w:rPr>
            </w:pPr>
            <w:r w:rsidRPr="00BF3275">
              <w:rPr>
                <w:sz w:val="20"/>
                <w:szCs w:val="20"/>
              </w:rPr>
              <w:t>NS</w:t>
            </w:r>
          </w:p>
        </w:tc>
      </w:tr>
      <w:tr w:rsidR="00AD3741" w:rsidRPr="00BF3275" w:rsidTr="00462FBD">
        <w:trPr>
          <w:jc w:val="center"/>
        </w:trPr>
        <w:tc>
          <w:tcPr>
            <w:tcW w:w="988" w:type="pct"/>
            <w:vMerge/>
            <w:vAlign w:val="center"/>
          </w:tcPr>
          <w:p w:rsidR="00AD3741" w:rsidRPr="00BF3275" w:rsidRDefault="00AD3741" w:rsidP="00DA2296">
            <w:pPr>
              <w:snapToGrid w:val="0"/>
              <w:jc w:val="both"/>
              <w:rPr>
                <w:b/>
                <w:bCs/>
                <w:sz w:val="20"/>
                <w:szCs w:val="20"/>
              </w:rPr>
            </w:pPr>
          </w:p>
        </w:tc>
        <w:tc>
          <w:tcPr>
            <w:tcW w:w="549" w:type="pct"/>
            <w:vAlign w:val="center"/>
          </w:tcPr>
          <w:p w:rsidR="00AD3741" w:rsidRPr="00BF3275" w:rsidRDefault="00AD3741" w:rsidP="00DA2296">
            <w:pPr>
              <w:snapToGrid w:val="0"/>
              <w:jc w:val="both"/>
              <w:rPr>
                <w:b/>
                <w:sz w:val="20"/>
                <w:szCs w:val="20"/>
              </w:rPr>
            </w:pPr>
            <w:r w:rsidRPr="00BF3275">
              <w:rPr>
                <w:b/>
                <w:sz w:val="20"/>
                <w:szCs w:val="20"/>
              </w:rPr>
              <w:t>±SD</w:t>
            </w:r>
          </w:p>
        </w:tc>
        <w:tc>
          <w:tcPr>
            <w:tcW w:w="1295" w:type="pct"/>
            <w:vAlign w:val="center"/>
          </w:tcPr>
          <w:p w:rsidR="00AD3741" w:rsidRPr="00BF3275" w:rsidRDefault="00AD3741" w:rsidP="00DA2296">
            <w:pPr>
              <w:snapToGrid w:val="0"/>
              <w:jc w:val="both"/>
              <w:rPr>
                <w:sz w:val="20"/>
                <w:szCs w:val="20"/>
              </w:rPr>
            </w:pPr>
            <w:r w:rsidRPr="00BF3275">
              <w:rPr>
                <w:sz w:val="20"/>
                <w:szCs w:val="20"/>
              </w:rPr>
              <w:t>4.9</w:t>
            </w:r>
          </w:p>
        </w:tc>
        <w:tc>
          <w:tcPr>
            <w:tcW w:w="1477" w:type="pct"/>
            <w:vAlign w:val="center"/>
          </w:tcPr>
          <w:p w:rsidR="00AD3741" w:rsidRPr="00BF3275" w:rsidRDefault="00AD3741" w:rsidP="00DA2296">
            <w:pPr>
              <w:snapToGrid w:val="0"/>
              <w:jc w:val="both"/>
              <w:rPr>
                <w:sz w:val="20"/>
                <w:szCs w:val="20"/>
              </w:rPr>
            </w:pPr>
            <w:r w:rsidRPr="00BF3275">
              <w:rPr>
                <w:sz w:val="20"/>
                <w:szCs w:val="20"/>
              </w:rPr>
              <w:t>6.08</w:t>
            </w:r>
          </w:p>
        </w:tc>
        <w:tc>
          <w:tcPr>
            <w:tcW w:w="691" w:type="pct"/>
            <w:vMerge/>
            <w:vAlign w:val="center"/>
          </w:tcPr>
          <w:p w:rsidR="00AD3741" w:rsidRPr="00BF3275" w:rsidRDefault="00AD3741" w:rsidP="00DA2296">
            <w:pPr>
              <w:snapToGrid w:val="0"/>
              <w:jc w:val="both"/>
              <w:rPr>
                <w:b/>
                <w:sz w:val="20"/>
                <w:szCs w:val="20"/>
              </w:rPr>
            </w:pPr>
          </w:p>
        </w:tc>
      </w:tr>
    </w:tbl>
    <w:p w:rsidR="00AD3741" w:rsidRPr="00BF3275" w:rsidRDefault="00AD3741" w:rsidP="00DE2288">
      <w:pPr>
        <w:snapToGrid w:val="0"/>
        <w:jc w:val="both"/>
        <w:rPr>
          <w:bCs/>
          <w:sz w:val="20"/>
          <w:szCs w:val="20"/>
        </w:rPr>
      </w:pPr>
      <w:r w:rsidRPr="00BF3275">
        <w:rPr>
          <w:bCs/>
          <w:sz w:val="20"/>
          <w:szCs w:val="20"/>
        </w:rPr>
        <w:t>NS: p-value &gt; 0.05 is considered non-significant.</w:t>
      </w:r>
    </w:p>
    <w:p w:rsidR="0038154B" w:rsidRDefault="0038154B" w:rsidP="00DA2296">
      <w:pPr>
        <w:snapToGrid w:val="0"/>
        <w:ind w:firstLine="425"/>
        <w:jc w:val="both"/>
        <w:rPr>
          <w:rFonts w:hint="eastAsia"/>
          <w:bCs/>
          <w:sz w:val="20"/>
          <w:szCs w:val="20"/>
          <w:lang w:eastAsia="zh-CN"/>
        </w:rPr>
      </w:pPr>
    </w:p>
    <w:p w:rsidR="0038154B" w:rsidRPr="00BF3275" w:rsidRDefault="0038154B" w:rsidP="0038154B">
      <w:pPr>
        <w:snapToGrid w:val="0"/>
        <w:ind w:firstLine="425"/>
        <w:jc w:val="both"/>
        <w:rPr>
          <w:bCs/>
          <w:sz w:val="20"/>
          <w:szCs w:val="20"/>
        </w:rPr>
      </w:pPr>
      <w:r w:rsidRPr="00BF3275">
        <w:rPr>
          <w:bCs/>
          <w:sz w:val="20"/>
          <w:szCs w:val="20"/>
        </w:rPr>
        <w:t xml:space="preserve">This table shows no statistical significant relation </w:t>
      </w:r>
      <w:r w:rsidRPr="00BF3275">
        <w:rPr>
          <w:b/>
          <w:sz w:val="20"/>
          <w:szCs w:val="20"/>
        </w:rPr>
        <w:t>(p-value &gt; 0.05)</w:t>
      </w:r>
      <w:r w:rsidRPr="00BF3275">
        <w:rPr>
          <w:bCs/>
          <w:sz w:val="20"/>
          <w:szCs w:val="20"/>
        </w:rPr>
        <w:t xml:space="preserve"> between U.S results and risk factors of patients</w:t>
      </w:r>
      <w:r>
        <w:rPr>
          <w:rFonts w:hint="eastAsia"/>
          <w:bCs/>
          <w:sz w:val="20"/>
          <w:szCs w:val="20"/>
          <w:lang w:eastAsia="zh-CN"/>
        </w:rPr>
        <w:t xml:space="preserve"> </w:t>
      </w:r>
      <w:r>
        <w:rPr>
          <w:rFonts w:hint="eastAsia"/>
          <w:sz w:val="20"/>
          <w:szCs w:val="20"/>
          <w:lang w:eastAsia="zh-CN"/>
        </w:rPr>
        <w:t>(Table 9)</w:t>
      </w:r>
      <w:r w:rsidRPr="00BF3275">
        <w:rPr>
          <w:bCs/>
          <w:sz w:val="20"/>
          <w:szCs w:val="20"/>
        </w:rPr>
        <w:t>.</w:t>
      </w:r>
    </w:p>
    <w:p w:rsidR="00DB7A58" w:rsidRPr="00BF3275" w:rsidRDefault="00DB7A58" w:rsidP="00DA2296">
      <w:pPr>
        <w:snapToGrid w:val="0"/>
        <w:jc w:val="center"/>
        <w:rPr>
          <w:b/>
          <w:sz w:val="20"/>
          <w:szCs w:val="20"/>
        </w:rPr>
      </w:pPr>
    </w:p>
    <w:p w:rsidR="00AD3741" w:rsidRPr="00BF3275" w:rsidRDefault="00AD3741" w:rsidP="00DA2296">
      <w:pPr>
        <w:snapToGrid w:val="0"/>
        <w:jc w:val="center"/>
        <w:rPr>
          <w:bCs/>
          <w:sz w:val="20"/>
          <w:szCs w:val="20"/>
        </w:rPr>
      </w:pPr>
      <w:r w:rsidRPr="00BF3275">
        <w:rPr>
          <w:b/>
          <w:sz w:val="20"/>
          <w:szCs w:val="20"/>
        </w:rPr>
        <w:t>Table (</w:t>
      </w:r>
      <w:r w:rsidR="000A6012" w:rsidRPr="00BF3275">
        <w:rPr>
          <w:b/>
          <w:sz w:val="20"/>
          <w:szCs w:val="20"/>
        </w:rPr>
        <w:t>9</w:t>
      </w:r>
      <w:r w:rsidR="005F6E7D" w:rsidRPr="00BF3275">
        <w:rPr>
          <w:b/>
          <w:sz w:val="20"/>
          <w:szCs w:val="20"/>
        </w:rPr>
        <w:t>)</w:t>
      </w:r>
      <w:r w:rsidRPr="00BF3275">
        <w:rPr>
          <w:b/>
          <w:sz w:val="20"/>
          <w:szCs w:val="20"/>
        </w:rPr>
        <w:t xml:space="preserve">: </w:t>
      </w:r>
      <w:r w:rsidR="000A6012" w:rsidRPr="00BF3275">
        <w:rPr>
          <w:bCs/>
          <w:sz w:val="20"/>
          <w:szCs w:val="20"/>
        </w:rPr>
        <w:t>R</w:t>
      </w:r>
      <w:r w:rsidRPr="00BF3275">
        <w:rPr>
          <w:bCs/>
          <w:sz w:val="20"/>
          <w:szCs w:val="20"/>
        </w:rPr>
        <w:t>elation between U.S results and risk factors of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540"/>
        <w:gridCol w:w="2806"/>
        <w:gridCol w:w="485"/>
        <w:gridCol w:w="1432"/>
        <w:gridCol w:w="589"/>
        <w:gridCol w:w="1599"/>
        <w:gridCol w:w="1023"/>
      </w:tblGrid>
      <w:tr w:rsidR="00AD3741" w:rsidRPr="00BF3275" w:rsidTr="00462FBD">
        <w:trPr>
          <w:jc w:val="center"/>
        </w:trPr>
        <w:tc>
          <w:tcPr>
            <w:tcW w:w="2293" w:type="pct"/>
            <w:gridSpan w:val="2"/>
            <w:vMerge w:val="restart"/>
            <w:vAlign w:val="center"/>
          </w:tcPr>
          <w:p w:rsidR="00AD3741" w:rsidRPr="00BF3275" w:rsidRDefault="00AD3741" w:rsidP="00DA2296">
            <w:pPr>
              <w:snapToGrid w:val="0"/>
              <w:jc w:val="both"/>
              <w:rPr>
                <w:b/>
                <w:sz w:val="20"/>
                <w:szCs w:val="20"/>
              </w:rPr>
            </w:pPr>
            <w:r w:rsidRPr="00BF3275">
              <w:rPr>
                <w:b/>
                <w:sz w:val="20"/>
                <w:szCs w:val="20"/>
              </w:rPr>
              <w:t>Variables</w:t>
            </w:r>
          </w:p>
        </w:tc>
        <w:tc>
          <w:tcPr>
            <w:tcW w:w="2167" w:type="pct"/>
            <w:gridSpan w:val="4"/>
            <w:vAlign w:val="center"/>
          </w:tcPr>
          <w:p w:rsidR="00AD3741" w:rsidRPr="00BF3275" w:rsidRDefault="00AD3741" w:rsidP="00DA2296">
            <w:pPr>
              <w:snapToGrid w:val="0"/>
              <w:jc w:val="both"/>
              <w:rPr>
                <w:b/>
                <w:bCs/>
                <w:sz w:val="20"/>
                <w:szCs w:val="20"/>
              </w:rPr>
            </w:pPr>
            <w:r w:rsidRPr="00BF3275">
              <w:rPr>
                <w:b/>
                <w:bCs/>
                <w:sz w:val="20"/>
                <w:szCs w:val="20"/>
              </w:rPr>
              <w:t>U/S results</w:t>
            </w:r>
          </w:p>
        </w:tc>
        <w:tc>
          <w:tcPr>
            <w:tcW w:w="540" w:type="pct"/>
            <w:vMerge w:val="restart"/>
            <w:vAlign w:val="center"/>
          </w:tcPr>
          <w:p w:rsidR="00AD3741" w:rsidRPr="00BF3275" w:rsidRDefault="00AD3741" w:rsidP="00DA2296">
            <w:pPr>
              <w:snapToGrid w:val="0"/>
              <w:jc w:val="both"/>
              <w:rPr>
                <w:b/>
                <w:bCs/>
                <w:sz w:val="20"/>
                <w:szCs w:val="20"/>
              </w:rPr>
            </w:pPr>
            <w:r w:rsidRPr="00BF3275">
              <w:rPr>
                <w:b/>
                <w:bCs/>
                <w:sz w:val="20"/>
                <w:szCs w:val="20"/>
              </w:rPr>
              <w:t>P-value</w:t>
            </w:r>
          </w:p>
        </w:tc>
      </w:tr>
      <w:tr w:rsidR="00AD3741" w:rsidRPr="00BF3275" w:rsidTr="00462FBD">
        <w:trPr>
          <w:jc w:val="center"/>
        </w:trPr>
        <w:tc>
          <w:tcPr>
            <w:tcW w:w="2293" w:type="pct"/>
            <w:gridSpan w:val="2"/>
            <w:vMerge/>
            <w:vAlign w:val="center"/>
          </w:tcPr>
          <w:p w:rsidR="00AD3741" w:rsidRPr="00BF3275" w:rsidRDefault="00AD3741" w:rsidP="00DA2296">
            <w:pPr>
              <w:snapToGrid w:val="0"/>
              <w:jc w:val="both"/>
              <w:rPr>
                <w:b/>
                <w:sz w:val="20"/>
                <w:szCs w:val="20"/>
              </w:rPr>
            </w:pPr>
          </w:p>
        </w:tc>
        <w:tc>
          <w:tcPr>
            <w:tcW w:w="1012" w:type="pct"/>
            <w:gridSpan w:val="2"/>
            <w:vAlign w:val="center"/>
          </w:tcPr>
          <w:p w:rsidR="00AD3741" w:rsidRPr="00BF3275" w:rsidRDefault="00AD3741" w:rsidP="00DA2296">
            <w:pPr>
              <w:snapToGrid w:val="0"/>
              <w:jc w:val="both"/>
              <w:rPr>
                <w:b/>
                <w:sz w:val="20"/>
                <w:szCs w:val="20"/>
              </w:rPr>
            </w:pPr>
            <w:r w:rsidRPr="00BF3275">
              <w:rPr>
                <w:b/>
                <w:sz w:val="20"/>
                <w:szCs w:val="20"/>
              </w:rPr>
              <w:t>Benign</w:t>
            </w:r>
            <w:r w:rsidR="000A6012" w:rsidRPr="00BF3275">
              <w:rPr>
                <w:b/>
                <w:sz w:val="20"/>
                <w:szCs w:val="20"/>
              </w:rPr>
              <w:t xml:space="preserve"> </w:t>
            </w:r>
            <w:r w:rsidRPr="00BF3275">
              <w:rPr>
                <w:b/>
                <w:sz w:val="20"/>
                <w:szCs w:val="20"/>
              </w:rPr>
              <w:t>(n = 18)</w:t>
            </w:r>
          </w:p>
        </w:tc>
        <w:tc>
          <w:tcPr>
            <w:tcW w:w="1155" w:type="pct"/>
            <w:gridSpan w:val="2"/>
            <w:vAlign w:val="center"/>
          </w:tcPr>
          <w:p w:rsidR="00AD3741" w:rsidRPr="00BF3275" w:rsidRDefault="00AD3741" w:rsidP="00DA2296">
            <w:pPr>
              <w:snapToGrid w:val="0"/>
              <w:jc w:val="both"/>
              <w:rPr>
                <w:b/>
                <w:sz w:val="20"/>
                <w:szCs w:val="20"/>
              </w:rPr>
            </w:pPr>
            <w:r w:rsidRPr="00BF3275">
              <w:rPr>
                <w:b/>
                <w:sz w:val="20"/>
                <w:szCs w:val="20"/>
              </w:rPr>
              <w:t>Suspicious</w:t>
            </w:r>
            <w:r w:rsidR="000A6012" w:rsidRPr="00BF3275">
              <w:rPr>
                <w:b/>
                <w:sz w:val="20"/>
                <w:szCs w:val="20"/>
              </w:rPr>
              <w:t xml:space="preserve"> </w:t>
            </w:r>
            <w:r w:rsidRPr="00BF3275">
              <w:rPr>
                <w:b/>
                <w:sz w:val="20"/>
                <w:szCs w:val="20"/>
              </w:rPr>
              <w:t>(n = 3)</w:t>
            </w:r>
          </w:p>
        </w:tc>
        <w:tc>
          <w:tcPr>
            <w:tcW w:w="540" w:type="pct"/>
            <w:vMerge/>
            <w:vAlign w:val="center"/>
          </w:tcPr>
          <w:p w:rsidR="00AD3741" w:rsidRPr="00BF3275" w:rsidRDefault="00AD3741" w:rsidP="00DA2296">
            <w:pPr>
              <w:snapToGrid w:val="0"/>
              <w:jc w:val="both"/>
              <w:rPr>
                <w:sz w:val="20"/>
                <w:szCs w:val="20"/>
              </w:rPr>
            </w:pPr>
          </w:p>
        </w:tc>
      </w:tr>
      <w:tr w:rsidR="00AD3741" w:rsidRPr="00BF3275" w:rsidTr="00462FBD">
        <w:trPr>
          <w:jc w:val="center"/>
        </w:trPr>
        <w:tc>
          <w:tcPr>
            <w:tcW w:w="812" w:type="pct"/>
            <w:vMerge w:val="restart"/>
            <w:vAlign w:val="center"/>
          </w:tcPr>
          <w:p w:rsidR="00AD3741" w:rsidRPr="00BF3275" w:rsidRDefault="00AD3741" w:rsidP="00DA2296">
            <w:pPr>
              <w:snapToGrid w:val="0"/>
              <w:jc w:val="both"/>
              <w:rPr>
                <w:b/>
                <w:sz w:val="20"/>
                <w:szCs w:val="20"/>
              </w:rPr>
            </w:pPr>
            <w:r w:rsidRPr="00BF3275">
              <w:rPr>
                <w:b/>
                <w:sz w:val="20"/>
                <w:szCs w:val="20"/>
              </w:rPr>
              <w:t>Risk factors</w:t>
            </w:r>
          </w:p>
        </w:tc>
        <w:tc>
          <w:tcPr>
            <w:tcW w:w="1481" w:type="pct"/>
            <w:vAlign w:val="center"/>
          </w:tcPr>
          <w:p w:rsidR="00AD3741" w:rsidRPr="00BF3275" w:rsidRDefault="00AD3741" w:rsidP="00DA2296">
            <w:pPr>
              <w:snapToGrid w:val="0"/>
              <w:jc w:val="both"/>
              <w:rPr>
                <w:b/>
                <w:sz w:val="20"/>
                <w:szCs w:val="20"/>
              </w:rPr>
            </w:pPr>
            <w:r w:rsidRPr="00BF3275">
              <w:rPr>
                <w:b/>
                <w:sz w:val="20"/>
                <w:szCs w:val="20"/>
              </w:rPr>
              <w:t>No risk factors</w:t>
            </w:r>
          </w:p>
        </w:tc>
        <w:tc>
          <w:tcPr>
            <w:tcW w:w="256" w:type="pct"/>
            <w:vAlign w:val="center"/>
          </w:tcPr>
          <w:p w:rsidR="00AD3741" w:rsidRPr="00BF3275" w:rsidRDefault="00AD3741" w:rsidP="00DA2296">
            <w:pPr>
              <w:snapToGrid w:val="0"/>
              <w:jc w:val="both"/>
              <w:rPr>
                <w:sz w:val="20"/>
                <w:szCs w:val="20"/>
              </w:rPr>
            </w:pPr>
            <w:r w:rsidRPr="00BF3275">
              <w:rPr>
                <w:sz w:val="20"/>
                <w:szCs w:val="20"/>
              </w:rPr>
              <w:t>8</w:t>
            </w:r>
          </w:p>
        </w:tc>
        <w:tc>
          <w:tcPr>
            <w:tcW w:w="756" w:type="pct"/>
            <w:vAlign w:val="center"/>
          </w:tcPr>
          <w:p w:rsidR="00AD3741" w:rsidRPr="00BF3275" w:rsidRDefault="00AD3741" w:rsidP="00DA2296">
            <w:pPr>
              <w:snapToGrid w:val="0"/>
              <w:jc w:val="both"/>
              <w:rPr>
                <w:sz w:val="20"/>
                <w:szCs w:val="20"/>
              </w:rPr>
            </w:pPr>
            <w:r w:rsidRPr="00BF3275">
              <w:rPr>
                <w:sz w:val="20"/>
                <w:szCs w:val="20"/>
              </w:rPr>
              <w:t>44.4%</w:t>
            </w:r>
          </w:p>
        </w:tc>
        <w:tc>
          <w:tcPr>
            <w:tcW w:w="311" w:type="pct"/>
            <w:vAlign w:val="center"/>
          </w:tcPr>
          <w:p w:rsidR="00AD3741" w:rsidRPr="00BF3275" w:rsidRDefault="00AD3741" w:rsidP="00DA2296">
            <w:pPr>
              <w:snapToGrid w:val="0"/>
              <w:jc w:val="both"/>
              <w:rPr>
                <w:sz w:val="20"/>
                <w:szCs w:val="20"/>
              </w:rPr>
            </w:pPr>
            <w:r w:rsidRPr="00BF3275">
              <w:rPr>
                <w:sz w:val="20"/>
                <w:szCs w:val="20"/>
              </w:rPr>
              <w:t>0</w:t>
            </w:r>
          </w:p>
        </w:tc>
        <w:tc>
          <w:tcPr>
            <w:tcW w:w="844" w:type="pct"/>
            <w:vAlign w:val="center"/>
          </w:tcPr>
          <w:p w:rsidR="00AD3741" w:rsidRPr="00BF3275" w:rsidRDefault="00AD3741" w:rsidP="00DA2296">
            <w:pPr>
              <w:snapToGrid w:val="0"/>
              <w:jc w:val="both"/>
              <w:rPr>
                <w:sz w:val="20"/>
                <w:szCs w:val="20"/>
              </w:rPr>
            </w:pPr>
            <w:r w:rsidRPr="00BF3275">
              <w:rPr>
                <w:sz w:val="20"/>
                <w:szCs w:val="20"/>
              </w:rPr>
              <w:t>0%</w:t>
            </w:r>
          </w:p>
        </w:tc>
        <w:tc>
          <w:tcPr>
            <w:tcW w:w="540" w:type="pct"/>
            <w:vMerge w:val="restart"/>
            <w:vAlign w:val="center"/>
          </w:tcPr>
          <w:p w:rsidR="00AD3741" w:rsidRPr="00BF3275" w:rsidRDefault="00AD3741" w:rsidP="00DA2296">
            <w:pPr>
              <w:snapToGrid w:val="0"/>
              <w:jc w:val="both"/>
              <w:rPr>
                <w:sz w:val="20"/>
                <w:szCs w:val="20"/>
              </w:rPr>
            </w:pPr>
            <w:r w:rsidRPr="00BF3275">
              <w:rPr>
                <w:sz w:val="20"/>
                <w:szCs w:val="20"/>
              </w:rPr>
              <w:t>0.097</w:t>
            </w:r>
          </w:p>
          <w:p w:rsidR="00AD3741" w:rsidRPr="00BF3275" w:rsidRDefault="00AD3741" w:rsidP="00DA2296">
            <w:pPr>
              <w:snapToGrid w:val="0"/>
              <w:jc w:val="both"/>
              <w:rPr>
                <w:sz w:val="20"/>
                <w:szCs w:val="20"/>
              </w:rPr>
            </w:pPr>
            <w:r w:rsidRPr="00BF3275">
              <w:rPr>
                <w:sz w:val="20"/>
                <w:szCs w:val="20"/>
              </w:rPr>
              <w:t>NS</w:t>
            </w:r>
          </w:p>
        </w:tc>
      </w:tr>
      <w:tr w:rsidR="00AD3741" w:rsidRPr="00BF3275" w:rsidTr="00462FBD">
        <w:trPr>
          <w:jc w:val="center"/>
        </w:trPr>
        <w:tc>
          <w:tcPr>
            <w:tcW w:w="812" w:type="pct"/>
            <w:vMerge/>
            <w:vAlign w:val="center"/>
          </w:tcPr>
          <w:p w:rsidR="00AD3741" w:rsidRPr="00BF3275" w:rsidRDefault="00AD3741" w:rsidP="00DA2296">
            <w:pPr>
              <w:snapToGrid w:val="0"/>
              <w:jc w:val="both"/>
              <w:rPr>
                <w:b/>
                <w:sz w:val="20"/>
                <w:szCs w:val="20"/>
              </w:rPr>
            </w:pPr>
          </w:p>
        </w:tc>
        <w:tc>
          <w:tcPr>
            <w:tcW w:w="1481" w:type="pct"/>
            <w:vAlign w:val="center"/>
          </w:tcPr>
          <w:p w:rsidR="00AD3741" w:rsidRPr="00BF3275" w:rsidRDefault="00AD3741" w:rsidP="00DA2296">
            <w:pPr>
              <w:snapToGrid w:val="0"/>
              <w:jc w:val="both"/>
              <w:rPr>
                <w:b/>
                <w:sz w:val="20"/>
                <w:szCs w:val="20"/>
              </w:rPr>
            </w:pPr>
            <w:r w:rsidRPr="00BF3275">
              <w:rPr>
                <w:b/>
                <w:sz w:val="20"/>
                <w:szCs w:val="20"/>
              </w:rPr>
              <w:t>Positive Family history</w:t>
            </w:r>
          </w:p>
        </w:tc>
        <w:tc>
          <w:tcPr>
            <w:tcW w:w="256" w:type="pct"/>
            <w:vAlign w:val="center"/>
          </w:tcPr>
          <w:p w:rsidR="00AD3741" w:rsidRPr="00BF3275" w:rsidRDefault="00AD3741" w:rsidP="00DA2296">
            <w:pPr>
              <w:snapToGrid w:val="0"/>
              <w:jc w:val="both"/>
              <w:rPr>
                <w:sz w:val="20"/>
                <w:szCs w:val="20"/>
              </w:rPr>
            </w:pPr>
            <w:r w:rsidRPr="00BF3275">
              <w:rPr>
                <w:sz w:val="20"/>
                <w:szCs w:val="20"/>
              </w:rPr>
              <w:t>6</w:t>
            </w:r>
          </w:p>
        </w:tc>
        <w:tc>
          <w:tcPr>
            <w:tcW w:w="756" w:type="pct"/>
            <w:vAlign w:val="center"/>
          </w:tcPr>
          <w:p w:rsidR="00AD3741" w:rsidRPr="00BF3275" w:rsidRDefault="00AD3741" w:rsidP="00DA2296">
            <w:pPr>
              <w:snapToGrid w:val="0"/>
              <w:jc w:val="both"/>
              <w:rPr>
                <w:sz w:val="20"/>
                <w:szCs w:val="20"/>
              </w:rPr>
            </w:pPr>
            <w:r w:rsidRPr="00BF3275">
              <w:rPr>
                <w:sz w:val="20"/>
                <w:szCs w:val="20"/>
              </w:rPr>
              <w:t>33.3%</w:t>
            </w:r>
          </w:p>
        </w:tc>
        <w:tc>
          <w:tcPr>
            <w:tcW w:w="311" w:type="pct"/>
            <w:vAlign w:val="center"/>
          </w:tcPr>
          <w:p w:rsidR="00AD3741" w:rsidRPr="00BF3275" w:rsidRDefault="00AD3741" w:rsidP="00DA2296">
            <w:pPr>
              <w:snapToGrid w:val="0"/>
              <w:jc w:val="both"/>
              <w:rPr>
                <w:sz w:val="20"/>
                <w:szCs w:val="20"/>
              </w:rPr>
            </w:pPr>
            <w:r w:rsidRPr="00BF3275">
              <w:rPr>
                <w:sz w:val="20"/>
                <w:szCs w:val="20"/>
              </w:rPr>
              <w:t>3</w:t>
            </w:r>
          </w:p>
        </w:tc>
        <w:tc>
          <w:tcPr>
            <w:tcW w:w="844" w:type="pct"/>
            <w:vAlign w:val="center"/>
          </w:tcPr>
          <w:p w:rsidR="00AD3741" w:rsidRPr="00BF3275" w:rsidRDefault="00AD3741" w:rsidP="00DA2296">
            <w:pPr>
              <w:snapToGrid w:val="0"/>
              <w:jc w:val="both"/>
              <w:rPr>
                <w:sz w:val="20"/>
                <w:szCs w:val="20"/>
              </w:rPr>
            </w:pPr>
            <w:r w:rsidRPr="00BF3275">
              <w:rPr>
                <w:sz w:val="20"/>
                <w:szCs w:val="20"/>
              </w:rPr>
              <w:t>100%</w:t>
            </w:r>
          </w:p>
        </w:tc>
        <w:tc>
          <w:tcPr>
            <w:tcW w:w="540" w:type="pct"/>
            <w:vMerge/>
            <w:vAlign w:val="center"/>
          </w:tcPr>
          <w:p w:rsidR="00AD3741" w:rsidRPr="00BF3275" w:rsidRDefault="00AD3741" w:rsidP="00DA2296">
            <w:pPr>
              <w:snapToGrid w:val="0"/>
              <w:jc w:val="both"/>
              <w:rPr>
                <w:sz w:val="20"/>
                <w:szCs w:val="20"/>
              </w:rPr>
            </w:pPr>
          </w:p>
        </w:tc>
      </w:tr>
      <w:tr w:rsidR="00AD3741" w:rsidRPr="00BF3275" w:rsidTr="00462FBD">
        <w:trPr>
          <w:jc w:val="center"/>
        </w:trPr>
        <w:tc>
          <w:tcPr>
            <w:tcW w:w="812" w:type="pct"/>
            <w:vMerge/>
            <w:vAlign w:val="center"/>
          </w:tcPr>
          <w:p w:rsidR="00AD3741" w:rsidRPr="00BF3275" w:rsidRDefault="00AD3741" w:rsidP="00DA2296">
            <w:pPr>
              <w:snapToGrid w:val="0"/>
              <w:jc w:val="both"/>
              <w:rPr>
                <w:b/>
                <w:bCs/>
                <w:sz w:val="20"/>
                <w:szCs w:val="20"/>
              </w:rPr>
            </w:pPr>
          </w:p>
        </w:tc>
        <w:tc>
          <w:tcPr>
            <w:tcW w:w="1481" w:type="pct"/>
            <w:vAlign w:val="center"/>
          </w:tcPr>
          <w:p w:rsidR="00AD3741" w:rsidRPr="00BF3275" w:rsidRDefault="00AD3741" w:rsidP="00DA2296">
            <w:pPr>
              <w:snapToGrid w:val="0"/>
              <w:jc w:val="both"/>
              <w:rPr>
                <w:b/>
                <w:sz w:val="20"/>
                <w:szCs w:val="20"/>
              </w:rPr>
            </w:pPr>
            <w:r w:rsidRPr="00BF3275">
              <w:rPr>
                <w:b/>
                <w:sz w:val="20"/>
                <w:szCs w:val="20"/>
              </w:rPr>
              <w:t>Hormonal factor</w:t>
            </w:r>
          </w:p>
        </w:tc>
        <w:tc>
          <w:tcPr>
            <w:tcW w:w="256" w:type="pct"/>
            <w:vAlign w:val="center"/>
          </w:tcPr>
          <w:p w:rsidR="00AD3741" w:rsidRPr="00BF3275" w:rsidRDefault="00AD3741" w:rsidP="00DA2296">
            <w:pPr>
              <w:snapToGrid w:val="0"/>
              <w:jc w:val="both"/>
              <w:rPr>
                <w:sz w:val="20"/>
                <w:szCs w:val="20"/>
              </w:rPr>
            </w:pPr>
            <w:r w:rsidRPr="00BF3275">
              <w:rPr>
                <w:sz w:val="20"/>
                <w:szCs w:val="20"/>
              </w:rPr>
              <w:t>4</w:t>
            </w:r>
          </w:p>
        </w:tc>
        <w:tc>
          <w:tcPr>
            <w:tcW w:w="756" w:type="pct"/>
            <w:vAlign w:val="center"/>
          </w:tcPr>
          <w:p w:rsidR="00AD3741" w:rsidRPr="00BF3275" w:rsidRDefault="00AD3741" w:rsidP="00DA2296">
            <w:pPr>
              <w:snapToGrid w:val="0"/>
              <w:jc w:val="both"/>
              <w:rPr>
                <w:sz w:val="20"/>
                <w:szCs w:val="20"/>
              </w:rPr>
            </w:pPr>
            <w:r w:rsidRPr="00BF3275">
              <w:rPr>
                <w:sz w:val="20"/>
                <w:szCs w:val="20"/>
              </w:rPr>
              <w:t>22.2%</w:t>
            </w:r>
          </w:p>
        </w:tc>
        <w:tc>
          <w:tcPr>
            <w:tcW w:w="311" w:type="pct"/>
            <w:vAlign w:val="center"/>
          </w:tcPr>
          <w:p w:rsidR="00AD3741" w:rsidRPr="00BF3275" w:rsidRDefault="00AD3741" w:rsidP="00DA2296">
            <w:pPr>
              <w:snapToGrid w:val="0"/>
              <w:jc w:val="both"/>
              <w:rPr>
                <w:sz w:val="20"/>
                <w:szCs w:val="20"/>
              </w:rPr>
            </w:pPr>
            <w:r w:rsidRPr="00BF3275">
              <w:rPr>
                <w:sz w:val="20"/>
                <w:szCs w:val="20"/>
              </w:rPr>
              <w:t>0</w:t>
            </w:r>
          </w:p>
        </w:tc>
        <w:tc>
          <w:tcPr>
            <w:tcW w:w="844" w:type="pct"/>
            <w:vAlign w:val="center"/>
          </w:tcPr>
          <w:p w:rsidR="00AD3741" w:rsidRPr="00BF3275" w:rsidRDefault="00AD3741" w:rsidP="00DA2296">
            <w:pPr>
              <w:snapToGrid w:val="0"/>
              <w:jc w:val="both"/>
              <w:rPr>
                <w:sz w:val="20"/>
                <w:szCs w:val="20"/>
              </w:rPr>
            </w:pPr>
            <w:r w:rsidRPr="00BF3275">
              <w:rPr>
                <w:sz w:val="20"/>
                <w:szCs w:val="20"/>
              </w:rPr>
              <w:t>0%</w:t>
            </w:r>
          </w:p>
        </w:tc>
        <w:tc>
          <w:tcPr>
            <w:tcW w:w="540" w:type="pct"/>
            <w:vMerge/>
            <w:vAlign w:val="center"/>
          </w:tcPr>
          <w:p w:rsidR="00AD3741" w:rsidRPr="00BF3275" w:rsidRDefault="00AD3741" w:rsidP="00DA2296">
            <w:pPr>
              <w:snapToGrid w:val="0"/>
              <w:jc w:val="both"/>
              <w:rPr>
                <w:b/>
                <w:sz w:val="20"/>
                <w:szCs w:val="20"/>
              </w:rPr>
            </w:pPr>
          </w:p>
        </w:tc>
      </w:tr>
    </w:tbl>
    <w:p w:rsidR="00AD3741" w:rsidRPr="00BF3275" w:rsidRDefault="00AD3741" w:rsidP="00DE2288">
      <w:pPr>
        <w:snapToGrid w:val="0"/>
        <w:jc w:val="both"/>
        <w:rPr>
          <w:bCs/>
          <w:sz w:val="20"/>
          <w:szCs w:val="20"/>
        </w:rPr>
      </w:pPr>
      <w:r w:rsidRPr="00BF3275">
        <w:rPr>
          <w:bCs/>
          <w:sz w:val="20"/>
          <w:szCs w:val="20"/>
        </w:rPr>
        <w:t>NS: p-value &gt; 0.05 is considered non-significant.</w:t>
      </w:r>
    </w:p>
    <w:p w:rsidR="0038154B" w:rsidRDefault="0038154B" w:rsidP="00DA2296">
      <w:pPr>
        <w:snapToGrid w:val="0"/>
        <w:ind w:firstLine="425"/>
        <w:jc w:val="both"/>
        <w:rPr>
          <w:rFonts w:hint="eastAsia"/>
          <w:bCs/>
          <w:sz w:val="20"/>
          <w:szCs w:val="20"/>
          <w:lang w:eastAsia="zh-CN"/>
        </w:rPr>
      </w:pPr>
    </w:p>
    <w:p w:rsidR="0038154B" w:rsidRDefault="0038154B" w:rsidP="00DA2296">
      <w:pPr>
        <w:snapToGrid w:val="0"/>
        <w:ind w:firstLine="425"/>
        <w:jc w:val="both"/>
        <w:rPr>
          <w:rFonts w:hint="eastAsia"/>
          <w:bCs/>
          <w:sz w:val="20"/>
          <w:szCs w:val="20"/>
          <w:lang w:eastAsia="zh-CN"/>
        </w:rPr>
      </w:pPr>
    </w:p>
    <w:p w:rsidR="0038154B" w:rsidRDefault="0038154B" w:rsidP="00DA2296">
      <w:pPr>
        <w:snapToGrid w:val="0"/>
        <w:ind w:firstLine="425"/>
        <w:jc w:val="both"/>
        <w:rPr>
          <w:rFonts w:hint="eastAsia"/>
          <w:bCs/>
          <w:sz w:val="20"/>
          <w:szCs w:val="20"/>
          <w:lang w:eastAsia="zh-CN"/>
        </w:rPr>
      </w:pPr>
    </w:p>
    <w:p w:rsidR="0038154B" w:rsidRDefault="0038154B" w:rsidP="0038154B">
      <w:pPr>
        <w:snapToGrid w:val="0"/>
        <w:ind w:firstLine="425"/>
        <w:jc w:val="both"/>
        <w:rPr>
          <w:rFonts w:hint="eastAsia"/>
          <w:bCs/>
          <w:sz w:val="20"/>
          <w:szCs w:val="20"/>
          <w:lang w:eastAsia="zh-CN"/>
        </w:rPr>
      </w:pPr>
    </w:p>
    <w:p w:rsidR="0038154B" w:rsidRPr="00BF3275" w:rsidRDefault="0038154B" w:rsidP="0038154B">
      <w:pPr>
        <w:snapToGrid w:val="0"/>
        <w:ind w:firstLine="425"/>
        <w:jc w:val="both"/>
        <w:rPr>
          <w:bCs/>
          <w:sz w:val="20"/>
          <w:szCs w:val="20"/>
        </w:rPr>
      </w:pPr>
      <w:r w:rsidRPr="00BF3275">
        <w:rPr>
          <w:bCs/>
          <w:sz w:val="20"/>
          <w:szCs w:val="20"/>
        </w:rPr>
        <w:t xml:space="preserve">This table shows no statistical significant relation </w:t>
      </w:r>
      <w:r w:rsidRPr="00BF3275">
        <w:rPr>
          <w:b/>
          <w:sz w:val="20"/>
          <w:szCs w:val="20"/>
        </w:rPr>
        <w:t>(p-value &gt; 0.05)</w:t>
      </w:r>
      <w:r w:rsidRPr="00BF3275">
        <w:rPr>
          <w:bCs/>
          <w:sz w:val="20"/>
          <w:szCs w:val="20"/>
        </w:rPr>
        <w:t xml:space="preserve"> between U.S results and ACR of patients</w:t>
      </w:r>
      <w:r>
        <w:rPr>
          <w:rFonts w:hint="eastAsia"/>
          <w:bCs/>
          <w:sz w:val="20"/>
          <w:szCs w:val="20"/>
          <w:lang w:eastAsia="zh-CN"/>
        </w:rPr>
        <w:t xml:space="preserve"> </w:t>
      </w:r>
      <w:r>
        <w:rPr>
          <w:rFonts w:hint="eastAsia"/>
          <w:sz w:val="20"/>
          <w:szCs w:val="20"/>
          <w:lang w:eastAsia="zh-CN"/>
        </w:rPr>
        <w:t>(Table 10)</w:t>
      </w:r>
      <w:r w:rsidRPr="00BF3275">
        <w:rPr>
          <w:bCs/>
          <w:sz w:val="20"/>
          <w:szCs w:val="20"/>
        </w:rPr>
        <w:t>.</w:t>
      </w:r>
    </w:p>
    <w:p w:rsidR="00DB7A58" w:rsidRPr="00BF3275" w:rsidRDefault="00DB7A58" w:rsidP="00DA2296">
      <w:pPr>
        <w:snapToGrid w:val="0"/>
        <w:jc w:val="center"/>
        <w:rPr>
          <w:b/>
          <w:sz w:val="20"/>
          <w:szCs w:val="20"/>
        </w:rPr>
      </w:pPr>
    </w:p>
    <w:p w:rsidR="00AD3741" w:rsidRPr="00BF3275" w:rsidRDefault="00AD3741" w:rsidP="00DA2296">
      <w:pPr>
        <w:snapToGrid w:val="0"/>
        <w:jc w:val="center"/>
        <w:rPr>
          <w:bCs/>
          <w:sz w:val="20"/>
          <w:szCs w:val="20"/>
        </w:rPr>
      </w:pPr>
      <w:r w:rsidRPr="00BF3275">
        <w:rPr>
          <w:b/>
          <w:sz w:val="20"/>
          <w:szCs w:val="20"/>
        </w:rPr>
        <w:t>Table (</w:t>
      </w:r>
      <w:r w:rsidR="000A6012" w:rsidRPr="00BF3275">
        <w:rPr>
          <w:b/>
          <w:sz w:val="20"/>
          <w:szCs w:val="20"/>
        </w:rPr>
        <w:t>10</w:t>
      </w:r>
      <w:r w:rsidR="005F6E7D" w:rsidRPr="00BF3275">
        <w:rPr>
          <w:b/>
          <w:sz w:val="20"/>
          <w:szCs w:val="20"/>
        </w:rPr>
        <w:t>)</w:t>
      </w:r>
      <w:r w:rsidRPr="00BF3275">
        <w:rPr>
          <w:b/>
          <w:sz w:val="20"/>
          <w:szCs w:val="20"/>
        </w:rPr>
        <w:t xml:space="preserve">: </w:t>
      </w:r>
      <w:r w:rsidR="000A6012" w:rsidRPr="00BF3275">
        <w:rPr>
          <w:bCs/>
          <w:sz w:val="20"/>
          <w:szCs w:val="20"/>
        </w:rPr>
        <w:t>R</w:t>
      </w:r>
      <w:r w:rsidRPr="00BF3275">
        <w:rPr>
          <w:bCs/>
          <w:sz w:val="20"/>
          <w:szCs w:val="20"/>
        </w:rPr>
        <w:t>elation between U.S results and ACR of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1270"/>
        <w:gridCol w:w="601"/>
        <w:gridCol w:w="946"/>
        <w:gridCol w:w="1899"/>
        <w:gridCol w:w="874"/>
        <w:gridCol w:w="2370"/>
        <w:gridCol w:w="1514"/>
      </w:tblGrid>
      <w:tr w:rsidR="00AD3741" w:rsidRPr="00BF3275" w:rsidTr="00462FBD">
        <w:trPr>
          <w:jc w:val="center"/>
        </w:trPr>
        <w:tc>
          <w:tcPr>
            <w:tcW w:w="988" w:type="pct"/>
            <w:gridSpan w:val="2"/>
            <w:vMerge w:val="restart"/>
            <w:vAlign w:val="center"/>
          </w:tcPr>
          <w:p w:rsidR="00AD3741" w:rsidRPr="00BF3275" w:rsidRDefault="00AD3741" w:rsidP="00DA2296">
            <w:pPr>
              <w:snapToGrid w:val="0"/>
              <w:jc w:val="both"/>
              <w:rPr>
                <w:b/>
                <w:sz w:val="20"/>
                <w:szCs w:val="20"/>
              </w:rPr>
            </w:pPr>
            <w:r w:rsidRPr="00BF3275">
              <w:rPr>
                <w:b/>
                <w:sz w:val="20"/>
                <w:szCs w:val="20"/>
              </w:rPr>
              <w:t>Variables</w:t>
            </w:r>
          </w:p>
        </w:tc>
        <w:tc>
          <w:tcPr>
            <w:tcW w:w="3212" w:type="pct"/>
            <w:gridSpan w:val="4"/>
            <w:vAlign w:val="center"/>
          </w:tcPr>
          <w:p w:rsidR="00AD3741" w:rsidRPr="00BF3275" w:rsidRDefault="00AD3741" w:rsidP="00DA2296">
            <w:pPr>
              <w:snapToGrid w:val="0"/>
              <w:jc w:val="both"/>
              <w:rPr>
                <w:b/>
                <w:bCs/>
                <w:sz w:val="20"/>
                <w:szCs w:val="20"/>
              </w:rPr>
            </w:pPr>
            <w:r w:rsidRPr="00BF3275">
              <w:rPr>
                <w:b/>
                <w:bCs/>
                <w:sz w:val="20"/>
                <w:szCs w:val="20"/>
              </w:rPr>
              <w:t>U/S results</w:t>
            </w:r>
          </w:p>
        </w:tc>
        <w:tc>
          <w:tcPr>
            <w:tcW w:w="800" w:type="pct"/>
            <w:vMerge w:val="restart"/>
            <w:vAlign w:val="center"/>
          </w:tcPr>
          <w:p w:rsidR="00AD3741" w:rsidRPr="00BF3275" w:rsidRDefault="00AD3741" w:rsidP="00DA2296">
            <w:pPr>
              <w:snapToGrid w:val="0"/>
              <w:jc w:val="both"/>
              <w:rPr>
                <w:b/>
                <w:bCs/>
                <w:sz w:val="20"/>
                <w:szCs w:val="20"/>
              </w:rPr>
            </w:pPr>
            <w:r w:rsidRPr="00BF3275">
              <w:rPr>
                <w:b/>
                <w:bCs/>
                <w:sz w:val="20"/>
                <w:szCs w:val="20"/>
              </w:rPr>
              <w:t>P-value</w:t>
            </w:r>
          </w:p>
        </w:tc>
      </w:tr>
      <w:tr w:rsidR="00AD3741" w:rsidRPr="00BF3275" w:rsidTr="00462FBD">
        <w:trPr>
          <w:jc w:val="center"/>
        </w:trPr>
        <w:tc>
          <w:tcPr>
            <w:tcW w:w="988" w:type="pct"/>
            <w:gridSpan w:val="2"/>
            <w:vMerge/>
            <w:vAlign w:val="center"/>
          </w:tcPr>
          <w:p w:rsidR="00AD3741" w:rsidRPr="00BF3275" w:rsidRDefault="00AD3741" w:rsidP="00DA2296">
            <w:pPr>
              <w:snapToGrid w:val="0"/>
              <w:jc w:val="both"/>
              <w:rPr>
                <w:b/>
                <w:sz w:val="20"/>
                <w:szCs w:val="20"/>
              </w:rPr>
            </w:pPr>
          </w:p>
        </w:tc>
        <w:tc>
          <w:tcPr>
            <w:tcW w:w="1500" w:type="pct"/>
            <w:gridSpan w:val="2"/>
            <w:vAlign w:val="center"/>
          </w:tcPr>
          <w:p w:rsidR="00AD3741" w:rsidRPr="00BF3275" w:rsidRDefault="00AD3741" w:rsidP="00DA2296">
            <w:pPr>
              <w:snapToGrid w:val="0"/>
              <w:jc w:val="both"/>
              <w:rPr>
                <w:b/>
                <w:sz w:val="20"/>
                <w:szCs w:val="20"/>
              </w:rPr>
            </w:pPr>
            <w:r w:rsidRPr="00BF3275">
              <w:rPr>
                <w:b/>
                <w:sz w:val="20"/>
                <w:szCs w:val="20"/>
              </w:rPr>
              <w:t>Benign</w:t>
            </w:r>
            <w:r w:rsidR="000A6012" w:rsidRPr="00BF3275">
              <w:rPr>
                <w:b/>
                <w:sz w:val="20"/>
                <w:szCs w:val="20"/>
              </w:rPr>
              <w:t xml:space="preserve"> </w:t>
            </w:r>
            <w:r w:rsidRPr="00BF3275">
              <w:rPr>
                <w:b/>
                <w:sz w:val="20"/>
                <w:szCs w:val="20"/>
              </w:rPr>
              <w:t>(n = 18)</w:t>
            </w:r>
          </w:p>
        </w:tc>
        <w:tc>
          <w:tcPr>
            <w:tcW w:w="1711" w:type="pct"/>
            <w:gridSpan w:val="2"/>
            <w:vAlign w:val="center"/>
          </w:tcPr>
          <w:p w:rsidR="00AD3741" w:rsidRPr="00BF3275" w:rsidRDefault="00AD3741" w:rsidP="00DA2296">
            <w:pPr>
              <w:snapToGrid w:val="0"/>
              <w:jc w:val="both"/>
              <w:rPr>
                <w:b/>
                <w:sz w:val="20"/>
                <w:szCs w:val="20"/>
              </w:rPr>
            </w:pPr>
            <w:r w:rsidRPr="00BF3275">
              <w:rPr>
                <w:b/>
                <w:sz w:val="20"/>
                <w:szCs w:val="20"/>
              </w:rPr>
              <w:t>Suspicious</w:t>
            </w:r>
            <w:r w:rsidR="000A6012" w:rsidRPr="00BF3275">
              <w:rPr>
                <w:b/>
                <w:sz w:val="20"/>
                <w:szCs w:val="20"/>
              </w:rPr>
              <w:t xml:space="preserve"> </w:t>
            </w:r>
            <w:r w:rsidRPr="00BF3275">
              <w:rPr>
                <w:b/>
                <w:sz w:val="20"/>
                <w:szCs w:val="20"/>
              </w:rPr>
              <w:t>(n = 3)</w:t>
            </w:r>
          </w:p>
        </w:tc>
        <w:tc>
          <w:tcPr>
            <w:tcW w:w="800" w:type="pct"/>
            <w:vMerge/>
            <w:vAlign w:val="center"/>
          </w:tcPr>
          <w:p w:rsidR="00AD3741" w:rsidRPr="00BF3275" w:rsidRDefault="00AD3741" w:rsidP="00DA2296">
            <w:pPr>
              <w:snapToGrid w:val="0"/>
              <w:jc w:val="both"/>
              <w:rPr>
                <w:sz w:val="20"/>
                <w:szCs w:val="20"/>
              </w:rPr>
            </w:pPr>
          </w:p>
        </w:tc>
      </w:tr>
      <w:tr w:rsidR="00AD3741" w:rsidRPr="00BF3275" w:rsidTr="00462FBD">
        <w:trPr>
          <w:jc w:val="center"/>
        </w:trPr>
        <w:tc>
          <w:tcPr>
            <w:tcW w:w="671" w:type="pct"/>
            <w:vMerge w:val="restart"/>
            <w:vAlign w:val="center"/>
          </w:tcPr>
          <w:p w:rsidR="00AD3741" w:rsidRPr="00BF3275" w:rsidRDefault="00AD3741" w:rsidP="00DA2296">
            <w:pPr>
              <w:snapToGrid w:val="0"/>
              <w:jc w:val="both"/>
              <w:rPr>
                <w:b/>
                <w:sz w:val="20"/>
                <w:szCs w:val="20"/>
              </w:rPr>
            </w:pPr>
            <w:r w:rsidRPr="00BF3275">
              <w:rPr>
                <w:b/>
                <w:sz w:val="20"/>
                <w:szCs w:val="20"/>
              </w:rPr>
              <w:t>ACR</w:t>
            </w:r>
          </w:p>
        </w:tc>
        <w:tc>
          <w:tcPr>
            <w:tcW w:w="317" w:type="pct"/>
            <w:vAlign w:val="center"/>
          </w:tcPr>
          <w:p w:rsidR="00AD3741" w:rsidRPr="00BF3275" w:rsidRDefault="00AD3741" w:rsidP="00DA2296">
            <w:pPr>
              <w:snapToGrid w:val="0"/>
              <w:jc w:val="both"/>
              <w:rPr>
                <w:b/>
                <w:sz w:val="20"/>
                <w:szCs w:val="20"/>
              </w:rPr>
            </w:pPr>
            <w:r w:rsidRPr="00BF3275">
              <w:rPr>
                <w:b/>
                <w:sz w:val="20"/>
                <w:szCs w:val="20"/>
              </w:rPr>
              <w:t>C</w:t>
            </w:r>
          </w:p>
        </w:tc>
        <w:tc>
          <w:tcPr>
            <w:tcW w:w="499" w:type="pct"/>
            <w:vAlign w:val="center"/>
          </w:tcPr>
          <w:p w:rsidR="00AD3741" w:rsidRPr="00BF3275" w:rsidRDefault="00AD3741" w:rsidP="00DA2296">
            <w:pPr>
              <w:snapToGrid w:val="0"/>
              <w:jc w:val="both"/>
              <w:rPr>
                <w:sz w:val="20"/>
                <w:szCs w:val="20"/>
              </w:rPr>
            </w:pPr>
            <w:r w:rsidRPr="00BF3275">
              <w:rPr>
                <w:sz w:val="20"/>
                <w:szCs w:val="20"/>
              </w:rPr>
              <w:t>6</w:t>
            </w:r>
          </w:p>
        </w:tc>
        <w:tc>
          <w:tcPr>
            <w:tcW w:w="1002" w:type="pct"/>
            <w:vAlign w:val="center"/>
          </w:tcPr>
          <w:p w:rsidR="00AD3741" w:rsidRPr="00BF3275" w:rsidRDefault="00AD3741" w:rsidP="00DA2296">
            <w:pPr>
              <w:snapToGrid w:val="0"/>
              <w:jc w:val="both"/>
              <w:rPr>
                <w:sz w:val="20"/>
                <w:szCs w:val="20"/>
              </w:rPr>
            </w:pPr>
            <w:r w:rsidRPr="00BF3275">
              <w:rPr>
                <w:sz w:val="20"/>
                <w:szCs w:val="20"/>
              </w:rPr>
              <w:t>33.3%</w:t>
            </w:r>
          </w:p>
        </w:tc>
        <w:tc>
          <w:tcPr>
            <w:tcW w:w="461" w:type="pct"/>
            <w:vAlign w:val="center"/>
          </w:tcPr>
          <w:p w:rsidR="00AD3741" w:rsidRPr="00BF3275" w:rsidRDefault="00AD3741" w:rsidP="00DA2296">
            <w:pPr>
              <w:snapToGrid w:val="0"/>
              <w:jc w:val="both"/>
              <w:rPr>
                <w:sz w:val="20"/>
                <w:szCs w:val="20"/>
              </w:rPr>
            </w:pPr>
            <w:r w:rsidRPr="00BF3275">
              <w:rPr>
                <w:sz w:val="20"/>
                <w:szCs w:val="20"/>
              </w:rPr>
              <w:t>0</w:t>
            </w:r>
          </w:p>
        </w:tc>
        <w:tc>
          <w:tcPr>
            <w:tcW w:w="1251" w:type="pct"/>
            <w:vAlign w:val="center"/>
          </w:tcPr>
          <w:p w:rsidR="00AD3741" w:rsidRPr="00BF3275" w:rsidRDefault="00AD3741" w:rsidP="00DA2296">
            <w:pPr>
              <w:snapToGrid w:val="0"/>
              <w:jc w:val="both"/>
              <w:rPr>
                <w:sz w:val="20"/>
                <w:szCs w:val="20"/>
              </w:rPr>
            </w:pPr>
            <w:r w:rsidRPr="00BF3275">
              <w:rPr>
                <w:sz w:val="20"/>
                <w:szCs w:val="20"/>
              </w:rPr>
              <w:t>0%</w:t>
            </w:r>
          </w:p>
        </w:tc>
        <w:tc>
          <w:tcPr>
            <w:tcW w:w="800" w:type="pct"/>
            <w:vMerge w:val="restart"/>
            <w:vAlign w:val="center"/>
          </w:tcPr>
          <w:p w:rsidR="00AD3741" w:rsidRPr="00BF3275" w:rsidRDefault="00AD3741" w:rsidP="00DA2296">
            <w:pPr>
              <w:snapToGrid w:val="0"/>
              <w:jc w:val="both"/>
              <w:rPr>
                <w:sz w:val="20"/>
                <w:szCs w:val="20"/>
              </w:rPr>
            </w:pPr>
            <w:r w:rsidRPr="00BF3275">
              <w:rPr>
                <w:sz w:val="20"/>
                <w:szCs w:val="20"/>
              </w:rPr>
              <w:t>0.237</w:t>
            </w:r>
          </w:p>
          <w:p w:rsidR="00AD3741" w:rsidRPr="00BF3275" w:rsidRDefault="00AD3741" w:rsidP="00DA2296">
            <w:pPr>
              <w:snapToGrid w:val="0"/>
              <w:jc w:val="both"/>
              <w:rPr>
                <w:sz w:val="20"/>
                <w:szCs w:val="20"/>
              </w:rPr>
            </w:pPr>
            <w:r w:rsidRPr="00BF3275">
              <w:rPr>
                <w:sz w:val="20"/>
                <w:szCs w:val="20"/>
              </w:rPr>
              <w:t>NS</w:t>
            </w:r>
          </w:p>
        </w:tc>
      </w:tr>
      <w:tr w:rsidR="00AD3741" w:rsidRPr="00BF3275" w:rsidTr="00462FBD">
        <w:trPr>
          <w:jc w:val="center"/>
        </w:trPr>
        <w:tc>
          <w:tcPr>
            <w:tcW w:w="671" w:type="pct"/>
            <w:vMerge/>
            <w:vAlign w:val="center"/>
          </w:tcPr>
          <w:p w:rsidR="00AD3741" w:rsidRPr="00BF3275" w:rsidRDefault="00AD3741" w:rsidP="00DA2296">
            <w:pPr>
              <w:snapToGrid w:val="0"/>
              <w:jc w:val="both"/>
              <w:rPr>
                <w:b/>
                <w:bCs/>
                <w:sz w:val="20"/>
                <w:szCs w:val="20"/>
              </w:rPr>
            </w:pPr>
          </w:p>
        </w:tc>
        <w:tc>
          <w:tcPr>
            <w:tcW w:w="317" w:type="pct"/>
            <w:vAlign w:val="center"/>
          </w:tcPr>
          <w:p w:rsidR="00AD3741" w:rsidRPr="00BF3275" w:rsidRDefault="00AD3741" w:rsidP="00DA2296">
            <w:pPr>
              <w:snapToGrid w:val="0"/>
              <w:jc w:val="both"/>
              <w:rPr>
                <w:b/>
                <w:sz w:val="20"/>
                <w:szCs w:val="20"/>
              </w:rPr>
            </w:pPr>
            <w:r w:rsidRPr="00BF3275">
              <w:rPr>
                <w:b/>
                <w:sz w:val="20"/>
                <w:szCs w:val="20"/>
              </w:rPr>
              <w:t>D</w:t>
            </w:r>
          </w:p>
        </w:tc>
        <w:tc>
          <w:tcPr>
            <w:tcW w:w="499" w:type="pct"/>
            <w:vAlign w:val="center"/>
          </w:tcPr>
          <w:p w:rsidR="00AD3741" w:rsidRPr="00BF3275" w:rsidRDefault="00AD3741" w:rsidP="00DA2296">
            <w:pPr>
              <w:snapToGrid w:val="0"/>
              <w:jc w:val="both"/>
              <w:rPr>
                <w:sz w:val="20"/>
                <w:szCs w:val="20"/>
              </w:rPr>
            </w:pPr>
            <w:r w:rsidRPr="00BF3275">
              <w:rPr>
                <w:sz w:val="20"/>
                <w:szCs w:val="20"/>
              </w:rPr>
              <w:t>12</w:t>
            </w:r>
          </w:p>
        </w:tc>
        <w:tc>
          <w:tcPr>
            <w:tcW w:w="1002" w:type="pct"/>
            <w:vAlign w:val="center"/>
          </w:tcPr>
          <w:p w:rsidR="00AD3741" w:rsidRPr="00BF3275" w:rsidRDefault="00AD3741" w:rsidP="00DA2296">
            <w:pPr>
              <w:snapToGrid w:val="0"/>
              <w:jc w:val="both"/>
              <w:rPr>
                <w:sz w:val="20"/>
                <w:szCs w:val="20"/>
              </w:rPr>
            </w:pPr>
            <w:r w:rsidRPr="00BF3275">
              <w:rPr>
                <w:sz w:val="20"/>
                <w:szCs w:val="20"/>
              </w:rPr>
              <w:t>66.7%</w:t>
            </w:r>
          </w:p>
        </w:tc>
        <w:tc>
          <w:tcPr>
            <w:tcW w:w="461" w:type="pct"/>
            <w:vAlign w:val="center"/>
          </w:tcPr>
          <w:p w:rsidR="00AD3741" w:rsidRPr="00BF3275" w:rsidRDefault="00AD3741" w:rsidP="00DA2296">
            <w:pPr>
              <w:snapToGrid w:val="0"/>
              <w:jc w:val="both"/>
              <w:rPr>
                <w:sz w:val="20"/>
                <w:szCs w:val="20"/>
              </w:rPr>
            </w:pPr>
            <w:r w:rsidRPr="00BF3275">
              <w:rPr>
                <w:sz w:val="20"/>
                <w:szCs w:val="20"/>
              </w:rPr>
              <w:t>3</w:t>
            </w:r>
          </w:p>
        </w:tc>
        <w:tc>
          <w:tcPr>
            <w:tcW w:w="1251" w:type="pct"/>
            <w:vAlign w:val="center"/>
          </w:tcPr>
          <w:p w:rsidR="00AD3741" w:rsidRPr="00BF3275" w:rsidRDefault="00AD3741" w:rsidP="00DA2296">
            <w:pPr>
              <w:snapToGrid w:val="0"/>
              <w:jc w:val="both"/>
              <w:rPr>
                <w:sz w:val="20"/>
                <w:szCs w:val="20"/>
              </w:rPr>
            </w:pPr>
            <w:r w:rsidRPr="00BF3275">
              <w:rPr>
                <w:sz w:val="20"/>
                <w:szCs w:val="20"/>
              </w:rPr>
              <w:t>100%</w:t>
            </w:r>
          </w:p>
        </w:tc>
        <w:tc>
          <w:tcPr>
            <w:tcW w:w="800" w:type="pct"/>
            <w:vMerge/>
            <w:vAlign w:val="center"/>
          </w:tcPr>
          <w:p w:rsidR="00AD3741" w:rsidRPr="00BF3275" w:rsidRDefault="00AD3741" w:rsidP="00DA2296">
            <w:pPr>
              <w:snapToGrid w:val="0"/>
              <w:jc w:val="both"/>
              <w:rPr>
                <w:b/>
                <w:sz w:val="20"/>
                <w:szCs w:val="20"/>
              </w:rPr>
            </w:pPr>
          </w:p>
        </w:tc>
      </w:tr>
    </w:tbl>
    <w:p w:rsidR="00AD3741" w:rsidRDefault="00AD3741" w:rsidP="00DE2288">
      <w:pPr>
        <w:snapToGrid w:val="0"/>
        <w:jc w:val="both"/>
        <w:rPr>
          <w:rFonts w:hint="eastAsia"/>
          <w:bCs/>
          <w:sz w:val="20"/>
          <w:szCs w:val="20"/>
          <w:lang w:eastAsia="zh-CN"/>
        </w:rPr>
      </w:pPr>
      <w:r w:rsidRPr="00BF3275">
        <w:rPr>
          <w:bCs/>
          <w:sz w:val="20"/>
          <w:szCs w:val="20"/>
        </w:rPr>
        <w:t>NS: p-value &gt; 0.05 is considered non-significant.</w:t>
      </w:r>
    </w:p>
    <w:p w:rsidR="0038154B" w:rsidRDefault="0038154B" w:rsidP="00DE2288">
      <w:pPr>
        <w:snapToGrid w:val="0"/>
        <w:jc w:val="both"/>
        <w:rPr>
          <w:rFonts w:hint="eastAsia"/>
          <w:bCs/>
          <w:sz w:val="20"/>
          <w:szCs w:val="20"/>
          <w:lang w:eastAsia="zh-CN"/>
        </w:rPr>
      </w:pPr>
    </w:p>
    <w:p w:rsidR="0038154B" w:rsidRDefault="0038154B" w:rsidP="00DE2288">
      <w:pPr>
        <w:snapToGrid w:val="0"/>
        <w:jc w:val="both"/>
        <w:rPr>
          <w:rFonts w:hint="eastAsia"/>
          <w:bCs/>
          <w:sz w:val="20"/>
          <w:szCs w:val="20"/>
          <w:lang w:eastAsia="zh-CN"/>
        </w:rPr>
      </w:pPr>
    </w:p>
    <w:p w:rsidR="0038154B" w:rsidRPr="00BF3275" w:rsidRDefault="0038154B" w:rsidP="0038154B">
      <w:pPr>
        <w:snapToGrid w:val="0"/>
        <w:ind w:firstLine="720"/>
        <w:jc w:val="both"/>
        <w:rPr>
          <w:rFonts w:hint="eastAsia"/>
          <w:bCs/>
          <w:sz w:val="20"/>
          <w:szCs w:val="20"/>
          <w:lang w:eastAsia="zh-CN"/>
        </w:rPr>
      </w:pPr>
      <w:r w:rsidRPr="00BF3275">
        <w:rPr>
          <w:sz w:val="20"/>
          <w:szCs w:val="20"/>
        </w:rPr>
        <w:t>This table (Table 11) shows the description of lesion morphology in studied patients. As regard shape, there were 5 lesions (20%) rounded, 18 lesions (72%) oval, and 3 lesions (12%) irregular. As regard margin, there were 21 lesions (84%) circumscribed, 4 lesions (16.3%) not circumscribed. As regard orientation, there were 3 lesions (8%) not parallel and 22 lesions (73.3%) parallel. As regard echogenicity, there were 6 lesions (24%) anechoic, 17 lesions (68%) hypo echoic and 2 lesions (8%) iso-echoic. As regard PAF, there were18 lesions (72%) no PAF, 5 lesions (20%) enhanced, 1 lesion (4%) shadowing and 1 lesions (4%) combined pattern. As regard calcification, there were 21 lesions (84%) had no calcification and 2 lesion (8%) had macro calcification and 2 lesions (8%) had micro calcification. As regard vasculature, there were 24 lesions (96%) had no vasculature and 1 lesions (6%) had vasculature. As regard composition, there were 6 cystic lesions (24%), 19 solid lesions (74%)</w:t>
      </w:r>
      <w:r>
        <w:rPr>
          <w:rFonts w:hint="eastAsia"/>
          <w:sz w:val="20"/>
          <w:szCs w:val="20"/>
          <w:lang w:eastAsia="zh-CN"/>
        </w:rPr>
        <w:t xml:space="preserve"> (Table 11)</w:t>
      </w:r>
      <w:r w:rsidRPr="00BF3275">
        <w:rPr>
          <w:sz w:val="20"/>
          <w:szCs w:val="20"/>
        </w:rPr>
        <w:t>.</w:t>
      </w:r>
    </w:p>
    <w:p w:rsidR="00DB7A58" w:rsidRPr="00BF3275" w:rsidRDefault="00DB7A58" w:rsidP="00DA2296">
      <w:pPr>
        <w:snapToGrid w:val="0"/>
        <w:jc w:val="both"/>
        <w:rPr>
          <w:b/>
          <w:sz w:val="20"/>
          <w:szCs w:val="20"/>
        </w:rPr>
      </w:pPr>
    </w:p>
    <w:p w:rsidR="00AD3741" w:rsidRPr="00BF3275" w:rsidRDefault="00AD3741" w:rsidP="00DA2296">
      <w:pPr>
        <w:snapToGrid w:val="0"/>
        <w:jc w:val="center"/>
        <w:rPr>
          <w:bCs/>
          <w:sz w:val="20"/>
          <w:szCs w:val="20"/>
        </w:rPr>
      </w:pPr>
      <w:r w:rsidRPr="00BF3275">
        <w:rPr>
          <w:b/>
          <w:sz w:val="20"/>
          <w:szCs w:val="20"/>
        </w:rPr>
        <w:t xml:space="preserve">Table </w:t>
      </w:r>
      <w:r w:rsidR="005F6E7D" w:rsidRPr="00BF3275">
        <w:rPr>
          <w:b/>
          <w:sz w:val="20"/>
          <w:szCs w:val="20"/>
        </w:rPr>
        <w:t>(</w:t>
      </w:r>
      <w:r w:rsidR="000A6012" w:rsidRPr="00BF3275">
        <w:rPr>
          <w:b/>
          <w:sz w:val="20"/>
          <w:szCs w:val="20"/>
        </w:rPr>
        <w:t>11</w:t>
      </w:r>
      <w:r w:rsidRPr="00BF3275">
        <w:rPr>
          <w:b/>
          <w:sz w:val="20"/>
          <w:szCs w:val="20"/>
        </w:rPr>
        <w:t xml:space="preserve">): </w:t>
      </w:r>
      <w:r w:rsidRPr="00BF3275">
        <w:rPr>
          <w:bCs/>
          <w:sz w:val="20"/>
          <w:szCs w:val="20"/>
        </w:rPr>
        <w:t>Description of lesion morphology in studied patients.</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7" w:type="dxa"/>
          <w:right w:w="57" w:type="dxa"/>
        </w:tblCellMar>
        <w:tblLook w:val="00A0"/>
      </w:tblPr>
      <w:tblGrid>
        <w:gridCol w:w="2772"/>
        <w:gridCol w:w="3318"/>
        <w:gridCol w:w="1338"/>
        <w:gridCol w:w="2046"/>
      </w:tblGrid>
      <w:tr w:rsidR="00AD3741" w:rsidRPr="00BF3275" w:rsidTr="00462FBD">
        <w:trPr>
          <w:jc w:val="center"/>
        </w:trPr>
        <w:tc>
          <w:tcPr>
            <w:tcW w:w="3213" w:type="pct"/>
            <w:gridSpan w:val="2"/>
            <w:vAlign w:val="center"/>
          </w:tcPr>
          <w:p w:rsidR="00AD3741" w:rsidRPr="00BF3275" w:rsidRDefault="00AD3741" w:rsidP="00DA2296">
            <w:pPr>
              <w:snapToGrid w:val="0"/>
              <w:jc w:val="both"/>
              <w:rPr>
                <w:b/>
                <w:sz w:val="20"/>
                <w:szCs w:val="20"/>
              </w:rPr>
            </w:pPr>
            <w:r w:rsidRPr="00BF3275">
              <w:rPr>
                <w:b/>
                <w:sz w:val="20"/>
                <w:szCs w:val="20"/>
              </w:rPr>
              <w:t>Variables</w:t>
            </w:r>
          </w:p>
        </w:tc>
        <w:tc>
          <w:tcPr>
            <w:tcW w:w="1787" w:type="pct"/>
            <w:gridSpan w:val="2"/>
            <w:vAlign w:val="center"/>
          </w:tcPr>
          <w:p w:rsidR="00AD3741" w:rsidRPr="00BF3275" w:rsidRDefault="00AD3741" w:rsidP="00DA2296">
            <w:pPr>
              <w:snapToGrid w:val="0"/>
              <w:jc w:val="both"/>
              <w:rPr>
                <w:b/>
                <w:sz w:val="20"/>
                <w:szCs w:val="20"/>
              </w:rPr>
            </w:pPr>
            <w:r w:rsidRPr="00BF3275">
              <w:rPr>
                <w:b/>
                <w:sz w:val="20"/>
                <w:szCs w:val="20"/>
              </w:rPr>
              <w:t>Studied lesions (N = 25)</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Shape</w:t>
            </w:r>
          </w:p>
        </w:tc>
        <w:tc>
          <w:tcPr>
            <w:tcW w:w="1751" w:type="pct"/>
            <w:vAlign w:val="center"/>
          </w:tcPr>
          <w:p w:rsidR="00AD3741" w:rsidRPr="00BF3275" w:rsidRDefault="00AD3741" w:rsidP="00DA2296">
            <w:pPr>
              <w:snapToGrid w:val="0"/>
              <w:jc w:val="both"/>
              <w:rPr>
                <w:b/>
                <w:sz w:val="20"/>
                <w:szCs w:val="20"/>
              </w:rPr>
            </w:pPr>
            <w:r w:rsidRPr="00BF3275">
              <w:rPr>
                <w:b/>
                <w:sz w:val="20"/>
                <w:szCs w:val="20"/>
              </w:rPr>
              <w:t>Rounded</w:t>
            </w:r>
          </w:p>
        </w:tc>
        <w:tc>
          <w:tcPr>
            <w:tcW w:w="706" w:type="pct"/>
            <w:vAlign w:val="center"/>
          </w:tcPr>
          <w:p w:rsidR="00AD3741" w:rsidRPr="00BF3275" w:rsidRDefault="00AD3741" w:rsidP="00DA2296">
            <w:pPr>
              <w:snapToGrid w:val="0"/>
              <w:jc w:val="both"/>
              <w:rPr>
                <w:sz w:val="20"/>
                <w:szCs w:val="20"/>
              </w:rPr>
            </w:pPr>
            <w:r w:rsidRPr="00BF3275">
              <w:rPr>
                <w:sz w:val="20"/>
                <w:szCs w:val="20"/>
              </w:rPr>
              <w:t>5</w:t>
            </w:r>
          </w:p>
        </w:tc>
        <w:tc>
          <w:tcPr>
            <w:tcW w:w="1081" w:type="pct"/>
            <w:vAlign w:val="center"/>
          </w:tcPr>
          <w:p w:rsidR="00AD3741" w:rsidRPr="00BF3275" w:rsidRDefault="00AD3741" w:rsidP="00DA2296">
            <w:pPr>
              <w:snapToGrid w:val="0"/>
              <w:jc w:val="both"/>
              <w:rPr>
                <w:sz w:val="20"/>
                <w:szCs w:val="20"/>
              </w:rPr>
            </w:pPr>
            <w:r w:rsidRPr="00BF3275">
              <w:rPr>
                <w:sz w:val="20"/>
                <w:szCs w:val="20"/>
              </w:rPr>
              <w:t>20%</w:t>
            </w:r>
          </w:p>
        </w:tc>
      </w:tr>
      <w:tr w:rsidR="00AD3741" w:rsidRPr="00BF3275" w:rsidTr="00462FBD">
        <w:trPr>
          <w:jc w:val="center"/>
        </w:trPr>
        <w:tc>
          <w:tcPr>
            <w:tcW w:w="1463" w:type="pct"/>
            <w:vMerge/>
            <w:vAlign w:val="center"/>
          </w:tcPr>
          <w:p w:rsidR="00AD3741" w:rsidRPr="00BF3275" w:rsidRDefault="00AD3741" w:rsidP="00DA2296">
            <w:pPr>
              <w:snapToGrid w:val="0"/>
              <w:jc w:val="both"/>
              <w:rPr>
                <w:b/>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Oval</w:t>
            </w:r>
          </w:p>
        </w:tc>
        <w:tc>
          <w:tcPr>
            <w:tcW w:w="706" w:type="pct"/>
            <w:vAlign w:val="center"/>
          </w:tcPr>
          <w:p w:rsidR="00AD3741" w:rsidRPr="00BF3275" w:rsidRDefault="00AD3741" w:rsidP="00DA2296">
            <w:pPr>
              <w:snapToGrid w:val="0"/>
              <w:jc w:val="both"/>
              <w:rPr>
                <w:sz w:val="20"/>
                <w:szCs w:val="20"/>
              </w:rPr>
            </w:pPr>
            <w:r w:rsidRPr="00BF3275">
              <w:rPr>
                <w:sz w:val="20"/>
                <w:szCs w:val="20"/>
              </w:rPr>
              <w:t>18</w:t>
            </w:r>
          </w:p>
        </w:tc>
        <w:tc>
          <w:tcPr>
            <w:tcW w:w="1081" w:type="pct"/>
            <w:vAlign w:val="center"/>
          </w:tcPr>
          <w:p w:rsidR="00AD3741" w:rsidRPr="00BF3275" w:rsidRDefault="00AD3741" w:rsidP="00DA2296">
            <w:pPr>
              <w:snapToGrid w:val="0"/>
              <w:jc w:val="both"/>
              <w:rPr>
                <w:sz w:val="20"/>
                <w:szCs w:val="20"/>
              </w:rPr>
            </w:pPr>
            <w:r w:rsidRPr="00BF3275">
              <w:rPr>
                <w:sz w:val="20"/>
                <w:szCs w:val="20"/>
              </w:rPr>
              <w:t>72%</w:t>
            </w:r>
          </w:p>
        </w:tc>
      </w:tr>
      <w:tr w:rsidR="00AD3741" w:rsidRPr="00BF3275" w:rsidTr="00462FBD">
        <w:trPr>
          <w:jc w:val="center"/>
        </w:trPr>
        <w:tc>
          <w:tcPr>
            <w:tcW w:w="1463" w:type="pct"/>
            <w:vMerge/>
            <w:vAlign w:val="center"/>
          </w:tcPr>
          <w:p w:rsidR="00AD3741" w:rsidRPr="00BF3275" w:rsidRDefault="00AD3741" w:rsidP="00DA2296">
            <w:pPr>
              <w:snapToGrid w:val="0"/>
              <w:jc w:val="both"/>
              <w:rPr>
                <w:b/>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Irregular</w:t>
            </w:r>
          </w:p>
        </w:tc>
        <w:tc>
          <w:tcPr>
            <w:tcW w:w="706" w:type="pct"/>
            <w:vAlign w:val="center"/>
          </w:tcPr>
          <w:p w:rsidR="00AD3741" w:rsidRPr="00BF3275" w:rsidRDefault="00AD3741" w:rsidP="00DA2296">
            <w:pPr>
              <w:snapToGrid w:val="0"/>
              <w:jc w:val="both"/>
              <w:rPr>
                <w:sz w:val="20"/>
                <w:szCs w:val="20"/>
              </w:rPr>
            </w:pPr>
            <w:r w:rsidRPr="00BF3275">
              <w:rPr>
                <w:sz w:val="20"/>
                <w:szCs w:val="20"/>
              </w:rPr>
              <w:t>3</w:t>
            </w:r>
          </w:p>
        </w:tc>
        <w:tc>
          <w:tcPr>
            <w:tcW w:w="1081" w:type="pct"/>
            <w:vAlign w:val="center"/>
          </w:tcPr>
          <w:p w:rsidR="00AD3741" w:rsidRPr="00BF3275" w:rsidRDefault="00AD3741" w:rsidP="00DA2296">
            <w:pPr>
              <w:snapToGrid w:val="0"/>
              <w:jc w:val="both"/>
              <w:rPr>
                <w:sz w:val="20"/>
                <w:szCs w:val="20"/>
              </w:rPr>
            </w:pPr>
            <w:r w:rsidRPr="00BF3275">
              <w:rPr>
                <w:sz w:val="20"/>
                <w:szCs w:val="20"/>
              </w:rPr>
              <w:t>12%</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Margin</w:t>
            </w:r>
          </w:p>
        </w:tc>
        <w:tc>
          <w:tcPr>
            <w:tcW w:w="1751" w:type="pct"/>
            <w:vAlign w:val="center"/>
          </w:tcPr>
          <w:p w:rsidR="00AD3741" w:rsidRPr="00BF3275" w:rsidRDefault="00AD3741" w:rsidP="00DA2296">
            <w:pPr>
              <w:snapToGrid w:val="0"/>
              <w:jc w:val="both"/>
              <w:rPr>
                <w:b/>
                <w:sz w:val="20"/>
                <w:szCs w:val="20"/>
              </w:rPr>
            </w:pPr>
            <w:r w:rsidRPr="00BF3275">
              <w:rPr>
                <w:b/>
                <w:sz w:val="20"/>
                <w:szCs w:val="20"/>
              </w:rPr>
              <w:t>Circumscribed</w:t>
            </w:r>
          </w:p>
        </w:tc>
        <w:tc>
          <w:tcPr>
            <w:tcW w:w="706" w:type="pct"/>
            <w:vAlign w:val="center"/>
          </w:tcPr>
          <w:p w:rsidR="00AD3741" w:rsidRPr="00BF3275" w:rsidRDefault="00AD3741" w:rsidP="00DA2296">
            <w:pPr>
              <w:snapToGrid w:val="0"/>
              <w:jc w:val="both"/>
              <w:rPr>
                <w:sz w:val="20"/>
                <w:szCs w:val="20"/>
              </w:rPr>
            </w:pPr>
            <w:r w:rsidRPr="00BF3275">
              <w:rPr>
                <w:sz w:val="20"/>
                <w:szCs w:val="20"/>
              </w:rPr>
              <w:t>21</w:t>
            </w:r>
          </w:p>
        </w:tc>
        <w:tc>
          <w:tcPr>
            <w:tcW w:w="1081" w:type="pct"/>
            <w:vAlign w:val="center"/>
          </w:tcPr>
          <w:p w:rsidR="00AD3741" w:rsidRPr="00BF3275" w:rsidRDefault="00AD3741" w:rsidP="00DA2296">
            <w:pPr>
              <w:snapToGrid w:val="0"/>
              <w:jc w:val="both"/>
              <w:rPr>
                <w:sz w:val="20"/>
                <w:szCs w:val="20"/>
              </w:rPr>
            </w:pPr>
            <w:r w:rsidRPr="00BF3275">
              <w:rPr>
                <w:sz w:val="20"/>
                <w:szCs w:val="20"/>
              </w:rPr>
              <w:t>84%</w:t>
            </w:r>
          </w:p>
        </w:tc>
      </w:tr>
      <w:tr w:rsidR="00AD3741" w:rsidRPr="00BF3275" w:rsidTr="00462FBD">
        <w:trPr>
          <w:jc w:val="center"/>
        </w:trPr>
        <w:tc>
          <w:tcPr>
            <w:tcW w:w="1463" w:type="pct"/>
            <w:vMerge/>
            <w:vAlign w:val="center"/>
          </w:tcPr>
          <w:p w:rsidR="00AD3741" w:rsidRPr="00BF3275" w:rsidRDefault="00AD3741" w:rsidP="00DA2296">
            <w:pPr>
              <w:snapToGrid w:val="0"/>
              <w:jc w:val="both"/>
              <w:rPr>
                <w:b/>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Not circumscribed</w:t>
            </w:r>
          </w:p>
        </w:tc>
        <w:tc>
          <w:tcPr>
            <w:tcW w:w="706" w:type="pct"/>
            <w:vAlign w:val="center"/>
          </w:tcPr>
          <w:p w:rsidR="00AD3741" w:rsidRPr="00BF3275" w:rsidRDefault="00AD3741" w:rsidP="00DA2296">
            <w:pPr>
              <w:snapToGrid w:val="0"/>
              <w:jc w:val="both"/>
              <w:rPr>
                <w:sz w:val="20"/>
                <w:szCs w:val="20"/>
              </w:rPr>
            </w:pPr>
            <w:r w:rsidRPr="00BF3275">
              <w:rPr>
                <w:sz w:val="20"/>
                <w:szCs w:val="20"/>
              </w:rPr>
              <w:t>4</w:t>
            </w:r>
          </w:p>
        </w:tc>
        <w:tc>
          <w:tcPr>
            <w:tcW w:w="1081" w:type="pct"/>
            <w:vAlign w:val="center"/>
          </w:tcPr>
          <w:p w:rsidR="00AD3741" w:rsidRPr="00BF3275" w:rsidRDefault="00AD3741" w:rsidP="00DA2296">
            <w:pPr>
              <w:snapToGrid w:val="0"/>
              <w:jc w:val="both"/>
              <w:rPr>
                <w:sz w:val="20"/>
                <w:szCs w:val="20"/>
              </w:rPr>
            </w:pPr>
            <w:r w:rsidRPr="00BF3275">
              <w:rPr>
                <w:sz w:val="20"/>
                <w:szCs w:val="20"/>
              </w:rPr>
              <w:t>16%</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Orientation</w:t>
            </w:r>
          </w:p>
        </w:tc>
        <w:tc>
          <w:tcPr>
            <w:tcW w:w="1751" w:type="pct"/>
            <w:vAlign w:val="center"/>
          </w:tcPr>
          <w:p w:rsidR="00AD3741" w:rsidRPr="00BF3275" w:rsidRDefault="00AD3741" w:rsidP="00DA2296">
            <w:pPr>
              <w:snapToGrid w:val="0"/>
              <w:jc w:val="both"/>
              <w:rPr>
                <w:b/>
                <w:sz w:val="20"/>
                <w:szCs w:val="20"/>
              </w:rPr>
            </w:pPr>
            <w:r w:rsidRPr="00BF3275">
              <w:rPr>
                <w:b/>
                <w:sz w:val="20"/>
                <w:szCs w:val="20"/>
              </w:rPr>
              <w:t>Not parallel</w:t>
            </w:r>
          </w:p>
        </w:tc>
        <w:tc>
          <w:tcPr>
            <w:tcW w:w="706" w:type="pct"/>
            <w:vAlign w:val="center"/>
          </w:tcPr>
          <w:p w:rsidR="00AD3741" w:rsidRPr="00BF3275" w:rsidRDefault="00AD3741" w:rsidP="00DA2296">
            <w:pPr>
              <w:snapToGrid w:val="0"/>
              <w:jc w:val="both"/>
              <w:rPr>
                <w:sz w:val="20"/>
                <w:szCs w:val="20"/>
              </w:rPr>
            </w:pPr>
            <w:r w:rsidRPr="00BF3275">
              <w:rPr>
                <w:sz w:val="20"/>
                <w:szCs w:val="20"/>
              </w:rPr>
              <w:t>2</w:t>
            </w:r>
          </w:p>
        </w:tc>
        <w:tc>
          <w:tcPr>
            <w:tcW w:w="1081" w:type="pct"/>
            <w:vAlign w:val="center"/>
          </w:tcPr>
          <w:p w:rsidR="00AD3741" w:rsidRPr="00BF3275" w:rsidRDefault="00AD3741" w:rsidP="00DA2296">
            <w:pPr>
              <w:snapToGrid w:val="0"/>
              <w:jc w:val="both"/>
              <w:rPr>
                <w:sz w:val="20"/>
                <w:szCs w:val="20"/>
              </w:rPr>
            </w:pPr>
            <w:r w:rsidRPr="00BF3275">
              <w:rPr>
                <w:sz w:val="20"/>
                <w:szCs w:val="20"/>
              </w:rPr>
              <w:t>8%</w:t>
            </w:r>
          </w:p>
        </w:tc>
      </w:tr>
      <w:tr w:rsidR="00AD3741" w:rsidRPr="00BF3275" w:rsidTr="00462FBD">
        <w:trPr>
          <w:jc w:val="center"/>
        </w:trPr>
        <w:tc>
          <w:tcPr>
            <w:tcW w:w="1463" w:type="pct"/>
            <w:vMerge/>
            <w:vAlign w:val="center"/>
          </w:tcPr>
          <w:p w:rsidR="00AD3741" w:rsidRPr="00BF3275" w:rsidRDefault="00AD3741" w:rsidP="00DA2296">
            <w:pPr>
              <w:snapToGrid w:val="0"/>
              <w:jc w:val="both"/>
              <w:rPr>
                <w:b/>
                <w:bCs/>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Parallel</w:t>
            </w:r>
          </w:p>
        </w:tc>
        <w:tc>
          <w:tcPr>
            <w:tcW w:w="706" w:type="pct"/>
            <w:vAlign w:val="center"/>
          </w:tcPr>
          <w:p w:rsidR="00AD3741" w:rsidRPr="00BF3275" w:rsidRDefault="00AD3741" w:rsidP="00DA2296">
            <w:pPr>
              <w:snapToGrid w:val="0"/>
              <w:jc w:val="both"/>
              <w:rPr>
                <w:sz w:val="20"/>
                <w:szCs w:val="20"/>
              </w:rPr>
            </w:pPr>
            <w:r w:rsidRPr="00BF3275">
              <w:rPr>
                <w:sz w:val="20"/>
                <w:szCs w:val="20"/>
              </w:rPr>
              <w:t>23</w:t>
            </w:r>
          </w:p>
        </w:tc>
        <w:tc>
          <w:tcPr>
            <w:tcW w:w="1081" w:type="pct"/>
            <w:vAlign w:val="center"/>
          </w:tcPr>
          <w:p w:rsidR="00AD3741" w:rsidRPr="00BF3275" w:rsidRDefault="00AD3741" w:rsidP="00DA2296">
            <w:pPr>
              <w:snapToGrid w:val="0"/>
              <w:jc w:val="both"/>
              <w:rPr>
                <w:sz w:val="20"/>
                <w:szCs w:val="20"/>
              </w:rPr>
            </w:pPr>
            <w:r w:rsidRPr="00BF3275">
              <w:rPr>
                <w:sz w:val="20"/>
                <w:szCs w:val="20"/>
              </w:rPr>
              <w:t>92%</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Echogenicity</w:t>
            </w:r>
          </w:p>
        </w:tc>
        <w:tc>
          <w:tcPr>
            <w:tcW w:w="1751" w:type="pct"/>
            <w:vAlign w:val="center"/>
          </w:tcPr>
          <w:p w:rsidR="00AD3741" w:rsidRPr="00BF3275" w:rsidRDefault="00AD3741" w:rsidP="00DA2296">
            <w:pPr>
              <w:snapToGrid w:val="0"/>
              <w:jc w:val="both"/>
              <w:rPr>
                <w:b/>
                <w:sz w:val="20"/>
                <w:szCs w:val="20"/>
              </w:rPr>
            </w:pPr>
            <w:r w:rsidRPr="00BF3275">
              <w:rPr>
                <w:b/>
                <w:sz w:val="20"/>
                <w:szCs w:val="20"/>
              </w:rPr>
              <w:t>Anechoic</w:t>
            </w:r>
          </w:p>
        </w:tc>
        <w:tc>
          <w:tcPr>
            <w:tcW w:w="706" w:type="pct"/>
            <w:vAlign w:val="center"/>
          </w:tcPr>
          <w:p w:rsidR="00AD3741" w:rsidRPr="00BF3275" w:rsidRDefault="00AD3741" w:rsidP="00DA2296">
            <w:pPr>
              <w:snapToGrid w:val="0"/>
              <w:jc w:val="both"/>
              <w:rPr>
                <w:sz w:val="20"/>
                <w:szCs w:val="20"/>
              </w:rPr>
            </w:pPr>
            <w:r w:rsidRPr="00BF3275">
              <w:rPr>
                <w:sz w:val="20"/>
                <w:szCs w:val="20"/>
              </w:rPr>
              <w:t>6</w:t>
            </w:r>
          </w:p>
        </w:tc>
        <w:tc>
          <w:tcPr>
            <w:tcW w:w="1081" w:type="pct"/>
            <w:vAlign w:val="center"/>
          </w:tcPr>
          <w:p w:rsidR="00AD3741" w:rsidRPr="00BF3275" w:rsidRDefault="00AD3741" w:rsidP="00DA2296">
            <w:pPr>
              <w:snapToGrid w:val="0"/>
              <w:jc w:val="both"/>
              <w:rPr>
                <w:sz w:val="20"/>
                <w:szCs w:val="20"/>
              </w:rPr>
            </w:pPr>
            <w:r w:rsidRPr="00BF3275">
              <w:rPr>
                <w:sz w:val="20"/>
                <w:szCs w:val="20"/>
              </w:rPr>
              <w:t>24%</w:t>
            </w:r>
          </w:p>
        </w:tc>
      </w:tr>
      <w:tr w:rsidR="00AD3741" w:rsidRPr="00BF3275" w:rsidTr="00462FBD">
        <w:trPr>
          <w:jc w:val="center"/>
        </w:trPr>
        <w:tc>
          <w:tcPr>
            <w:tcW w:w="1463" w:type="pct"/>
            <w:vMerge/>
            <w:vAlign w:val="center"/>
          </w:tcPr>
          <w:p w:rsidR="00AD3741" w:rsidRPr="00BF3275" w:rsidRDefault="00AD3741" w:rsidP="00DA2296">
            <w:pPr>
              <w:snapToGrid w:val="0"/>
              <w:jc w:val="both"/>
              <w:rPr>
                <w:b/>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Hypo echoic</w:t>
            </w:r>
          </w:p>
        </w:tc>
        <w:tc>
          <w:tcPr>
            <w:tcW w:w="706" w:type="pct"/>
            <w:vAlign w:val="center"/>
          </w:tcPr>
          <w:p w:rsidR="00AD3741" w:rsidRPr="00BF3275" w:rsidRDefault="00AD3741" w:rsidP="00DA2296">
            <w:pPr>
              <w:snapToGrid w:val="0"/>
              <w:jc w:val="both"/>
              <w:rPr>
                <w:sz w:val="20"/>
                <w:szCs w:val="20"/>
              </w:rPr>
            </w:pPr>
            <w:r w:rsidRPr="00BF3275">
              <w:rPr>
                <w:sz w:val="20"/>
                <w:szCs w:val="20"/>
              </w:rPr>
              <w:t>17</w:t>
            </w:r>
          </w:p>
        </w:tc>
        <w:tc>
          <w:tcPr>
            <w:tcW w:w="1081" w:type="pct"/>
            <w:vAlign w:val="center"/>
          </w:tcPr>
          <w:p w:rsidR="00AD3741" w:rsidRPr="00BF3275" w:rsidRDefault="00AD3741" w:rsidP="00DA2296">
            <w:pPr>
              <w:snapToGrid w:val="0"/>
              <w:jc w:val="both"/>
              <w:rPr>
                <w:sz w:val="20"/>
                <w:szCs w:val="20"/>
              </w:rPr>
            </w:pPr>
            <w:r w:rsidRPr="00BF3275">
              <w:rPr>
                <w:sz w:val="20"/>
                <w:szCs w:val="20"/>
              </w:rPr>
              <w:t>68%</w:t>
            </w:r>
          </w:p>
        </w:tc>
      </w:tr>
      <w:tr w:rsidR="00AD3741" w:rsidRPr="00BF3275" w:rsidTr="00462FBD">
        <w:trPr>
          <w:jc w:val="center"/>
        </w:trPr>
        <w:tc>
          <w:tcPr>
            <w:tcW w:w="1463" w:type="pct"/>
            <w:vMerge/>
            <w:vAlign w:val="center"/>
          </w:tcPr>
          <w:p w:rsidR="00AD3741" w:rsidRPr="00BF3275" w:rsidRDefault="00AD3741" w:rsidP="00DA2296">
            <w:pPr>
              <w:snapToGrid w:val="0"/>
              <w:jc w:val="both"/>
              <w:rPr>
                <w:b/>
                <w:bCs/>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Iso-echoic</w:t>
            </w:r>
          </w:p>
        </w:tc>
        <w:tc>
          <w:tcPr>
            <w:tcW w:w="706" w:type="pct"/>
            <w:vAlign w:val="center"/>
          </w:tcPr>
          <w:p w:rsidR="00AD3741" w:rsidRPr="00BF3275" w:rsidRDefault="00AD3741" w:rsidP="00DA2296">
            <w:pPr>
              <w:snapToGrid w:val="0"/>
              <w:jc w:val="both"/>
              <w:rPr>
                <w:sz w:val="20"/>
                <w:szCs w:val="20"/>
              </w:rPr>
            </w:pPr>
            <w:r w:rsidRPr="00BF3275">
              <w:rPr>
                <w:sz w:val="20"/>
                <w:szCs w:val="20"/>
              </w:rPr>
              <w:t>2</w:t>
            </w:r>
          </w:p>
        </w:tc>
        <w:tc>
          <w:tcPr>
            <w:tcW w:w="1081" w:type="pct"/>
            <w:vAlign w:val="center"/>
          </w:tcPr>
          <w:p w:rsidR="00AD3741" w:rsidRPr="00BF3275" w:rsidRDefault="00AD3741" w:rsidP="00DA2296">
            <w:pPr>
              <w:snapToGrid w:val="0"/>
              <w:jc w:val="both"/>
              <w:rPr>
                <w:sz w:val="20"/>
                <w:szCs w:val="20"/>
              </w:rPr>
            </w:pPr>
            <w:r w:rsidRPr="00BF3275">
              <w:rPr>
                <w:sz w:val="20"/>
                <w:szCs w:val="20"/>
              </w:rPr>
              <w:t>8%</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PAF</w:t>
            </w:r>
          </w:p>
        </w:tc>
        <w:tc>
          <w:tcPr>
            <w:tcW w:w="1751" w:type="pct"/>
            <w:vAlign w:val="center"/>
          </w:tcPr>
          <w:p w:rsidR="00AD3741" w:rsidRPr="00BF3275" w:rsidRDefault="00AD3741" w:rsidP="00DA2296">
            <w:pPr>
              <w:snapToGrid w:val="0"/>
              <w:jc w:val="both"/>
              <w:rPr>
                <w:b/>
                <w:sz w:val="20"/>
                <w:szCs w:val="20"/>
              </w:rPr>
            </w:pPr>
            <w:r w:rsidRPr="00BF3275">
              <w:rPr>
                <w:b/>
                <w:sz w:val="20"/>
                <w:szCs w:val="20"/>
              </w:rPr>
              <w:t>No PAF</w:t>
            </w:r>
          </w:p>
        </w:tc>
        <w:tc>
          <w:tcPr>
            <w:tcW w:w="706" w:type="pct"/>
            <w:vAlign w:val="center"/>
          </w:tcPr>
          <w:p w:rsidR="00AD3741" w:rsidRPr="00BF3275" w:rsidRDefault="00AD3741" w:rsidP="00DA2296">
            <w:pPr>
              <w:snapToGrid w:val="0"/>
              <w:jc w:val="both"/>
              <w:rPr>
                <w:sz w:val="20"/>
                <w:szCs w:val="20"/>
              </w:rPr>
            </w:pPr>
            <w:r w:rsidRPr="00BF3275">
              <w:rPr>
                <w:sz w:val="20"/>
                <w:szCs w:val="20"/>
              </w:rPr>
              <w:t>18</w:t>
            </w:r>
          </w:p>
        </w:tc>
        <w:tc>
          <w:tcPr>
            <w:tcW w:w="1081" w:type="pct"/>
            <w:vAlign w:val="center"/>
          </w:tcPr>
          <w:p w:rsidR="00AD3741" w:rsidRPr="00BF3275" w:rsidRDefault="00AD3741" w:rsidP="00DA2296">
            <w:pPr>
              <w:snapToGrid w:val="0"/>
              <w:jc w:val="both"/>
              <w:rPr>
                <w:sz w:val="20"/>
                <w:szCs w:val="20"/>
              </w:rPr>
            </w:pPr>
            <w:r w:rsidRPr="00BF3275">
              <w:rPr>
                <w:sz w:val="20"/>
                <w:szCs w:val="20"/>
              </w:rPr>
              <w:t>72%</w:t>
            </w:r>
          </w:p>
        </w:tc>
      </w:tr>
      <w:tr w:rsidR="00AD3741" w:rsidRPr="00BF3275" w:rsidTr="00462FBD">
        <w:trPr>
          <w:jc w:val="center"/>
        </w:trPr>
        <w:tc>
          <w:tcPr>
            <w:tcW w:w="1463" w:type="pct"/>
            <w:vMerge/>
            <w:vAlign w:val="center"/>
          </w:tcPr>
          <w:p w:rsidR="00AD3741" w:rsidRPr="00BF3275" w:rsidRDefault="00AD3741" w:rsidP="00DA2296">
            <w:pPr>
              <w:snapToGrid w:val="0"/>
              <w:jc w:val="both"/>
              <w:rPr>
                <w:b/>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Enhanced</w:t>
            </w:r>
          </w:p>
        </w:tc>
        <w:tc>
          <w:tcPr>
            <w:tcW w:w="706" w:type="pct"/>
            <w:vAlign w:val="center"/>
          </w:tcPr>
          <w:p w:rsidR="00AD3741" w:rsidRPr="00BF3275" w:rsidRDefault="00AD3741" w:rsidP="00DA2296">
            <w:pPr>
              <w:snapToGrid w:val="0"/>
              <w:jc w:val="both"/>
              <w:rPr>
                <w:sz w:val="20"/>
                <w:szCs w:val="20"/>
              </w:rPr>
            </w:pPr>
            <w:r w:rsidRPr="00BF3275">
              <w:rPr>
                <w:sz w:val="20"/>
                <w:szCs w:val="20"/>
              </w:rPr>
              <w:t>5</w:t>
            </w:r>
          </w:p>
        </w:tc>
        <w:tc>
          <w:tcPr>
            <w:tcW w:w="1081" w:type="pct"/>
            <w:vAlign w:val="center"/>
          </w:tcPr>
          <w:p w:rsidR="00AD3741" w:rsidRPr="00BF3275" w:rsidRDefault="00AD3741" w:rsidP="00DA2296">
            <w:pPr>
              <w:snapToGrid w:val="0"/>
              <w:jc w:val="both"/>
              <w:rPr>
                <w:sz w:val="20"/>
                <w:szCs w:val="20"/>
              </w:rPr>
            </w:pPr>
            <w:r w:rsidRPr="00BF3275">
              <w:rPr>
                <w:sz w:val="20"/>
                <w:szCs w:val="20"/>
              </w:rPr>
              <w:t>20%</w:t>
            </w:r>
          </w:p>
        </w:tc>
      </w:tr>
      <w:tr w:rsidR="00AD3741" w:rsidRPr="00BF3275" w:rsidTr="00462FBD">
        <w:trPr>
          <w:jc w:val="center"/>
        </w:trPr>
        <w:tc>
          <w:tcPr>
            <w:tcW w:w="1463" w:type="pct"/>
            <w:vMerge/>
            <w:vAlign w:val="center"/>
          </w:tcPr>
          <w:p w:rsidR="00AD3741" w:rsidRPr="00BF3275" w:rsidRDefault="00AD3741" w:rsidP="00DA2296">
            <w:pPr>
              <w:snapToGrid w:val="0"/>
              <w:jc w:val="both"/>
              <w:rPr>
                <w:b/>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Shadowing</w:t>
            </w:r>
          </w:p>
        </w:tc>
        <w:tc>
          <w:tcPr>
            <w:tcW w:w="706" w:type="pct"/>
            <w:vAlign w:val="center"/>
          </w:tcPr>
          <w:p w:rsidR="00AD3741" w:rsidRPr="00BF3275" w:rsidRDefault="00AD3741" w:rsidP="00DA2296">
            <w:pPr>
              <w:snapToGrid w:val="0"/>
              <w:jc w:val="both"/>
              <w:rPr>
                <w:sz w:val="20"/>
                <w:szCs w:val="20"/>
              </w:rPr>
            </w:pPr>
            <w:r w:rsidRPr="00BF3275">
              <w:rPr>
                <w:sz w:val="20"/>
                <w:szCs w:val="20"/>
              </w:rPr>
              <w:t>1</w:t>
            </w:r>
          </w:p>
        </w:tc>
        <w:tc>
          <w:tcPr>
            <w:tcW w:w="1081" w:type="pct"/>
            <w:vAlign w:val="center"/>
          </w:tcPr>
          <w:p w:rsidR="00AD3741" w:rsidRPr="00BF3275" w:rsidRDefault="00AD3741" w:rsidP="00DA2296">
            <w:pPr>
              <w:snapToGrid w:val="0"/>
              <w:jc w:val="both"/>
              <w:rPr>
                <w:sz w:val="20"/>
                <w:szCs w:val="20"/>
              </w:rPr>
            </w:pPr>
            <w:r w:rsidRPr="00BF3275">
              <w:rPr>
                <w:sz w:val="20"/>
                <w:szCs w:val="20"/>
              </w:rPr>
              <w:t>4%</w:t>
            </w:r>
          </w:p>
        </w:tc>
      </w:tr>
      <w:tr w:rsidR="00AD3741" w:rsidRPr="00BF3275" w:rsidTr="00462FBD">
        <w:trPr>
          <w:jc w:val="center"/>
        </w:trPr>
        <w:tc>
          <w:tcPr>
            <w:tcW w:w="1463" w:type="pct"/>
            <w:vMerge/>
            <w:vAlign w:val="center"/>
          </w:tcPr>
          <w:p w:rsidR="00AD3741" w:rsidRPr="00BF3275" w:rsidRDefault="00AD3741" w:rsidP="00DA2296">
            <w:pPr>
              <w:snapToGrid w:val="0"/>
              <w:jc w:val="both"/>
              <w:rPr>
                <w:b/>
                <w:bCs/>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Combined pattern</w:t>
            </w:r>
          </w:p>
        </w:tc>
        <w:tc>
          <w:tcPr>
            <w:tcW w:w="706" w:type="pct"/>
            <w:vAlign w:val="center"/>
          </w:tcPr>
          <w:p w:rsidR="00AD3741" w:rsidRPr="00BF3275" w:rsidRDefault="00AD3741" w:rsidP="00DA2296">
            <w:pPr>
              <w:snapToGrid w:val="0"/>
              <w:jc w:val="both"/>
              <w:rPr>
                <w:sz w:val="20"/>
                <w:szCs w:val="20"/>
              </w:rPr>
            </w:pPr>
            <w:r w:rsidRPr="00BF3275">
              <w:rPr>
                <w:sz w:val="20"/>
                <w:szCs w:val="20"/>
              </w:rPr>
              <w:t>1</w:t>
            </w:r>
          </w:p>
        </w:tc>
        <w:tc>
          <w:tcPr>
            <w:tcW w:w="1081" w:type="pct"/>
            <w:vAlign w:val="center"/>
          </w:tcPr>
          <w:p w:rsidR="00AD3741" w:rsidRPr="00BF3275" w:rsidRDefault="00AD3741" w:rsidP="00DA2296">
            <w:pPr>
              <w:snapToGrid w:val="0"/>
              <w:jc w:val="both"/>
              <w:rPr>
                <w:sz w:val="20"/>
                <w:szCs w:val="20"/>
              </w:rPr>
            </w:pPr>
            <w:r w:rsidRPr="00BF3275">
              <w:rPr>
                <w:sz w:val="20"/>
                <w:szCs w:val="20"/>
              </w:rPr>
              <w:t>4%</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Surrounding tissue</w:t>
            </w:r>
          </w:p>
        </w:tc>
        <w:tc>
          <w:tcPr>
            <w:tcW w:w="1751" w:type="pct"/>
            <w:vAlign w:val="center"/>
          </w:tcPr>
          <w:p w:rsidR="00AD3741" w:rsidRPr="00BF3275" w:rsidRDefault="00AD3741" w:rsidP="00DA2296">
            <w:pPr>
              <w:snapToGrid w:val="0"/>
              <w:jc w:val="both"/>
              <w:rPr>
                <w:b/>
                <w:sz w:val="20"/>
                <w:szCs w:val="20"/>
              </w:rPr>
            </w:pPr>
            <w:r w:rsidRPr="00BF3275">
              <w:rPr>
                <w:b/>
                <w:sz w:val="20"/>
                <w:szCs w:val="20"/>
              </w:rPr>
              <w:t>No effect</w:t>
            </w:r>
          </w:p>
        </w:tc>
        <w:tc>
          <w:tcPr>
            <w:tcW w:w="706" w:type="pct"/>
            <w:vAlign w:val="center"/>
          </w:tcPr>
          <w:p w:rsidR="00AD3741" w:rsidRPr="00BF3275" w:rsidRDefault="00AD3741" w:rsidP="00DA2296">
            <w:pPr>
              <w:snapToGrid w:val="0"/>
              <w:jc w:val="both"/>
              <w:rPr>
                <w:sz w:val="20"/>
                <w:szCs w:val="20"/>
              </w:rPr>
            </w:pPr>
            <w:r w:rsidRPr="00BF3275">
              <w:rPr>
                <w:sz w:val="20"/>
                <w:szCs w:val="20"/>
              </w:rPr>
              <w:t>24</w:t>
            </w:r>
          </w:p>
        </w:tc>
        <w:tc>
          <w:tcPr>
            <w:tcW w:w="1081" w:type="pct"/>
            <w:vAlign w:val="center"/>
          </w:tcPr>
          <w:p w:rsidR="00AD3741" w:rsidRPr="00BF3275" w:rsidRDefault="00AD3741" w:rsidP="00DA2296">
            <w:pPr>
              <w:snapToGrid w:val="0"/>
              <w:jc w:val="both"/>
              <w:rPr>
                <w:sz w:val="20"/>
                <w:szCs w:val="20"/>
              </w:rPr>
            </w:pPr>
            <w:r w:rsidRPr="00BF3275">
              <w:rPr>
                <w:sz w:val="20"/>
                <w:szCs w:val="20"/>
              </w:rPr>
              <w:t>96%</w:t>
            </w:r>
          </w:p>
        </w:tc>
      </w:tr>
      <w:tr w:rsidR="00AD3741" w:rsidRPr="00BF3275" w:rsidTr="00462FBD">
        <w:trPr>
          <w:jc w:val="center"/>
        </w:trPr>
        <w:tc>
          <w:tcPr>
            <w:tcW w:w="1463" w:type="pct"/>
            <w:vMerge/>
            <w:vAlign w:val="center"/>
          </w:tcPr>
          <w:p w:rsidR="00AD3741" w:rsidRPr="00BF3275" w:rsidRDefault="00AD3741" w:rsidP="00DA2296">
            <w:pPr>
              <w:snapToGrid w:val="0"/>
              <w:jc w:val="both"/>
              <w:rPr>
                <w:b/>
                <w:bCs/>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Architecture distortion</w:t>
            </w:r>
          </w:p>
        </w:tc>
        <w:tc>
          <w:tcPr>
            <w:tcW w:w="706" w:type="pct"/>
            <w:vAlign w:val="center"/>
          </w:tcPr>
          <w:p w:rsidR="00AD3741" w:rsidRPr="00BF3275" w:rsidRDefault="00AD3741" w:rsidP="00DA2296">
            <w:pPr>
              <w:snapToGrid w:val="0"/>
              <w:jc w:val="both"/>
              <w:rPr>
                <w:sz w:val="20"/>
                <w:szCs w:val="20"/>
              </w:rPr>
            </w:pPr>
            <w:r w:rsidRPr="00BF3275">
              <w:rPr>
                <w:sz w:val="20"/>
                <w:szCs w:val="20"/>
              </w:rPr>
              <w:t>1</w:t>
            </w:r>
          </w:p>
        </w:tc>
        <w:tc>
          <w:tcPr>
            <w:tcW w:w="1081" w:type="pct"/>
            <w:vAlign w:val="center"/>
          </w:tcPr>
          <w:p w:rsidR="00AD3741" w:rsidRPr="00BF3275" w:rsidRDefault="00AD3741" w:rsidP="00DA2296">
            <w:pPr>
              <w:snapToGrid w:val="0"/>
              <w:jc w:val="both"/>
              <w:rPr>
                <w:sz w:val="20"/>
                <w:szCs w:val="20"/>
              </w:rPr>
            </w:pPr>
            <w:r w:rsidRPr="00BF3275">
              <w:rPr>
                <w:sz w:val="20"/>
                <w:szCs w:val="20"/>
              </w:rPr>
              <w:t>4%</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Calcification</w:t>
            </w:r>
          </w:p>
        </w:tc>
        <w:tc>
          <w:tcPr>
            <w:tcW w:w="1751" w:type="pct"/>
            <w:vAlign w:val="center"/>
          </w:tcPr>
          <w:p w:rsidR="00AD3741" w:rsidRPr="00BF3275" w:rsidRDefault="00AD3741" w:rsidP="00DA2296">
            <w:pPr>
              <w:snapToGrid w:val="0"/>
              <w:jc w:val="both"/>
              <w:rPr>
                <w:b/>
                <w:sz w:val="20"/>
                <w:szCs w:val="20"/>
              </w:rPr>
            </w:pPr>
            <w:r w:rsidRPr="00BF3275">
              <w:rPr>
                <w:b/>
                <w:sz w:val="20"/>
                <w:szCs w:val="20"/>
              </w:rPr>
              <w:t>No</w:t>
            </w:r>
          </w:p>
        </w:tc>
        <w:tc>
          <w:tcPr>
            <w:tcW w:w="706" w:type="pct"/>
            <w:vAlign w:val="center"/>
          </w:tcPr>
          <w:p w:rsidR="00AD3741" w:rsidRPr="00BF3275" w:rsidRDefault="00AD3741" w:rsidP="00DA2296">
            <w:pPr>
              <w:snapToGrid w:val="0"/>
              <w:jc w:val="both"/>
              <w:rPr>
                <w:sz w:val="20"/>
                <w:szCs w:val="20"/>
              </w:rPr>
            </w:pPr>
            <w:r w:rsidRPr="00BF3275">
              <w:rPr>
                <w:sz w:val="20"/>
                <w:szCs w:val="20"/>
              </w:rPr>
              <w:t>21</w:t>
            </w:r>
          </w:p>
        </w:tc>
        <w:tc>
          <w:tcPr>
            <w:tcW w:w="1081" w:type="pct"/>
            <w:vAlign w:val="center"/>
          </w:tcPr>
          <w:p w:rsidR="00AD3741" w:rsidRPr="00BF3275" w:rsidRDefault="00AD3741" w:rsidP="00DA2296">
            <w:pPr>
              <w:snapToGrid w:val="0"/>
              <w:jc w:val="both"/>
              <w:rPr>
                <w:sz w:val="20"/>
                <w:szCs w:val="20"/>
              </w:rPr>
            </w:pPr>
            <w:r w:rsidRPr="00BF3275">
              <w:rPr>
                <w:sz w:val="20"/>
                <w:szCs w:val="20"/>
              </w:rPr>
              <w:t>84%</w:t>
            </w:r>
          </w:p>
        </w:tc>
      </w:tr>
      <w:tr w:rsidR="00AD3741" w:rsidRPr="00BF3275" w:rsidTr="00462FBD">
        <w:trPr>
          <w:jc w:val="center"/>
        </w:trPr>
        <w:tc>
          <w:tcPr>
            <w:tcW w:w="1463" w:type="pct"/>
            <w:vMerge/>
            <w:vAlign w:val="center"/>
          </w:tcPr>
          <w:p w:rsidR="00AD3741" w:rsidRPr="00BF3275" w:rsidRDefault="00AD3741" w:rsidP="00DA2296">
            <w:pPr>
              <w:snapToGrid w:val="0"/>
              <w:jc w:val="both"/>
              <w:rPr>
                <w:b/>
                <w:bCs/>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Macro</w:t>
            </w:r>
          </w:p>
        </w:tc>
        <w:tc>
          <w:tcPr>
            <w:tcW w:w="706" w:type="pct"/>
            <w:vAlign w:val="center"/>
          </w:tcPr>
          <w:p w:rsidR="00AD3741" w:rsidRPr="00BF3275" w:rsidRDefault="00AD3741" w:rsidP="00DA2296">
            <w:pPr>
              <w:snapToGrid w:val="0"/>
              <w:jc w:val="both"/>
              <w:rPr>
                <w:sz w:val="20"/>
                <w:szCs w:val="20"/>
              </w:rPr>
            </w:pPr>
            <w:r w:rsidRPr="00BF3275">
              <w:rPr>
                <w:sz w:val="20"/>
                <w:szCs w:val="20"/>
              </w:rPr>
              <w:t>2</w:t>
            </w:r>
          </w:p>
        </w:tc>
        <w:tc>
          <w:tcPr>
            <w:tcW w:w="1081" w:type="pct"/>
            <w:vAlign w:val="center"/>
          </w:tcPr>
          <w:p w:rsidR="00AD3741" w:rsidRPr="00BF3275" w:rsidRDefault="00AD3741" w:rsidP="00DA2296">
            <w:pPr>
              <w:snapToGrid w:val="0"/>
              <w:jc w:val="both"/>
              <w:rPr>
                <w:sz w:val="20"/>
                <w:szCs w:val="20"/>
              </w:rPr>
            </w:pPr>
            <w:r w:rsidRPr="00BF3275">
              <w:rPr>
                <w:sz w:val="20"/>
                <w:szCs w:val="20"/>
              </w:rPr>
              <w:t>8%</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Vasculature</w:t>
            </w:r>
          </w:p>
        </w:tc>
        <w:tc>
          <w:tcPr>
            <w:tcW w:w="1751" w:type="pct"/>
            <w:vAlign w:val="center"/>
          </w:tcPr>
          <w:p w:rsidR="00AD3741" w:rsidRPr="00BF3275" w:rsidRDefault="00AD3741" w:rsidP="00DA2296">
            <w:pPr>
              <w:snapToGrid w:val="0"/>
              <w:jc w:val="both"/>
              <w:rPr>
                <w:b/>
                <w:sz w:val="20"/>
                <w:szCs w:val="20"/>
              </w:rPr>
            </w:pPr>
            <w:r w:rsidRPr="00BF3275">
              <w:rPr>
                <w:b/>
                <w:sz w:val="20"/>
                <w:szCs w:val="20"/>
              </w:rPr>
              <w:t>No</w:t>
            </w:r>
          </w:p>
        </w:tc>
        <w:tc>
          <w:tcPr>
            <w:tcW w:w="706" w:type="pct"/>
            <w:vAlign w:val="center"/>
          </w:tcPr>
          <w:p w:rsidR="00AD3741" w:rsidRPr="00BF3275" w:rsidRDefault="00AD3741" w:rsidP="00DA2296">
            <w:pPr>
              <w:snapToGrid w:val="0"/>
              <w:jc w:val="both"/>
              <w:rPr>
                <w:sz w:val="20"/>
                <w:szCs w:val="20"/>
              </w:rPr>
            </w:pPr>
            <w:r w:rsidRPr="00BF3275">
              <w:rPr>
                <w:sz w:val="20"/>
                <w:szCs w:val="20"/>
              </w:rPr>
              <w:t>24</w:t>
            </w:r>
          </w:p>
        </w:tc>
        <w:tc>
          <w:tcPr>
            <w:tcW w:w="1081" w:type="pct"/>
            <w:vAlign w:val="center"/>
          </w:tcPr>
          <w:p w:rsidR="00AD3741" w:rsidRPr="00BF3275" w:rsidRDefault="00AD3741" w:rsidP="00DA2296">
            <w:pPr>
              <w:snapToGrid w:val="0"/>
              <w:jc w:val="both"/>
              <w:rPr>
                <w:sz w:val="20"/>
                <w:szCs w:val="20"/>
              </w:rPr>
            </w:pPr>
            <w:r w:rsidRPr="00BF3275">
              <w:rPr>
                <w:sz w:val="20"/>
                <w:szCs w:val="20"/>
              </w:rPr>
              <w:t>96%</w:t>
            </w:r>
          </w:p>
        </w:tc>
      </w:tr>
      <w:tr w:rsidR="00AD3741" w:rsidRPr="00BF3275" w:rsidTr="00462FBD">
        <w:trPr>
          <w:jc w:val="center"/>
        </w:trPr>
        <w:tc>
          <w:tcPr>
            <w:tcW w:w="1463" w:type="pct"/>
            <w:vMerge/>
            <w:vAlign w:val="center"/>
          </w:tcPr>
          <w:p w:rsidR="00AD3741" w:rsidRPr="00BF3275" w:rsidRDefault="00AD3741" w:rsidP="00DA2296">
            <w:pPr>
              <w:snapToGrid w:val="0"/>
              <w:jc w:val="both"/>
              <w:rPr>
                <w:b/>
                <w:bCs/>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Present</w:t>
            </w:r>
          </w:p>
        </w:tc>
        <w:tc>
          <w:tcPr>
            <w:tcW w:w="706" w:type="pct"/>
            <w:vAlign w:val="center"/>
          </w:tcPr>
          <w:p w:rsidR="00AD3741" w:rsidRPr="00BF3275" w:rsidRDefault="00AD3741" w:rsidP="00DA2296">
            <w:pPr>
              <w:snapToGrid w:val="0"/>
              <w:jc w:val="both"/>
              <w:rPr>
                <w:sz w:val="20"/>
                <w:szCs w:val="20"/>
              </w:rPr>
            </w:pPr>
            <w:r w:rsidRPr="00BF3275">
              <w:rPr>
                <w:sz w:val="20"/>
                <w:szCs w:val="20"/>
              </w:rPr>
              <w:t>1</w:t>
            </w:r>
          </w:p>
        </w:tc>
        <w:tc>
          <w:tcPr>
            <w:tcW w:w="1081" w:type="pct"/>
            <w:vAlign w:val="center"/>
          </w:tcPr>
          <w:p w:rsidR="00AD3741" w:rsidRPr="00BF3275" w:rsidRDefault="00AD3741" w:rsidP="00DA2296">
            <w:pPr>
              <w:snapToGrid w:val="0"/>
              <w:jc w:val="both"/>
              <w:rPr>
                <w:sz w:val="20"/>
                <w:szCs w:val="20"/>
              </w:rPr>
            </w:pPr>
            <w:r w:rsidRPr="00BF3275">
              <w:rPr>
                <w:sz w:val="20"/>
                <w:szCs w:val="20"/>
              </w:rPr>
              <w:t>4%</w:t>
            </w:r>
          </w:p>
        </w:tc>
      </w:tr>
      <w:tr w:rsidR="00AD3741" w:rsidRPr="00BF3275" w:rsidTr="00462FBD">
        <w:trPr>
          <w:jc w:val="center"/>
        </w:trPr>
        <w:tc>
          <w:tcPr>
            <w:tcW w:w="1463" w:type="pct"/>
            <w:vMerge w:val="restart"/>
            <w:vAlign w:val="center"/>
          </w:tcPr>
          <w:p w:rsidR="00AD3741" w:rsidRPr="00BF3275" w:rsidRDefault="00AD3741" w:rsidP="00DA2296">
            <w:pPr>
              <w:snapToGrid w:val="0"/>
              <w:jc w:val="both"/>
              <w:rPr>
                <w:b/>
                <w:sz w:val="20"/>
                <w:szCs w:val="20"/>
              </w:rPr>
            </w:pPr>
            <w:r w:rsidRPr="00BF3275">
              <w:rPr>
                <w:b/>
                <w:sz w:val="20"/>
                <w:szCs w:val="20"/>
              </w:rPr>
              <w:t>Composition</w:t>
            </w:r>
          </w:p>
        </w:tc>
        <w:tc>
          <w:tcPr>
            <w:tcW w:w="1751" w:type="pct"/>
            <w:vAlign w:val="center"/>
          </w:tcPr>
          <w:p w:rsidR="00AD3741" w:rsidRPr="00BF3275" w:rsidRDefault="00AD3741" w:rsidP="00DA2296">
            <w:pPr>
              <w:snapToGrid w:val="0"/>
              <w:jc w:val="both"/>
              <w:rPr>
                <w:b/>
                <w:sz w:val="20"/>
                <w:szCs w:val="20"/>
              </w:rPr>
            </w:pPr>
            <w:r w:rsidRPr="00BF3275">
              <w:rPr>
                <w:b/>
                <w:sz w:val="20"/>
                <w:szCs w:val="20"/>
              </w:rPr>
              <w:t>Cystic</w:t>
            </w:r>
          </w:p>
        </w:tc>
        <w:tc>
          <w:tcPr>
            <w:tcW w:w="706" w:type="pct"/>
            <w:vAlign w:val="center"/>
          </w:tcPr>
          <w:p w:rsidR="00AD3741" w:rsidRPr="00BF3275" w:rsidRDefault="00AD3741" w:rsidP="00DA2296">
            <w:pPr>
              <w:snapToGrid w:val="0"/>
              <w:jc w:val="both"/>
              <w:rPr>
                <w:sz w:val="20"/>
                <w:szCs w:val="20"/>
              </w:rPr>
            </w:pPr>
            <w:r w:rsidRPr="00BF3275">
              <w:rPr>
                <w:sz w:val="20"/>
                <w:szCs w:val="20"/>
              </w:rPr>
              <w:t>6</w:t>
            </w:r>
          </w:p>
        </w:tc>
        <w:tc>
          <w:tcPr>
            <w:tcW w:w="1081" w:type="pct"/>
            <w:vAlign w:val="center"/>
          </w:tcPr>
          <w:p w:rsidR="00AD3741" w:rsidRPr="00BF3275" w:rsidRDefault="00AD3741" w:rsidP="00DA2296">
            <w:pPr>
              <w:snapToGrid w:val="0"/>
              <w:jc w:val="both"/>
              <w:rPr>
                <w:sz w:val="20"/>
                <w:szCs w:val="20"/>
              </w:rPr>
            </w:pPr>
            <w:r w:rsidRPr="00BF3275">
              <w:rPr>
                <w:sz w:val="20"/>
                <w:szCs w:val="20"/>
              </w:rPr>
              <w:t>24%</w:t>
            </w:r>
          </w:p>
        </w:tc>
      </w:tr>
      <w:tr w:rsidR="00AD3741" w:rsidRPr="00BF3275" w:rsidTr="00462FBD">
        <w:trPr>
          <w:jc w:val="center"/>
        </w:trPr>
        <w:tc>
          <w:tcPr>
            <w:tcW w:w="1463" w:type="pct"/>
            <w:vMerge/>
            <w:vAlign w:val="center"/>
          </w:tcPr>
          <w:p w:rsidR="00AD3741" w:rsidRPr="00BF3275" w:rsidRDefault="00AD3741" w:rsidP="00DA2296">
            <w:pPr>
              <w:snapToGrid w:val="0"/>
              <w:jc w:val="both"/>
              <w:rPr>
                <w:b/>
                <w:sz w:val="20"/>
                <w:szCs w:val="20"/>
              </w:rPr>
            </w:pPr>
          </w:p>
        </w:tc>
        <w:tc>
          <w:tcPr>
            <w:tcW w:w="1751" w:type="pct"/>
            <w:vAlign w:val="center"/>
          </w:tcPr>
          <w:p w:rsidR="00AD3741" w:rsidRPr="00BF3275" w:rsidRDefault="00AD3741" w:rsidP="00DA2296">
            <w:pPr>
              <w:snapToGrid w:val="0"/>
              <w:jc w:val="both"/>
              <w:rPr>
                <w:b/>
                <w:sz w:val="20"/>
                <w:szCs w:val="20"/>
              </w:rPr>
            </w:pPr>
            <w:r w:rsidRPr="00BF3275">
              <w:rPr>
                <w:b/>
                <w:sz w:val="20"/>
                <w:szCs w:val="20"/>
              </w:rPr>
              <w:t>Solid</w:t>
            </w:r>
          </w:p>
        </w:tc>
        <w:tc>
          <w:tcPr>
            <w:tcW w:w="706" w:type="pct"/>
            <w:vAlign w:val="center"/>
          </w:tcPr>
          <w:p w:rsidR="00AD3741" w:rsidRPr="00BF3275" w:rsidRDefault="00AD3741" w:rsidP="00DA2296">
            <w:pPr>
              <w:snapToGrid w:val="0"/>
              <w:jc w:val="both"/>
              <w:rPr>
                <w:sz w:val="20"/>
                <w:szCs w:val="20"/>
              </w:rPr>
            </w:pPr>
            <w:r w:rsidRPr="00BF3275">
              <w:rPr>
                <w:sz w:val="20"/>
                <w:szCs w:val="20"/>
              </w:rPr>
              <w:t>19</w:t>
            </w:r>
          </w:p>
        </w:tc>
        <w:tc>
          <w:tcPr>
            <w:tcW w:w="1081" w:type="pct"/>
            <w:vAlign w:val="center"/>
          </w:tcPr>
          <w:p w:rsidR="00AD3741" w:rsidRPr="00BF3275" w:rsidRDefault="00AD3741" w:rsidP="00DA2296">
            <w:pPr>
              <w:snapToGrid w:val="0"/>
              <w:jc w:val="both"/>
              <w:rPr>
                <w:sz w:val="20"/>
                <w:szCs w:val="20"/>
              </w:rPr>
            </w:pPr>
            <w:r w:rsidRPr="00BF3275">
              <w:rPr>
                <w:sz w:val="20"/>
                <w:szCs w:val="20"/>
              </w:rPr>
              <w:t>74%</w:t>
            </w:r>
          </w:p>
        </w:tc>
      </w:tr>
    </w:tbl>
    <w:p w:rsidR="00DB7A58" w:rsidRDefault="00DB7A58" w:rsidP="00DA2296">
      <w:pPr>
        <w:snapToGrid w:val="0"/>
        <w:ind w:firstLine="425"/>
        <w:jc w:val="both"/>
        <w:rPr>
          <w:rFonts w:hint="eastAsia"/>
          <w:sz w:val="20"/>
          <w:szCs w:val="20"/>
          <w:lang w:eastAsia="zh-CN"/>
        </w:rPr>
      </w:pPr>
    </w:p>
    <w:p w:rsidR="0038154B" w:rsidRDefault="0038154B" w:rsidP="00DA2296">
      <w:pPr>
        <w:snapToGrid w:val="0"/>
        <w:ind w:firstLine="425"/>
        <w:jc w:val="both"/>
        <w:rPr>
          <w:rFonts w:hint="eastAsia"/>
          <w:sz w:val="20"/>
          <w:szCs w:val="20"/>
          <w:lang w:eastAsia="zh-CN"/>
        </w:rPr>
      </w:pPr>
    </w:p>
    <w:p w:rsidR="0038154B" w:rsidRPr="00BF3275" w:rsidRDefault="0038154B" w:rsidP="00DA2296">
      <w:pPr>
        <w:snapToGrid w:val="0"/>
        <w:ind w:firstLine="425"/>
        <w:jc w:val="both"/>
        <w:rPr>
          <w:rFonts w:hint="eastAsia"/>
          <w:sz w:val="20"/>
          <w:szCs w:val="20"/>
          <w:lang w:eastAsia="zh-CN"/>
        </w:rPr>
      </w:pPr>
    </w:p>
    <w:p w:rsidR="00DA2296" w:rsidRPr="00BF3275" w:rsidRDefault="00DA2296" w:rsidP="00DA2296">
      <w:pPr>
        <w:snapToGrid w:val="0"/>
        <w:ind w:firstLine="425"/>
        <w:jc w:val="both"/>
        <w:rPr>
          <w:sz w:val="20"/>
          <w:szCs w:val="20"/>
        </w:rPr>
        <w:sectPr w:rsidR="00DA2296" w:rsidRPr="00BF3275" w:rsidSect="00462FBD">
          <w:type w:val="continuous"/>
          <w:pgSz w:w="12240" w:h="15840" w:code="9"/>
          <w:pgMar w:top="1440" w:right="1440" w:bottom="1440" w:left="1440" w:header="720" w:footer="720" w:gutter="0"/>
          <w:cols w:space="720"/>
          <w:docGrid w:linePitch="360" w:charSpace="4096"/>
        </w:sectPr>
      </w:pPr>
    </w:p>
    <w:p w:rsidR="00C17030" w:rsidRPr="00BF3275" w:rsidRDefault="00DB7A58" w:rsidP="00DA2296">
      <w:pPr>
        <w:snapToGrid w:val="0"/>
        <w:jc w:val="both"/>
        <w:rPr>
          <w:b/>
          <w:bCs/>
          <w:sz w:val="20"/>
          <w:szCs w:val="20"/>
        </w:rPr>
      </w:pPr>
      <w:r w:rsidRPr="00BF3275">
        <w:rPr>
          <w:b/>
          <w:bCs/>
          <w:sz w:val="20"/>
          <w:szCs w:val="20"/>
        </w:rPr>
        <w:lastRenderedPageBreak/>
        <w:t>4. Discussion</w:t>
      </w:r>
    </w:p>
    <w:p w:rsidR="005327F6" w:rsidRPr="00BF3275" w:rsidRDefault="005327F6" w:rsidP="00DA2296">
      <w:pPr>
        <w:snapToGrid w:val="0"/>
        <w:ind w:firstLine="425"/>
        <w:jc w:val="both"/>
        <w:rPr>
          <w:sz w:val="20"/>
          <w:szCs w:val="20"/>
        </w:rPr>
      </w:pPr>
      <w:r w:rsidRPr="00BF3275">
        <w:rPr>
          <w:sz w:val="20"/>
          <w:szCs w:val="20"/>
        </w:rPr>
        <w:t>Mammography is the only screening modality that has been proved to reduce breast cancer mortality</w:t>
      </w:r>
      <w:r w:rsidR="005F6E7D" w:rsidRPr="00BF3275">
        <w:rPr>
          <w:sz w:val="20"/>
          <w:szCs w:val="20"/>
        </w:rPr>
        <w:t xml:space="preserve">. </w:t>
      </w:r>
      <w:r w:rsidRPr="00BF3275">
        <w:rPr>
          <w:sz w:val="20"/>
          <w:szCs w:val="20"/>
        </w:rPr>
        <w:t xml:space="preserve">However, its ability to depict small non-calcified </w:t>
      </w:r>
      <w:r w:rsidRPr="00BF3275">
        <w:rPr>
          <w:sz w:val="20"/>
          <w:szCs w:val="20"/>
        </w:rPr>
        <w:lastRenderedPageBreak/>
        <w:t xml:space="preserve">carcinomas varies greatly with breast tissue composition. While mammography detects up to 98% of carcinomas in fatty breasts, sensitivity declines significantly with increasing breast density and may </w:t>
      </w:r>
      <w:r w:rsidRPr="00BF3275">
        <w:rPr>
          <w:sz w:val="20"/>
          <w:szCs w:val="20"/>
        </w:rPr>
        <w:lastRenderedPageBreak/>
        <w:t xml:space="preserve">be as low as 30%–48% in extremely dense breasts </w:t>
      </w:r>
      <w:r w:rsidRPr="00BF3275">
        <w:rPr>
          <w:b/>
          <w:bCs/>
          <w:i/>
          <w:iCs/>
          <w:sz w:val="20"/>
          <w:szCs w:val="20"/>
        </w:rPr>
        <w:t xml:space="preserve">(Nelson </w:t>
      </w:r>
      <w:r w:rsidR="005F6E7D" w:rsidRPr="00BF3275">
        <w:rPr>
          <w:b/>
          <w:bCs/>
          <w:i/>
          <w:iCs/>
          <w:sz w:val="20"/>
          <w:szCs w:val="20"/>
        </w:rPr>
        <w:t xml:space="preserve">et al., </w:t>
      </w:r>
      <w:r w:rsidRPr="00BF3275">
        <w:rPr>
          <w:b/>
          <w:bCs/>
          <w:i/>
          <w:iCs/>
          <w:sz w:val="20"/>
          <w:szCs w:val="20"/>
        </w:rPr>
        <w:t>2009).</w:t>
      </w:r>
      <w:r w:rsidR="00802AA4" w:rsidRPr="00BF3275">
        <w:rPr>
          <w:b/>
          <w:bCs/>
          <w:i/>
          <w:iCs/>
          <w:sz w:val="20"/>
          <w:szCs w:val="20"/>
        </w:rPr>
        <w:t xml:space="preserve"> </w:t>
      </w:r>
      <w:r w:rsidRPr="00BF3275">
        <w:rPr>
          <w:sz w:val="20"/>
          <w:szCs w:val="20"/>
        </w:rPr>
        <w:t xml:space="preserve">Ultrasound is a promising adjunctive screening modality, because it is widely available, relatively inexpensive, and well tolerated by patients. In addition, suspicious breast lesions can be readily biopsied under ultrasound guidance </w:t>
      </w:r>
      <w:r w:rsidRPr="00BF3275">
        <w:rPr>
          <w:b/>
          <w:bCs/>
          <w:i/>
          <w:iCs/>
          <w:sz w:val="20"/>
          <w:szCs w:val="20"/>
        </w:rPr>
        <w:t>(Crystal et</w:t>
      </w:r>
      <w:r w:rsidR="00715DB8" w:rsidRPr="00BF3275">
        <w:rPr>
          <w:b/>
          <w:bCs/>
          <w:i/>
          <w:iCs/>
          <w:sz w:val="20"/>
          <w:szCs w:val="20"/>
        </w:rPr>
        <w:t xml:space="preserve"> al</w:t>
      </w:r>
      <w:r w:rsidRPr="00BF3275">
        <w:rPr>
          <w:b/>
          <w:bCs/>
          <w:i/>
          <w:iCs/>
          <w:sz w:val="20"/>
          <w:szCs w:val="20"/>
        </w:rPr>
        <w:t>.,</w:t>
      </w:r>
      <w:r w:rsidR="00715DB8" w:rsidRPr="00BF3275">
        <w:rPr>
          <w:b/>
          <w:bCs/>
          <w:i/>
          <w:iCs/>
          <w:sz w:val="20"/>
          <w:szCs w:val="20"/>
        </w:rPr>
        <w:t xml:space="preserve"> </w:t>
      </w:r>
      <w:r w:rsidRPr="00BF3275">
        <w:rPr>
          <w:b/>
          <w:bCs/>
          <w:i/>
          <w:iCs/>
          <w:sz w:val="20"/>
          <w:szCs w:val="20"/>
        </w:rPr>
        <w:t>2003).</w:t>
      </w:r>
    </w:p>
    <w:p w:rsidR="005327F6" w:rsidRPr="00BF3275" w:rsidRDefault="005327F6" w:rsidP="00DA2296">
      <w:pPr>
        <w:snapToGrid w:val="0"/>
        <w:ind w:firstLine="425"/>
        <w:jc w:val="both"/>
        <w:rPr>
          <w:sz w:val="20"/>
          <w:szCs w:val="20"/>
        </w:rPr>
      </w:pPr>
      <w:r w:rsidRPr="00BF3275">
        <w:rPr>
          <w:sz w:val="20"/>
          <w:szCs w:val="20"/>
        </w:rPr>
        <w:t xml:space="preserve">Multiple studies demonstrate that supplemental screening breast US generates an incremental cancer detection rate of 2.3–4.6 cancers per 1000 women screened </w:t>
      </w:r>
      <w:r w:rsidRPr="00BF3275">
        <w:rPr>
          <w:b/>
          <w:bCs/>
          <w:i/>
          <w:iCs/>
          <w:sz w:val="20"/>
          <w:szCs w:val="20"/>
        </w:rPr>
        <w:t xml:space="preserve">(Kaplan </w:t>
      </w:r>
      <w:r w:rsidR="005F6E7D" w:rsidRPr="00BF3275">
        <w:rPr>
          <w:b/>
          <w:bCs/>
          <w:i/>
          <w:iCs/>
          <w:sz w:val="20"/>
          <w:szCs w:val="20"/>
        </w:rPr>
        <w:t xml:space="preserve">et al., </w:t>
      </w:r>
      <w:r w:rsidRPr="00BF3275">
        <w:rPr>
          <w:b/>
          <w:bCs/>
          <w:i/>
          <w:iCs/>
          <w:sz w:val="20"/>
          <w:szCs w:val="20"/>
        </w:rPr>
        <w:t>2001).</w:t>
      </w:r>
      <w:r w:rsidR="00462FBD" w:rsidRPr="00BF3275">
        <w:rPr>
          <w:b/>
          <w:bCs/>
          <w:i/>
          <w:iCs/>
          <w:sz w:val="20"/>
          <w:szCs w:val="20"/>
        </w:rPr>
        <w:t xml:space="preserve"> </w:t>
      </w:r>
      <w:r w:rsidRPr="00BF3275">
        <w:rPr>
          <w:sz w:val="20"/>
          <w:szCs w:val="20"/>
        </w:rPr>
        <w:t xml:space="preserve">The American College of Radiology (ACR) has developed a system of sonographic descriptors for breast masses the Breast Imaging Reporting and Data System – Ultrasound (BI-RADS – US) as a means to promote the clinical efficacy of breast US and </w:t>
      </w:r>
      <w:r w:rsidR="00BF3275" w:rsidRPr="00BF3275">
        <w:rPr>
          <w:sz w:val="20"/>
          <w:szCs w:val="20"/>
        </w:rPr>
        <w:t>standardize</w:t>
      </w:r>
      <w:r w:rsidRPr="00BF3275">
        <w:rPr>
          <w:sz w:val="20"/>
          <w:szCs w:val="20"/>
        </w:rPr>
        <w:t xml:space="preserve"> reporting terminology and clinical management </w:t>
      </w:r>
      <w:r w:rsidR="005F6E7D" w:rsidRPr="00BF3275">
        <w:rPr>
          <w:b/>
          <w:bCs/>
          <w:i/>
          <w:iCs/>
          <w:sz w:val="20"/>
          <w:szCs w:val="20"/>
        </w:rPr>
        <w:t>(</w:t>
      </w:r>
      <w:r w:rsidRPr="00BF3275">
        <w:rPr>
          <w:b/>
          <w:bCs/>
          <w:i/>
          <w:iCs/>
          <w:sz w:val="20"/>
          <w:szCs w:val="20"/>
        </w:rPr>
        <w:t>Weigert and Steenbergen,</w:t>
      </w:r>
      <w:r w:rsidR="00715DB8" w:rsidRPr="00BF3275">
        <w:rPr>
          <w:b/>
          <w:bCs/>
          <w:i/>
          <w:iCs/>
          <w:sz w:val="20"/>
          <w:szCs w:val="20"/>
        </w:rPr>
        <w:t xml:space="preserve"> </w:t>
      </w:r>
      <w:r w:rsidRPr="00BF3275">
        <w:rPr>
          <w:b/>
          <w:bCs/>
          <w:i/>
          <w:iCs/>
          <w:sz w:val="20"/>
          <w:szCs w:val="20"/>
        </w:rPr>
        <w:t>2015).</w:t>
      </w:r>
    </w:p>
    <w:p w:rsidR="005327F6" w:rsidRPr="00BF3275" w:rsidRDefault="005327F6" w:rsidP="00DA2296">
      <w:pPr>
        <w:snapToGrid w:val="0"/>
        <w:ind w:firstLine="425"/>
        <w:jc w:val="both"/>
        <w:rPr>
          <w:b/>
          <w:bCs/>
          <w:i/>
          <w:iCs/>
          <w:sz w:val="20"/>
          <w:szCs w:val="20"/>
        </w:rPr>
      </w:pPr>
      <w:r w:rsidRPr="00BF3275">
        <w:rPr>
          <w:sz w:val="20"/>
          <w:szCs w:val="20"/>
        </w:rPr>
        <w:t xml:space="preserve">The lexicon introduced by the BI-RADS system includes sonographic descriptors referring to lesion shape, orientation, margins, boundary, echo pattern, posterior acoustic features and surrounding tissue. On the basis of these descriptors, each lesion is assigned a level of suspicion, which is associated with a recommendation for management </w:t>
      </w:r>
      <w:r w:rsidRPr="00BF3275">
        <w:rPr>
          <w:b/>
          <w:bCs/>
          <w:i/>
          <w:iCs/>
          <w:sz w:val="20"/>
          <w:szCs w:val="20"/>
        </w:rPr>
        <w:t xml:space="preserve">(Miyamoto </w:t>
      </w:r>
      <w:r w:rsidR="005F6E7D" w:rsidRPr="00BF3275">
        <w:rPr>
          <w:b/>
          <w:bCs/>
          <w:i/>
          <w:iCs/>
          <w:sz w:val="20"/>
          <w:szCs w:val="20"/>
        </w:rPr>
        <w:t xml:space="preserve">et al., </w:t>
      </w:r>
      <w:r w:rsidRPr="00BF3275">
        <w:rPr>
          <w:b/>
          <w:bCs/>
          <w:i/>
          <w:iCs/>
          <w:sz w:val="20"/>
          <w:szCs w:val="20"/>
        </w:rPr>
        <w:t>2014).</w:t>
      </w:r>
      <w:r w:rsidR="00802AA4" w:rsidRPr="00BF3275">
        <w:rPr>
          <w:b/>
          <w:bCs/>
          <w:i/>
          <w:iCs/>
          <w:sz w:val="20"/>
          <w:szCs w:val="20"/>
        </w:rPr>
        <w:t xml:space="preserve"> </w:t>
      </w:r>
      <w:r w:rsidRPr="00BF3275">
        <w:rPr>
          <w:sz w:val="20"/>
          <w:szCs w:val="20"/>
        </w:rPr>
        <w:t>The aim of this study was to assess the reliability of the sonographic Breast Imaging Reporting and Data System (BIRADS) classification in differentiating benign from malignant breast masses</w:t>
      </w:r>
      <w:r w:rsidRPr="00BF3275">
        <w:rPr>
          <w:b/>
          <w:bCs/>
          <w:i/>
          <w:iCs/>
          <w:sz w:val="20"/>
          <w:szCs w:val="20"/>
        </w:rPr>
        <w:t xml:space="preserve"> (Destaunis</w:t>
      </w:r>
      <w:r w:rsidR="005F6E7D" w:rsidRPr="00BF3275">
        <w:rPr>
          <w:b/>
          <w:bCs/>
          <w:i/>
          <w:iCs/>
          <w:sz w:val="20"/>
          <w:szCs w:val="20"/>
        </w:rPr>
        <w:t xml:space="preserve"> et al., </w:t>
      </w:r>
      <w:r w:rsidRPr="00BF3275">
        <w:rPr>
          <w:b/>
          <w:bCs/>
          <w:i/>
          <w:iCs/>
          <w:sz w:val="20"/>
          <w:szCs w:val="20"/>
        </w:rPr>
        <w:t>2013).</w:t>
      </w:r>
    </w:p>
    <w:p w:rsidR="005327F6" w:rsidRPr="00BF3275" w:rsidRDefault="005327F6" w:rsidP="00DA2296">
      <w:pPr>
        <w:snapToGrid w:val="0"/>
        <w:ind w:firstLine="425"/>
        <w:jc w:val="both"/>
        <w:rPr>
          <w:b/>
          <w:bCs/>
          <w:i/>
          <w:iCs/>
          <w:sz w:val="20"/>
          <w:szCs w:val="20"/>
        </w:rPr>
      </w:pPr>
      <w:r w:rsidRPr="00BF3275">
        <w:rPr>
          <w:sz w:val="20"/>
          <w:szCs w:val="20"/>
        </w:rPr>
        <w:t>BI-RADS</w:t>
      </w:r>
      <w:r w:rsidR="005F6E7D" w:rsidRPr="00BF3275">
        <w:rPr>
          <w:sz w:val="20"/>
          <w:szCs w:val="20"/>
        </w:rPr>
        <w:t xml:space="preserve"> </w:t>
      </w:r>
      <w:r w:rsidRPr="00BF3275">
        <w:rPr>
          <w:sz w:val="20"/>
          <w:szCs w:val="20"/>
        </w:rPr>
        <w:t>establishes</w:t>
      </w:r>
      <w:r w:rsidR="005F6E7D" w:rsidRPr="00BF3275">
        <w:rPr>
          <w:sz w:val="20"/>
          <w:szCs w:val="20"/>
        </w:rPr>
        <w:t xml:space="preserve"> </w:t>
      </w:r>
      <w:r w:rsidRPr="00BF3275">
        <w:rPr>
          <w:sz w:val="20"/>
          <w:szCs w:val="20"/>
        </w:rPr>
        <w:t xml:space="preserve">reporting standards for breast ultrasound. Just as in mammography, all features need to be considered in evaluating a lesion. Mammographic findings should be combined with ultrasound findings to provide the most accurate diagnosis. The worst characteristic of a lesion drives the decision-making process. Moreover, as in mammography, auditing of results should routinely be carried out to improve interpretation </w:t>
      </w:r>
      <w:r w:rsidR="00BF3275" w:rsidRPr="00BF3275">
        <w:rPr>
          <w:sz w:val="20"/>
          <w:szCs w:val="20"/>
        </w:rPr>
        <w:t>accuracy</w:t>
      </w:r>
      <w:r w:rsidRPr="00BF3275">
        <w:rPr>
          <w:sz w:val="20"/>
          <w:szCs w:val="20"/>
        </w:rPr>
        <w:t xml:space="preserve"> </w:t>
      </w:r>
      <w:r w:rsidRPr="00BF3275">
        <w:rPr>
          <w:b/>
          <w:bCs/>
          <w:i/>
          <w:iCs/>
          <w:sz w:val="20"/>
          <w:szCs w:val="20"/>
        </w:rPr>
        <w:t xml:space="preserve">(Mendelson </w:t>
      </w:r>
      <w:r w:rsidR="005F6E7D" w:rsidRPr="00BF3275">
        <w:rPr>
          <w:b/>
          <w:bCs/>
          <w:i/>
          <w:iCs/>
          <w:sz w:val="20"/>
          <w:szCs w:val="20"/>
        </w:rPr>
        <w:t xml:space="preserve">et al., </w:t>
      </w:r>
      <w:r w:rsidRPr="00BF3275">
        <w:rPr>
          <w:b/>
          <w:bCs/>
          <w:i/>
          <w:iCs/>
          <w:sz w:val="20"/>
          <w:szCs w:val="20"/>
        </w:rPr>
        <w:t>2013).</w:t>
      </w:r>
    </w:p>
    <w:p w:rsidR="005327F6" w:rsidRPr="00BF3275" w:rsidRDefault="005327F6" w:rsidP="00DA2296">
      <w:pPr>
        <w:snapToGrid w:val="0"/>
        <w:ind w:firstLine="425"/>
        <w:jc w:val="both"/>
        <w:rPr>
          <w:b/>
          <w:bCs/>
          <w:sz w:val="20"/>
          <w:szCs w:val="20"/>
        </w:rPr>
      </w:pPr>
      <w:r w:rsidRPr="00BF3275">
        <w:rPr>
          <w:sz w:val="20"/>
          <w:szCs w:val="20"/>
        </w:rPr>
        <w:t xml:space="preserve">In our study of the screening ultrasound performed the mean age in studied patients was 44.08 ± 6.5 years with minimum age of 40 years and maximum age of 57 years. There were 29 patients (58%) ≤ 45 years and 21 patients &gt; 45 years. Of 21 patients &gt; 45 years nearly 4/21 patient had suspicious lesion, so the risk of malignancy increase with age. The current study had the same results of </w:t>
      </w:r>
      <w:r w:rsidR="00A13A78" w:rsidRPr="00BF3275">
        <w:rPr>
          <w:b/>
          <w:bCs/>
          <w:i/>
          <w:iCs/>
          <w:sz w:val="20"/>
          <w:szCs w:val="20"/>
        </w:rPr>
        <w:t>Kamińska</w:t>
      </w:r>
      <w:r w:rsidRPr="00BF3275">
        <w:rPr>
          <w:b/>
          <w:bCs/>
          <w:i/>
          <w:iCs/>
          <w:sz w:val="20"/>
          <w:szCs w:val="20"/>
        </w:rPr>
        <w:t xml:space="preserve"> </w:t>
      </w:r>
      <w:r w:rsidR="00A13A78" w:rsidRPr="00BF3275">
        <w:rPr>
          <w:b/>
          <w:bCs/>
          <w:i/>
          <w:iCs/>
          <w:sz w:val="20"/>
          <w:szCs w:val="20"/>
        </w:rPr>
        <w:t>et al. (</w:t>
      </w:r>
      <w:r w:rsidRPr="00BF3275">
        <w:rPr>
          <w:b/>
          <w:bCs/>
          <w:i/>
          <w:iCs/>
          <w:sz w:val="20"/>
          <w:szCs w:val="20"/>
        </w:rPr>
        <w:t>2015</w:t>
      </w:r>
      <w:r w:rsidRPr="00BF3275">
        <w:rPr>
          <w:sz w:val="20"/>
          <w:szCs w:val="20"/>
        </w:rPr>
        <w:t>)</w:t>
      </w:r>
      <w:r w:rsidR="005F6E7D" w:rsidRPr="00BF3275">
        <w:rPr>
          <w:sz w:val="20"/>
          <w:szCs w:val="20"/>
        </w:rPr>
        <w:t xml:space="preserve"> </w:t>
      </w:r>
      <w:r w:rsidRPr="00BF3275">
        <w:rPr>
          <w:sz w:val="20"/>
          <w:szCs w:val="20"/>
        </w:rPr>
        <w:t>in which breast cancer is most frequently found in women around menopause. It is significantly less frequently found in women below 45 years of age. The analysis of morbidity coefficients for the Polish population has indicated a linear increase in the group of women aged between 40 and 59 years, then it reaches a plateau with a slight decreasing tendency in women aged 70 and older.</w:t>
      </w:r>
      <w:r w:rsidRPr="00BF3275">
        <w:rPr>
          <w:bCs/>
          <w:sz w:val="20"/>
          <w:szCs w:val="20"/>
        </w:rPr>
        <w:t xml:space="preserve"> </w:t>
      </w:r>
      <w:r w:rsidRPr="00BF3275">
        <w:rPr>
          <w:sz w:val="20"/>
          <w:szCs w:val="20"/>
        </w:rPr>
        <w:t xml:space="preserve">Another study also </w:t>
      </w:r>
      <w:r w:rsidRPr="00BF3275">
        <w:rPr>
          <w:sz w:val="20"/>
          <w:szCs w:val="20"/>
        </w:rPr>
        <w:lastRenderedPageBreak/>
        <w:t>confirm our results conducted by</w:t>
      </w:r>
      <w:r w:rsidR="005F6E7D" w:rsidRPr="00BF3275">
        <w:rPr>
          <w:sz w:val="20"/>
          <w:szCs w:val="20"/>
        </w:rPr>
        <w:t xml:space="preserve"> </w:t>
      </w:r>
      <w:r w:rsidR="005F6E7D" w:rsidRPr="00BF3275">
        <w:rPr>
          <w:b/>
          <w:bCs/>
          <w:i/>
          <w:iCs/>
          <w:sz w:val="20"/>
          <w:szCs w:val="20"/>
        </w:rPr>
        <w:t>(</w:t>
      </w:r>
      <w:r w:rsidRPr="00BF3275">
        <w:rPr>
          <w:b/>
          <w:bCs/>
          <w:i/>
          <w:iCs/>
          <w:sz w:val="20"/>
          <w:szCs w:val="20"/>
        </w:rPr>
        <w:t>Weigert,</w:t>
      </w:r>
      <w:r w:rsidR="005F6E7D" w:rsidRPr="00BF3275">
        <w:rPr>
          <w:b/>
          <w:bCs/>
          <w:i/>
          <w:iCs/>
          <w:sz w:val="20"/>
          <w:szCs w:val="20"/>
        </w:rPr>
        <w:t xml:space="preserve"> </w:t>
      </w:r>
      <w:r w:rsidRPr="00BF3275">
        <w:rPr>
          <w:b/>
          <w:bCs/>
          <w:i/>
          <w:iCs/>
          <w:sz w:val="20"/>
          <w:szCs w:val="20"/>
        </w:rPr>
        <w:t>2012)</w:t>
      </w:r>
      <w:r w:rsidRPr="00BF3275">
        <w:rPr>
          <w:b/>
          <w:bCs/>
          <w:sz w:val="20"/>
          <w:szCs w:val="20"/>
        </w:rPr>
        <w:t xml:space="preserve"> </w:t>
      </w:r>
      <w:r w:rsidRPr="00BF3275">
        <w:rPr>
          <w:sz w:val="20"/>
          <w:szCs w:val="20"/>
        </w:rPr>
        <w:t>in which Age reported for 18 of the cases of malignancy ranged from to 42–78 years of age with an average of 54.5 years.</w:t>
      </w:r>
      <w:r w:rsidRPr="00BF3275">
        <w:rPr>
          <w:bCs/>
          <w:sz w:val="20"/>
          <w:szCs w:val="20"/>
        </w:rPr>
        <w:t xml:space="preserve"> </w:t>
      </w:r>
    </w:p>
    <w:p w:rsidR="005327F6" w:rsidRPr="00BF3275" w:rsidRDefault="005327F6" w:rsidP="00DA2296">
      <w:pPr>
        <w:snapToGrid w:val="0"/>
        <w:ind w:firstLine="425"/>
        <w:jc w:val="both"/>
        <w:rPr>
          <w:sz w:val="20"/>
          <w:szCs w:val="20"/>
        </w:rPr>
      </w:pPr>
      <w:r w:rsidRPr="00BF3275">
        <w:rPr>
          <w:sz w:val="20"/>
          <w:szCs w:val="20"/>
        </w:rPr>
        <w:t>In our study there were 8 patients (16%) had positive family history (6/8) had breast lesion (4/6</w:t>
      </w:r>
      <w:r w:rsidR="00DE2288" w:rsidRPr="00BF3275">
        <w:rPr>
          <w:sz w:val="20"/>
          <w:szCs w:val="20"/>
        </w:rPr>
        <w:t>) h</w:t>
      </w:r>
      <w:r w:rsidRPr="00BF3275">
        <w:rPr>
          <w:sz w:val="20"/>
          <w:szCs w:val="20"/>
        </w:rPr>
        <w:t>ave benign lesion an</w:t>
      </w:r>
      <w:r w:rsidR="00462FBD" w:rsidRPr="00BF3275">
        <w:rPr>
          <w:sz w:val="20"/>
          <w:szCs w:val="20"/>
        </w:rPr>
        <w:t>d (</w:t>
      </w:r>
      <w:r w:rsidRPr="00BF3275">
        <w:rPr>
          <w:sz w:val="20"/>
          <w:szCs w:val="20"/>
        </w:rPr>
        <w:t xml:space="preserve">2/6) hade malignant lesion so the risk of breast cancer increase with age The current study had the same results of </w:t>
      </w:r>
      <w:r w:rsidR="00A13A78" w:rsidRPr="00BF3275">
        <w:rPr>
          <w:b/>
          <w:bCs/>
          <w:i/>
          <w:iCs/>
          <w:sz w:val="20"/>
          <w:szCs w:val="20"/>
        </w:rPr>
        <w:t>Kamińska et al. (2015</w:t>
      </w:r>
      <w:r w:rsidR="00A13A78" w:rsidRPr="00BF3275">
        <w:rPr>
          <w:sz w:val="20"/>
          <w:szCs w:val="20"/>
        </w:rPr>
        <w:t>)</w:t>
      </w:r>
      <w:r w:rsidR="005F6E7D" w:rsidRPr="00BF3275">
        <w:rPr>
          <w:sz w:val="20"/>
          <w:szCs w:val="20"/>
        </w:rPr>
        <w:t xml:space="preserve"> </w:t>
      </w:r>
      <w:r w:rsidRPr="00BF3275">
        <w:rPr>
          <w:sz w:val="20"/>
          <w:szCs w:val="20"/>
        </w:rPr>
        <w:t>in which there is</w:t>
      </w:r>
      <w:r w:rsidR="005F6E7D" w:rsidRPr="00BF3275">
        <w:rPr>
          <w:sz w:val="20"/>
          <w:szCs w:val="20"/>
        </w:rPr>
        <w:t xml:space="preserve"> </w:t>
      </w:r>
      <w:r w:rsidRPr="00BF3275">
        <w:rPr>
          <w:sz w:val="20"/>
          <w:szCs w:val="20"/>
        </w:rPr>
        <w:t>Another intrinsic factor conditioning the occurrence of breast cancer is the familial susceptibility to this type of neoplasm</w:t>
      </w:r>
      <w:r w:rsidR="00DE2288" w:rsidRPr="00BF3275">
        <w:rPr>
          <w:rFonts w:hint="eastAsia"/>
          <w:sz w:val="20"/>
          <w:szCs w:val="20"/>
          <w:lang w:eastAsia="zh-CN"/>
        </w:rPr>
        <w:t>.</w:t>
      </w:r>
      <w:r w:rsidRPr="00BF3275">
        <w:rPr>
          <w:sz w:val="20"/>
          <w:szCs w:val="20"/>
        </w:rPr>
        <w:t xml:space="preserve"> The most important are genes BRCA1and BRCA2 (breast cancer susceptibility 1 and 2) fulfilling the function of tumor suppressor genes in a cell. The correlation of epidemiologic and population studies has allowed for the estimation of the number of familial breast cases. They constitute about 10% of all newly diagnosed neoplasms. Identification of mutations in BRCA1 or BRCA2</w:t>
      </w:r>
      <w:r w:rsidR="0038154B">
        <w:rPr>
          <w:rFonts w:hint="eastAsia"/>
          <w:sz w:val="20"/>
          <w:szCs w:val="20"/>
          <w:lang w:eastAsia="zh-CN"/>
        </w:rPr>
        <w:t xml:space="preserve"> </w:t>
      </w:r>
      <w:r w:rsidRPr="00BF3275">
        <w:rPr>
          <w:sz w:val="20"/>
          <w:szCs w:val="20"/>
        </w:rPr>
        <w:t>genes is associated with an increased risk of occurrence of breast in 65%</w:t>
      </w:r>
      <w:r w:rsidR="005F6E7D" w:rsidRPr="00BF3275">
        <w:rPr>
          <w:sz w:val="20"/>
          <w:szCs w:val="20"/>
        </w:rPr>
        <w:t xml:space="preserve">, </w:t>
      </w:r>
      <w:r w:rsidRPr="00BF3275">
        <w:rPr>
          <w:sz w:val="20"/>
          <w:szCs w:val="20"/>
        </w:rPr>
        <w:t>depending on the mutation type</w:t>
      </w:r>
      <w:r w:rsidR="00715DB8" w:rsidRPr="00BF3275">
        <w:rPr>
          <w:sz w:val="20"/>
          <w:szCs w:val="20"/>
        </w:rPr>
        <w:t>.</w:t>
      </w:r>
    </w:p>
    <w:p w:rsidR="005327F6" w:rsidRPr="00BF3275" w:rsidRDefault="005327F6" w:rsidP="00DA2296">
      <w:pPr>
        <w:snapToGrid w:val="0"/>
        <w:ind w:firstLine="425"/>
        <w:jc w:val="both"/>
        <w:rPr>
          <w:sz w:val="20"/>
          <w:szCs w:val="20"/>
        </w:rPr>
      </w:pPr>
      <w:r w:rsidRPr="00BF3275">
        <w:rPr>
          <w:sz w:val="20"/>
          <w:szCs w:val="20"/>
        </w:rPr>
        <w:t>In our study 5 patients (10%) had hormonal risk factor. (3/5) patient had breast lesion. 2/3 benign, (1/3) suspicious so the risk of breast cancer increase by hormonal factor. The current study had the same results of</w:t>
      </w:r>
      <w:r w:rsidR="005F6E7D" w:rsidRPr="00BF3275">
        <w:rPr>
          <w:sz w:val="20"/>
          <w:szCs w:val="20"/>
        </w:rPr>
        <w:t xml:space="preserve"> </w:t>
      </w:r>
      <w:r w:rsidR="00A13A78" w:rsidRPr="00BF3275">
        <w:rPr>
          <w:b/>
          <w:bCs/>
          <w:i/>
          <w:iCs/>
          <w:sz w:val="20"/>
          <w:szCs w:val="20"/>
        </w:rPr>
        <w:t>Lindegren</w:t>
      </w:r>
      <w:r w:rsidR="005F6E7D" w:rsidRPr="00BF3275">
        <w:rPr>
          <w:b/>
          <w:bCs/>
          <w:i/>
          <w:iCs/>
          <w:sz w:val="20"/>
          <w:szCs w:val="20"/>
        </w:rPr>
        <w:t xml:space="preserve"> </w:t>
      </w:r>
      <w:r w:rsidR="00A13A78" w:rsidRPr="00BF3275">
        <w:rPr>
          <w:b/>
          <w:bCs/>
          <w:i/>
          <w:iCs/>
          <w:sz w:val="20"/>
          <w:szCs w:val="20"/>
        </w:rPr>
        <w:t>et al. (</w:t>
      </w:r>
      <w:r w:rsidRPr="00BF3275">
        <w:rPr>
          <w:b/>
          <w:bCs/>
          <w:i/>
          <w:iCs/>
          <w:sz w:val="20"/>
          <w:szCs w:val="20"/>
        </w:rPr>
        <w:t>2017)</w:t>
      </w:r>
      <w:r w:rsidRPr="00BF3275">
        <w:rPr>
          <w:sz w:val="20"/>
          <w:szCs w:val="20"/>
        </w:rPr>
        <w:t xml:space="preserve"> in which a total of 19.6 million person-years and 11,517 incident breast cancers had accumulated in 1,797,932 women between the ages of 15 and 49 years. Before the first switch to another hormonal contraceptive, 14.0 million person-years and 9101 incident breast cancers had accumulated As compared with women who had never used hormonal contraceptives, the relative risk of breast cancer among all current or recent users of any hormonal contraception was 1.20</w:t>
      </w:r>
      <w:r w:rsidR="005F6E7D" w:rsidRPr="00BF3275">
        <w:rPr>
          <w:sz w:val="20"/>
          <w:szCs w:val="20"/>
        </w:rPr>
        <w:t xml:space="preserve">. </w:t>
      </w:r>
      <w:r w:rsidRPr="00BF3275">
        <w:rPr>
          <w:sz w:val="20"/>
          <w:szCs w:val="20"/>
        </w:rPr>
        <w:t>The risk of breast cancer increased with the duration of use, from 1.09 (95% CI, 0.96 to 1.23) with less than 1 year of use to 1.38 (95% CI, 1.26 to 1.51)</w:t>
      </w:r>
      <w:r w:rsidR="005F6E7D" w:rsidRPr="00BF3275">
        <w:rPr>
          <w:sz w:val="20"/>
          <w:szCs w:val="20"/>
        </w:rPr>
        <w:t xml:space="preserve"> </w:t>
      </w:r>
      <w:r w:rsidRPr="00BF3275">
        <w:rPr>
          <w:sz w:val="20"/>
          <w:szCs w:val="20"/>
        </w:rPr>
        <w:t>after more than 10 years of use (P = 0.002)</w:t>
      </w:r>
      <w:r w:rsidR="005F6E7D" w:rsidRPr="00BF3275">
        <w:rPr>
          <w:sz w:val="20"/>
          <w:szCs w:val="20"/>
        </w:rPr>
        <w:t xml:space="preserve">. </w:t>
      </w:r>
      <w:r w:rsidRPr="00BF3275">
        <w:rPr>
          <w:sz w:val="20"/>
          <w:szCs w:val="20"/>
        </w:rPr>
        <w:t>As compared with women who had never used hormonal contraception, an increased risk of breast cancer was observed among woman who had previously used hormonal contraception for long periods of time (i.e., ≥5 years)</w:t>
      </w:r>
      <w:r w:rsidR="00715DB8" w:rsidRPr="00BF3275">
        <w:rPr>
          <w:sz w:val="20"/>
          <w:szCs w:val="20"/>
        </w:rPr>
        <w:t>.</w:t>
      </w:r>
    </w:p>
    <w:p w:rsidR="005327F6" w:rsidRPr="00BF3275" w:rsidRDefault="005327F6" w:rsidP="00DA2296">
      <w:pPr>
        <w:snapToGrid w:val="0"/>
        <w:ind w:firstLine="425"/>
        <w:jc w:val="both"/>
        <w:rPr>
          <w:sz w:val="20"/>
          <w:szCs w:val="20"/>
        </w:rPr>
      </w:pPr>
      <w:r w:rsidRPr="00BF3275">
        <w:rPr>
          <w:sz w:val="20"/>
          <w:szCs w:val="20"/>
        </w:rPr>
        <w:t>In our study of the screening ultrasound performed 74% was classified as BI-RADS 1 or 2 and 20% was classified as BI-RADS 3, and 6% was classified as BIRADS IV</w:t>
      </w:r>
      <w:r w:rsidR="005F6E7D" w:rsidRPr="00BF3275">
        <w:rPr>
          <w:sz w:val="20"/>
          <w:szCs w:val="20"/>
        </w:rPr>
        <w:t xml:space="preserve">. </w:t>
      </w:r>
      <w:r w:rsidRPr="00BF3275">
        <w:rPr>
          <w:sz w:val="20"/>
          <w:szCs w:val="20"/>
        </w:rPr>
        <w:t xml:space="preserve">The current study had the same results of </w:t>
      </w:r>
      <w:r w:rsidRPr="00BF3275">
        <w:rPr>
          <w:b/>
          <w:bCs/>
          <w:i/>
          <w:iCs/>
          <w:sz w:val="20"/>
          <w:szCs w:val="20"/>
        </w:rPr>
        <w:t>(Hooley</w:t>
      </w:r>
      <w:r w:rsidR="005F6E7D" w:rsidRPr="00BF3275">
        <w:rPr>
          <w:b/>
          <w:bCs/>
          <w:i/>
          <w:iCs/>
          <w:sz w:val="20"/>
          <w:szCs w:val="20"/>
        </w:rPr>
        <w:t xml:space="preserve">, </w:t>
      </w:r>
      <w:r w:rsidRPr="00BF3275">
        <w:rPr>
          <w:b/>
          <w:bCs/>
          <w:i/>
          <w:iCs/>
          <w:sz w:val="20"/>
          <w:szCs w:val="20"/>
        </w:rPr>
        <w:t>2012)</w:t>
      </w:r>
      <w:r w:rsidRPr="00BF3275">
        <w:rPr>
          <w:sz w:val="20"/>
          <w:szCs w:val="20"/>
        </w:rPr>
        <w:t xml:space="preserve"> in which of the screening breast US examinations, in 701 (75.0%), results were classified as Breast Imaging Reporting and Data System (BI-RADS) category 1 or 2; in 187 (20.0%), results were classified as BI-RADS category 3; and in 47 (5.0%), results were classified as BI-RADS category 4.</w:t>
      </w:r>
      <w:r w:rsidR="00802AA4" w:rsidRPr="00BF3275">
        <w:rPr>
          <w:sz w:val="20"/>
          <w:szCs w:val="20"/>
        </w:rPr>
        <w:t xml:space="preserve"> </w:t>
      </w:r>
      <w:r w:rsidRPr="00BF3275">
        <w:rPr>
          <w:sz w:val="20"/>
          <w:szCs w:val="20"/>
        </w:rPr>
        <w:t>Sensitivity</w:t>
      </w:r>
      <w:r w:rsidR="005F6E7D" w:rsidRPr="00BF3275">
        <w:rPr>
          <w:sz w:val="20"/>
          <w:szCs w:val="20"/>
        </w:rPr>
        <w:t xml:space="preserve">, </w:t>
      </w:r>
      <w:r w:rsidRPr="00BF3275">
        <w:rPr>
          <w:sz w:val="20"/>
          <w:szCs w:val="20"/>
        </w:rPr>
        <w:t>specificity</w:t>
      </w:r>
      <w:r w:rsidR="005F6E7D" w:rsidRPr="00BF3275">
        <w:rPr>
          <w:sz w:val="20"/>
          <w:szCs w:val="20"/>
        </w:rPr>
        <w:t xml:space="preserve">, </w:t>
      </w:r>
      <w:r w:rsidRPr="00BF3275">
        <w:rPr>
          <w:sz w:val="20"/>
          <w:szCs w:val="20"/>
        </w:rPr>
        <w:t>PPV</w:t>
      </w:r>
      <w:r w:rsidR="005F6E7D" w:rsidRPr="00BF3275">
        <w:rPr>
          <w:sz w:val="20"/>
          <w:szCs w:val="20"/>
        </w:rPr>
        <w:t xml:space="preserve">, </w:t>
      </w:r>
      <w:r w:rsidRPr="00BF3275">
        <w:rPr>
          <w:sz w:val="20"/>
          <w:szCs w:val="20"/>
        </w:rPr>
        <w:t xml:space="preserve">NPV and accuracy are important determining factors for </w:t>
      </w:r>
      <w:r w:rsidRPr="00BF3275">
        <w:rPr>
          <w:sz w:val="20"/>
          <w:szCs w:val="20"/>
        </w:rPr>
        <w:lastRenderedPageBreak/>
        <w:t>diagnostic tests. In our study, the sensitivity, specificity, positive predictive value, negative predictive value and accuracy of 85.7%, 75%, 100%, 100% and 94.4 %, respectively. These are compared to other similar studies conducted by</w:t>
      </w:r>
      <w:r w:rsidR="00715DB8" w:rsidRPr="00BF3275">
        <w:rPr>
          <w:sz w:val="20"/>
          <w:szCs w:val="20"/>
        </w:rPr>
        <w:t xml:space="preserve"> </w:t>
      </w:r>
      <w:r w:rsidRPr="00BF3275">
        <w:rPr>
          <w:b/>
          <w:bCs/>
          <w:i/>
          <w:iCs/>
          <w:sz w:val="20"/>
          <w:szCs w:val="20"/>
        </w:rPr>
        <w:t>Giuliano</w:t>
      </w:r>
      <w:r w:rsidR="00715DB8" w:rsidRPr="00BF3275">
        <w:rPr>
          <w:b/>
          <w:bCs/>
          <w:i/>
          <w:iCs/>
          <w:sz w:val="20"/>
          <w:szCs w:val="20"/>
        </w:rPr>
        <w:t xml:space="preserve"> (</w:t>
      </w:r>
      <w:r w:rsidRPr="00BF3275">
        <w:rPr>
          <w:b/>
          <w:bCs/>
          <w:i/>
          <w:iCs/>
          <w:sz w:val="20"/>
          <w:szCs w:val="20"/>
        </w:rPr>
        <w:t>2013)</w:t>
      </w:r>
      <w:r w:rsidRPr="00BF3275">
        <w:rPr>
          <w:sz w:val="20"/>
          <w:szCs w:val="20"/>
        </w:rPr>
        <w:t xml:space="preserve"> in which</w:t>
      </w:r>
      <w:r w:rsidR="005F6E7D" w:rsidRPr="00BF3275">
        <w:rPr>
          <w:sz w:val="20"/>
          <w:szCs w:val="20"/>
        </w:rPr>
        <w:t xml:space="preserve"> </w:t>
      </w:r>
      <w:r w:rsidRPr="00BF3275">
        <w:rPr>
          <w:sz w:val="20"/>
          <w:szCs w:val="20"/>
        </w:rPr>
        <w:t>The sensitivity and specificity of US were 97.67% and 99.70%,</w:t>
      </w:r>
      <w:r w:rsidR="005F6E7D" w:rsidRPr="00BF3275">
        <w:rPr>
          <w:sz w:val="20"/>
          <w:szCs w:val="20"/>
        </w:rPr>
        <w:t xml:space="preserve"> </w:t>
      </w:r>
      <w:r w:rsidRPr="00BF3275">
        <w:rPr>
          <w:sz w:val="20"/>
          <w:szCs w:val="20"/>
        </w:rPr>
        <w:t>respectively, in mammographically dense breasts</w:t>
      </w:r>
      <w:r w:rsidR="00DE2288" w:rsidRPr="00BF3275">
        <w:rPr>
          <w:sz w:val="20"/>
          <w:szCs w:val="20"/>
        </w:rPr>
        <w:t>. T</w:t>
      </w:r>
      <w:r w:rsidRPr="00BF3275">
        <w:rPr>
          <w:sz w:val="20"/>
          <w:szCs w:val="20"/>
        </w:rPr>
        <w:t>he positive predictive value of US was 80.77%</w:t>
      </w:r>
      <w:r w:rsidR="00802AA4" w:rsidRPr="00BF3275">
        <w:rPr>
          <w:sz w:val="20"/>
          <w:szCs w:val="20"/>
        </w:rPr>
        <w:t>.</w:t>
      </w:r>
      <w:r w:rsidRPr="00BF3275">
        <w:rPr>
          <w:sz w:val="20"/>
          <w:szCs w:val="20"/>
        </w:rPr>
        <w:t xml:space="preserve"> </w:t>
      </w:r>
    </w:p>
    <w:p w:rsidR="005327F6" w:rsidRPr="00BF3275" w:rsidRDefault="005327F6" w:rsidP="00DA2296">
      <w:pPr>
        <w:snapToGrid w:val="0"/>
        <w:ind w:firstLine="425"/>
        <w:jc w:val="both"/>
        <w:rPr>
          <w:sz w:val="20"/>
          <w:szCs w:val="20"/>
        </w:rPr>
      </w:pPr>
      <w:r w:rsidRPr="00BF3275">
        <w:rPr>
          <w:sz w:val="20"/>
          <w:szCs w:val="20"/>
        </w:rPr>
        <w:t>In our study there is 10 patients (20%</w:t>
      </w:r>
      <w:r w:rsidR="00DE2288" w:rsidRPr="00BF3275">
        <w:rPr>
          <w:sz w:val="20"/>
          <w:szCs w:val="20"/>
        </w:rPr>
        <w:t>) o</w:t>
      </w:r>
      <w:r w:rsidRPr="00BF3275">
        <w:rPr>
          <w:sz w:val="20"/>
          <w:szCs w:val="20"/>
        </w:rPr>
        <w:t>f 18 lesion</w:t>
      </w:r>
      <w:r w:rsidR="005F6E7D" w:rsidRPr="00BF3275">
        <w:rPr>
          <w:sz w:val="20"/>
          <w:szCs w:val="20"/>
        </w:rPr>
        <w:t xml:space="preserve"> </w:t>
      </w:r>
      <w:r w:rsidRPr="00BF3275">
        <w:rPr>
          <w:sz w:val="20"/>
          <w:szCs w:val="20"/>
        </w:rPr>
        <w:t>had solid</w:t>
      </w:r>
      <w:r w:rsidR="005F6E7D" w:rsidRPr="00BF3275">
        <w:rPr>
          <w:sz w:val="20"/>
          <w:szCs w:val="20"/>
        </w:rPr>
        <w:t xml:space="preserve"> </w:t>
      </w:r>
      <w:r w:rsidRPr="00BF3275">
        <w:rPr>
          <w:sz w:val="20"/>
          <w:szCs w:val="20"/>
        </w:rPr>
        <w:t>breast lesion</w:t>
      </w:r>
      <w:r w:rsidR="005F6E7D" w:rsidRPr="00BF3275">
        <w:rPr>
          <w:sz w:val="20"/>
          <w:szCs w:val="20"/>
        </w:rPr>
        <w:t xml:space="preserve"> </w:t>
      </w:r>
      <w:r w:rsidRPr="00BF3275">
        <w:rPr>
          <w:sz w:val="20"/>
          <w:szCs w:val="20"/>
        </w:rPr>
        <w:t>and histopathology confirm that 17</w:t>
      </w:r>
      <w:r w:rsidR="005F6E7D" w:rsidRPr="00BF3275">
        <w:rPr>
          <w:sz w:val="20"/>
          <w:szCs w:val="20"/>
        </w:rPr>
        <w:t xml:space="preserve"> </w:t>
      </w:r>
      <w:r w:rsidRPr="00BF3275">
        <w:rPr>
          <w:sz w:val="20"/>
          <w:szCs w:val="20"/>
        </w:rPr>
        <w:t>(94%</w:t>
      </w:r>
      <w:r w:rsidR="00DE2288" w:rsidRPr="00BF3275">
        <w:rPr>
          <w:sz w:val="20"/>
          <w:szCs w:val="20"/>
        </w:rPr>
        <w:t>) l</w:t>
      </w:r>
      <w:r w:rsidRPr="00BF3275">
        <w:rPr>
          <w:sz w:val="20"/>
          <w:szCs w:val="20"/>
        </w:rPr>
        <w:t>esion was already</w:t>
      </w:r>
      <w:r w:rsidR="005F6E7D" w:rsidRPr="00BF3275">
        <w:rPr>
          <w:sz w:val="20"/>
          <w:szCs w:val="20"/>
        </w:rPr>
        <w:t xml:space="preserve"> </w:t>
      </w:r>
      <w:r w:rsidRPr="00BF3275">
        <w:rPr>
          <w:sz w:val="20"/>
          <w:szCs w:val="20"/>
        </w:rPr>
        <w:t>fibro adenoma this indicate that the fibro adenoma most common benign breast lesion</w:t>
      </w:r>
      <w:r w:rsidR="005F6E7D" w:rsidRPr="00BF3275">
        <w:rPr>
          <w:sz w:val="20"/>
          <w:szCs w:val="20"/>
        </w:rPr>
        <w:t xml:space="preserve"> </w:t>
      </w:r>
      <w:r w:rsidRPr="00BF3275">
        <w:rPr>
          <w:sz w:val="20"/>
          <w:szCs w:val="20"/>
        </w:rPr>
        <w:t xml:space="preserve">The current study had the same results of </w:t>
      </w:r>
      <w:r w:rsidRPr="00BF3275">
        <w:rPr>
          <w:b/>
          <w:bCs/>
          <w:i/>
          <w:iCs/>
          <w:sz w:val="20"/>
          <w:szCs w:val="20"/>
        </w:rPr>
        <w:t xml:space="preserve">Madjar and Mendelson </w:t>
      </w:r>
      <w:r w:rsidR="00715DB8" w:rsidRPr="00BF3275">
        <w:rPr>
          <w:b/>
          <w:bCs/>
          <w:i/>
          <w:iCs/>
          <w:sz w:val="20"/>
          <w:szCs w:val="20"/>
        </w:rPr>
        <w:t>(</w:t>
      </w:r>
      <w:r w:rsidRPr="00BF3275">
        <w:rPr>
          <w:b/>
          <w:bCs/>
          <w:i/>
          <w:iCs/>
          <w:sz w:val="20"/>
          <w:szCs w:val="20"/>
        </w:rPr>
        <w:t>20</w:t>
      </w:r>
      <w:r w:rsidR="00BB61AB" w:rsidRPr="00BF3275">
        <w:rPr>
          <w:b/>
          <w:bCs/>
          <w:i/>
          <w:iCs/>
          <w:sz w:val="20"/>
          <w:szCs w:val="20"/>
        </w:rPr>
        <w:t>10</w:t>
      </w:r>
      <w:r w:rsidRPr="00BF3275">
        <w:rPr>
          <w:b/>
          <w:bCs/>
          <w:i/>
          <w:iCs/>
          <w:sz w:val="20"/>
          <w:szCs w:val="20"/>
        </w:rPr>
        <w:t>)</w:t>
      </w:r>
      <w:r w:rsidRPr="00BF3275">
        <w:rPr>
          <w:sz w:val="20"/>
          <w:szCs w:val="20"/>
        </w:rPr>
        <w:t xml:space="preserve"> in which The most common benign breast tumors are fibro adenomas.</w:t>
      </w:r>
      <w:r w:rsidR="005F6E7D" w:rsidRPr="00BF3275">
        <w:rPr>
          <w:sz w:val="20"/>
          <w:szCs w:val="20"/>
        </w:rPr>
        <w:t xml:space="preserve"> </w:t>
      </w:r>
      <w:r w:rsidRPr="00BF3275">
        <w:rPr>
          <w:sz w:val="20"/>
          <w:szCs w:val="20"/>
        </w:rPr>
        <w:t>In our study the result of histopathology</w:t>
      </w:r>
      <w:r w:rsidR="005F6E7D" w:rsidRPr="00BF3275">
        <w:rPr>
          <w:sz w:val="20"/>
          <w:szCs w:val="20"/>
        </w:rPr>
        <w:t xml:space="preserve"> </w:t>
      </w:r>
      <w:r w:rsidRPr="00BF3275">
        <w:rPr>
          <w:sz w:val="20"/>
          <w:szCs w:val="20"/>
        </w:rPr>
        <w:t xml:space="preserve">of suspicious lesion </w:t>
      </w:r>
      <w:r w:rsidR="005F6E7D" w:rsidRPr="00BF3275">
        <w:rPr>
          <w:sz w:val="20"/>
          <w:szCs w:val="20"/>
        </w:rPr>
        <w:t>(</w:t>
      </w:r>
      <w:r w:rsidRPr="00BF3275">
        <w:rPr>
          <w:sz w:val="20"/>
          <w:szCs w:val="20"/>
        </w:rPr>
        <w:t>BIRADS IV)</w:t>
      </w:r>
      <w:r w:rsidR="005F6E7D" w:rsidRPr="00BF3275">
        <w:rPr>
          <w:sz w:val="20"/>
          <w:szCs w:val="20"/>
        </w:rPr>
        <w:t xml:space="preserve"> </w:t>
      </w:r>
      <w:r w:rsidRPr="00BF3275">
        <w:rPr>
          <w:sz w:val="20"/>
          <w:szCs w:val="20"/>
        </w:rPr>
        <w:t>was invasive ductal carcinoma in 75% of all malignant breast lesion</w:t>
      </w:r>
      <w:r w:rsidR="005F6E7D" w:rsidRPr="00BF3275">
        <w:rPr>
          <w:sz w:val="20"/>
          <w:szCs w:val="20"/>
        </w:rPr>
        <w:t xml:space="preserve"> </w:t>
      </w:r>
      <w:r w:rsidRPr="00BF3275">
        <w:rPr>
          <w:sz w:val="20"/>
          <w:szCs w:val="20"/>
        </w:rPr>
        <w:t>while invasive lobular carcinoma</w:t>
      </w:r>
      <w:r w:rsidR="005F6E7D" w:rsidRPr="00BF3275">
        <w:rPr>
          <w:sz w:val="20"/>
          <w:szCs w:val="20"/>
        </w:rPr>
        <w:t xml:space="preserve"> </w:t>
      </w:r>
      <w:r w:rsidRPr="00BF3275">
        <w:rPr>
          <w:sz w:val="20"/>
          <w:szCs w:val="20"/>
        </w:rPr>
        <w:t xml:space="preserve">represent 25% of the all malignant lesion The current study had the same results of </w:t>
      </w:r>
      <w:r w:rsidR="005F6E7D" w:rsidRPr="00BF3275">
        <w:rPr>
          <w:sz w:val="20"/>
          <w:szCs w:val="20"/>
        </w:rPr>
        <w:t>(</w:t>
      </w:r>
      <w:r w:rsidRPr="00BF3275">
        <w:rPr>
          <w:b/>
          <w:bCs/>
          <w:i/>
          <w:iCs/>
          <w:sz w:val="20"/>
          <w:szCs w:val="20"/>
        </w:rPr>
        <w:t>Giuliano,</w:t>
      </w:r>
      <w:r w:rsidR="0038154B">
        <w:rPr>
          <w:rFonts w:hint="eastAsia"/>
          <w:b/>
          <w:bCs/>
          <w:i/>
          <w:iCs/>
          <w:sz w:val="20"/>
          <w:szCs w:val="20"/>
          <w:lang w:eastAsia="zh-CN"/>
        </w:rPr>
        <w:t xml:space="preserve"> </w:t>
      </w:r>
      <w:r w:rsidRPr="00BF3275">
        <w:rPr>
          <w:b/>
          <w:bCs/>
          <w:i/>
          <w:iCs/>
          <w:sz w:val="20"/>
          <w:szCs w:val="20"/>
        </w:rPr>
        <w:t>2013)</w:t>
      </w:r>
      <w:r w:rsidRPr="00BF3275">
        <w:rPr>
          <w:sz w:val="20"/>
          <w:szCs w:val="20"/>
        </w:rPr>
        <w:t xml:space="preserve"> in which Invasive breast cancer accounted for 81% (42 out of 52) solid breast masses detected by US, of which 93% (39 out of 42) were invasive ductal carcinomas, and 7% were invasive lobular carcinoma</w:t>
      </w:r>
      <w:r w:rsidR="00715DB8" w:rsidRPr="00BF3275">
        <w:rPr>
          <w:sz w:val="20"/>
          <w:szCs w:val="20"/>
        </w:rPr>
        <w:t>.</w:t>
      </w:r>
      <w:r w:rsidR="005F6E7D" w:rsidRPr="00BF3275">
        <w:rPr>
          <w:sz w:val="20"/>
          <w:szCs w:val="20"/>
        </w:rPr>
        <w:t xml:space="preserve"> </w:t>
      </w:r>
    </w:p>
    <w:p w:rsidR="005327F6" w:rsidRPr="00BF3275" w:rsidRDefault="005327F6" w:rsidP="00DA2296">
      <w:pPr>
        <w:snapToGrid w:val="0"/>
        <w:ind w:firstLine="425"/>
        <w:jc w:val="both"/>
        <w:rPr>
          <w:sz w:val="20"/>
          <w:szCs w:val="20"/>
        </w:rPr>
      </w:pPr>
      <w:r w:rsidRPr="00BF3275">
        <w:rPr>
          <w:sz w:val="20"/>
          <w:szCs w:val="20"/>
        </w:rPr>
        <w:t>Sonographic criteria for benign lesion</w:t>
      </w:r>
      <w:r w:rsidR="005F6E7D" w:rsidRPr="00BF3275">
        <w:rPr>
          <w:sz w:val="20"/>
          <w:szCs w:val="20"/>
        </w:rPr>
        <w:t xml:space="preserve"> </w:t>
      </w:r>
      <w:r w:rsidRPr="00BF3275">
        <w:rPr>
          <w:sz w:val="20"/>
          <w:szCs w:val="20"/>
        </w:rPr>
        <w:t>include oval or round shape</w:t>
      </w:r>
      <w:r w:rsidR="005F6E7D" w:rsidRPr="00BF3275">
        <w:rPr>
          <w:sz w:val="20"/>
          <w:szCs w:val="20"/>
        </w:rPr>
        <w:t xml:space="preserve">, </w:t>
      </w:r>
      <w:r w:rsidRPr="00BF3275">
        <w:rPr>
          <w:sz w:val="20"/>
          <w:szCs w:val="20"/>
        </w:rPr>
        <w:t>circumscribed margin, parallel orientation presence of macro calcification and no effect on the surrounding tissue. In our stud</w:t>
      </w:r>
      <w:r w:rsidR="00462FBD" w:rsidRPr="00BF3275">
        <w:rPr>
          <w:sz w:val="20"/>
          <w:szCs w:val="20"/>
        </w:rPr>
        <w:t>y (</w:t>
      </w:r>
      <w:r w:rsidRPr="00BF3275">
        <w:rPr>
          <w:sz w:val="20"/>
          <w:szCs w:val="20"/>
        </w:rPr>
        <w:t>83.4 %) of all lesion had round or oval shape</w:t>
      </w:r>
      <w:r w:rsidR="005F6E7D" w:rsidRPr="00BF3275">
        <w:rPr>
          <w:sz w:val="20"/>
          <w:szCs w:val="20"/>
        </w:rPr>
        <w:t xml:space="preserve">, </w:t>
      </w:r>
      <w:r w:rsidRPr="00BF3275">
        <w:rPr>
          <w:sz w:val="20"/>
          <w:szCs w:val="20"/>
        </w:rPr>
        <w:t>(84% had circumscribed margin</w:t>
      </w:r>
      <w:r w:rsidR="005F6E7D" w:rsidRPr="00BF3275">
        <w:rPr>
          <w:sz w:val="20"/>
          <w:szCs w:val="20"/>
        </w:rPr>
        <w:t>)</w:t>
      </w:r>
      <w:r w:rsidRPr="00BF3275">
        <w:rPr>
          <w:sz w:val="20"/>
          <w:szCs w:val="20"/>
        </w:rPr>
        <w:t>, (83.2 %) had parallel orientation</w:t>
      </w:r>
      <w:r w:rsidR="005F6E7D" w:rsidRPr="00BF3275">
        <w:rPr>
          <w:sz w:val="20"/>
          <w:szCs w:val="20"/>
        </w:rPr>
        <w:t xml:space="preserve">, </w:t>
      </w:r>
      <w:r w:rsidRPr="00BF3275">
        <w:rPr>
          <w:sz w:val="20"/>
          <w:szCs w:val="20"/>
        </w:rPr>
        <w:t>(5.5 %) had macro calcification</w:t>
      </w:r>
      <w:r w:rsidR="005F6E7D" w:rsidRPr="00BF3275">
        <w:rPr>
          <w:sz w:val="20"/>
          <w:szCs w:val="20"/>
        </w:rPr>
        <w:t xml:space="preserve"> </w:t>
      </w:r>
      <w:r w:rsidRPr="00BF3275">
        <w:rPr>
          <w:sz w:val="20"/>
          <w:szCs w:val="20"/>
        </w:rPr>
        <w:t>an</w:t>
      </w:r>
      <w:r w:rsidR="00462FBD" w:rsidRPr="00BF3275">
        <w:rPr>
          <w:sz w:val="20"/>
          <w:szCs w:val="20"/>
        </w:rPr>
        <w:t>d (</w:t>
      </w:r>
      <w:r w:rsidRPr="00BF3275">
        <w:rPr>
          <w:sz w:val="20"/>
          <w:szCs w:val="20"/>
        </w:rPr>
        <w:t>79%) had no effect on the surrounding tissue</w:t>
      </w:r>
      <w:r w:rsidR="005F6E7D" w:rsidRPr="00BF3275">
        <w:rPr>
          <w:sz w:val="20"/>
          <w:szCs w:val="20"/>
        </w:rPr>
        <w:t xml:space="preserve"> </w:t>
      </w:r>
      <w:r w:rsidRPr="00BF3275">
        <w:rPr>
          <w:sz w:val="20"/>
          <w:szCs w:val="20"/>
        </w:rPr>
        <w:t xml:space="preserve">this result compared to result conducted by </w:t>
      </w:r>
      <w:r w:rsidR="00A13A78" w:rsidRPr="00BF3275">
        <w:rPr>
          <w:b/>
          <w:bCs/>
          <w:i/>
          <w:iCs/>
          <w:sz w:val="20"/>
          <w:szCs w:val="20"/>
        </w:rPr>
        <w:t>Ghebrehiwet</w:t>
      </w:r>
      <w:r w:rsidRPr="00BF3275">
        <w:rPr>
          <w:b/>
          <w:bCs/>
          <w:i/>
          <w:iCs/>
          <w:sz w:val="20"/>
          <w:szCs w:val="20"/>
        </w:rPr>
        <w:t xml:space="preserve"> </w:t>
      </w:r>
      <w:r w:rsidR="00A13A78" w:rsidRPr="00BF3275">
        <w:rPr>
          <w:b/>
          <w:bCs/>
          <w:i/>
          <w:iCs/>
          <w:sz w:val="20"/>
          <w:szCs w:val="20"/>
        </w:rPr>
        <w:t>et al.</w:t>
      </w:r>
      <w:r w:rsidRPr="00BF3275">
        <w:rPr>
          <w:b/>
          <w:bCs/>
          <w:i/>
          <w:iCs/>
          <w:sz w:val="20"/>
          <w:szCs w:val="20"/>
        </w:rPr>
        <w:t xml:space="preserve"> </w:t>
      </w:r>
      <w:r w:rsidR="00715DB8" w:rsidRPr="00BF3275">
        <w:rPr>
          <w:b/>
          <w:bCs/>
          <w:i/>
          <w:iCs/>
          <w:sz w:val="20"/>
          <w:szCs w:val="20"/>
        </w:rPr>
        <w:t>(</w:t>
      </w:r>
      <w:r w:rsidRPr="00BF3275">
        <w:rPr>
          <w:b/>
          <w:bCs/>
          <w:i/>
          <w:iCs/>
          <w:sz w:val="20"/>
          <w:szCs w:val="20"/>
        </w:rPr>
        <w:t>200</w:t>
      </w:r>
      <w:r w:rsidR="00A13A78" w:rsidRPr="00BF3275">
        <w:rPr>
          <w:b/>
          <w:bCs/>
          <w:i/>
          <w:iCs/>
          <w:sz w:val="20"/>
          <w:szCs w:val="20"/>
        </w:rPr>
        <w:t>7</w:t>
      </w:r>
      <w:r w:rsidRPr="00BF3275">
        <w:rPr>
          <w:b/>
          <w:bCs/>
          <w:i/>
          <w:iCs/>
          <w:sz w:val="20"/>
          <w:szCs w:val="20"/>
        </w:rPr>
        <w:t>)</w:t>
      </w:r>
      <w:r w:rsidR="005F6E7D" w:rsidRPr="00BF3275">
        <w:rPr>
          <w:sz w:val="20"/>
          <w:szCs w:val="20"/>
        </w:rPr>
        <w:t xml:space="preserve"> </w:t>
      </w:r>
      <w:r w:rsidRPr="00BF3275">
        <w:rPr>
          <w:sz w:val="20"/>
          <w:szCs w:val="20"/>
        </w:rPr>
        <w:t>in which the features most</w:t>
      </w:r>
      <w:r w:rsidR="005F6E7D" w:rsidRPr="00BF3275">
        <w:rPr>
          <w:sz w:val="20"/>
          <w:szCs w:val="20"/>
        </w:rPr>
        <w:t xml:space="preserve"> </w:t>
      </w:r>
      <w:r w:rsidRPr="00BF3275">
        <w:rPr>
          <w:sz w:val="20"/>
          <w:szCs w:val="20"/>
        </w:rPr>
        <w:t>predictive</w:t>
      </w:r>
      <w:r w:rsidR="005F6E7D" w:rsidRPr="00BF3275">
        <w:rPr>
          <w:sz w:val="20"/>
          <w:szCs w:val="20"/>
        </w:rPr>
        <w:t xml:space="preserve"> </w:t>
      </w:r>
      <w:r w:rsidRPr="00BF3275">
        <w:rPr>
          <w:sz w:val="20"/>
          <w:szCs w:val="20"/>
        </w:rPr>
        <w:t>of benign</w:t>
      </w:r>
      <w:r w:rsidR="005F6E7D" w:rsidRPr="00BF3275">
        <w:rPr>
          <w:sz w:val="20"/>
          <w:szCs w:val="20"/>
        </w:rPr>
        <w:t xml:space="preserve"> </w:t>
      </w:r>
      <w:r w:rsidRPr="00BF3275">
        <w:rPr>
          <w:sz w:val="20"/>
          <w:szCs w:val="20"/>
        </w:rPr>
        <w:t>tissue diagnosis were oval or round shape (94% of masses with this feature were benign)</w:t>
      </w:r>
      <w:r w:rsidR="005F6E7D" w:rsidRPr="00BF3275">
        <w:rPr>
          <w:sz w:val="20"/>
          <w:szCs w:val="20"/>
        </w:rPr>
        <w:t xml:space="preserve">, </w:t>
      </w:r>
      <w:r w:rsidRPr="00BF3275">
        <w:rPr>
          <w:sz w:val="20"/>
          <w:szCs w:val="20"/>
        </w:rPr>
        <w:t>circumscribed margi</w:t>
      </w:r>
      <w:r w:rsidR="00462FBD" w:rsidRPr="00BF3275">
        <w:rPr>
          <w:sz w:val="20"/>
          <w:szCs w:val="20"/>
        </w:rPr>
        <w:t>n (</w:t>
      </w:r>
      <w:r w:rsidRPr="00BF3275">
        <w:rPr>
          <w:sz w:val="20"/>
          <w:szCs w:val="20"/>
        </w:rPr>
        <w:t>91% o of masses with this feature were benign), and width to –AP dimension ratio</w:t>
      </w:r>
      <w:r w:rsidR="005F6E7D" w:rsidRPr="00BF3275">
        <w:rPr>
          <w:sz w:val="20"/>
          <w:szCs w:val="20"/>
        </w:rPr>
        <w:t xml:space="preserve"> </w:t>
      </w:r>
      <w:r w:rsidRPr="00BF3275">
        <w:rPr>
          <w:sz w:val="20"/>
          <w:szCs w:val="20"/>
        </w:rPr>
        <w:t>greater than 1.4 (89% of masses with this feature were benign.</w:t>
      </w:r>
    </w:p>
    <w:p w:rsidR="005327F6" w:rsidRPr="00BF3275" w:rsidRDefault="005327F6" w:rsidP="00DA2296">
      <w:pPr>
        <w:snapToGrid w:val="0"/>
        <w:ind w:firstLine="425"/>
        <w:jc w:val="both"/>
        <w:rPr>
          <w:sz w:val="20"/>
          <w:szCs w:val="20"/>
        </w:rPr>
      </w:pPr>
      <w:r w:rsidRPr="00BF3275">
        <w:rPr>
          <w:sz w:val="20"/>
          <w:szCs w:val="20"/>
        </w:rPr>
        <w:t>Sonographically suspicious criteria for malignancy include irregular shape</w:t>
      </w:r>
      <w:r w:rsidR="005F6E7D" w:rsidRPr="00BF3275">
        <w:rPr>
          <w:sz w:val="20"/>
          <w:szCs w:val="20"/>
        </w:rPr>
        <w:t xml:space="preserve">, </w:t>
      </w:r>
      <w:r w:rsidRPr="00BF3275">
        <w:rPr>
          <w:sz w:val="20"/>
          <w:szCs w:val="20"/>
        </w:rPr>
        <w:t>not circumscribed margin</w:t>
      </w:r>
      <w:r w:rsidR="005F6E7D" w:rsidRPr="00BF3275">
        <w:rPr>
          <w:sz w:val="20"/>
          <w:szCs w:val="20"/>
        </w:rPr>
        <w:t xml:space="preserve">, </w:t>
      </w:r>
      <w:r w:rsidRPr="00BF3275">
        <w:rPr>
          <w:sz w:val="20"/>
          <w:szCs w:val="20"/>
        </w:rPr>
        <w:t>not parallel orientation (Taller-than-wide shape)</w:t>
      </w:r>
      <w:r w:rsidR="005F6E7D" w:rsidRPr="00BF3275">
        <w:rPr>
          <w:sz w:val="20"/>
          <w:szCs w:val="20"/>
        </w:rPr>
        <w:t xml:space="preserve">. </w:t>
      </w:r>
      <w:r w:rsidRPr="00BF3275">
        <w:rPr>
          <w:sz w:val="20"/>
          <w:szCs w:val="20"/>
        </w:rPr>
        <w:t>In our stud</w:t>
      </w:r>
      <w:r w:rsidR="00462FBD" w:rsidRPr="00BF3275">
        <w:rPr>
          <w:sz w:val="20"/>
          <w:szCs w:val="20"/>
        </w:rPr>
        <w:t>y (</w:t>
      </w:r>
      <w:r w:rsidRPr="00BF3275">
        <w:rPr>
          <w:sz w:val="20"/>
          <w:szCs w:val="20"/>
        </w:rPr>
        <w:t>16% of all lesion had irregular shape)</w:t>
      </w:r>
      <w:r w:rsidR="005F6E7D" w:rsidRPr="00BF3275">
        <w:rPr>
          <w:sz w:val="20"/>
          <w:szCs w:val="20"/>
        </w:rPr>
        <w:t xml:space="preserve">, </w:t>
      </w:r>
      <w:r w:rsidRPr="00BF3275">
        <w:rPr>
          <w:sz w:val="20"/>
          <w:szCs w:val="20"/>
        </w:rPr>
        <w:t>(16.4 % had not</w:t>
      </w:r>
      <w:r w:rsidR="005F6E7D" w:rsidRPr="00BF3275">
        <w:rPr>
          <w:sz w:val="20"/>
          <w:szCs w:val="20"/>
        </w:rPr>
        <w:t xml:space="preserve"> </w:t>
      </w:r>
      <w:r w:rsidRPr="00BF3275">
        <w:rPr>
          <w:sz w:val="20"/>
          <w:szCs w:val="20"/>
        </w:rPr>
        <w:t>margin</w:t>
      </w:r>
      <w:r w:rsidR="005F6E7D" w:rsidRPr="00BF3275">
        <w:rPr>
          <w:sz w:val="20"/>
          <w:szCs w:val="20"/>
        </w:rPr>
        <w:t>)</w:t>
      </w:r>
      <w:r w:rsidRPr="00BF3275">
        <w:rPr>
          <w:sz w:val="20"/>
          <w:szCs w:val="20"/>
        </w:rPr>
        <w:t>, (16.4 % had not parallel orientation</w:t>
      </w:r>
      <w:r w:rsidR="005F6E7D" w:rsidRPr="00BF3275">
        <w:rPr>
          <w:sz w:val="20"/>
          <w:szCs w:val="20"/>
        </w:rPr>
        <w:t>)</w:t>
      </w:r>
      <w:r w:rsidRPr="00BF3275">
        <w:rPr>
          <w:sz w:val="20"/>
          <w:szCs w:val="20"/>
        </w:rPr>
        <w:t>. 1 lesion (5.5% had shadowing</w:t>
      </w:r>
      <w:r w:rsidR="005F6E7D" w:rsidRPr="00BF3275">
        <w:rPr>
          <w:sz w:val="20"/>
          <w:szCs w:val="20"/>
        </w:rPr>
        <w:t>)</w:t>
      </w:r>
      <w:r w:rsidRPr="00BF3275">
        <w:rPr>
          <w:sz w:val="20"/>
          <w:szCs w:val="20"/>
        </w:rPr>
        <w:t xml:space="preserve"> and (11 % causing archetexural distortion) this result compared to result conducted by </w:t>
      </w:r>
      <w:r w:rsidR="00A13A78" w:rsidRPr="00BF3275">
        <w:rPr>
          <w:b/>
          <w:bCs/>
          <w:i/>
          <w:iCs/>
          <w:sz w:val="20"/>
          <w:szCs w:val="20"/>
        </w:rPr>
        <w:t>Ghebrehiwet et al. (2007)</w:t>
      </w:r>
      <w:r w:rsidR="005F6E7D" w:rsidRPr="00BF3275">
        <w:rPr>
          <w:sz w:val="20"/>
          <w:szCs w:val="20"/>
        </w:rPr>
        <w:t xml:space="preserve"> </w:t>
      </w:r>
      <w:r w:rsidRPr="00BF3275">
        <w:rPr>
          <w:sz w:val="20"/>
          <w:szCs w:val="20"/>
        </w:rPr>
        <w:t>in which the features most</w:t>
      </w:r>
      <w:r w:rsidR="005F6E7D" w:rsidRPr="00BF3275">
        <w:rPr>
          <w:sz w:val="20"/>
          <w:szCs w:val="20"/>
        </w:rPr>
        <w:t xml:space="preserve"> </w:t>
      </w:r>
      <w:r w:rsidRPr="00BF3275">
        <w:rPr>
          <w:sz w:val="20"/>
          <w:szCs w:val="20"/>
        </w:rPr>
        <w:t>predictive</w:t>
      </w:r>
      <w:r w:rsidR="005F6E7D" w:rsidRPr="00BF3275">
        <w:rPr>
          <w:sz w:val="20"/>
          <w:szCs w:val="20"/>
        </w:rPr>
        <w:t xml:space="preserve"> </w:t>
      </w:r>
      <w:r w:rsidRPr="00BF3275">
        <w:rPr>
          <w:sz w:val="20"/>
          <w:szCs w:val="20"/>
        </w:rPr>
        <w:t>of malignant tissue diagnosis were speculated or micro lobulated margin (67% of masses with this features</w:t>
      </w:r>
      <w:r w:rsidR="005F6E7D" w:rsidRPr="00BF3275">
        <w:rPr>
          <w:sz w:val="20"/>
          <w:szCs w:val="20"/>
        </w:rPr>
        <w:t xml:space="preserve"> </w:t>
      </w:r>
      <w:r w:rsidRPr="00BF3275">
        <w:rPr>
          <w:sz w:val="20"/>
          <w:szCs w:val="20"/>
        </w:rPr>
        <w:t>were malignant, irregular shape (61%</w:t>
      </w:r>
      <w:r w:rsidR="005F6E7D" w:rsidRPr="00BF3275">
        <w:rPr>
          <w:sz w:val="20"/>
          <w:szCs w:val="20"/>
        </w:rPr>
        <w:t xml:space="preserve"> </w:t>
      </w:r>
      <w:r w:rsidRPr="00BF3275">
        <w:rPr>
          <w:sz w:val="20"/>
          <w:szCs w:val="20"/>
        </w:rPr>
        <w:t>were malignaqnt</w:t>
      </w:r>
      <w:r w:rsidR="00DE2288" w:rsidRPr="00BF3275">
        <w:rPr>
          <w:sz w:val="20"/>
          <w:szCs w:val="20"/>
        </w:rPr>
        <w:t>, i</w:t>
      </w:r>
      <w:r w:rsidRPr="00BF3275">
        <w:rPr>
          <w:sz w:val="20"/>
          <w:szCs w:val="20"/>
        </w:rPr>
        <w:t xml:space="preserve">ll defined margin </w:t>
      </w:r>
      <w:r w:rsidR="005F6E7D" w:rsidRPr="00BF3275">
        <w:rPr>
          <w:sz w:val="20"/>
          <w:szCs w:val="20"/>
        </w:rPr>
        <w:t>(</w:t>
      </w:r>
      <w:r w:rsidRPr="00BF3275">
        <w:rPr>
          <w:sz w:val="20"/>
          <w:szCs w:val="20"/>
        </w:rPr>
        <w:t>50% were malignant)</w:t>
      </w:r>
      <w:r w:rsidR="005F6E7D" w:rsidRPr="00BF3275">
        <w:rPr>
          <w:sz w:val="20"/>
          <w:szCs w:val="20"/>
        </w:rPr>
        <w:t xml:space="preserve"> </w:t>
      </w:r>
      <w:r w:rsidRPr="00BF3275">
        <w:rPr>
          <w:sz w:val="20"/>
          <w:szCs w:val="20"/>
        </w:rPr>
        <w:lastRenderedPageBreak/>
        <w:t>and width to –AP diameter ratio 1.4 or less (40% were malignant</w:t>
      </w:r>
      <w:r w:rsidR="005F6E7D" w:rsidRPr="00BF3275">
        <w:rPr>
          <w:sz w:val="20"/>
          <w:szCs w:val="20"/>
        </w:rPr>
        <w:t>)</w:t>
      </w:r>
      <w:r w:rsidRPr="00BF3275">
        <w:rPr>
          <w:sz w:val="20"/>
          <w:szCs w:val="20"/>
        </w:rPr>
        <w:t>.</w:t>
      </w:r>
    </w:p>
    <w:p w:rsidR="00DB7A58" w:rsidRPr="00BF3275" w:rsidRDefault="00DB7A58" w:rsidP="00DA2296">
      <w:pPr>
        <w:snapToGrid w:val="0"/>
        <w:jc w:val="both"/>
        <w:rPr>
          <w:b/>
          <w:bCs/>
          <w:sz w:val="20"/>
          <w:szCs w:val="20"/>
        </w:rPr>
      </w:pPr>
    </w:p>
    <w:p w:rsidR="00C17030" w:rsidRPr="00BF3275" w:rsidRDefault="00DB7A58" w:rsidP="00DA2296">
      <w:pPr>
        <w:snapToGrid w:val="0"/>
        <w:jc w:val="both"/>
        <w:rPr>
          <w:b/>
          <w:bCs/>
          <w:sz w:val="20"/>
          <w:szCs w:val="20"/>
        </w:rPr>
      </w:pPr>
      <w:r w:rsidRPr="00BF3275">
        <w:rPr>
          <w:b/>
          <w:bCs/>
          <w:sz w:val="20"/>
          <w:szCs w:val="20"/>
        </w:rPr>
        <w:t>Conclusion</w:t>
      </w:r>
    </w:p>
    <w:p w:rsidR="00413D6E" w:rsidRPr="00BF3275" w:rsidRDefault="00413D6E" w:rsidP="00DA2296">
      <w:pPr>
        <w:snapToGrid w:val="0"/>
        <w:ind w:firstLine="425"/>
        <w:jc w:val="both"/>
        <w:rPr>
          <w:sz w:val="20"/>
          <w:szCs w:val="20"/>
        </w:rPr>
      </w:pPr>
      <w:r w:rsidRPr="00BF3275">
        <w:rPr>
          <w:sz w:val="20"/>
          <w:szCs w:val="20"/>
        </w:rPr>
        <w:t>Every woman in the state of Connecticut who undergoes mammography and demonstrates breast density &gt;50% must be informed of the following: ‘‘If your mammogram demonstrates that you have dense breast tissue, which could hide small abnormalities, you might benefit from supplementary screening tests, which can include abreast ultrasound screening or a breast MRI examination, or both, depending on your individual risk factors.</w:t>
      </w:r>
    </w:p>
    <w:p w:rsidR="00C17030" w:rsidRPr="00BF3275" w:rsidRDefault="00413D6E" w:rsidP="00DA2296">
      <w:pPr>
        <w:snapToGrid w:val="0"/>
        <w:ind w:firstLine="425"/>
        <w:jc w:val="both"/>
        <w:rPr>
          <w:sz w:val="20"/>
          <w:szCs w:val="20"/>
        </w:rPr>
      </w:pPr>
      <w:bookmarkStart w:id="0" w:name="_GoBack"/>
      <w:bookmarkEnd w:id="0"/>
      <w:r w:rsidRPr="00BF3275">
        <w:rPr>
          <w:sz w:val="20"/>
          <w:szCs w:val="20"/>
        </w:rPr>
        <w:t>ACR-BIRADS can be considered an appropriate classification in the assessment of breast lesion, in order to avoid unnecessary fine needle aspirations and to assist in making decision about when it should be performed. This classification improves communication and reduces confusion among physicians and patients. Our experience demonstrated that the BI-RADS classification is highly reproducible, since it is based on B-mode characteristics of the lesion and application of Doppler study, especially when performed by experienced radiologists, acquainted with its use.</w:t>
      </w:r>
    </w:p>
    <w:p w:rsidR="00DB7A58" w:rsidRPr="00BF3275" w:rsidRDefault="00DB7A58" w:rsidP="00DA2296">
      <w:pPr>
        <w:snapToGrid w:val="0"/>
        <w:jc w:val="both"/>
        <w:rPr>
          <w:b/>
          <w:bCs/>
          <w:sz w:val="20"/>
          <w:szCs w:val="20"/>
        </w:rPr>
      </w:pPr>
    </w:p>
    <w:p w:rsidR="0033091A" w:rsidRPr="00BF3275" w:rsidRDefault="00DB7A58" w:rsidP="00DA2296">
      <w:pPr>
        <w:snapToGrid w:val="0"/>
        <w:jc w:val="both"/>
        <w:rPr>
          <w:sz w:val="20"/>
          <w:szCs w:val="20"/>
        </w:rPr>
      </w:pPr>
      <w:r w:rsidRPr="00BF3275">
        <w:rPr>
          <w:b/>
          <w:bCs/>
          <w:sz w:val="20"/>
          <w:szCs w:val="20"/>
        </w:rPr>
        <w:t>References</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Crystal</w:t>
      </w:r>
      <w:r w:rsidR="00462FBD" w:rsidRPr="00BF3275">
        <w:rPr>
          <w:bCs/>
          <w:sz w:val="20"/>
          <w:szCs w:val="20"/>
        </w:rPr>
        <w:t xml:space="preserve"> </w:t>
      </w:r>
      <w:r w:rsidRPr="00BF3275">
        <w:rPr>
          <w:bCs/>
          <w:sz w:val="20"/>
          <w:szCs w:val="20"/>
        </w:rPr>
        <w:t>P,</w:t>
      </w:r>
      <w:r w:rsidR="00462FBD" w:rsidRPr="00BF3275">
        <w:rPr>
          <w:bCs/>
          <w:sz w:val="20"/>
          <w:szCs w:val="20"/>
        </w:rPr>
        <w:t xml:space="preserve"> </w:t>
      </w:r>
      <w:r w:rsidRPr="00BF3275">
        <w:rPr>
          <w:bCs/>
          <w:sz w:val="20"/>
          <w:szCs w:val="20"/>
        </w:rPr>
        <w:t>Strano</w:t>
      </w:r>
      <w:r w:rsidR="00462FBD" w:rsidRPr="00BF3275">
        <w:rPr>
          <w:bCs/>
          <w:sz w:val="20"/>
          <w:szCs w:val="20"/>
        </w:rPr>
        <w:t xml:space="preserve"> </w:t>
      </w:r>
      <w:r w:rsidRPr="00BF3275">
        <w:rPr>
          <w:bCs/>
          <w:sz w:val="20"/>
          <w:szCs w:val="20"/>
        </w:rPr>
        <w:t>SD,</w:t>
      </w:r>
      <w:r w:rsidR="00462FBD" w:rsidRPr="00BF3275">
        <w:rPr>
          <w:bCs/>
          <w:sz w:val="20"/>
          <w:szCs w:val="20"/>
        </w:rPr>
        <w:t xml:space="preserve"> </w:t>
      </w:r>
      <w:r w:rsidRPr="00BF3275">
        <w:rPr>
          <w:bCs/>
          <w:sz w:val="20"/>
          <w:szCs w:val="20"/>
        </w:rPr>
        <w:t>Shcharynski</w:t>
      </w:r>
      <w:r w:rsidR="00462FBD" w:rsidRPr="00BF3275">
        <w:rPr>
          <w:bCs/>
          <w:sz w:val="20"/>
          <w:szCs w:val="20"/>
        </w:rPr>
        <w:t xml:space="preserve"> </w:t>
      </w:r>
      <w:r w:rsidRPr="00BF3275">
        <w:rPr>
          <w:bCs/>
          <w:sz w:val="20"/>
          <w:szCs w:val="20"/>
        </w:rPr>
        <w:t>S,</w:t>
      </w:r>
      <w:r w:rsidR="00462FBD" w:rsidRPr="00BF3275">
        <w:rPr>
          <w:bCs/>
          <w:sz w:val="20"/>
          <w:szCs w:val="20"/>
        </w:rPr>
        <w:t xml:space="preserve"> </w:t>
      </w:r>
      <w:r w:rsidRPr="00BF3275">
        <w:rPr>
          <w:bCs/>
          <w:sz w:val="20"/>
          <w:szCs w:val="20"/>
        </w:rPr>
        <w:t>Koretz</w:t>
      </w:r>
      <w:r w:rsidR="00462FBD" w:rsidRPr="00BF3275">
        <w:rPr>
          <w:bCs/>
          <w:sz w:val="20"/>
          <w:szCs w:val="20"/>
        </w:rPr>
        <w:t xml:space="preserve"> </w:t>
      </w:r>
      <w:r w:rsidRPr="00BF3275">
        <w:rPr>
          <w:bCs/>
          <w:sz w:val="20"/>
          <w:szCs w:val="20"/>
        </w:rPr>
        <w:t>MJ</w:t>
      </w:r>
      <w:r w:rsidR="00462FBD" w:rsidRPr="00BF3275">
        <w:rPr>
          <w:bCs/>
          <w:sz w:val="20"/>
          <w:szCs w:val="20"/>
        </w:rPr>
        <w:t xml:space="preserve"> </w:t>
      </w:r>
      <w:r w:rsidRPr="00BF3275">
        <w:rPr>
          <w:bCs/>
          <w:sz w:val="20"/>
          <w:szCs w:val="20"/>
        </w:rPr>
        <w:t>(2003):</w:t>
      </w:r>
      <w:r w:rsidR="00462FBD" w:rsidRPr="00BF3275">
        <w:rPr>
          <w:sz w:val="20"/>
          <w:szCs w:val="20"/>
        </w:rPr>
        <w:t xml:space="preserve"> </w:t>
      </w:r>
      <w:r w:rsidRPr="00BF3275">
        <w:rPr>
          <w:sz w:val="20"/>
          <w:szCs w:val="20"/>
        </w:rPr>
        <w:t>Using</w:t>
      </w:r>
      <w:r w:rsidR="00462FBD" w:rsidRPr="00BF3275">
        <w:rPr>
          <w:sz w:val="20"/>
          <w:szCs w:val="20"/>
        </w:rPr>
        <w:t xml:space="preserve"> </w:t>
      </w:r>
      <w:r w:rsidRPr="00BF3275">
        <w:rPr>
          <w:sz w:val="20"/>
          <w:szCs w:val="20"/>
        </w:rPr>
        <w:t>sonography</w:t>
      </w:r>
      <w:r w:rsidR="00462FBD" w:rsidRPr="00BF3275">
        <w:rPr>
          <w:sz w:val="20"/>
          <w:szCs w:val="20"/>
        </w:rPr>
        <w:t xml:space="preserve"> </w:t>
      </w:r>
      <w:r w:rsidRPr="00BF3275">
        <w:rPr>
          <w:sz w:val="20"/>
          <w:szCs w:val="20"/>
        </w:rPr>
        <w:t>to</w:t>
      </w:r>
      <w:r w:rsidR="00462FBD" w:rsidRPr="00BF3275">
        <w:rPr>
          <w:sz w:val="20"/>
          <w:szCs w:val="20"/>
        </w:rPr>
        <w:t xml:space="preserve"> </w:t>
      </w:r>
      <w:r w:rsidRPr="00BF3275">
        <w:rPr>
          <w:sz w:val="20"/>
          <w:szCs w:val="20"/>
        </w:rPr>
        <w:t>screen</w:t>
      </w:r>
      <w:r w:rsidR="00462FBD" w:rsidRPr="00BF3275">
        <w:rPr>
          <w:sz w:val="20"/>
          <w:szCs w:val="20"/>
        </w:rPr>
        <w:t xml:space="preserve"> </w:t>
      </w:r>
      <w:r w:rsidRPr="00BF3275">
        <w:rPr>
          <w:sz w:val="20"/>
          <w:szCs w:val="20"/>
        </w:rPr>
        <w:t>women</w:t>
      </w:r>
      <w:r w:rsidR="00462FBD" w:rsidRPr="00BF3275">
        <w:rPr>
          <w:sz w:val="20"/>
          <w:szCs w:val="20"/>
        </w:rPr>
        <w:t xml:space="preserve"> </w:t>
      </w:r>
      <w:r w:rsidRPr="00BF3275">
        <w:rPr>
          <w:sz w:val="20"/>
          <w:szCs w:val="20"/>
        </w:rPr>
        <w:t>with</w:t>
      </w:r>
      <w:r w:rsidR="00462FBD" w:rsidRPr="00BF3275">
        <w:rPr>
          <w:sz w:val="20"/>
          <w:szCs w:val="20"/>
        </w:rPr>
        <w:t xml:space="preserve"> </w:t>
      </w:r>
      <w:r w:rsidRPr="00BF3275">
        <w:rPr>
          <w:sz w:val="20"/>
          <w:szCs w:val="20"/>
        </w:rPr>
        <w:t>mammographically</w:t>
      </w:r>
      <w:r w:rsidR="00462FBD" w:rsidRPr="00BF3275">
        <w:rPr>
          <w:sz w:val="20"/>
          <w:szCs w:val="20"/>
        </w:rPr>
        <w:t xml:space="preserve"> </w:t>
      </w:r>
      <w:r w:rsidRPr="00BF3275">
        <w:rPr>
          <w:sz w:val="20"/>
          <w:szCs w:val="20"/>
        </w:rPr>
        <w:t>dense</w:t>
      </w:r>
      <w:r w:rsidR="00462FBD" w:rsidRPr="00BF3275">
        <w:rPr>
          <w:sz w:val="20"/>
          <w:szCs w:val="20"/>
        </w:rPr>
        <w:t xml:space="preserve"> </w:t>
      </w:r>
      <w:r w:rsidRPr="00BF3275">
        <w:rPr>
          <w:sz w:val="20"/>
          <w:szCs w:val="20"/>
        </w:rPr>
        <w:t>breasts,</w:t>
      </w:r>
      <w:r w:rsidR="00462FBD" w:rsidRPr="00BF3275">
        <w:rPr>
          <w:sz w:val="20"/>
          <w:szCs w:val="20"/>
        </w:rPr>
        <w:t xml:space="preserve"> </w:t>
      </w:r>
      <w:r w:rsidRPr="00BF3275">
        <w:rPr>
          <w:sz w:val="20"/>
          <w:szCs w:val="20"/>
        </w:rPr>
        <w:t>AJR</w:t>
      </w:r>
      <w:r w:rsidR="00462FBD" w:rsidRPr="00BF3275">
        <w:rPr>
          <w:sz w:val="20"/>
          <w:szCs w:val="20"/>
        </w:rPr>
        <w:t xml:space="preserve"> </w:t>
      </w:r>
      <w:r w:rsidRPr="00BF3275">
        <w:rPr>
          <w:sz w:val="20"/>
          <w:szCs w:val="20"/>
        </w:rPr>
        <w:t>Am.</w:t>
      </w:r>
      <w:r w:rsidR="00462FBD" w:rsidRPr="00BF3275">
        <w:rPr>
          <w:sz w:val="20"/>
          <w:szCs w:val="20"/>
        </w:rPr>
        <w:t xml:space="preserve"> </w:t>
      </w:r>
      <w:r w:rsidRPr="00BF3275">
        <w:rPr>
          <w:sz w:val="20"/>
          <w:szCs w:val="20"/>
        </w:rPr>
        <w:t>J.</w:t>
      </w:r>
      <w:r w:rsidR="00462FBD" w:rsidRPr="00BF3275">
        <w:rPr>
          <w:sz w:val="20"/>
          <w:szCs w:val="20"/>
        </w:rPr>
        <w:t xml:space="preserve"> </w:t>
      </w:r>
      <w:r w:rsidRPr="00BF3275">
        <w:rPr>
          <w:sz w:val="20"/>
          <w:szCs w:val="20"/>
        </w:rPr>
        <w:t>Roentgenol.</w:t>
      </w:r>
      <w:r w:rsidR="00462FBD" w:rsidRPr="00BF3275">
        <w:rPr>
          <w:sz w:val="20"/>
          <w:szCs w:val="20"/>
        </w:rPr>
        <w:t xml:space="preserve"> </w:t>
      </w:r>
      <w:r w:rsidRPr="00BF3275">
        <w:rPr>
          <w:sz w:val="20"/>
          <w:szCs w:val="20"/>
        </w:rPr>
        <w:t>181(1):</w:t>
      </w:r>
      <w:r w:rsidR="00462FBD" w:rsidRPr="00BF3275">
        <w:rPr>
          <w:sz w:val="20"/>
          <w:szCs w:val="20"/>
        </w:rPr>
        <w:t xml:space="preserve"> </w:t>
      </w:r>
      <w:r w:rsidRPr="00BF3275">
        <w:rPr>
          <w:sz w:val="20"/>
          <w:szCs w:val="20"/>
        </w:rPr>
        <w:t>177–182.</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Destaunis</w:t>
      </w:r>
      <w:r w:rsidR="00462FBD" w:rsidRPr="00BF3275">
        <w:rPr>
          <w:bCs/>
          <w:sz w:val="20"/>
          <w:szCs w:val="20"/>
        </w:rPr>
        <w:t xml:space="preserve"> </w:t>
      </w:r>
      <w:r w:rsidRPr="00BF3275">
        <w:rPr>
          <w:bCs/>
          <w:sz w:val="20"/>
          <w:szCs w:val="20"/>
        </w:rPr>
        <w:t>SV,</w:t>
      </w:r>
      <w:r w:rsidR="00462FBD" w:rsidRPr="00BF3275">
        <w:rPr>
          <w:bCs/>
          <w:sz w:val="20"/>
          <w:szCs w:val="20"/>
        </w:rPr>
        <w:t xml:space="preserve"> </w:t>
      </w:r>
      <w:r w:rsidRPr="00BF3275">
        <w:rPr>
          <w:bCs/>
          <w:sz w:val="20"/>
          <w:szCs w:val="20"/>
        </w:rPr>
        <w:t>Sickles</w:t>
      </w:r>
      <w:r w:rsidR="00462FBD" w:rsidRPr="00BF3275">
        <w:rPr>
          <w:bCs/>
          <w:sz w:val="20"/>
          <w:szCs w:val="20"/>
        </w:rPr>
        <w:t xml:space="preserve"> </w:t>
      </w:r>
      <w:r w:rsidRPr="00BF3275">
        <w:rPr>
          <w:bCs/>
          <w:sz w:val="20"/>
          <w:szCs w:val="20"/>
        </w:rPr>
        <w:t>EA,</w:t>
      </w:r>
      <w:r w:rsidR="00462FBD" w:rsidRPr="00BF3275">
        <w:rPr>
          <w:bCs/>
          <w:sz w:val="20"/>
          <w:szCs w:val="20"/>
        </w:rPr>
        <w:t xml:space="preserve"> </w:t>
      </w:r>
      <w:r w:rsidRPr="00BF3275">
        <w:rPr>
          <w:bCs/>
          <w:sz w:val="20"/>
          <w:szCs w:val="20"/>
        </w:rPr>
        <w:t>Mendelson</w:t>
      </w:r>
      <w:r w:rsidR="00462FBD" w:rsidRPr="00BF3275">
        <w:rPr>
          <w:bCs/>
          <w:sz w:val="20"/>
          <w:szCs w:val="20"/>
        </w:rPr>
        <w:t xml:space="preserve"> </w:t>
      </w:r>
      <w:r w:rsidRPr="00BF3275">
        <w:rPr>
          <w:bCs/>
          <w:sz w:val="20"/>
          <w:szCs w:val="20"/>
        </w:rPr>
        <w:t>EB</w:t>
      </w:r>
      <w:r w:rsidR="00462FBD" w:rsidRPr="00BF3275">
        <w:rPr>
          <w:bCs/>
          <w:sz w:val="20"/>
          <w:szCs w:val="20"/>
        </w:rPr>
        <w:t xml:space="preserve"> </w:t>
      </w:r>
      <w:r w:rsidRPr="00BF3275">
        <w:rPr>
          <w:bCs/>
          <w:sz w:val="20"/>
          <w:szCs w:val="20"/>
        </w:rPr>
        <w:t>(2013):</w:t>
      </w:r>
      <w:r w:rsidR="00462FBD" w:rsidRPr="00BF3275">
        <w:rPr>
          <w:sz w:val="20"/>
          <w:szCs w:val="20"/>
        </w:rPr>
        <w:t xml:space="preserve"> </w:t>
      </w:r>
      <w:r w:rsidRPr="00BF3275">
        <w:rPr>
          <w:sz w:val="20"/>
          <w:szCs w:val="20"/>
        </w:rPr>
        <w:t>BIRADS</w:t>
      </w:r>
      <w:r w:rsidR="00462FBD" w:rsidRPr="00BF3275">
        <w:rPr>
          <w:sz w:val="20"/>
          <w:szCs w:val="20"/>
        </w:rPr>
        <w:t xml:space="preserve"> </w:t>
      </w:r>
      <w:r w:rsidRPr="00BF3275">
        <w:rPr>
          <w:sz w:val="20"/>
          <w:szCs w:val="20"/>
        </w:rPr>
        <w:t>Update</w:t>
      </w:r>
      <w:r w:rsidR="00462FBD" w:rsidRPr="00BF3275">
        <w:rPr>
          <w:sz w:val="20"/>
          <w:szCs w:val="20"/>
        </w:rPr>
        <w:t xml:space="preserve"> </w:t>
      </w:r>
      <w:r w:rsidRPr="00BF3275">
        <w:rPr>
          <w:sz w:val="20"/>
          <w:szCs w:val="20"/>
        </w:rPr>
        <w:t>and</w:t>
      </w:r>
      <w:r w:rsidR="00462FBD" w:rsidRPr="00BF3275">
        <w:rPr>
          <w:sz w:val="20"/>
          <w:szCs w:val="20"/>
        </w:rPr>
        <w:t xml:space="preserve"> </w:t>
      </w:r>
      <w:r w:rsidRPr="00BF3275">
        <w:rPr>
          <w:sz w:val="20"/>
          <w:szCs w:val="20"/>
        </w:rPr>
        <w:t>challenge</w:t>
      </w:r>
      <w:r w:rsidR="00462FBD" w:rsidRPr="00BF3275">
        <w:rPr>
          <w:sz w:val="20"/>
          <w:szCs w:val="20"/>
        </w:rPr>
        <w:t xml:space="preserve"> </w:t>
      </w:r>
      <w:r w:rsidRPr="00BF3275">
        <w:rPr>
          <w:sz w:val="20"/>
          <w:szCs w:val="20"/>
        </w:rPr>
        <w:t>(an</w:t>
      </w:r>
      <w:r w:rsidR="00462FBD" w:rsidRPr="00BF3275">
        <w:rPr>
          <w:sz w:val="20"/>
          <w:szCs w:val="20"/>
        </w:rPr>
        <w:t xml:space="preserve"> </w:t>
      </w:r>
      <w:r w:rsidRPr="00BF3275">
        <w:rPr>
          <w:sz w:val="20"/>
          <w:szCs w:val="20"/>
        </w:rPr>
        <w:t>interactive</w:t>
      </w:r>
      <w:r w:rsidR="00462FBD" w:rsidRPr="00BF3275">
        <w:rPr>
          <w:sz w:val="20"/>
          <w:szCs w:val="20"/>
        </w:rPr>
        <w:t xml:space="preserve"> </w:t>
      </w:r>
      <w:r w:rsidRPr="00BF3275">
        <w:rPr>
          <w:sz w:val="20"/>
          <w:szCs w:val="20"/>
        </w:rPr>
        <w:t>session).</w:t>
      </w:r>
      <w:r w:rsidR="00462FBD" w:rsidRPr="00BF3275">
        <w:rPr>
          <w:sz w:val="20"/>
          <w:szCs w:val="20"/>
        </w:rPr>
        <w:t xml:space="preserve"> </w:t>
      </w:r>
      <w:r w:rsidRPr="00BF3275">
        <w:rPr>
          <w:sz w:val="20"/>
          <w:szCs w:val="20"/>
        </w:rPr>
        <w:t>I</w:t>
      </w:r>
      <w:r w:rsidR="00DE2288" w:rsidRPr="00BF3275">
        <w:rPr>
          <w:sz w:val="20"/>
          <w:szCs w:val="20"/>
        </w:rPr>
        <w:t>n R</w:t>
      </w:r>
      <w:r w:rsidRPr="00BF3275">
        <w:rPr>
          <w:sz w:val="20"/>
          <w:szCs w:val="20"/>
        </w:rPr>
        <w:t>efresher</w:t>
      </w:r>
      <w:r w:rsidR="00462FBD" w:rsidRPr="00BF3275">
        <w:rPr>
          <w:sz w:val="20"/>
          <w:szCs w:val="20"/>
        </w:rPr>
        <w:t xml:space="preserve"> </w:t>
      </w:r>
      <w:r w:rsidRPr="00BF3275">
        <w:rPr>
          <w:sz w:val="20"/>
          <w:szCs w:val="20"/>
        </w:rPr>
        <w:t>Course</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99th</w:t>
      </w:r>
      <w:r w:rsidR="00462FBD" w:rsidRPr="00BF3275">
        <w:rPr>
          <w:sz w:val="20"/>
          <w:szCs w:val="20"/>
        </w:rPr>
        <w:t xml:space="preserve"> </w:t>
      </w:r>
      <w:r w:rsidRPr="00BF3275">
        <w:rPr>
          <w:sz w:val="20"/>
          <w:szCs w:val="20"/>
        </w:rPr>
        <w:t>Annual</w:t>
      </w:r>
      <w:r w:rsidR="00462FBD" w:rsidRPr="00BF3275">
        <w:rPr>
          <w:sz w:val="20"/>
          <w:szCs w:val="20"/>
        </w:rPr>
        <w:t xml:space="preserve"> </w:t>
      </w:r>
      <w:r w:rsidRPr="00BF3275">
        <w:rPr>
          <w:sz w:val="20"/>
          <w:szCs w:val="20"/>
        </w:rPr>
        <w:t>Meeting</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Radiological</w:t>
      </w:r>
      <w:r w:rsidR="00462FBD" w:rsidRPr="00BF3275">
        <w:rPr>
          <w:sz w:val="20"/>
          <w:szCs w:val="20"/>
        </w:rPr>
        <w:t xml:space="preserve"> </w:t>
      </w:r>
      <w:r w:rsidRPr="00BF3275">
        <w:rPr>
          <w:sz w:val="20"/>
          <w:szCs w:val="20"/>
        </w:rPr>
        <w:t>Society</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North</w:t>
      </w:r>
      <w:r w:rsidR="00462FBD" w:rsidRPr="00BF3275">
        <w:rPr>
          <w:sz w:val="20"/>
          <w:szCs w:val="20"/>
        </w:rPr>
        <w:t xml:space="preserve"> </w:t>
      </w:r>
      <w:r w:rsidRPr="00BF3275">
        <w:rPr>
          <w:sz w:val="20"/>
          <w:szCs w:val="20"/>
        </w:rPr>
        <w:t>America,</w:t>
      </w:r>
      <w:r w:rsidR="00462FBD" w:rsidRPr="00BF3275">
        <w:rPr>
          <w:sz w:val="20"/>
          <w:szCs w:val="20"/>
        </w:rPr>
        <w:t xml:space="preserve"> </w:t>
      </w:r>
      <w:r w:rsidRPr="00BF3275">
        <w:rPr>
          <w:sz w:val="20"/>
          <w:szCs w:val="20"/>
        </w:rPr>
        <w:t>RSNA.</w:t>
      </w:r>
      <w:r w:rsidR="00462FBD" w:rsidRPr="00BF3275">
        <w:rPr>
          <w:sz w:val="20"/>
          <w:szCs w:val="20"/>
        </w:rPr>
        <w:t xml:space="preserve"> </w:t>
      </w:r>
      <w:r w:rsidRPr="00BF3275">
        <w:rPr>
          <w:sz w:val="20"/>
          <w:szCs w:val="20"/>
        </w:rPr>
        <w:t>Chicago.</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Ghebrehiwet</w:t>
      </w:r>
      <w:r w:rsidR="00462FBD" w:rsidRPr="00BF3275">
        <w:rPr>
          <w:bCs/>
          <w:sz w:val="20"/>
          <w:szCs w:val="20"/>
        </w:rPr>
        <w:t xml:space="preserve"> </w:t>
      </w:r>
      <w:r w:rsidRPr="00BF3275">
        <w:rPr>
          <w:bCs/>
          <w:sz w:val="20"/>
          <w:szCs w:val="20"/>
        </w:rPr>
        <w:t>M,</w:t>
      </w:r>
      <w:r w:rsidR="00462FBD" w:rsidRPr="00BF3275">
        <w:rPr>
          <w:bCs/>
          <w:sz w:val="20"/>
          <w:szCs w:val="20"/>
        </w:rPr>
        <w:t xml:space="preserve"> </w:t>
      </w:r>
      <w:r w:rsidRPr="00BF3275">
        <w:rPr>
          <w:bCs/>
          <w:sz w:val="20"/>
          <w:szCs w:val="20"/>
        </w:rPr>
        <w:t>Paulos</w:t>
      </w:r>
      <w:r w:rsidR="00462FBD" w:rsidRPr="00BF3275">
        <w:rPr>
          <w:bCs/>
          <w:sz w:val="20"/>
          <w:szCs w:val="20"/>
        </w:rPr>
        <w:t xml:space="preserve"> </w:t>
      </w:r>
      <w:r w:rsidRPr="00BF3275">
        <w:rPr>
          <w:bCs/>
          <w:sz w:val="20"/>
          <w:szCs w:val="20"/>
        </w:rPr>
        <w:t>E,</w:t>
      </w:r>
      <w:r w:rsidR="00462FBD" w:rsidRPr="00BF3275">
        <w:rPr>
          <w:bCs/>
          <w:sz w:val="20"/>
          <w:szCs w:val="20"/>
        </w:rPr>
        <w:t xml:space="preserve"> </w:t>
      </w:r>
      <w:r w:rsidRPr="00BF3275">
        <w:rPr>
          <w:bCs/>
          <w:sz w:val="20"/>
          <w:szCs w:val="20"/>
        </w:rPr>
        <w:t>Andeberhan</w:t>
      </w:r>
      <w:r w:rsidR="00462FBD" w:rsidRPr="00BF3275">
        <w:rPr>
          <w:bCs/>
          <w:sz w:val="20"/>
          <w:szCs w:val="20"/>
        </w:rPr>
        <w:t xml:space="preserve"> </w:t>
      </w:r>
      <w:r w:rsidRPr="00BF3275">
        <w:rPr>
          <w:bCs/>
          <w:sz w:val="20"/>
          <w:szCs w:val="20"/>
        </w:rPr>
        <w:t>T</w:t>
      </w:r>
      <w:r w:rsidR="00462FBD" w:rsidRPr="00BF3275">
        <w:rPr>
          <w:bCs/>
          <w:sz w:val="20"/>
          <w:szCs w:val="20"/>
        </w:rPr>
        <w:t xml:space="preserve"> </w:t>
      </w:r>
      <w:r w:rsidRPr="00BF3275">
        <w:rPr>
          <w:bCs/>
          <w:sz w:val="20"/>
          <w:szCs w:val="20"/>
        </w:rPr>
        <w:t>(2007):</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role</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combined</w:t>
      </w:r>
      <w:r w:rsidR="00462FBD" w:rsidRPr="00BF3275">
        <w:rPr>
          <w:sz w:val="20"/>
          <w:szCs w:val="20"/>
        </w:rPr>
        <w:t xml:space="preserve"> </w:t>
      </w:r>
      <w:r w:rsidRPr="00BF3275">
        <w:rPr>
          <w:sz w:val="20"/>
          <w:szCs w:val="20"/>
        </w:rPr>
        <w:t>ultrasonography</w:t>
      </w:r>
      <w:r w:rsidR="00462FBD" w:rsidRPr="00BF3275">
        <w:rPr>
          <w:sz w:val="20"/>
          <w:szCs w:val="20"/>
        </w:rPr>
        <w:t xml:space="preserve"> </w:t>
      </w:r>
      <w:r w:rsidRPr="00BF3275">
        <w:rPr>
          <w:sz w:val="20"/>
          <w:szCs w:val="20"/>
        </w:rPr>
        <w:t>and</w:t>
      </w:r>
      <w:r w:rsidR="00462FBD" w:rsidRPr="00BF3275">
        <w:rPr>
          <w:sz w:val="20"/>
          <w:szCs w:val="20"/>
        </w:rPr>
        <w:t xml:space="preserve"> </w:t>
      </w:r>
      <w:r w:rsidRPr="00BF3275">
        <w:rPr>
          <w:sz w:val="20"/>
          <w:szCs w:val="20"/>
        </w:rPr>
        <w:t>mammography</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diagnosis</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cancer</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Eritrean</w:t>
      </w:r>
      <w:r w:rsidR="00462FBD" w:rsidRPr="00BF3275">
        <w:rPr>
          <w:sz w:val="20"/>
          <w:szCs w:val="20"/>
        </w:rPr>
        <w:t xml:space="preserve"> </w:t>
      </w:r>
      <w:r w:rsidRPr="00BF3275">
        <w:rPr>
          <w:sz w:val="20"/>
          <w:szCs w:val="20"/>
        </w:rPr>
        <w:t>women</w:t>
      </w:r>
      <w:r w:rsidR="00462FBD" w:rsidRPr="00BF3275">
        <w:rPr>
          <w:sz w:val="20"/>
          <w:szCs w:val="20"/>
        </w:rPr>
        <w:t xml:space="preserve"> </w:t>
      </w:r>
      <w:r w:rsidRPr="00BF3275">
        <w:rPr>
          <w:sz w:val="20"/>
          <w:szCs w:val="20"/>
        </w:rPr>
        <w:t>with</w:t>
      </w:r>
      <w:r w:rsidR="00462FBD" w:rsidRPr="00BF3275">
        <w:rPr>
          <w:sz w:val="20"/>
          <w:szCs w:val="20"/>
        </w:rPr>
        <w:t xml:space="preserve"> </w:t>
      </w:r>
      <w:r w:rsidRPr="00BF3275">
        <w:rPr>
          <w:sz w:val="20"/>
          <w:szCs w:val="20"/>
        </w:rPr>
        <w:t>paplable</w:t>
      </w:r>
      <w:r w:rsidR="00462FBD" w:rsidRPr="00BF3275">
        <w:rPr>
          <w:sz w:val="20"/>
          <w:szCs w:val="20"/>
        </w:rPr>
        <w:t xml:space="preserve"> </w:t>
      </w:r>
      <w:r w:rsidRPr="00BF3275">
        <w:rPr>
          <w:sz w:val="20"/>
          <w:szCs w:val="20"/>
        </w:rPr>
        <w:t>abnormalities</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Journal</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Eritrean</w:t>
      </w:r>
      <w:r w:rsidR="00462FBD" w:rsidRPr="00BF3275">
        <w:rPr>
          <w:sz w:val="20"/>
          <w:szCs w:val="20"/>
        </w:rPr>
        <w:t xml:space="preserve"> </w:t>
      </w:r>
      <w:r w:rsidRPr="00BF3275">
        <w:rPr>
          <w:sz w:val="20"/>
          <w:szCs w:val="20"/>
        </w:rPr>
        <w:t>Medical</w:t>
      </w:r>
      <w:r w:rsidR="00462FBD" w:rsidRPr="00BF3275">
        <w:rPr>
          <w:sz w:val="20"/>
          <w:szCs w:val="20"/>
        </w:rPr>
        <w:t xml:space="preserve"> </w:t>
      </w:r>
      <w:r w:rsidRPr="00BF3275">
        <w:rPr>
          <w:sz w:val="20"/>
          <w:szCs w:val="20"/>
        </w:rPr>
        <w:t>Association;</w:t>
      </w:r>
      <w:r w:rsidR="00462FBD" w:rsidRPr="00BF3275">
        <w:rPr>
          <w:sz w:val="20"/>
          <w:szCs w:val="20"/>
        </w:rPr>
        <w:t xml:space="preserve"> </w:t>
      </w:r>
      <w:r w:rsidRPr="00BF3275">
        <w:rPr>
          <w:sz w:val="20"/>
          <w:szCs w:val="20"/>
        </w:rPr>
        <w:t>2(1).</w:t>
      </w:r>
    </w:p>
    <w:p w:rsidR="00262446" w:rsidRPr="00BF3275" w:rsidRDefault="00262446" w:rsidP="00DE2288">
      <w:pPr>
        <w:pStyle w:val="ListParagraph"/>
        <w:numPr>
          <w:ilvl w:val="0"/>
          <w:numId w:val="8"/>
        </w:numPr>
        <w:snapToGrid w:val="0"/>
        <w:ind w:left="425" w:firstLineChars="0" w:hanging="425"/>
        <w:jc w:val="both"/>
        <w:rPr>
          <w:bCs/>
          <w:sz w:val="20"/>
          <w:szCs w:val="20"/>
        </w:rPr>
      </w:pPr>
      <w:r w:rsidRPr="00BF3275">
        <w:rPr>
          <w:bCs/>
          <w:sz w:val="20"/>
          <w:szCs w:val="20"/>
        </w:rPr>
        <w:t>Giuliano</w:t>
      </w:r>
      <w:r w:rsidR="00462FBD" w:rsidRPr="00BF3275">
        <w:rPr>
          <w:bCs/>
          <w:sz w:val="20"/>
          <w:szCs w:val="20"/>
        </w:rPr>
        <w:t xml:space="preserve"> </w:t>
      </w:r>
      <w:r w:rsidRPr="00BF3275">
        <w:rPr>
          <w:bCs/>
          <w:sz w:val="20"/>
          <w:szCs w:val="20"/>
        </w:rPr>
        <w:t>V,</w:t>
      </w:r>
      <w:r w:rsidR="00462FBD" w:rsidRPr="00BF3275">
        <w:rPr>
          <w:bCs/>
          <w:sz w:val="20"/>
          <w:szCs w:val="20"/>
        </w:rPr>
        <w:t xml:space="preserve"> </w:t>
      </w:r>
      <w:r w:rsidRPr="00BF3275">
        <w:rPr>
          <w:bCs/>
          <w:sz w:val="20"/>
          <w:szCs w:val="20"/>
        </w:rPr>
        <w:t>Giuliano</w:t>
      </w:r>
      <w:r w:rsidR="00462FBD" w:rsidRPr="00BF3275">
        <w:rPr>
          <w:bCs/>
          <w:sz w:val="20"/>
          <w:szCs w:val="20"/>
        </w:rPr>
        <w:t xml:space="preserve"> </w:t>
      </w:r>
      <w:r w:rsidRPr="00BF3275">
        <w:rPr>
          <w:bCs/>
          <w:sz w:val="20"/>
          <w:szCs w:val="20"/>
        </w:rPr>
        <w:t>C</w:t>
      </w:r>
      <w:r w:rsidR="00462FBD" w:rsidRPr="00BF3275">
        <w:rPr>
          <w:sz w:val="20"/>
          <w:szCs w:val="20"/>
        </w:rPr>
        <w:t xml:space="preserve"> </w:t>
      </w:r>
      <w:r w:rsidRPr="00BF3275">
        <w:rPr>
          <w:bCs/>
          <w:sz w:val="20"/>
          <w:szCs w:val="20"/>
        </w:rPr>
        <w:t>(2013):</w:t>
      </w:r>
      <w:r w:rsidR="00462FBD" w:rsidRPr="00BF3275">
        <w:rPr>
          <w:sz w:val="20"/>
          <w:szCs w:val="20"/>
        </w:rPr>
        <w:t xml:space="preserve"> </w:t>
      </w:r>
      <w:r w:rsidRPr="00BF3275">
        <w:rPr>
          <w:sz w:val="20"/>
          <w:szCs w:val="20"/>
        </w:rPr>
        <w:t>Improved</w:t>
      </w:r>
      <w:r w:rsidR="00BF3275">
        <w:rPr>
          <w:rFonts w:hint="eastAsia"/>
          <w:sz w:val="20"/>
          <w:szCs w:val="20"/>
          <w:lang w:eastAsia="zh-CN"/>
        </w:rPr>
        <w:t xml:space="preserve"> </w:t>
      </w:r>
      <w:r w:rsidRPr="00BF3275">
        <w:rPr>
          <w:sz w:val="20"/>
          <w:szCs w:val="20"/>
        </w:rPr>
        <w:t>breast</w:t>
      </w:r>
      <w:r w:rsidR="00462FBD" w:rsidRPr="00BF3275">
        <w:rPr>
          <w:sz w:val="20"/>
          <w:szCs w:val="20"/>
        </w:rPr>
        <w:t xml:space="preserve"> </w:t>
      </w:r>
      <w:r w:rsidRPr="00BF3275">
        <w:rPr>
          <w:sz w:val="20"/>
          <w:szCs w:val="20"/>
        </w:rPr>
        <w:t>cancer</w:t>
      </w:r>
      <w:r w:rsidR="00462FBD" w:rsidRPr="00BF3275">
        <w:rPr>
          <w:sz w:val="20"/>
          <w:szCs w:val="20"/>
        </w:rPr>
        <w:t xml:space="preserve"> </w:t>
      </w:r>
      <w:r w:rsidRPr="00BF3275">
        <w:rPr>
          <w:sz w:val="20"/>
          <w:szCs w:val="20"/>
        </w:rPr>
        <w:t>detection</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asymptomatic</w:t>
      </w:r>
      <w:r w:rsidR="00462FBD" w:rsidRPr="00BF3275">
        <w:rPr>
          <w:sz w:val="20"/>
          <w:szCs w:val="20"/>
        </w:rPr>
        <w:t xml:space="preserve"> </w:t>
      </w:r>
      <w:r w:rsidRPr="00BF3275">
        <w:rPr>
          <w:sz w:val="20"/>
          <w:szCs w:val="20"/>
        </w:rPr>
        <w:t>women</w:t>
      </w:r>
      <w:r w:rsidR="00462FBD" w:rsidRPr="00BF3275">
        <w:rPr>
          <w:sz w:val="20"/>
          <w:szCs w:val="20"/>
        </w:rPr>
        <w:t xml:space="preserve"> </w:t>
      </w:r>
      <w:r w:rsidRPr="00BF3275">
        <w:rPr>
          <w:sz w:val="20"/>
          <w:szCs w:val="20"/>
        </w:rPr>
        <w:t>using</w:t>
      </w:r>
      <w:r w:rsidR="00462FBD" w:rsidRPr="00BF3275">
        <w:rPr>
          <w:sz w:val="20"/>
          <w:szCs w:val="20"/>
        </w:rPr>
        <w:t xml:space="preserve"> </w:t>
      </w:r>
      <w:r w:rsidRPr="00BF3275">
        <w:rPr>
          <w:sz w:val="20"/>
          <w:szCs w:val="20"/>
        </w:rPr>
        <w:t>3D-automatedbreast</w:t>
      </w:r>
      <w:r w:rsidR="00462FBD" w:rsidRPr="00BF3275">
        <w:rPr>
          <w:sz w:val="20"/>
          <w:szCs w:val="20"/>
        </w:rPr>
        <w:t xml:space="preserve"> </w:t>
      </w:r>
      <w:r w:rsidRPr="00BF3275">
        <w:rPr>
          <w:sz w:val="20"/>
          <w:szCs w:val="20"/>
        </w:rPr>
        <w:t>ultrasound</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mammographically</w:t>
      </w:r>
      <w:r w:rsidR="00462FBD" w:rsidRPr="00BF3275">
        <w:rPr>
          <w:sz w:val="20"/>
          <w:szCs w:val="20"/>
        </w:rPr>
        <w:t xml:space="preserve"> </w:t>
      </w:r>
      <w:r w:rsidRPr="00BF3275">
        <w:rPr>
          <w:sz w:val="20"/>
          <w:szCs w:val="20"/>
        </w:rPr>
        <w:t>dense</w:t>
      </w:r>
      <w:r w:rsidR="00462FBD" w:rsidRPr="00BF3275">
        <w:rPr>
          <w:sz w:val="20"/>
          <w:szCs w:val="20"/>
        </w:rPr>
        <w:t xml:space="preserve"> </w:t>
      </w:r>
      <w:r w:rsidRPr="00BF3275">
        <w:rPr>
          <w:sz w:val="20"/>
          <w:szCs w:val="20"/>
        </w:rPr>
        <w:t>breasts.</w:t>
      </w:r>
      <w:r w:rsidR="00462FBD" w:rsidRPr="00BF3275">
        <w:rPr>
          <w:sz w:val="20"/>
          <w:szCs w:val="20"/>
        </w:rPr>
        <w:t xml:space="preserve"> </w:t>
      </w:r>
      <w:r w:rsidRPr="00BF3275">
        <w:rPr>
          <w:sz w:val="20"/>
          <w:szCs w:val="20"/>
        </w:rPr>
        <w:t>Clin</w:t>
      </w:r>
      <w:r w:rsidR="00462FBD" w:rsidRPr="00BF3275">
        <w:rPr>
          <w:sz w:val="20"/>
          <w:szCs w:val="20"/>
        </w:rPr>
        <w:t xml:space="preserve"> </w:t>
      </w:r>
      <w:r w:rsidRPr="00BF3275">
        <w:rPr>
          <w:sz w:val="20"/>
          <w:szCs w:val="20"/>
        </w:rPr>
        <w:t>Imaging.</w:t>
      </w:r>
      <w:r w:rsidR="00462FBD" w:rsidRPr="00BF3275">
        <w:rPr>
          <w:sz w:val="20"/>
          <w:szCs w:val="20"/>
        </w:rPr>
        <w:t xml:space="preserve"> </w:t>
      </w:r>
      <w:r w:rsidRPr="00BF3275">
        <w:rPr>
          <w:sz w:val="20"/>
          <w:szCs w:val="20"/>
        </w:rPr>
        <w:t>2013;37:480-6.</w:t>
      </w:r>
      <w:r w:rsidR="00462FBD" w:rsidRPr="00BF3275">
        <w:rPr>
          <w:sz w:val="20"/>
          <w:szCs w:val="20"/>
        </w:rPr>
        <w:t xml:space="preserve"> </w:t>
      </w:r>
      <w:r w:rsidRPr="00BF3275">
        <w:rPr>
          <w:sz w:val="20"/>
          <w:szCs w:val="20"/>
        </w:rPr>
        <w:t>[PMID:</w:t>
      </w:r>
      <w:r w:rsidR="00462FBD" w:rsidRPr="00BF3275">
        <w:rPr>
          <w:sz w:val="20"/>
          <w:szCs w:val="20"/>
        </w:rPr>
        <w:t xml:space="preserve"> </w:t>
      </w:r>
      <w:r w:rsidRPr="00BF3275">
        <w:rPr>
          <w:sz w:val="20"/>
          <w:szCs w:val="20"/>
        </w:rPr>
        <w:t>23116728]</w:t>
      </w:r>
      <w:r w:rsidR="00BF3275">
        <w:rPr>
          <w:rFonts w:hint="eastAsia"/>
          <w:sz w:val="20"/>
          <w:szCs w:val="20"/>
          <w:lang w:eastAsia="zh-CN"/>
        </w:rPr>
        <w:t xml:space="preserve">. </w:t>
      </w:r>
      <w:r w:rsidRPr="00BF3275">
        <w:rPr>
          <w:sz w:val="20"/>
          <w:szCs w:val="20"/>
        </w:rPr>
        <w:t>doi:10.1016/j.clinimag.</w:t>
      </w:r>
      <w:r w:rsidR="00462FBD" w:rsidRPr="00BF3275">
        <w:rPr>
          <w:sz w:val="20"/>
          <w:szCs w:val="20"/>
        </w:rPr>
        <w:t xml:space="preserve"> </w:t>
      </w:r>
      <w:r w:rsidRPr="00BF3275">
        <w:rPr>
          <w:sz w:val="20"/>
          <w:szCs w:val="20"/>
        </w:rPr>
        <w:t>2012.09.01</w:t>
      </w:r>
      <w:r w:rsidR="00462FBD" w:rsidRPr="00BF3275">
        <w:rPr>
          <w:bCs/>
          <w:sz w:val="20"/>
          <w:szCs w:val="20"/>
        </w:rPr>
        <w:t xml:space="preserve"> </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Harvey</w:t>
      </w:r>
      <w:r w:rsidR="00462FBD" w:rsidRPr="00BF3275">
        <w:rPr>
          <w:bCs/>
          <w:sz w:val="20"/>
          <w:szCs w:val="20"/>
        </w:rPr>
        <w:t xml:space="preserve"> </w:t>
      </w:r>
      <w:r w:rsidRPr="00BF3275">
        <w:rPr>
          <w:bCs/>
          <w:sz w:val="20"/>
          <w:szCs w:val="20"/>
        </w:rPr>
        <w:t>JA,</w:t>
      </w:r>
      <w:r w:rsidR="00462FBD" w:rsidRPr="00BF3275">
        <w:rPr>
          <w:bCs/>
          <w:sz w:val="20"/>
          <w:szCs w:val="20"/>
        </w:rPr>
        <w:t xml:space="preserve"> </w:t>
      </w:r>
      <w:r w:rsidRPr="00BF3275">
        <w:rPr>
          <w:bCs/>
          <w:sz w:val="20"/>
          <w:szCs w:val="20"/>
        </w:rPr>
        <w:t>Bovbjerg</w:t>
      </w:r>
      <w:r w:rsidR="00462FBD" w:rsidRPr="00BF3275">
        <w:rPr>
          <w:bCs/>
          <w:sz w:val="20"/>
          <w:szCs w:val="20"/>
        </w:rPr>
        <w:t xml:space="preserve"> </w:t>
      </w:r>
      <w:r w:rsidRPr="00BF3275">
        <w:rPr>
          <w:bCs/>
          <w:sz w:val="20"/>
          <w:szCs w:val="20"/>
        </w:rPr>
        <w:t>VE</w:t>
      </w:r>
      <w:r w:rsidR="00462FBD" w:rsidRPr="00BF3275">
        <w:rPr>
          <w:bCs/>
          <w:sz w:val="20"/>
          <w:szCs w:val="20"/>
        </w:rPr>
        <w:t xml:space="preserve"> </w:t>
      </w:r>
      <w:r w:rsidRPr="00BF3275">
        <w:rPr>
          <w:bCs/>
          <w:sz w:val="20"/>
          <w:szCs w:val="20"/>
        </w:rPr>
        <w:t>(2004):</w:t>
      </w:r>
      <w:r w:rsidR="00462FBD" w:rsidRPr="00BF3275">
        <w:rPr>
          <w:sz w:val="20"/>
          <w:szCs w:val="20"/>
        </w:rPr>
        <w:t xml:space="preserve"> </w:t>
      </w:r>
      <w:r w:rsidRPr="00BF3275">
        <w:rPr>
          <w:sz w:val="20"/>
          <w:szCs w:val="20"/>
        </w:rPr>
        <w:t>Quantitative</w:t>
      </w:r>
      <w:r w:rsidR="00462FBD" w:rsidRPr="00BF3275">
        <w:rPr>
          <w:sz w:val="20"/>
          <w:szCs w:val="20"/>
        </w:rPr>
        <w:t xml:space="preserve"> </w:t>
      </w:r>
      <w:r w:rsidRPr="00BF3275">
        <w:rPr>
          <w:sz w:val="20"/>
          <w:szCs w:val="20"/>
        </w:rPr>
        <w:t>assessment</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mammographic</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density:</w:t>
      </w:r>
      <w:r w:rsidR="00462FBD" w:rsidRPr="00BF3275">
        <w:rPr>
          <w:sz w:val="20"/>
          <w:szCs w:val="20"/>
        </w:rPr>
        <w:t xml:space="preserve"> </w:t>
      </w:r>
      <w:r w:rsidRPr="00BF3275">
        <w:rPr>
          <w:sz w:val="20"/>
          <w:szCs w:val="20"/>
        </w:rPr>
        <w:t>relationship</w:t>
      </w:r>
      <w:r w:rsidR="00462FBD" w:rsidRPr="00BF3275">
        <w:rPr>
          <w:sz w:val="20"/>
          <w:szCs w:val="20"/>
        </w:rPr>
        <w:t xml:space="preserve"> </w:t>
      </w:r>
      <w:r w:rsidRPr="00BF3275">
        <w:rPr>
          <w:sz w:val="20"/>
          <w:szCs w:val="20"/>
        </w:rPr>
        <w:t>with</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cancer</w:t>
      </w:r>
      <w:r w:rsidR="00462FBD" w:rsidRPr="00BF3275">
        <w:rPr>
          <w:sz w:val="20"/>
          <w:szCs w:val="20"/>
        </w:rPr>
        <w:t xml:space="preserve"> </w:t>
      </w:r>
      <w:r w:rsidRPr="00BF3275">
        <w:rPr>
          <w:sz w:val="20"/>
          <w:szCs w:val="20"/>
        </w:rPr>
        <w:t>risk.</w:t>
      </w:r>
      <w:r w:rsidR="00462FBD" w:rsidRPr="00BF3275">
        <w:rPr>
          <w:sz w:val="20"/>
          <w:szCs w:val="20"/>
        </w:rPr>
        <w:t xml:space="preserve"> </w:t>
      </w:r>
      <w:r w:rsidRPr="00BF3275">
        <w:rPr>
          <w:sz w:val="20"/>
          <w:szCs w:val="20"/>
        </w:rPr>
        <w:t>Radiology;</w:t>
      </w:r>
      <w:r w:rsidR="00462FBD" w:rsidRPr="00BF3275">
        <w:rPr>
          <w:sz w:val="20"/>
          <w:szCs w:val="20"/>
        </w:rPr>
        <w:t xml:space="preserve"> </w:t>
      </w:r>
      <w:r w:rsidRPr="00BF3275">
        <w:rPr>
          <w:sz w:val="20"/>
          <w:szCs w:val="20"/>
        </w:rPr>
        <w:t>230(1):29–41.</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Hooley</w:t>
      </w:r>
      <w:r w:rsidR="00462FBD" w:rsidRPr="00BF3275">
        <w:rPr>
          <w:bCs/>
          <w:sz w:val="20"/>
          <w:szCs w:val="20"/>
        </w:rPr>
        <w:t xml:space="preserve"> </w:t>
      </w:r>
      <w:r w:rsidRPr="00BF3275">
        <w:rPr>
          <w:bCs/>
          <w:sz w:val="20"/>
          <w:szCs w:val="20"/>
        </w:rPr>
        <w:t>RJ,</w:t>
      </w:r>
      <w:r w:rsidR="00462FBD" w:rsidRPr="00BF3275">
        <w:rPr>
          <w:bCs/>
          <w:sz w:val="20"/>
          <w:szCs w:val="20"/>
        </w:rPr>
        <w:t xml:space="preserve"> </w:t>
      </w:r>
      <w:r w:rsidRPr="00BF3275">
        <w:rPr>
          <w:bCs/>
          <w:sz w:val="20"/>
          <w:szCs w:val="20"/>
        </w:rPr>
        <w:t>Greenberg</w:t>
      </w:r>
      <w:r w:rsidR="00462FBD" w:rsidRPr="00BF3275">
        <w:rPr>
          <w:bCs/>
          <w:sz w:val="20"/>
          <w:szCs w:val="20"/>
        </w:rPr>
        <w:t xml:space="preserve"> </w:t>
      </w:r>
      <w:r w:rsidRPr="00BF3275">
        <w:rPr>
          <w:bCs/>
          <w:sz w:val="20"/>
          <w:szCs w:val="20"/>
        </w:rPr>
        <w:t>KL,</w:t>
      </w:r>
      <w:r w:rsidR="00462FBD" w:rsidRPr="00BF3275">
        <w:rPr>
          <w:bCs/>
          <w:sz w:val="20"/>
          <w:szCs w:val="20"/>
        </w:rPr>
        <w:t xml:space="preserve"> </w:t>
      </w:r>
      <w:r w:rsidRPr="00BF3275">
        <w:rPr>
          <w:bCs/>
          <w:sz w:val="20"/>
          <w:szCs w:val="20"/>
        </w:rPr>
        <w:t>Stackhouse</w:t>
      </w:r>
      <w:r w:rsidR="00462FBD" w:rsidRPr="00BF3275">
        <w:rPr>
          <w:bCs/>
          <w:sz w:val="20"/>
          <w:szCs w:val="20"/>
        </w:rPr>
        <w:t xml:space="preserve"> </w:t>
      </w:r>
      <w:r w:rsidRPr="00BF3275">
        <w:rPr>
          <w:bCs/>
          <w:sz w:val="20"/>
          <w:szCs w:val="20"/>
        </w:rPr>
        <w:t>RM,</w:t>
      </w:r>
      <w:r w:rsidR="00462FBD" w:rsidRPr="00BF3275">
        <w:rPr>
          <w:bCs/>
          <w:sz w:val="20"/>
          <w:szCs w:val="20"/>
        </w:rPr>
        <w:t xml:space="preserve"> </w:t>
      </w:r>
      <w:r w:rsidRPr="00BF3275">
        <w:rPr>
          <w:bCs/>
          <w:sz w:val="20"/>
          <w:szCs w:val="20"/>
        </w:rPr>
        <w:t>et</w:t>
      </w:r>
      <w:r w:rsidR="00462FBD" w:rsidRPr="00BF3275">
        <w:rPr>
          <w:bCs/>
          <w:sz w:val="20"/>
          <w:szCs w:val="20"/>
        </w:rPr>
        <w:t xml:space="preserve"> </w:t>
      </w:r>
      <w:r w:rsidRPr="00BF3275">
        <w:rPr>
          <w:bCs/>
          <w:sz w:val="20"/>
          <w:szCs w:val="20"/>
        </w:rPr>
        <w:t>al</w:t>
      </w:r>
      <w:r w:rsidR="00462FBD" w:rsidRPr="00BF3275">
        <w:rPr>
          <w:bCs/>
          <w:sz w:val="20"/>
          <w:szCs w:val="20"/>
        </w:rPr>
        <w:t xml:space="preserve"> </w:t>
      </w:r>
      <w:r w:rsidRPr="00BF3275">
        <w:rPr>
          <w:bCs/>
          <w:sz w:val="20"/>
          <w:szCs w:val="20"/>
        </w:rPr>
        <w:t>(2012):</w:t>
      </w:r>
      <w:r w:rsidR="00462FBD" w:rsidRPr="00BF3275">
        <w:rPr>
          <w:sz w:val="20"/>
          <w:szCs w:val="20"/>
        </w:rPr>
        <w:t xml:space="preserve"> </w:t>
      </w:r>
      <w:r w:rsidRPr="00BF3275">
        <w:rPr>
          <w:sz w:val="20"/>
          <w:szCs w:val="20"/>
        </w:rPr>
        <w:t>Screening</w:t>
      </w:r>
      <w:r w:rsidR="00462FBD" w:rsidRPr="00BF3275">
        <w:rPr>
          <w:sz w:val="20"/>
          <w:szCs w:val="20"/>
        </w:rPr>
        <w:t xml:space="preserve"> </w:t>
      </w:r>
      <w:r w:rsidRPr="00BF3275">
        <w:rPr>
          <w:sz w:val="20"/>
          <w:szCs w:val="20"/>
        </w:rPr>
        <w:t>US</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patients</w:t>
      </w:r>
      <w:r w:rsidR="00462FBD" w:rsidRPr="00BF3275">
        <w:rPr>
          <w:sz w:val="20"/>
          <w:szCs w:val="20"/>
        </w:rPr>
        <w:t xml:space="preserve"> </w:t>
      </w:r>
      <w:r w:rsidRPr="00BF3275">
        <w:rPr>
          <w:sz w:val="20"/>
          <w:szCs w:val="20"/>
        </w:rPr>
        <w:t>with</w:t>
      </w:r>
      <w:r w:rsidR="00462FBD" w:rsidRPr="00BF3275">
        <w:rPr>
          <w:sz w:val="20"/>
          <w:szCs w:val="20"/>
        </w:rPr>
        <w:t xml:space="preserve"> </w:t>
      </w:r>
      <w:r w:rsidRPr="00BF3275">
        <w:rPr>
          <w:sz w:val="20"/>
          <w:szCs w:val="20"/>
        </w:rPr>
        <w:t>mammographically</w:t>
      </w:r>
      <w:r w:rsidR="00462FBD" w:rsidRPr="00BF3275">
        <w:rPr>
          <w:sz w:val="20"/>
          <w:szCs w:val="20"/>
        </w:rPr>
        <w:t xml:space="preserve"> </w:t>
      </w:r>
      <w:r w:rsidRPr="00BF3275">
        <w:rPr>
          <w:sz w:val="20"/>
          <w:szCs w:val="20"/>
        </w:rPr>
        <w:t>dense</w:t>
      </w:r>
      <w:r w:rsidR="00462FBD" w:rsidRPr="00BF3275">
        <w:rPr>
          <w:sz w:val="20"/>
          <w:szCs w:val="20"/>
        </w:rPr>
        <w:t xml:space="preserve"> </w:t>
      </w:r>
      <w:r w:rsidRPr="00BF3275">
        <w:rPr>
          <w:sz w:val="20"/>
          <w:szCs w:val="20"/>
        </w:rPr>
        <w:t>breasts:</w:t>
      </w:r>
      <w:r w:rsidR="00462FBD" w:rsidRPr="00BF3275">
        <w:rPr>
          <w:sz w:val="20"/>
          <w:szCs w:val="20"/>
        </w:rPr>
        <w:t xml:space="preserve"> </w:t>
      </w:r>
      <w:r w:rsidRPr="00BF3275">
        <w:rPr>
          <w:sz w:val="20"/>
          <w:szCs w:val="20"/>
        </w:rPr>
        <w:t>initial</w:t>
      </w:r>
      <w:r w:rsidR="00462FBD" w:rsidRPr="00BF3275">
        <w:rPr>
          <w:sz w:val="20"/>
          <w:szCs w:val="20"/>
        </w:rPr>
        <w:t xml:space="preserve"> </w:t>
      </w:r>
      <w:r w:rsidRPr="00BF3275">
        <w:rPr>
          <w:sz w:val="20"/>
          <w:szCs w:val="20"/>
        </w:rPr>
        <w:lastRenderedPageBreak/>
        <w:t>experience</w:t>
      </w:r>
      <w:r w:rsidR="00462FBD" w:rsidRPr="00BF3275">
        <w:rPr>
          <w:sz w:val="20"/>
          <w:szCs w:val="20"/>
        </w:rPr>
        <w:t xml:space="preserve"> </w:t>
      </w:r>
      <w:r w:rsidRPr="00BF3275">
        <w:rPr>
          <w:sz w:val="20"/>
          <w:szCs w:val="20"/>
        </w:rPr>
        <w:t>with</w:t>
      </w:r>
      <w:r w:rsidR="00462FBD" w:rsidRPr="00BF3275">
        <w:rPr>
          <w:sz w:val="20"/>
          <w:szCs w:val="20"/>
        </w:rPr>
        <w:t xml:space="preserve"> </w:t>
      </w:r>
      <w:r w:rsidRPr="00BF3275">
        <w:rPr>
          <w:sz w:val="20"/>
          <w:szCs w:val="20"/>
        </w:rPr>
        <w:t>Connecticut</w:t>
      </w:r>
      <w:r w:rsidR="00462FBD" w:rsidRPr="00BF3275">
        <w:rPr>
          <w:sz w:val="20"/>
          <w:szCs w:val="20"/>
        </w:rPr>
        <w:t xml:space="preserve"> </w:t>
      </w:r>
      <w:r w:rsidRPr="00BF3275">
        <w:rPr>
          <w:sz w:val="20"/>
          <w:szCs w:val="20"/>
        </w:rPr>
        <w:t>Public</w:t>
      </w:r>
      <w:r w:rsidR="00462FBD" w:rsidRPr="00BF3275">
        <w:rPr>
          <w:sz w:val="20"/>
          <w:szCs w:val="20"/>
        </w:rPr>
        <w:t xml:space="preserve"> </w:t>
      </w:r>
      <w:r w:rsidRPr="00BF3275">
        <w:rPr>
          <w:sz w:val="20"/>
          <w:szCs w:val="20"/>
        </w:rPr>
        <w:t>Act</w:t>
      </w:r>
      <w:r w:rsidR="00462FBD" w:rsidRPr="00BF3275">
        <w:rPr>
          <w:sz w:val="20"/>
          <w:szCs w:val="20"/>
        </w:rPr>
        <w:t xml:space="preserve"> </w:t>
      </w:r>
      <w:r w:rsidRPr="00BF3275">
        <w:rPr>
          <w:sz w:val="20"/>
          <w:szCs w:val="20"/>
        </w:rPr>
        <w:t>09-41.</w:t>
      </w:r>
      <w:r w:rsidR="00462FBD" w:rsidRPr="00BF3275">
        <w:rPr>
          <w:sz w:val="20"/>
          <w:szCs w:val="20"/>
        </w:rPr>
        <w:t xml:space="preserve"> </w:t>
      </w:r>
      <w:r w:rsidRPr="00BF3275">
        <w:rPr>
          <w:sz w:val="20"/>
          <w:szCs w:val="20"/>
        </w:rPr>
        <w:t>Radiology;</w:t>
      </w:r>
      <w:r w:rsidR="00462FBD" w:rsidRPr="00BF3275">
        <w:rPr>
          <w:sz w:val="20"/>
          <w:szCs w:val="20"/>
        </w:rPr>
        <w:t xml:space="preserve"> </w:t>
      </w:r>
      <w:r w:rsidRPr="00BF3275">
        <w:rPr>
          <w:sz w:val="20"/>
          <w:szCs w:val="20"/>
        </w:rPr>
        <w:t>265:59–69.</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Kamińska</w:t>
      </w:r>
      <w:r w:rsidR="00462FBD" w:rsidRPr="00BF3275">
        <w:rPr>
          <w:bCs/>
          <w:sz w:val="20"/>
          <w:szCs w:val="20"/>
        </w:rPr>
        <w:t xml:space="preserve"> </w:t>
      </w:r>
      <w:r w:rsidRPr="00BF3275">
        <w:rPr>
          <w:bCs/>
          <w:sz w:val="20"/>
          <w:szCs w:val="20"/>
        </w:rPr>
        <w:t>M,</w:t>
      </w:r>
      <w:r w:rsidR="00462FBD" w:rsidRPr="00BF3275">
        <w:rPr>
          <w:bCs/>
          <w:sz w:val="20"/>
          <w:szCs w:val="20"/>
        </w:rPr>
        <w:t xml:space="preserve"> </w:t>
      </w:r>
      <w:r w:rsidRPr="00BF3275">
        <w:rPr>
          <w:bCs/>
          <w:sz w:val="20"/>
          <w:szCs w:val="20"/>
        </w:rPr>
        <w:t>Ciszewski</w:t>
      </w:r>
      <w:r w:rsidR="00462FBD" w:rsidRPr="00BF3275">
        <w:rPr>
          <w:bCs/>
          <w:sz w:val="20"/>
          <w:szCs w:val="20"/>
        </w:rPr>
        <w:t xml:space="preserve"> </w:t>
      </w:r>
      <w:r w:rsidRPr="00BF3275">
        <w:rPr>
          <w:bCs/>
          <w:sz w:val="20"/>
          <w:szCs w:val="20"/>
        </w:rPr>
        <w:t>T,</w:t>
      </w:r>
      <w:r w:rsidR="00462FBD" w:rsidRPr="00BF3275">
        <w:rPr>
          <w:bCs/>
          <w:sz w:val="20"/>
          <w:szCs w:val="20"/>
        </w:rPr>
        <w:t xml:space="preserve"> </w:t>
      </w:r>
      <w:r w:rsidRPr="00BF3275">
        <w:rPr>
          <w:bCs/>
          <w:sz w:val="20"/>
          <w:szCs w:val="20"/>
        </w:rPr>
        <w:t>Łopacka-Szatan</w:t>
      </w:r>
      <w:r w:rsidR="00462FBD" w:rsidRPr="00BF3275">
        <w:rPr>
          <w:bCs/>
          <w:sz w:val="20"/>
          <w:szCs w:val="20"/>
        </w:rPr>
        <w:t xml:space="preserve"> </w:t>
      </w:r>
      <w:r w:rsidRPr="00BF3275">
        <w:rPr>
          <w:bCs/>
          <w:sz w:val="20"/>
          <w:szCs w:val="20"/>
        </w:rPr>
        <w:t>K,</w:t>
      </w:r>
      <w:r w:rsidR="00462FBD" w:rsidRPr="00BF3275">
        <w:rPr>
          <w:bCs/>
          <w:sz w:val="20"/>
          <w:szCs w:val="20"/>
        </w:rPr>
        <w:t xml:space="preserve"> </w:t>
      </w:r>
      <w:r w:rsidRPr="00BF3275">
        <w:rPr>
          <w:bCs/>
          <w:sz w:val="20"/>
          <w:szCs w:val="20"/>
        </w:rPr>
        <w:t>Miotła</w:t>
      </w:r>
      <w:r w:rsidR="00462FBD" w:rsidRPr="00BF3275">
        <w:rPr>
          <w:bCs/>
          <w:sz w:val="20"/>
          <w:szCs w:val="20"/>
        </w:rPr>
        <w:t xml:space="preserve"> </w:t>
      </w:r>
      <w:r w:rsidRPr="00BF3275">
        <w:rPr>
          <w:bCs/>
          <w:sz w:val="20"/>
          <w:szCs w:val="20"/>
        </w:rPr>
        <w:t>P,</w:t>
      </w:r>
      <w:r w:rsidR="00462FBD" w:rsidRPr="00BF3275">
        <w:rPr>
          <w:bCs/>
          <w:sz w:val="20"/>
          <w:szCs w:val="20"/>
        </w:rPr>
        <w:t xml:space="preserve"> </w:t>
      </w:r>
      <w:r w:rsidRPr="00BF3275">
        <w:rPr>
          <w:bCs/>
          <w:sz w:val="20"/>
          <w:szCs w:val="20"/>
        </w:rPr>
        <w:t>Starosławska</w:t>
      </w:r>
      <w:r w:rsidR="00462FBD" w:rsidRPr="00BF3275">
        <w:rPr>
          <w:bCs/>
          <w:sz w:val="20"/>
          <w:szCs w:val="20"/>
        </w:rPr>
        <w:t xml:space="preserve"> </w:t>
      </w:r>
      <w:r w:rsidRPr="00BF3275">
        <w:rPr>
          <w:bCs/>
          <w:sz w:val="20"/>
          <w:szCs w:val="20"/>
        </w:rPr>
        <w:t>E</w:t>
      </w:r>
      <w:r w:rsidR="00462FBD" w:rsidRPr="00BF3275">
        <w:rPr>
          <w:bCs/>
          <w:sz w:val="20"/>
          <w:szCs w:val="20"/>
        </w:rPr>
        <w:t xml:space="preserve"> </w:t>
      </w:r>
      <w:r w:rsidRPr="00BF3275">
        <w:rPr>
          <w:bCs/>
          <w:sz w:val="20"/>
          <w:szCs w:val="20"/>
        </w:rPr>
        <w:t>(2015):</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cancer</w:t>
      </w:r>
      <w:r w:rsidR="00462FBD" w:rsidRPr="00BF3275">
        <w:rPr>
          <w:sz w:val="20"/>
          <w:szCs w:val="20"/>
        </w:rPr>
        <w:t xml:space="preserve"> </w:t>
      </w:r>
      <w:r w:rsidRPr="00BF3275">
        <w:rPr>
          <w:sz w:val="20"/>
          <w:szCs w:val="20"/>
        </w:rPr>
        <w:t>risk</w:t>
      </w:r>
      <w:r w:rsidR="00462FBD" w:rsidRPr="00BF3275">
        <w:rPr>
          <w:sz w:val="20"/>
          <w:szCs w:val="20"/>
        </w:rPr>
        <w:t xml:space="preserve"> </w:t>
      </w:r>
      <w:r w:rsidRPr="00BF3275">
        <w:rPr>
          <w:sz w:val="20"/>
          <w:szCs w:val="20"/>
        </w:rPr>
        <w:t>factors.</w:t>
      </w:r>
      <w:r w:rsidR="00462FBD" w:rsidRPr="00BF3275">
        <w:rPr>
          <w:sz w:val="20"/>
          <w:szCs w:val="20"/>
        </w:rPr>
        <w:t xml:space="preserve"> </w:t>
      </w:r>
      <w:r w:rsidRPr="00BF3275">
        <w:rPr>
          <w:sz w:val="20"/>
          <w:szCs w:val="20"/>
        </w:rPr>
        <w:t>Przeglad</w:t>
      </w:r>
      <w:r w:rsidR="00462FBD" w:rsidRPr="00BF3275">
        <w:rPr>
          <w:sz w:val="20"/>
          <w:szCs w:val="20"/>
        </w:rPr>
        <w:t xml:space="preserve"> </w:t>
      </w:r>
      <w:r w:rsidRPr="00BF3275">
        <w:rPr>
          <w:sz w:val="20"/>
          <w:szCs w:val="20"/>
        </w:rPr>
        <w:t>menopauzalny=</w:t>
      </w:r>
      <w:r w:rsidR="00462FBD" w:rsidRPr="00BF3275">
        <w:rPr>
          <w:sz w:val="20"/>
          <w:szCs w:val="20"/>
        </w:rPr>
        <w:t xml:space="preserve"> </w:t>
      </w:r>
      <w:r w:rsidRPr="00BF3275">
        <w:rPr>
          <w:sz w:val="20"/>
          <w:szCs w:val="20"/>
        </w:rPr>
        <w:t>Menopause</w:t>
      </w:r>
      <w:r w:rsidR="00462FBD" w:rsidRPr="00BF3275">
        <w:rPr>
          <w:sz w:val="20"/>
          <w:szCs w:val="20"/>
        </w:rPr>
        <w:t xml:space="preserve"> </w:t>
      </w:r>
      <w:r w:rsidRPr="00BF3275">
        <w:rPr>
          <w:sz w:val="20"/>
          <w:szCs w:val="20"/>
        </w:rPr>
        <w:t>review.;</w:t>
      </w:r>
      <w:r w:rsidR="00462FBD" w:rsidRPr="00BF3275">
        <w:rPr>
          <w:sz w:val="20"/>
          <w:szCs w:val="20"/>
        </w:rPr>
        <w:t xml:space="preserve"> </w:t>
      </w:r>
      <w:r w:rsidRPr="00BF3275">
        <w:rPr>
          <w:sz w:val="20"/>
          <w:szCs w:val="20"/>
        </w:rPr>
        <w:t>14(3):196.</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Kaplan</w:t>
      </w:r>
      <w:r w:rsidR="00462FBD" w:rsidRPr="00BF3275">
        <w:rPr>
          <w:bCs/>
          <w:sz w:val="20"/>
          <w:szCs w:val="20"/>
        </w:rPr>
        <w:t xml:space="preserve"> </w:t>
      </w:r>
      <w:r w:rsidRPr="00BF3275">
        <w:rPr>
          <w:bCs/>
          <w:sz w:val="20"/>
          <w:szCs w:val="20"/>
        </w:rPr>
        <w:t>SS</w:t>
      </w:r>
      <w:r w:rsidR="00462FBD" w:rsidRPr="00BF3275">
        <w:rPr>
          <w:bCs/>
          <w:sz w:val="20"/>
          <w:szCs w:val="20"/>
        </w:rPr>
        <w:t xml:space="preserve"> </w:t>
      </w:r>
      <w:r w:rsidRPr="00BF3275">
        <w:rPr>
          <w:bCs/>
          <w:sz w:val="20"/>
          <w:szCs w:val="20"/>
        </w:rPr>
        <w:t>(2001):</w:t>
      </w:r>
      <w:r w:rsidR="00462FBD" w:rsidRPr="00BF3275">
        <w:rPr>
          <w:sz w:val="20"/>
          <w:szCs w:val="20"/>
        </w:rPr>
        <w:t xml:space="preserve"> </w:t>
      </w:r>
      <w:r w:rsidRPr="00BF3275">
        <w:rPr>
          <w:sz w:val="20"/>
          <w:szCs w:val="20"/>
        </w:rPr>
        <w:t>Clinical</w:t>
      </w:r>
      <w:r w:rsidR="00462FBD" w:rsidRPr="00BF3275">
        <w:rPr>
          <w:sz w:val="20"/>
          <w:szCs w:val="20"/>
        </w:rPr>
        <w:t xml:space="preserve"> </w:t>
      </w:r>
      <w:r w:rsidRPr="00BF3275">
        <w:rPr>
          <w:sz w:val="20"/>
          <w:szCs w:val="20"/>
        </w:rPr>
        <w:t>utility</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bilateral</w:t>
      </w:r>
      <w:r w:rsidR="00462FBD" w:rsidRPr="00BF3275">
        <w:rPr>
          <w:sz w:val="20"/>
          <w:szCs w:val="20"/>
        </w:rPr>
        <w:t xml:space="preserve"> </w:t>
      </w:r>
      <w:r w:rsidR="00BF3275" w:rsidRPr="00BF3275">
        <w:rPr>
          <w:sz w:val="20"/>
          <w:szCs w:val="20"/>
        </w:rPr>
        <w:t>whole breast</w:t>
      </w:r>
      <w:r w:rsidR="00462FBD" w:rsidRPr="00BF3275">
        <w:rPr>
          <w:sz w:val="20"/>
          <w:szCs w:val="20"/>
        </w:rPr>
        <w:t xml:space="preserve"> </w:t>
      </w:r>
      <w:r w:rsidRPr="00BF3275">
        <w:rPr>
          <w:sz w:val="20"/>
          <w:szCs w:val="20"/>
        </w:rPr>
        <w:t>US</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evaluation</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women</w:t>
      </w:r>
      <w:r w:rsidR="00462FBD" w:rsidRPr="00BF3275">
        <w:rPr>
          <w:sz w:val="20"/>
          <w:szCs w:val="20"/>
        </w:rPr>
        <w:t xml:space="preserve"> </w:t>
      </w:r>
      <w:r w:rsidRPr="00BF3275">
        <w:rPr>
          <w:sz w:val="20"/>
          <w:szCs w:val="20"/>
        </w:rPr>
        <w:t>with</w:t>
      </w:r>
      <w:r w:rsidR="00462FBD" w:rsidRPr="00BF3275">
        <w:rPr>
          <w:sz w:val="20"/>
          <w:szCs w:val="20"/>
        </w:rPr>
        <w:t xml:space="preserve"> </w:t>
      </w:r>
      <w:r w:rsidRPr="00BF3275">
        <w:rPr>
          <w:sz w:val="20"/>
          <w:szCs w:val="20"/>
        </w:rPr>
        <w:t>dense</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tissue.</w:t>
      </w:r>
      <w:r w:rsidR="00462FBD" w:rsidRPr="00BF3275">
        <w:rPr>
          <w:sz w:val="20"/>
          <w:szCs w:val="20"/>
        </w:rPr>
        <w:t xml:space="preserve"> </w:t>
      </w:r>
      <w:r w:rsidRPr="00BF3275">
        <w:rPr>
          <w:sz w:val="20"/>
          <w:szCs w:val="20"/>
        </w:rPr>
        <w:t>Radiology;</w:t>
      </w:r>
      <w:r w:rsidR="00462FBD" w:rsidRPr="00BF3275">
        <w:rPr>
          <w:sz w:val="20"/>
          <w:szCs w:val="20"/>
        </w:rPr>
        <w:t xml:space="preserve"> </w:t>
      </w:r>
      <w:r w:rsidRPr="00BF3275">
        <w:rPr>
          <w:sz w:val="20"/>
          <w:szCs w:val="20"/>
        </w:rPr>
        <w:t>221(3):</w:t>
      </w:r>
      <w:r w:rsidR="00462FBD" w:rsidRPr="00BF3275">
        <w:rPr>
          <w:sz w:val="20"/>
          <w:szCs w:val="20"/>
        </w:rPr>
        <w:t xml:space="preserve"> </w:t>
      </w:r>
      <w:r w:rsidRPr="00BF3275">
        <w:rPr>
          <w:sz w:val="20"/>
          <w:szCs w:val="20"/>
        </w:rPr>
        <w:t>641–649.</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Kopans</w:t>
      </w:r>
      <w:r w:rsidR="00462FBD" w:rsidRPr="00BF3275">
        <w:rPr>
          <w:bCs/>
          <w:sz w:val="20"/>
          <w:szCs w:val="20"/>
        </w:rPr>
        <w:t xml:space="preserve"> </w:t>
      </w:r>
      <w:r w:rsidRPr="00BF3275">
        <w:rPr>
          <w:bCs/>
          <w:sz w:val="20"/>
          <w:szCs w:val="20"/>
        </w:rPr>
        <w:t>DB</w:t>
      </w:r>
      <w:r w:rsidR="00462FBD" w:rsidRPr="00BF3275">
        <w:rPr>
          <w:bCs/>
          <w:sz w:val="20"/>
          <w:szCs w:val="20"/>
        </w:rPr>
        <w:t xml:space="preserve"> </w:t>
      </w:r>
      <w:r w:rsidRPr="00BF3275">
        <w:rPr>
          <w:bCs/>
          <w:sz w:val="20"/>
          <w:szCs w:val="20"/>
        </w:rPr>
        <w:t>(2004):</w:t>
      </w:r>
      <w:r w:rsidR="00462FBD" w:rsidRPr="00BF3275">
        <w:rPr>
          <w:sz w:val="20"/>
          <w:szCs w:val="20"/>
        </w:rPr>
        <w:t xml:space="preserve"> </w:t>
      </w:r>
      <w:r w:rsidRPr="00BF3275">
        <w:rPr>
          <w:sz w:val="20"/>
          <w:szCs w:val="20"/>
        </w:rPr>
        <w:t>Sonography</w:t>
      </w:r>
      <w:r w:rsidR="00462FBD" w:rsidRPr="00BF3275">
        <w:rPr>
          <w:sz w:val="20"/>
          <w:szCs w:val="20"/>
        </w:rPr>
        <w:t xml:space="preserve"> </w:t>
      </w:r>
      <w:r w:rsidRPr="00BF3275">
        <w:rPr>
          <w:sz w:val="20"/>
          <w:szCs w:val="20"/>
        </w:rPr>
        <w:t>should</w:t>
      </w:r>
      <w:r w:rsidR="00462FBD" w:rsidRPr="00BF3275">
        <w:rPr>
          <w:sz w:val="20"/>
          <w:szCs w:val="20"/>
        </w:rPr>
        <w:t xml:space="preserve"> </w:t>
      </w:r>
      <w:r w:rsidRPr="00BF3275">
        <w:rPr>
          <w:sz w:val="20"/>
          <w:szCs w:val="20"/>
        </w:rPr>
        <w:t>not</w:t>
      </w:r>
      <w:r w:rsidR="00462FBD" w:rsidRPr="00BF3275">
        <w:rPr>
          <w:sz w:val="20"/>
          <w:szCs w:val="20"/>
        </w:rPr>
        <w:t xml:space="preserve"> </w:t>
      </w:r>
      <w:r w:rsidRPr="00BF3275">
        <w:rPr>
          <w:sz w:val="20"/>
          <w:szCs w:val="20"/>
        </w:rPr>
        <w:t>be</w:t>
      </w:r>
      <w:r w:rsidR="00462FBD" w:rsidRPr="00BF3275">
        <w:rPr>
          <w:sz w:val="20"/>
          <w:szCs w:val="20"/>
        </w:rPr>
        <w:t xml:space="preserve"> </w:t>
      </w:r>
      <w:r w:rsidRPr="00BF3275">
        <w:rPr>
          <w:sz w:val="20"/>
          <w:szCs w:val="20"/>
        </w:rPr>
        <w:t>used</w:t>
      </w:r>
      <w:r w:rsidR="00462FBD" w:rsidRPr="00BF3275">
        <w:rPr>
          <w:sz w:val="20"/>
          <w:szCs w:val="20"/>
        </w:rPr>
        <w:t xml:space="preserve"> </w:t>
      </w:r>
      <w:r w:rsidRPr="00BF3275">
        <w:rPr>
          <w:sz w:val="20"/>
          <w:szCs w:val="20"/>
        </w:rPr>
        <w:t>for</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cancer</w:t>
      </w:r>
      <w:r w:rsidR="00462FBD" w:rsidRPr="00BF3275">
        <w:rPr>
          <w:sz w:val="20"/>
          <w:szCs w:val="20"/>
        </w:rPr>
        <w:t xml:space="preserve"> </w:t>
      </w:r>
      <w:r w:rsidRPr="00BF3275">
        <w:rPr>
          <w:sz w:val="20"/>
          <w:szCs w:val="20"/>
        </w:rPr>
        <w:t>screening</w:t>
      </w:r>
      <w:r w:rsidR="00462FBD" w:rsidRPr="00BF3275">
        <w:rPr>
          <w:sz w:val="20"/>
          <w:szCs w:val="20"/>
        </w:rPr>
        <w:t xml:space="preserve"> </w:t>
      </w:r>
      <w:r w:rsidRPr="00BF3275">
        <w:rPr>
          <w:sz w:val="20"/>
          <w:szCs w:val="20"/>
        </w:rPr>
        <w:t>until</w:t>
      </w:r>
      <w:r w:rsidR="00462FBD" w:rsidRPr="00BF3275">
        <w:rPr>
          <w:sz w:val="20"/>
          <w:szCs w:val="20"/>
        </w:rPr>
        <w:t xml:space="preserve"> </w:t>
      </w:r>
      <w:r w:rsidRPr="00BF3275">
        <w:rPr>
          <w:sz w:val="20"/>
          <w:szCs w:val="20"/>
        </w:rPr>
        <w:t>its</w:t>
      </w:r>
      <w:r w:rsidR="00462FBD" w:rsidRPr="00BF3275">
        <w:rPr>
          <w:sz w:val="20"/>
          <w:szCs w:val="20"/>
        </w:rPr>
        <w:t xml:space="preserve"> </w:t>
      </w:r>
      <w:r w:rsidRPr="00BF3275">
        <w:rPr>
          <w:sz w:val="20"/>
          <w:szCs w:val="20"/>
        </w:rPr>
        <w:t>efficacy</w:t>
      </w:r>
      <w:r w:rsidR="00462FBD" w:rsidRPr="00BF3275">
        <w:rPr>
          <w:sz w:val="20"/>
          <w:szCs w:val="20"/>
        </w:rPr>
        <w:t xml:space="preserve"> </w:t>
      </w:r>
      <w:r w:rsidRPr="00BF3275">
        <w:rPr>
          <w:sz w:val="20"/>
          <w:szCs w:val="20"/>
        </w:rPr>
        <w:t>has</w:t>
      </w:r>
      <w:r w:rsidR="00462FBD" w:rsidRPr="00BF3275">
        <w:rPr>
          <w:sz w:val="20"/>
          <w:szCs w:val="20"/>
        </w:rPr>
        <w:t xml:space="preserve"> </w:t>
      </w:r>
      <w:r w:rsidRPr="00BF3275">
        <w:rPr>
          <w:sz w:val="20"/>
          <w:szCs w:val="20"/>
        </w:rPr>
        <w:t>been</w:t>
      </w:r>
      <w:r w:rsidR="00462FBD" w:rsidRPr="00BF3275">
        <w:rPr>
          <w:sz w:val="20"/>
          <w:szCs w:val="20"/>
        </w:rPr>
        <w:t xml:space="preserve"> </w:t>
      </w:r>
      <w:r w:rsidRPr="00BF3275">
        <w:rPr>
          <w:sz w:val="20"/>
          <w:szCs w:val="20"/>
        </w:rPr>
        <w:t>proven</w:t>
      </w:r>
      <w:r w:rsidR="00462FBD" w:rsidRPr="00BF3275">
        <w:rPr>
          <w:sz w:val="20"/>
          <w:szCs w:val="20"/>
        </w:rPr>
        <w:t xml:space="preserve"> </w:t>
      </w:r>
      <w:r w:rsidRPr="00BF3275">
        <w:rPr>
          <w:sz w:val="20"/>
          <w:szCs w:val="20"/>
        </w:rPr>
        <w:t>scientifically.</w:t>
      </w:r>
      <w:r w:rsidR="00462FBD" w:rsidRPr="00BF3275">
        <w:rPr>
          <w:sz w:val="20"/>
          <w:szCs w:val="20"/>
        </w:rPr>
        <w:t xml:space="preserve"> </w:t>
      </w:r>
      <w:r w:rsidRPr="00BF3275">
        <w:rPr>
          <w:sz w:val="20"/>
          <w:szCs w:val="20"/>
        </w:rPr>
        <w:t>AJR</w:t>
      </w:r>
      <w:r w:rsidR="00462FBD" w:rsidRPr="00BF3275">
        <w:rPr>
          <w:sz w:val="20"/>
          <w:szCs w:val="20"/>
        </w:rPr>
        <w:t xml:space="preserve"> </w:t>
      </w:r>
      <w:r w:rsidRPr="00BF3275">
        <w:rPr>
          <w:sz w:val="20"/>
          <w:szCs w:val="20"/>
        </w:rPr>
        <w:t>Am</w:t>
      </w:r>
      <w:r w:rsidR="00462FBD" w:rsidRPr="00BF3275">
        <w:rPr>
          <w:sz w:val="20"/>
          <w:szCs w:val="20"/>
        </w:rPr>
        <w:t xml:space="preserve"> </w:t>
      </w:r>
      <w:r w:rsidRPr="00BF3275">
        <w:rPr>
          <w:sz w:val="20"/>
          <w:szCs w:val="20"/>
        </w:rPr>
        <w:t>J</w:t>
      </w:r>
      <w:r w:rsidR="00462FBD" w:rsidRPr="00BF3275">
        <w:rPr>
          <w:sz w:val="20"/>
          <w:szCs w:val="20"/>
        </w:rPr>
        <w:t xml:space="preserve"> </w:t>
      </w:r>
      <w:r w:rsidRPr="00BF3275">
        <w:rPr>
          <w:sz w:val="20"/>
          <w:szCs w:val="20"/>
        </w:rPr>
        <w:t>Roentgenol;</w:t>
      </w:r>
      <w:r w:rsidR="00462FBD" w:rsidRPr="00BF3275">
        <w:rPr>
          <w:sz w:val="20"/>
          <w:szCs w:val="20"/>
        </w:rPr>
        <w:t xml:space="preserve"> </w:t>
      </w:r>
      <w:r w:rsidRPr="00BF3275">
        <w:rPr>
          <w:sz w:val="20"/>
          <w:szCs w:val="20"/>
        </w:rPr>
        <w:t>182(2):489–491.</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Lindegren</w:t>
      </w:r>
      <w:r w:rsidR="00462FBD" w:rsidRPr="00BF3275">
        <w:rPr>
          <w:bCs/>
          <w:sz w:val="20"/>
          <w:szCs w:val="20"/>
        </w:rPr>
        <w:t xml:space="preserve"> </w:t>
      </w:r>
      <w:r w:rsidRPr="00BF3275">
        <w:rPr>
          <w:bCs/>
          <w:sz w:val="20"/>
          <w:szCs w:val="20"/>
        </w:rPr>
        <w:t>L,</w:t>
      </w:r>
      <w:r w:rsidR="00462FBD" w:rsidRPr="00BF3275">
        <w:rPr>
          <w:bCs/>
          <w:sz w:val="20"/>
          <w:szCs w:val="20"/>
        </w:rPr>
        <w:t xml:space="preserve"> </w:t>
      </w:r>
      <w:r w:rsidRPr="00BF3275">
        <w:rPr>
          <w:bCs/>
          <w:sz w:val="20"/>
          <w:szCs w:val="20"/>
        </w:rPr>
        <w:t>Stuart</w:t>
      </w:r>
      <w:r w:rsidR="00462FBD" w:rsidRPr="00BF3275">
        <w:rPr>
          <w:bCs/>
          <w:sz w:val="20"/>
          <w:szCs w:val="20"/>
        </w:rPr>
        <w:t xml:space="preserve"> </w:t>
      </w:r>
      <w:r w:rsidRPr="00BF3275">
        <w:rPr>
          <w:bCs/>
          <w:sz w:val="20"/>
          <w:szCs w:val="20"/>
        </w:rPr>
        <w:t>A,</w:t>
      </w:r>
      <w:r w:rsidR="00462FBD" w:rsidRPr="00BF3275">
        <w:rPr>
          <w:bCs/>
          <w:sz w:val="20"/>
          <w:szCs w:val="20"/>
        </w:rPr>
        <w:t xml:space="preserve"> </w:t>
      </w:r>
      <w:r w:rsidRPr="00BF3275">
        <w:rPr>
          <w:bCs/>
          <w:sz w:val="20"/>
          <w:szCs w:val="20"/>
        </w:rPr>
        <w:t>Herbst</w:t>
      </w:r>
      <w:r w:rsidR="00462FBD" w:rsidRPr="00BF3275">
        <w:rPr>
          <w:bCs/>
          <w:sz w:val="20"/>
          <w:szCs w:val="20"/>
        </w:rPr>
        <w:t xml:space="preserve"> </w:t>
      </w:r>
      <w:r w:rsidRPr="00BF3275">
        <w:rPr>
          <w:bCs/>
          <w:sz w:val="20"/>
          <w:szCs w:val="20"/>
        </w:rPr>
        <w:t>A,</w:t>
      </w:r>
      <w:r w:rsidR="00462FBD" w:rsidRPr="00BF3275">
        <w:rPr>
          <w:bCs/>
          <w:sz w:val="20"/>
          <w:szCs w:val="20"/>
        </w:rPr>
        <w:t xml:space="preserve"> </w:t>
      </w:r>
      <w:r w:rsidRPr="00BF3275">
        <w:rPr>
          <w:bCs/>
          <w:sz w:val="20"/>
          <w:szCs w:val="20"/>
        </w:rPr>
        <w:t>Källén</w:t>
      </w:r>
      <w:r w:rsidR="00462FBD" w:rsidRPr="00BF3275">
        <w:rPr>
          <w:bCs/>
          <w:sz w:val="20"/>
          <w:szCs w:val="20"/>
        </w:rPr>
        <w:t xml:space="preserve"> </w:t>
      </w:r>
      <w:r w:rsidRPr="00BF3275">
        <w:rPr>
          <w:bCs/>
          <w:sz w:val="20"/>
          <w:szCs w:val="20"/>
        </w:rPr>
        <w:t>K</w:t>
      </w:r>
      <w:r w:rsidR="00462FBD" w:rsidRPr="00BF3275">
        <w:rPr>
          <w:bCs/>
          <w:sz w:val="20"/>
          <w:szCs w:val="20"/>
        </w:rPr>
        <w:t xml:space="preserve"> </w:t>
      </w:r>
      <w:r w:rsidRPr="00BF3275">
        <w:rPr>
          <w:bCs/>
          <w:sz w:val="20"/>
          <w:szCs w:val="20"/>
        </w:rPr>
        <w:t>(2017):</w:t>
      </w:r>
      <w:r w:rsidR="00462FBD" w:rsidRPr="00BF3275">
        <w:rPr>
          <w:sz w:val="20"/>
          <w:szCs w:val="20"/>
        </w:rPr>
        <w:t xml:space="preserve"> </w:t>
      </w:r>
      <w:r w:rsidRPr="00BF3275">
        <w:rPr>
          <w:sz w:val="20"/>
          <w:szCs w:val="20"/>
        </w:rPr>
        <w:t>Improved</w:t>
      </w:r>
      <w:r w:rsidR="00462FBD" w:rsidRPr="00BF3275">
        <w:rPr>
          <w:sz w:val="20"/>
          <w:szCs w:val="20"/>
        </w:rPr>
        <w:t xml:space="preserve"> </w:t>
      </w:r>
      <w:r w:rsidRPr="00BF3275">
        <w:rPr>
          <w:sz w:val="20"/>
          <w:szCs w:val="20"/>
        </w:rPr>
        <w:t>neonatal</w:t>
      </w:r>
      <w:r w:rsidR="00462FBD" w:rsidRPr="00BF3275">
        <w:rPr>
          <w:sz w:val="20"/>
          <w:szCs w:val="20"/>
        </w:rPr>
        <w:t xml:space="preserve"> </w:t>
      </w:r>
      <w:r w:rsidRPr="00BF3275">
        <w:rPr>
          <w:sz w:val="20"/>
          <w:szCs w:val="20"/>
        </w:rPr>
        <w:t>outcome</w:t>
      </w:r>
      <w:r w:rsidR="00462FBD" w:rsidRPr="00BF3275">
        <w:rPr>
          <w:sz w:val="20"/>
          <w:szCs w:val="20"/>
        </w:rPr>
        <w:t xml:space="preserve"> </w:t>
      </w:r>
      <w:r w:rsidRPr="00BF3275">
        <w:rPr>
          <w:sz w:val="20"/>
          <w:szCs w:val="20"/>
        </w:rPr>
        <w:t>after</w:t>
      </w:r>
      <w:r w:rsidR="00462FBD" w:rsidRPr="00BF3275">
        <w:rPr>
          <w:sz w:val="20"/>
          <w:szCs w:val="20"/>
        </w:rPr>
        <w:t xml:space="preserve"> </w:t>
      </w:r>
      <w:r w:rsidRPr="00BF3275">
        <w:rPr>
          <w:sz w:val="20"/>
          <w:szCs w:val="20"/>
        </w:rPr>
        <w:t>active</w:t>
      </w:r>
      <w:r w:rsidR="00462FBD" w:rsidRPr="00BF3275">
        <w:rPr>
          <w:sz w:val="20"/>
          <w:szCs w:val="20"/>
        </w:rPr>
        <w:t xml:space="preserve"> </w:t>
      </w:r>
      <w:r w:rsidRPr="00BF3275">
        <w:rPr>
          <w:sz w:val="20"/>
          <w:szCs w:val="20"/>
        </w:rPr>
        <w:t>management</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prolonged</w:t>
      </w:r>
      <w:r w:rsidR="00462FBD" w:rsidRPr="00BF3275">
        <w:rPr>
          <w:sz w:val="20"/>
          <w:szCs w:val="20"/>
        </w:rPr>
        <w:t xml:space="preserve"> </w:t>
      </w:r>
      <w:r w:rsidRPr="00BF3275">
        <w:rPr>
          <w:sz w:val="20"/>
          <w:szCs w:val="20"/>
        </w:rPr>
        <w:t>pregnancies</w:t>
      </w:r>
      <w:r w:rsidR="00462FBD" w:rsidRPr="00BF3275">
        <w:rPr>
          <w:sz w:val="20"/>
          <w:szCs w:val="20"/>
        </w:rPr>
        <w:t xml:space="preserve"> </w:t>
      </w:r>
      <w:r w:rsidRPr="00BF3275">
        <w:rPr>
          <w:sz w:val="20"/>
          <w:szCs w:val="20"/>
        </w:rPr>
        <w:t>beyond</w:t>
      </w:r>
      <w:r w:rsidR="00462FBD" w:rsidRPr="00BF3275">
        <w:rPr>
          <w:sz w:val="20"/>
          <w:szCs w:val="20"/>
        </w:rPr>
        <w:t xml:space="preserve"> </w:t>
      </w:r>
      <w:r w:rsidRPr="00BF3275">
        <w:rPr>
          <w:sz w:val="20"/>
          <w:szCs w:val="20"/>
        </w:rPr>
        <w:t>41+</w:t>
      </w:r>
      <w:r w:rsidR="00462FBD" w:rsidRPr="00BF3275">
        <w:rPr>
          <w:sz w:val="20"/>
          <w:szCs w:val="20"/>
        </w:rPr>
        <w:t xml:space="preserve"> </w:t>
      </w:r>
      <w:r w:rsidRPr="00BF3275">
        <w:rPr>
          <w:sz w:val="20"/>
          <w:szCs w:val="20"/>
        </w:rPr>
        <w:t>2</w:t>
      </w:r>
      <w:r w:rsidR="00462FBD" w:rsidRPr="00BF3275">
        <w:rPr>
          <w:sz w:val="20"/>
          <w:szCs w:val="20"/>
        </w:rPr>
        <w:t xml:space="preserve"> </w:t>
      </w:r>
      <w:r w:rsidRPr="00BF3275">
        <w:rPr>
          <w:sz w:val="20"/>
          <w:szCs w:val="20"/>
        </w:rPr>
        <w:t>weeks</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nulliparous,</w:t>
      </w:r>
      <w:r w:rsidR="00462FBD" w:rsidRPr="00BF3275">
        <w:rPr>
          <w:sz w:val="20"/>
          <w:szCs w:val="20"/>
        </w:rPr>
        <w:t xml:space="preserve"> </w:t>
      </w:r>
      <w:r w:rsidRPr="00BF3275">
        <w:rPr>
          <w:sz w:val="20"/>
          <w:szCs w:val="20"/>
        </w:rPr>
        <w:t>but</w:t>
      </w:r>
      <w:r w:rsidR="00462FBD" w:rsidRPr="00BF3275">
        <w:rPr>
          <w:sz w:val="20"/>
          <w:szCs w:val="20"/>
        </w:rPr>
        <w:t xml:space="preserve"> </w:t>
      </w:r>
      <w:r w:rsidRPr="00BF3275">
        <w:rPr>
          <w:sz w:val="20"/>
          <w:szCs w:val="20"/>
        </w:rPr>
        <w:t>not</w:t>
      </w:r>
      <w:r w:rsidR="00462FBD" w:rsidRPr="00BF3275">
        <w:rPr>
          <w:sz w:val="20"/>
          <w:szCs w:val="20"/>
        </w:rPr>
        <w:t xml:space="preserve"> </w:t>
      </w:r>
      <w:r w:rsidRPr="00BF3275">
        <w:rPr>
          <w:sz w:val="20"/>
          <w:szCs w:val="20"/>
        </w:rPr>
        <w:t>among</w:t>
      </w:r>
      <w:r w:rsidR="00462FBD" w:rsidRPr="00BF3275">
        <w:rPr>
          <w:sz w:val="20"/>
          <w:szCs w:val="20"/>
        </w:rPr>
        <w:t xml:space="preserve"> </w:t>
      </w:r>
      <w:r w:rsidRPr="00BF3275">
        <w:rPr>
          <w:sz w:val="20"/>
          <w:szCs w:val="20"/>
        </w:rPr>
        <w:t>multiparous</w:t>
      </w:r>
      <w:r w:rsidR="00462FBD" w:rsidRPr="00BF3275">
        <w:rPr>
          <w:sz w:val="20"/>
          <w:szCs w:val="20"/>
        </w:rPr>
        <w:t xml:space="preserve"> </w:t>
      </w:r>
      <w:r w:rsidRPr="00BF3275">
        <w:rPr>
          <w:sz w:val="20"/>
          <w:szCs w:val="20"/>
        </w:rPr>
        <w:t>women.</w:t>
      </w:r>
      <w:r w:rsidR="00462FBD" w:rsidRPr="00BF3275">
        <w:rPr>
          <w:sz w:val="20"/>
          <w:szCs w:val="20"/>
        </w:rPr>
        <w:t xml:space="preserve"> </w:t>
      </w:r>
      <w:r w:rsidRPr="00BF3275">
        <w:rPr>
          <w:sz w:val="20"/>
          <w:szCs w:val="20"/>
        </w:rPr>
        <w:t>Acta</w:t>
      </w:r>
      <w:r w:rsidR="00462FBD" w:rsidRPr="00BF3275">
        <w:rPr>
          <w:sz w:val="20"/>
          <w:szCs w:val="20"/>
        </w:rPr>
        <w:t xml:space="preserve"> </w:t>
      </w:r>
      <w:r w:rsidRPr="00BF3275">
        <w:rPr>
          <w:sz w:val="20"/>
          <w:szCs w:val="20"/>
        </w:rPr>
        <w:t>obstetricia</w:t>
      </w:r>
      <w:r w:rsidR="00462FBD" w:rsidRPr="00BF3275">
        <w:rPr>
          <w:sz w:val="20"/>
          <w:szCs w:val="20"/>
        </w:rPr>
        <w:t xml:space="preserve"> </w:t>
      </w:r>
      <w:r w:rsidRPr="00BF3275">
        <w:rPr>
          <w:sz w:val="20"/>
          <w:szCs w:val="20"/>
        </w:rPr>
        <w:t>et</w:t>
      </w:r>
      <w:r w:rsidR="00462FBD" w:rsidRPr="00BF3275">
        <w:rPr>
          <w:sz w:val="20"/>
          <w:szCs w:val="20"/>
        </w:rPr>
        <w:t xml:space="preserve"> </w:t>
      </w:r>
      <w:r w:rsidRPr="00BF3275">
        <w:rPr>
          <w:sz w:val="20"/>
          <w:szCs w:val="20"/>
        </w:rPr>
        <w:t>gynecologica</w:t>
      </w:r>
      <w:r w:rsidR="00462FBD" w:rsidRPr="00BF3275">
        <w:rPr>
          <w:sz w:val="20"/>
          <w:szCs w:val="20"/>
        </w:rPr>
        <w:t xml:space="preserve"> </w:t>
      </w:r>
      <w:r w:rsidRPr="00BF3275">
        <w:rPr>
          <w:sz w:val="20"/>
          <w:szCs w:val="20"/>
        </w:rPr>
        <w:t>Scandinavica;</w:t>
      </w:r>
      <w:r w:rsidR="00462FBD" w:rsidRPr="00BF3275">
        <w:rPr>
          <w:sz w:val="20"/>
          <w:szCs w:val="20"/>
        </w:rPr>
        <w:t xml:space="preserve"> </w:t>
      </w:r>
      <w:r w:rsidRPr="00BF3275">
        <w:rPr>
          <w:sz w:val="20"/>
          <w:szCs w:val="20"/>
        </w:rPr>
        <w:t>96(12):1467-74.</w:t>
      </w:r>
    </w:p>
    <w:p w:rsidR="00DE2288"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Madjar</w:t>
      </w:r>
      <w:r w:rsidR="00462FBD" w:rsidRPr="00BF3275">
        <w:rPr>
          <w:bCs/>
          <w:sz w:val="20"/>
          <w:szCs w:val="20"/>
        </w:rPr>
        <w:t xml:space="preserve"> </w:t>
      </w:r>
      <w:r w:rsidRPr="00BF3275">
        <w:rPr>
          <w:bCs/>
          <w:sz w:val="20"/>
          <w:szCs w:val="20"/>
        </w:rPr>
        <w:t>H,</w:t>
      </w:r>
      <w:r w:rsidR="00462FBD" w:rsidRPr="00BF3275">
        <w:rPr>
          <w:bCs/>
          <w:sz w:val="20"/>
          <w:szCs w:val="20"/>
        </w:rPr>
        <w:t xml:space="preserve"> </w:t>
      </w:r>
      <w:r w:rsidRPr="00BF3275">
        <w:rPr>
          <w:bCs/>
          <w:sz w:val="20"/>
          <w:szCs w:val="20"/>
        </w:rPr>
        <w:t>Becker</w:t>
      </w:r>
      <w:r w:rsidR="00462FBD" w:rsidRPr="00BF3275">
        <w:rPr>
          <w:bCs/>
          <w:sz w:val="20"/>
          <w:szCs w:val="20"/>
        </w:rPr>
        <w:t xml:space="preserve"> </w:t>
      </w:r>
      <w:r w:rsidRPr="00BF3275">
        <w:rPr>
          <w:bCs/>
          <w:sz w:val="20"/>
          <w:szCs w:val="20"/>
        </w:rPr>
        <w:t>S,</w:t>
      </w:r>
      <w:r w:rsidR="00462FBD" w:rsidRPr="00BF3275">
        <w:rPr>
          <w:bCs/>
          <w:sz w:val="20"/>
          <w:szCs w:val="20"/>
        </w:rPr>
        <w:t xml:space="preserve"> </w:t>
      </w:r>
      <w:r w:rsidRPr="00BF3275">
        <w:rPr>
          <w:bCs/>
          <w:sz w:val="20"/>
          <w:szCs w:val="20"/>
        </w:rPr>
        <w:t>Doubeck</w:t>
      </w:r>
      <w:r w:rsidR="00462FBD" w:rsidRPr="00BF3275">
        <w:rPr>
          <w:bCs/>
          <w:sz w:val="20"/>
          <w:szCs w:val="20"/>
        </w:rPr>
        <w:t xml:space="preserve"> </w:t>
      </w:r>
      <w:r w:rsidRPr="00BF3275">
        <w:rPr>
          <w:bCs/>
          <w:sz w:val="20"/>
          <w:szCs w:val="20"/>
        </w:rPr>
        <w:t>T</w:t>
      </w:r>
      <w:r w:rsidR="00462FBD" w:rsidRPr="00BF3275">
        <w:rPr>
          <w:bCs/>
          <w:sz w:val="20"/>
          <w:szCs w:val="20"/>
        </w:rPr>
        <w:t xml:space="preserve"> </w:t>
      </w:r>
      <w:r w:rsidRPr="00BF3275">
        <w:rPr>
          <w:bCs/>
          <w:sz w:val="20"/>
          <w:szCs w:val="20"/>
        </w:rPr>
        <w:t>et</w:t>
      </w:r>
      <w:r w:rsidR="00462FBD" w:rsidRPr="00BF3275">
        <w:rPr>
          <w:bCs/>
          <w:sz w:val="20"/>
          <w:szCs w:val="20"/>
        </w:rPr>
        <w:t xml:space="preserve"> </w:t>
      </w:r>
      <w:r w:rsidRPr="00BF3275">
        <w:rPr>
          <w:bCs/>
          <w:sz w:val="20"/>
          <w:szCs w:val="20"/>
        </w:rPr>
        <w:t>al</w:t>
      </w:r>
      <w:r w:rsidR="00462FBD" w:rsidRPr="00BF3275">
        <w:rPr>
          <w:bCs/>
          <w:sz w:val="20"/>
          <w:szCs w:val="20"/>
        </w:rPr>
        <w:t xml:space="preserve"> </w:t>
      </w:r>
      <w:r w:rsidRPr="00BF3275">
        <w:rPr>
          <w:bCs/>
          <w:sz w:val="20"/>
          <w:szCs w:val="20"/>
        </w:rPr>
        <w:t>(2010):</w:t>
      </w:r>
      <w:r w:rsidR="00462FBD" w:rsidRPr="00BF3275">
        <w:rPr>
          <w:bCs/>
          <w:sz w:val="20"/>
          <w:szCs w:val="20"/>
        </w:rPr>
        <w:t xml:space="preserve"> </w:t>
      </w:r>
      <w:r w:rsidRPr="00BF3275">
        <w:rPr>
          <w:sz w:val="20"/>
          <w:szCs w:val="20"/>
        </w:rPr>
        <w:t>Impact</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ultrasound</w:t>
      </w:r>
      <w:r w:rsidR="00462FBD" w:rsidRPr="00BF3275">
        <w:rPr>
          <w:sz w:val="20"/>
          <w:szCs w:val="20"/>
        </w:rPr>
        <w:t xml:space="preserve"> </w:t>
      </w:r>
      <w:r w:rsidRPr="00BF3275">
        <w:rPr>
          <w:sz w:val="20"/>
          <w:szCs w:val="20"/>
        </w:rPr>
        <w:t>screening</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lastRenderedPageBreak/>
        <w:t>gynecological</w:t>
      </w:r>
      <w:r w:rsidR="00462FBD" w:rsidRPr="00BF3275">
        <w:rPr>
          <w:sz w:val="20"/>
          <w:szCs w:val="20"/>
        </w:rPr>
        <w:t xml:space="preserve"> </w:t>
      </w:r>
      <w:r w:rsidRPr="00BF3275">
        <w:rPr>
          <w:sz w:val="20"/>
          <w:szCs w:val="20"/>
        </w:rPr>
        <w:t>practice.</w:t>
      </w:r>
      <w:r w:rsidR="00462FBD" w:rsidRPr="00BF3275">
        <w:rPr>
          <w:sz w:val="20"/>
          <w:szCs w:val="20"/>
        </w:rPr>
        <w:t xml:space="preserve"> </w:t>
      </w:r>
      <w:r w:rsidRPr="00BF3275">
        <w:rPr>
          <w:sz w:val="20"/>
          <w:szCs w:val="20"/>
        </w:rPr>
        <w:t>Ultraschall</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Med</w:t>
      </w:r>
      <w:r w:rsidR="00462FBD" w:rsidRPr="00BF3275">
        <w:rPr>
          <w:sz w:val="20"/>
          <w:szCs w:val="20"/>
        </w:rPr>
        <w:t xml:space="preserve"> </w:t>
      </w:r>
      <w:r w:rsidRPr="00BF3275">
        <w:rPr>
          <w:sz w:val="20"/>
          <w:szCs w:val="20"/>
        </w:rPr>
        <w:t>2010;</w:t>
      </w:r>
      <w:r w:rsidR="00462FBD" w:rsidRPr="00BF3275">
        <w:rPr>
          <w:sz w:val="20"/>
          <w:szCs w:val="20"/>
        </w:rPr>
        <w:t xml:space="preserve"> </w:t>
      </w:r>
      <w:r w:rsidRPr="00BF3275">
        <w:rPr>
          <w:sz w:val="20"/>
          <w:szCs w:val="20"/>
        </w:rPr>
        <w:t>31:</w:t>
      </w:r>
      <w:r w:rsidR="00462FBD" w:rsidRPr="00BF3275">
        <w:rPr>
          <w:sz w:val="20"/>
          <w:szCs w:val="20"/>
        </w:rPr>
        <w:t xml:space="preserve"> </w:t>
      </w:r>
      <w:r w:rsidRPr="00BF3275">
        <w:rPr>
          <w:sz w:val="20"/>
          <w:szCs w:val="20"/>
        </w:rPr>
        <w:t>289–29</w:t>
      </w:r>
      <w:r w:rsidR="00DE2288" w:rsidRPr="00BF3275">
        <w:rPr>
          <w:sz w:val="20"/>
          <w:szCs w:val="20"/>
        </w:rPr>
        <w:t>5.</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Mendelson</w:t>
      </w:r>
      <w:r w:rsidR="00462FBD" w:rsidRPr="00BF3275">
        <w:rPr>
          <w:bCs/>
          <w:sz w:val="20"/>
          <w:szCs w:val="20"/>
        </w:rPr>
        <w:t xml:space="preserve"> </w:t>
      </w:r>
      <w:r w:rsidRPr="00BF3275">
        <w:rPr>
          <w:bCs/>
          <w:sz w:val="20"/>
          <w:szCs w:val="20"/>
        </w:rPr>
        <w:t>EB,</w:t>
      </w:r>
      <w:r w:rsidR="00462FBD" w:rsidRPr="00BF3275">
        <w:rPr>
          <w:bCs/>
          <w:sz w:val="20"/>
          <w:szCs w:val="20"/>
        </w:rPr>
        <w:t xml:space="preserve"> </w:t>
      </w:r>
      <w:r w:rsidRPr="00BF3275">
        <w:rPr>
          <w:bCs/>
          <w:sz w:val="20"/>
          <w:szCs w:val="20"/>
        </w:rPr>
        <w:t>Bohm-Velez</w:t>
      </w:r>
      <w:r w:rsidR="00462FBD" w:rsidRPr="00BF3275">
        <w:rPr>
          <w:bCs/>
          <w:sz w:val="20"/>
          <w:szCs w:val="20"/>
        </w:rPr>
        <w:t xml:space="preserve"> </w:t>
      </w:r>
      <w:r w:rsidRPr="00BF3275">
        <w:rPr>
          <w:bCs/>
          <w:sz w:val="20"/>
          <w:szCs w:val="20"/>
        </w:rPr>
        <w:t>M,</w:t>
      </w:r>
      <w:r w:rsidR="00462FBD" w:rsidRPr="00BF3275">
        <w:rPr>
          <w:bCs/>
          <w:sz w:val="20"/>
          <w:szCs w:val="20"/>
        </w:rPr>
        <w:t xml:space="preserve"> </w:t>
      </w:r>
      <w:r w:rsidRPr="00BF3275">
        <w:rPr>
          <w:bCs/>
          <w:sz w:val="20"/>
          <w:szCs w:val="20"/>
        </w:rPr>
        <w:t>Berg</w:t>
      </w:r>
      <w:r w:rsidR="00462FBD" w:rsidRPr="00BF3275">
        <w:rPr>
          <w:bCs/>
          <w:sz w:val="20"/>
          <w:szCs w:val="20"/>
        </w:rPr>
        <w:t xml:space="preserve"> </w:t>
      </w:r>
      <w:r w:rsidRPr="00BF3275">
        <w:rPr>
          <w:bCs/>
          <w:sz w:val="20"/>
          <w:szCs w:val="20"/>
        </w:rPr>
        <w:t>WA,</w:t>
      </w:r>
      <w:r w:rsidR="00462FBD" w:rsidRPr="00BF3275">
        <w:rPr>
          <w:bCs/>
          <w:sz w:val="20"/>
          <w:szCs w:val="20"/>
        </w:rPr>
        <w:t xml:space="preserve"> </w:t>
      </w:r>
      <w:r w:rsidRPr="00BF3275">
        <w:rPr>
          <w:bCs/>
          <w:sz w:val="20"/>
          <w:szCs w:val="20"/>
        </w:rPr>
        <w:t>et</w:t>
      </w:r>
      <w:r w:rsidR="00462FBD" w:rsidRPr="00BF3275">
        <w:rPr>
          <w:bCs/>
          <w:sz w:val="20"/>
          <w:szCs w:val="20"/>
        </w:rPr>
        <w:t xml:space="preserve"> </w:t>
      </w:r>
      <w:r w:rsidRPr="00BF3275">
        <w:rPr>
          <w:bCs/>
          <w:sz w:val="20"/>
          <w:szCs w:val="20"/>
        </w:rPr>
        <w:t>al</w:t>
      </w:r>
      <w:r w:rsidR="00DE2288" w:rsidRPr="00BF3275">
        <w:rPr>
          <w:sz w:val="20"/>
          <w:szCs w:val="20"/>
        </w:rPr>
        <w:t>. A</w:t>
      </w:r>
      <w:r w:rsidRPr="00BF3275">
        <w:rPr>
          <w:sz w:val="20"/>
          <w:szCs w:val="20"/>
        </w:rPr>
        <w:t>CR</w:t>
      </w:r>
      <w:r w:rsidR="00462FBD" w:rsidRPr="00BF3275">
        <w:rPr>
          <w:sz w:val="20"/>
          <w:szCs w:val="20"/>
        </w:rPr>
        <w:t xml:space="preserve"> </w:t>
      </w:r>
      <w:r w:rsidRPr="00BF3275">
        <w:rPr>
          <w:sz w:val="20"/>
          <w:szCs w:val="20"/>
        </w:rPr>
        <w:t>BI-RADS</w:t>
      </w:r>
      <w:r w:rsidR="00462FBD" w:rsidRPr="00BF3275">
        <w:rPr>
          <w:sz w:val="20"/>
          <w:szCs w:val="20"/>
        </w:rPr>
        <w:t xml:space="preserve"> </w:t>
      </w:r>
      <w:r w:rsidRPr="00BF3275">
        <w:rPr>
          <w:sz w:val="20"/>
          <w:szCs w:val="20"/>
        </w:rPr>
        <w:t>ultrasound.</w:t>
      </w:r>
      <w:r w:rsidR="00462FBD" w:rsidRPr="00BF3275">
        <w:rPr>
          <w:sz w:val="20"/>
          <w:szCs w:val="20"/>
        </w:rPr>
        <w:t xml:space="preserve"> </w:t>
      </w:r>
      <w:r w:rsidRPr="00BF3275">
        <w:rPr>
          <w:sz w:val="20"/>
          <w:szCs w:val="20"/>
        </w:rPr>
        <w:t>In</w:t>
      </w:r>
      <w:r w:rsidR="00DE2288" w:rsidRPr="00BF3275">
        <w:rPr>
          <w:sz w:val="20"/>
          <w:szCs w:val="20"/>
        </w:rPr>
        <w:t>: A</w:t>
      </w:r>
      <w:r w:rsidRPr="00BF3275">
        <w:rPr>
          <w:sz w:val="20"/>
          <w:szCs w:val="20"/>
        </w:rPr>
        <w:t>CR</w:t>
      </w:r>
      <w:r w:rsidR="00462FBD" w:rsidRPr="00BF3275">
        <w:rPr>
          <w:sz w:val="20"/>
          <w:szCs w:val="20"/>
        </w:rPr>
        <w:t xml:space="preserve"> </w:t>
      </w:r>
      <w:r w:rsidRPr="00BF3275">
        <w:rPr>
          <w:sz w:val="20"/>
          <w:szCs w:val="20"/>
        </w:rPr>
        <w:t>BI-RADS</w:t>
      </w:r>
      <w:r w:rsidR="00462FBD" w:rsidRPr="00BF3275">
        <w:rPr>
          <w:sz w:val="20"/>
          <w:szCs w:val="20"/>
        </w:rPr>
        <w:t xml:space="preserve"> </w:t>
      </w:r>
      <w:r w:rsidRPr="00BF3275">
        <w:rPr>
          <w:sz w:val="20"/>
          <w:szCs w:val="20"/>
        </w:rPr>
        <w:t>Atlas,</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Imaging</w:t>
      </w:r>
      <w:r w:rsidR="00462FBD" w:rsidRPr="00BF3275">
        <w:rPr>
          <w:sz w:val="20"/>
          <w:szCs w:val="20"/>
        </w:rPr>
        <w:t xml:space="preserve"> </w:t>
      </w:r>
      <w:r w:rsidRPr="00BF3275">
        <w:rPr>
          <w:sz w:val="20"/>
          <w:szCs w:val="20"/>
        </w:rPr>
        <w:t>Reporting</w:t>
      </w:r>
      <w:r w:rsidR="00462FBD" w:rsidRPr="00BF3275">
        <w:rPr>
          <w:sz w:val="20"/>
          <w:szCs w:val="20"/>
        </w:rPr>
        <w:t xml:space="preserve"> </w:t>
      </w:r>
      <w:r w:rsidRPr="00BF3275">
        <w:rPr>
          <w:sz w:val="20"/>
          <w:szCs w:val="20"/>
        </w:rPr>
        <w:t>and</w:t>
      </w:r>
      <w:r w:rsidR="00462FBD" w:rsidRPr="00BF3275">
        <w:rPr>
          <w:sz w:val="20"/>
          <w:szCs w:val="20"/>
        </w:rPr>
        <w:t xml:space="preserve"> </w:t>
      </w:r>
      <w:r w:rsidRPr="00BF3275">
        <w:rPr>
          <w:sz w:val="20"/>
          <w:szCs w:val="20"/>
        </w:rPr>
        <w:t>Data</w:t>
      </w:r>
      <w:r w:rsidR="00462FBD" w:rsidRPr="00BF3275">
        <w:rPr>
          <w:sz w:val="20"/>
          <w:szCs w:val="20"/>
        </w:rPr>
        <w:t xml:space="preserve"> </w:t>
      </w:r>
      <w:r w:rsidRPr="00BF3275">
        <w:rPr>
          <w:sz w:val="20"/>
          <w:szCs w:val="20"/>
        </w:rPr>
        <w:t>System.</w:t>
      </w:r>
      <w:r w:rsidR="00462FBD" w:rsidRPr="00BF3275">
        <w:rPr>
          <w:sz w:val="20"/>
          <w:szCs w:val="20"/>
        </w:rPr>
        <w:t xml:space="preserve"> </w:t>
      </w:r>
      <w:r w:rsidRPr="00BF3275">
        <w:rPr>
          <w:sz w:val="20"/>
          <w:szCs w:val="20"/>
        </w:rPr>
        <w:t>2013;</w:t>
      </w:r>
      <w:r w:rsidR="00462FBD" w:rsidRPr="00BF3275">
        <w:rPr>
          <w:sz w:val="20"/>
          <w:szCs w:val="20"/>
        </w:rPr>
        <w:t xml:space="preserve"> </w:t>
      </w:r>
      <w:r w:rsidRPr="00BF3275">
        <w:rPr>
          <w:sz w:val="20"/>
          <w:szCs w:val="20"/>
        </w:rPr>
        <w:t>108(4):djv367.</w:t>
      </w:r>
    </w:p>
    <w:p w:rsidR="00262446"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lang w:val="es-ES"/>
        </w:rPr>
        <w:t>Miyamoto</w:t>
      </w:r>
      <w:r w:rsidR="00462FBD" w:rsidRPr="00BF3275">
        <w:rPr>
          <w:bCs/>
          <w:sz w:val="20"/>
          <w:szCs w:val="20"/>
          <w:lang w:val="es-ES"/>
        </w:rPr>
        <w:t xml:space="preserve"> </w:t>
      </w:r>
      <w:r w:rsidRPr="00BF3275">
        <w:rPr>
          <w:bCs/>
          <w:sz w:val="20"/>
          <w:szCs w:val="20"/>
          <w:lang w:val="es-ES"/>
        </w:rPr>
        <w:t>Y,</w:t>
      </w:r>
      <w:r w:rsidR="00462FBD" w:rsidRPr="00BF3275">
        <w:rPr>
          <w:bCs/>
          <w:sz w:val="20"/>
          <w:szCs w:val="20"/>
          <w:lang w:val="es-ES"/>
        </w:rPr>
        <w:t xml:space="preserve"> </w:t>
      </w:r>
      <w:r w:rsidRPr="00BF3275">
        <w:rPr>
          <w:bCs/>
          <w:sz w:val="20"/>
          <w:szCs w:val="20"/>
          <w:lang w:val="es-ES"/>
        </w:rPr>
        <w:t>Ito</w:t>
      </w:r>
      <w:r w:rsidR="00462FBD" w:rsidRPr="00BF3275">
        <w:rPr>
          <w:bCs/>
          <w:sz w:val="20"/>
          <w:szCs w:val="20"/>
          <w:lang w:val="es-ES"/>
        </w:rPr>
        <w:t xml:space="preserve"> </w:t>
      </w:r>
      <w:r w:rsidRPr="00BF3275">
        <w:rPr>
          <w:bCs/>
          <w:sz w:val="20"/>
          <w:szCs w:val="20"/>
          <w:lang w:val="es-ES"/>
        </w:rPr>
        <w:t>T,</w:t>
      </w:r>
      <w:r w:rsidR="00462FBD" w:rsidRPr="00BF3275">
        <w:rPr>
          <w:bCs/>
          <w:sz w:val="20"/>
          <w:szCs w:val="20"/>
          <w:lang w:val="es-ES"/>
        </w:rPr>
        <w:t xml:space="preserve"> </w:t>
      </w:r>
      <w:r w:rsidRPr="00BF3275">
        <w:rPr>
          <w:bCs/>
          <w:sz w:val="20"/>
          <w:szCs w:val="20"/>
          <w:lang w:val="es-ES"/>
        </w:rPr>
        <w:t>Takada</w:t>
      </w:r>
      <w:r w:rsidR="00462FBD" w:rsidRPr="00BF3275">
        <w:rPr>
          <w:bCs/>
          <w:sz w:val="20"/>
          <w:szCs w:val="20"/>
          <w:lang w:val="es-ES"/>
        </w:rPr>
        <w:t xml:space="preserve"> </w:t>
      </w:r>
      <w:r w:rsidRPr="00BF3275">
        <w:rPr>
          <w:bCs/>
          <w:sz w:val="20"/>
          <w:szCs w:val="20"/>
          <w:lang w:val="es-ES"/>
        </w:rPr>
        <w:t>E,</w:t>
      </w:r>
      <w:r w:rsidR="00462FBD" w:rsidRPr="00BF3275">
        <w:rPr>
          <w:bCs/>
          <w:sz w:val="20"/>
          <w:szCs w:val="20"/>
          <w:lang w:val="es-ES"/>
        </w:rPr>
        <w:t xml:space="preserve"> </w:t>
      </w:r>
      <w:r w:rsidRPr="00BF3275">
        <w:rPr>
          <w:bCs/>
          <w:sz w:val="20"/>
          <w:szCs w:val="20"/>
          <w:lang w:val="es-ES"/>
        </w:rPr>
        <w:t>et</w:t>
      </w:r>
      <w:r w:rsidR="00462FBD" w:rsidRPr="00BF3275">
        <w:rPr>
          <w:bCs/>
          <w:sz w:val="20"/>
          <w:szCs w:val="20"/>
          <w:lang w:val="es-ES"/>
        </w:rPr>
        <w:t xml:space="preserve"> </w:t>
      </w:r>
      <w:r w:rsidRPr="00BF3275">
        <w:rPr>
          <w:bCs/>
          <w:sz w:val="20"/>
          <w:szCs w:val="20"/>
          <w:lang w:val="es-ES"/>
        </w:rPr>
        <w:t>al.</w:t>
      </w:r>
      <w:r w:rsidR="00462FBD" w:rsidRPr="00BF3275">
        <w:rPr>
          <w:bCs/>
          <w:sz w:val="20"/>
          <w:szCs w:val="20"/>
          <w:lang w:val="es-ES"/>
        </w:rPr>
        <w:t xml:space="preserve"> </w:t>
      </w:r>
      <w:r w:rsidRPr="00BF3275">
        <w:rPr>
          <w:bCs/>
          <w:sz w:val="20"/>
          <w:szCs w:val="20"/>
        </w:rPr>
        <w:t>(2014):</w:t>
      </w:r>
      <w:r w:rsidR="00462FBD" w:rsidRPr="00BF3275">
        <w:rPr>
          <w:sz w:val="20"/>
          <w:szCs w:val="20"/>
        </w:rPr>
        <w:t xml:space="preserve"> </w:t>
      </w:r>
      <w:r w:rsidRPr="00BF3275">
        <w:rPr>
          <w:sz w:val="20"/>
          <w:szCs w:val="20"/>
        </w:rPr>
        <w:t>Efficacy</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sonazoid</w:t>
      </w:r>
      <w:r w:rsidR="00462FBD" w:rsidRPr="00BF3275">
        <w:rPr>
          <w:sz w:val="20"/>
          <w:szCs w:val="20"/>
        </w:rPr>
        <w:t xml:space="preserve"> </w:t>
      </w:r>
      <w:r w:rsidRPr="00BF3275">
        <w:rPr>
          <w:sz w:val="20"/>
          <w:szCs w:val="20"/>
        </w:rPr>
        <w:t>(perflubutane)</w:t>
      </w:r>
      <w:r w:rsidR="00462FBD" w:rsidRPr="00BF3275">
        <w:rPr>
          <w:sz w:val="20"/>
          <w:szCs w:val="20"/>
        </w:rPr>
        <w:t xml:space="preserve"> </w:t>
      </w:r>
      <w:r w:rsidRPr="00BF3275">
        <w:rPr>
          <w:sz w:val="20"/>
          <w:szCs w:val="20"/>
        </w:rPr>
        <w:t>for</w:t>
      </w:r>
      <w:r w:rsidR="00462FBD" w:rsidRPr="00BF3275">
        <w:rPr>
          <w:sz w:val="20"/>
          <w:szCs w:val="20"/>
        </w:rPr>
        <w:t xml:space="preserve"> </w:t>
      </w:r>
      <w:r w:rsidRPr="00BF3275">
        <w:rPr>
          <w:sz w:val="20"/>
          <w:szCs w:val="20"/>
        </w:rPr>
        <w:t>contrast-enhanced</w:t>
      </w:r>
      <w:r w:rsidR="00462FBD" w:rsidRPr="00BF3275">
        <w:rPr>
          <w:sz w:val="20"/>
          <w:szCs w:val="20"/>
        </w:rPr>
        <w:t xml:space="preserve"> </w:t>
      </w:r>
      <w:r w:rsidRPr="00BF3275">
        <w:rPr>
          <w:sz w:val="20"/>
          <w:szCs w:val="20"/>
        </w:rPr>
        <w:t>ultrasound</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differentiation</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focal</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lesions:</w:t>
      </w:r>
      <w:r w:rsidR="00462FBD" w:rsidRPr="00BF3275">
        <w:rPr>
          <w:sz w:val="20"/>
          <w:szCs w:val="20"/>
        </w:rPr>
        <w:t xml:space="preserve"> </w:t>
      </w:r>
      <w:r w:rsidRPr="00BF3275">
        <w:rPr>
          <w:sz w:val="20"/>
          <w:szCs w:val="20"/>
        </w:rPr>
        <w:t>phase</w:t>
      </w:r>
      <w:r w:rsidR="00462FBD" w:rsidRPr="00BF3275">
        <w:rPr>
          <w:sz w:val="20"/>
          <w:szCs w:val="20"/>
        </w:rPr>
        <w:t xml:space="preserve"> </w:t>
      </w:r>
      <w:r w:rsidRPr="00BF3275">
        <w:rPr>
          <w:sz w:val="20"/>
          <w:szCs w:val="20"/>
        </w:rPr>
        <w:t>3</w:t>
      </w:r>
      <w:r w:rsidR="00462FBD" w:rsidRPr="00BF3275">
        <w:rPr>
          <w:sz w:val="20"/>
          <w:szCs w:val="20"/>
        </w:rPr>
        <w:t xml:space="preserve"> </w:t>
      </w:r>
      <w:r w:rsidRPr="00BF3275">
        <w:rPr>
          <w:sz w:val="20"/>
          <w:szCs w:val="20"/>
        </w:rPr>
        <w:t>multicenter</w:t>
      </w:r>
      <w:r w:rsidR="00462FBD" w:rsidRPr="00BF3275">
        <w:rPr>
          <w:sz w:val="20"/>
          <w:szCs w:val="20"/>
        </w:rPr>
        <w:t xml:space="preserve"> </w:t>
      </w:r>
      <w:r w:rsidRPr="00BF3275">
        <w:rPr>
          <w:sz w:val="20"/>
          <w:szCs w:val="20"/>
        </w:rPr>
        <w:t>clinical</w:t>
      </w:r>
      <w:r w:rsidR="00BF3275">
        <w:rPr>
          <w:rFonts w:hint="eastAsia"/>
          <w:sz w:val="20"/>
          <w:szCs w:val="20"/>
          <w:lang w:eastAsia="zh-CN"/>
        </w:rPr>
        <w:t xml:space="preserve"> </w:t>
      </w:r>
      <w:r w:rsidRPr="00BF3275">
        <w:rPr>
          <w:sz w:val="20"/>
          <w:szCs w:val="20"/>
        </w:rPr>
        <w:t>trial.</w:t>
      </w:r>
      <w:r w:rsidR="00462FBD" w:rsidRPr="00BF3275">
        <w:rPr>
          <w:sz w:val="20"/>
          <w:szCs w:val="20"/>
        </w:rPr>
        <w:t xml:space="preserve"> </w:t>
      </w:r>
      <w:r w:rsidRPr="00BF3275">
        <w:rPr>
          <w:sz w:val="20"/>
          <w:szCs w:val="20"/>
        </w:rPr>
        <w:t>AJR</w:t>
      </w:r>
      <w:r w:rsidR="00BF3275">
        <w:rPr>
          <w:rFonts w:hint="eastAsia"/>
          <w:sz w:val="20"/>
          <w:szCs w:val="20"/>
          <w:lang w:eastAsia="zh-CN"/>
        </w:rPr>
        <w:t xml:space="preserve"> </w:t>
      </w:r>
      <w:r w:rsidRPr="00BF3275">
        <w:rPr>
          <w:sz w:val="20"/>
          <w:szCs w:val="20"/>
        </w:rPr>
        <w:t>A</w:t>
      </w:r>
      <w:r w:rsidR="00DE2288" w:rsidRPr="00BF3275">
        <w:rPr>
          <w:sz w:val="20"/>
          <w:szCs w:val="20"/>
        </w:rPr>
        <w:t>m J</w:t>
      </w:r>
      <w:r w:rsidR="00462FBD" w:rsidRPr="00BF3275">
        <w:rPr>
          <w:sz w:val="20"/>
          <w:szCs w:val="20"/>
        </w:rPr>
        <w:t xml:space="preserve"> </w:t>
      </w:r>
      <w:r w:rsidRPr="00BF3275">
        <w:rPr>
          <w:sz w:val="20"/>
          <w:szCs w:val="20"/>
        </w:rPr>
        <w:t>Roentgenol.;</w:t>
      </w:r>
      <w:r w:rsidR="00462FBD" w:rsidRPr="00BF3275">
        <w:rPr>
          <w:sz w:val="20"/>
          <w:szCs w:val="20"/>
        </w:rPr>
        <w:t xml:space="preserve"> </w:t>
      </w:r>
      <w:r w:rsidRPr="00BF3275">
        <w:rPr>
          <w:sz w:val="20"/>
          <w:szCs w:val="20"/>
        </w:rPr>
        <w:t>202:W400–W407.</w:t>
      </w:r>
    </w:p>
    <w:p w:rsidR="00DE2288"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Nelson</w:t>
      </w:r>
      <w:r w:rsidR="00462FBD" w:rsidRPr="00BF3275">
        <w:rPr>
          <w:bCs/>
          <w:sz w:val="20"/>
          <w:szCs w:val="20"/>
        </w:rPr>
        <w:t xml:space="preserve"> </w:t>
      </w:r>
      <w:r w:rsidRPr="00BF3275">
        <w:rPr>
          <w:bCs/>
          <w:sz w:val="20"/>
          <w:szCs w:val="20"/>
        </w:rPr>
        <w:t>HD,</w:t>
      </w:r>
      <w:r w:rsidR="00462FBD" w:rsidRPr="00BF3275">
        <w:rPr>
          <w:bCs/>
          <w:sz w:val="20"/>
          <w:szCs w:val="20"/>
        </w:rPr>
        <w:t xml:space="preserve"> </w:t>
      </w:r>
      <w:r w:rsidRPr="00BF3275">
        <w:rPr>
          <w:bCs/>
          <w:sz w:val="20"/>
          <w:szCs w:val="20"/>
        </w:rPr>
        <w:t>Tyne</w:t>
      </w:r>
      <w:r w:rsidR="00462FBD" w:rsidRPr="00BF3275">
        <w:rPr>
          <w:bCs/>
          <w:sz w:val="20"/>
          <w:szCs w:val="20"/>
        </w:rPr>
        <w:t xml:space="preserve"> </w:t>
      </w:r>
      <w:r w:rsidRPr="00BF3275">
        <w:rPr>
          <w:bCs/>
          <w:sz w:val="20"/>
          <w:szCs w:val="20"/>
        </w:rPr>
        <w:t>K,</w:t>
      </w:r>
      <w:r w:rsidR="00462FBD" w:rsidRPr="00BF3275">
        <w:rPr>
          <w:bCs/>
          <w:sz w:val="20"/>
          <w:szCs w:val="20"/>
        </w:rPr>
        <w:t xml:space="preserve"> </w:t>
      </w:r>
      <w:r w:rsidRPr="00BF3275">
        <w:rPr>
          <w:bCs/>
          <w:sz w:val="20"/>
          <w:szCs w:val="20"/>
        </w:rPr>
        <w:t>Naik</w:t>
      </w:r>
      <w:r w:rsidR="00462FBD" w:rsidRPr="00BF3275">
        <w:rPr>
          <w:bCs/>
          <w:sz w:val="20"/>
          <w:szCs w:val="20"/>
        </w:rPr>
        <w:t xml:space="preserve"> </w:t>
      </w:r>
      <w:r w:rsidRPr="00BF3275">
        <w:rPr>
          <w:bCs/>
          <w:sz w:val="20"/>
          <w:szCs w:val="20"/>
        </w:rPr>
        <w:t>A,</w:t>
      </w:r>
      <w:r w:rsidR="00462FBD" w:rsidRPr="00BF3275">
        <w:rPr>
          <w:bCs/>
          <w:sz w:val="20"/>
          <w:szCs w:val="20"/>
        </w:rPr>
        <w:t xml:space="preserve"> </w:t>
      </w:r>
      <w:r w:rsidRPr="00BF3275">
        <w:rPr>
          <w:bCs/>
          <w:sz w:val="20"/>
          <w:szCs w:val="20"/>
        </w:rPr>
        <w:t>Bougatsos</w:t>
      </w:r>
      <w:r w:rsidR="00462FBD" w:rsidRPr="00BF3275">
        <w:rPr>
          <w:bCs/>
          <w:sz w:val="20"/>
          <w:szCs w:val="20"/>
        </w:rPr>
        <w:t xml:space="preserve"> </w:t>
      </w:r>
      <w:r w:rsidRPr="00BF3275">
        <w:rPr>
          <w:bCs/>
          <w:sz w:val="20"/>
          <w:szCs w:val="20"/>
        </w:rPr>
        <w:t>C,</w:t>
      </w:r>
      <w:r w:rsidR="00462FBD" w:rsidRPr="00BF3275">
        <w:rPr>
          <w:bCs/>
          <w:sz w:val="20"/>
          <w:szCs w:val="20"/>
        </w:rPr>
        <w:t xml:space="preserve"> </w:t>
      </w:r>
      <w:r w:rsidRPr="00BF3275">
        <w:rPr>
          <w:bCs/>
          <w:sz w:val="20"/>
          <w:szCs w:val="20"/>
        </w:rPr>
        <w:t>Chan</w:t>
      </w:r>
      <w:r w:rsidR="00462FBD" w:rsidRPr="00BF3275">
        <w:rPr>
          <w:bCs/>
          <w:sz w:val="20"/>
          <w:szCs w:val="20"/>
        </w:rPr>
        <w:t xml:space="preserve"> </w:t>
      </w:r>
      <w:r w:rsidRPr="00BF3275">
        <w:rPr>
          <w:bCs/>
          <w:sz w:val="20"/>
          <w:szCs w:val="20"/>
        </w:rPr>
        <w:t>BK,</w:t>
      </w:r>
      <w:r w:rsidR="00462FBD" w:rsidRPr="00BF3275">
        <w:rPr>
          <w:bCs/>
          <w:sz w:val="20"/>
          <w:szCs w:val="20"/>
        </w:rPr>
        <w:t xml:space="preserve"> </w:t>
      </w:r>
      <w:r w:rsidRPr="00BF3275">
        <w:rPr>
          <w:bCs/>
          <w:sz w:val="20"/>
          <w:szCs w:val="20"/>
        </w:rPr>
        <w:t>Humphrey</w:t>
      </w:r>
      <w:r w:rsidR="00462FBD" w:rsidRPr="00BF3275">
        <w:rPr>
          <w:bCs/>
          <w:sz w:val="20"/>
          <w:szCs w:val="20"/>
        </w:rPr>
        <w:t xml:space="preserve"> </w:t>
      </w:r>
      <w:r w:rsidRPr="00BF3275">
        <w:rPr>
          <w:bCs/>
          <w:sz w:val="20"/>
          <w:szCs w:val="20"/>
        </w:rPr>
        <w:t>L</w:t>
      </w:r>
      <w:r w:rsidR="00462FBD" w:rsidRPr="00BF3275">
        <w:rPr>
          <w:bCs/>
          <w:sz w:val="20"/>
          <w:szCs w:val="20"/>
        </w:rPr>
        <w:t xml:space="preserve"> </w:t>
      </w:r>
      <w:r w:rsidRPr="00BF3275">
        <w:rPr>
          <w:bCs/>
          <w:sz w:val="20"/>
          <w:szCs w:val="20"/>
        </w:rPr>
        <w:t>(2009):</w:t>
      </w:r>
      <w:r w:rsidR="00462FBD" w:rsidRPr="00BF3275">
        <w:rPr>
          <w:sz w:val="20"/>
          <w:szCs w:val="20"/>
        </w:rPr>
        <w:t xml:space="preserve"> </w:t>
      </w:r>
      <w:r w:rsidRPr="00BF3275">
        <w:rPr>
          <w:sz w:val="20"/>
          <w:szCs w:val="20"/>
        </w:rPr>
        <w:t>Screening</w:t>
      </w:r>
      <w:r w:rsidR="00462FBD" w:rsidRPr="00BF3275">
        <w:rPr>
          <w:sz w:val="20"/>
          <w:szCs w:val="20"/>
        </w:rPr>
        <w:t xml:space="preserve"> </w:t>
      </w:r>
      <w:r w:rsidRPr="00BF3275">
        <w:rPr>
          <w:sz w:val="20"/>
          <w:szCs w:val="20"/>
        </w:rPr>
        <w:t>for</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cancer:</w:t>
      </w:r>
      <w:r w:rsidR="00462FBD" w:rsidRPr="00BF3275">
        <w:rPr>
          <w:sz w:val="20"/>
          <w:szCs w:val="20"/>
        </w:rPr>
        <w:t xml:space="preserve"> </w:t>
      </w:r>
      <w:r w:rsidRPr="00BF3275">
        <w:rPr>
          <w:sz w:val="20"/>
          <w:szCs w:val="20"/>
        </w:rPr>
        <w:t>an</w:t>
      </w:r>
      <w:r w:rsidR="00462FBD" w:rsidRPr="00BF3275">
        <w:rPr>
          <w:sz w:val="20"/>
          <w:szCs w:val="20"/>
        </w:rPr>
        <w:t xml:space="preserve"> </w:t>
      </w:r>
      <w:r w:rsidRPr="00BF3275">
        <w:rPr>
          <w:sz w:val="20"/>
          <w:szCs w:val="20"/>
        </w:rPr>
        <w:t>update</w:t>
      </w:r>
      <w:r w:rsidR="00462FBD" w:rsidRPr="00BF3275">
        <w:rPr>
          <w:sz w:val="20"/>
          <w:szCs w:val="20"/>
        </w:rPr>
        <w:t xml:space="preserve"> </w:t>
      </w:r>
      <w:r w:rsidRPr="00BF3275">
        <w:rPr>
          <w:sz w:val="20"/>
          <w:szCs w:val="20"/>
        </w:rPr>
        <w:t>for</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U.S.</w:t>
      </w:r>
      <w:r w:rsidR="00462FBD" w:rsidRPr="00BF3275">
        <w:rPr>
          <w:sz w:val="20"/>
          <w:szCs w:val="20"/>
        </w:rPr>
        <w:t xml:space="preserve"> </w:t>
      </w:r>
      <w:r w:rsidRPr="00BF3275">
        <w:rPr>
          <w:sz w:val="20"/>
          <w:szCs w:val="20"/>
        </w:rPr>
        <w:t>Preventive</w:t>
      </w:r>
      <w:r w:rsidR="00462FBD" w:rsidRPr="00BF3275">
        <w:rPr>
          <w:sz w:val="20"/>
          <w:szCs w:val="20"/>
        </w:rPr>
        <w:t xml:space="preserve"> </w:t>
      </w:r>
      <w:r w:rsidRPr="00BF3275">
        <w:rPr>
          <w:sz w:val="20"/>
          <w:szCs w:val="20"/>
        </w:rPr>
        <w:t>Services</w:t>
      </w:r>
      <w:r w:rsidR="00462FBD" w:rsidRPr="00BF3275">
        <w:rPr>
          <w:sz w:val="20"/>
          <w:szCs w:val="20"/>
        </w:rPr>
        <w:t xml:space="preserve"> </w:t>
      </w:r>
      <w:r w:rsidRPr="00BF3275">
        <w:rPr>
          <w:sz w:val="20"/>
          <w:szCs w:val="20"/>
        </w:rPr>
        <w:t>Task</w:t>
      </w:r>
      <w:r w:rsidR="00462FBD" w:rsidRPr="00BF3275">
        <w:rPr>
          <w:sz w:val="20"/>
          <w:szCs w:val="20"/>
        </w:rPr>
        <w:t xml:space="preserve"> </w:t>
      </w:r>
      <w:r w:rsidRPr="00BF3275">
        <w:rPr>
          <w:sz w:val="20"/>
          <w:szCs w:val="20"/>
        </w:rPr>
        <w:t>Force,</w:t>
      </w:r>
      <w:r w:rsidR="00462FBD" w:rsidRPr="00BF3275">
        <w:rPr>
          <w:sz w:val="20"/>
          <w:szCs w:val="20"/>
        </w:rPr>
        <w:t xml:space="preserve"> </w:t>
      </w:r>
      <w:r w:rsidRPr="00BF3275">
        <w:rPr>
          <w:sz w:val="20"/>
          <w:szCs w:val="20"/>
        </w:rPr>
        <w:t>Ann.</w:t>
      </w:r>
      <w:r w:rsidR="00462FBD" w:rsidRPr="00BF3275">
        <w:rPr>
          <w:sz w:val="20"/>
          <w:szCs w:val="20"/>
        </w:rPr>
        <w:t xml:space="preserve"> </w:t>
      </w:r>
      <w:r w:rsidRPr="00BF3275">
        <w:rPr>
          <w:sz w:val="20"/>
          <w:szCs w:val="20"/>
        </w:rPr>
        <w:t>Intern.</w:t>
      </w:r>
      <w:r w:rsidR="00462FBD" w:rsidRPr="00BF3275">
        <w:rPr>
          <w:sz w:val="20"/>
          <w:szCs w:val="20"/>
        </w:rPr>
        <w:t xml:space="preserve"> </w:t>
      </w:r>
      <w:r w:rsidRPr="00BF3275">
        <w:rPr>
          <w:sz w:val="20"/>
          <w:szCs w:val="20"/>
        </w:rPr>
        <w:t>Med.</w:t>
      </w:r>
      <w:r w:rsidR="00462FBD" w:rsidRPr="00BF3275">
        <w:rPr>
          <w:sz w:val="20"/>
          <w:szCs w:val="20"/>
        </w:rPr>
        <w:t xml:space="preserve"> </w:t>
      </w:r>
      <w:r w:rsidRPr="00BF3275">
        <w:rPr>
          <w:sz w:val="20"/>
          <w:szCs w:val="20"/>
        </w:rPr>
        <w:t>151(10):</w:t>
      </w:r>
      <w:r w:rsidR="00462FBD" w:rsidRPr="00BF3275">
        <w:rPr>
          <w:sz w:val="20"/>
          <w:szCs w:val="20"/>
        </w:rPr>
        <w:t xml:space="preserve"> </w:t>
      </w:r>
      <w:r w:rsidRPr="00BF3275">
        <w:rPr>
          <w:sz w:val="20"/>
          <w:szCs w:val="20"/>
        </w:rPr>
        <w:t>727–73</w:t>
      </w:r>
      <w:r w:rsidR="00DE2288" w:rsidRPr="00BF3275">
        <w:rPr>
          <w:sz w:val="20"/>
          <w:szCs w:val="20"/>
        </w:rPr>
        <w:t>7.</w:t>
      </w:r>
    </w:p>
    <w:p w:rsidR="00DE2288" w:rsidRPr="00BF3275" w:rsidRDefault="00262446" w:rsidP="00DE2288">
      <w:pPr>
        <w:pStyle w:val="ListParagraph"/>
        <w:numPr>
          <w:ilvl w:val="0"/>
          <w:numId w:val="8"/>
        </w:numPr>
        <w:snapToGrid w:val="0"/>
        <w:ind w:left="425" w:firstLineChars="0" w:hanging="425"/>
        <w:jc w:val="both"/>
        <w:rPr>
          <w:sz w:val="20"/>
          <w:szCs w:val="20"/>
        </w:rPr>
      </w:pPr>
      <w:r w:rsidRPr="00BF3275">
        <w:rPr>
          <w:bCs/>
          <w:sz w:val="20"/>
          <w:szCs w:val="20"/>
        </w:rPr>
        <w:t>Weigert</w:t>
      </w:r>
      <w:r w:rsidR="00462FBD" w:rsidRPr="00BF3275">
        <w:rPr>
          <w:bCs/>
          <w:sz w:val="20"/>
          <w:szCs w:val="20"/>
        </w:rPr>
        <w:t xml:space="preserve"> </w:t>
      </w:r>
      <w:r w:rsidRPr="00BF3275">
        <w:rPr>
          <w:bCs/>
          <w:sz w:val="20"/>
          <w:szCs w:val="20"/>
        </w:rPr>
        <w:t>J,</w:t>
      </w:r>
      <w:r w:rsidR="00462FBD" w:rsidRPr="00BF3275">
        <w:rPr>
          <w:bCs/>
          <w:sz w:val="20"/>
          <w:szCs w:val="20"/>
        </w:rPr>
        <w:t xml:space="preserve"> </w:t>
      </w:r>
      <w:r w:rsidRPr="00BF3275">
        <w:rPr>
          <w:bCs/>
          <w:sz w:val="20"/>
          <w:szCs w:val="20"/>
        </w:rPr>
        <w:t>Steenbergen</w:t>
      </w:r>
      <w:r w:rsidR="00462FBD" w:rsidRPr="00BF3275">
        <w:rPr>
          <w:bCs/>
          <w:sz w:val="20"/>
          <w:szCs w:val="20"/>
        </w:rPr>
        <w:t xml:space="preserve"> </w:t>
      </w:r>
      <w:r w:rsidRPr="00BF3275">
        <w:rPr>
          <w:bCs/>
          <w:sz w:val="20"/>
          <w:szCs w:val="20"/>
        </w:rPr>
        <w:t>S</w:t>
      </w:r>
      <w:r w:rsidR="00462FBD" w:rsidRPr="00BF3275">
        <w:rPr>
          <w:sz w:val="20"/>
          <w:szCs w:val="20"/>
        </w:rPr>
        <w:t xml:space="preserve"> </w:t>
      </w:r>
      <w:r w:rsidRPr="00BF3275">
        <w:rPr>
          <w:bCs/>
          <w:sz w:val="20"/>
          <w:szCs w:val="20"/>
        </w:rPr>
        <w:t>(2012):</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Connecticut</w:t>
      </w:r>
      <w:r w:rsidR="00462FBD" w:rsidRPr="00BF3275">
        <w:rPr>
          <w:sz w:val="20"/>
          <w:szCs w:val="20"/>
        </w:rPr>
        <w:t xml:space="preserve"> </w:t>
      </w:r>
      <w:r w:rsidRPr="00BF3275">
        <w:rPr>
          <w:sz w:val="20"/>
          <w:szCs w:val="20"/>
        </w:rPr>
        <w:t>experiment:</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role</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ultrasound</w:t>
      </w:r>
      <w:r w:rsidR="00462FBD" w:rsidRPr="00BF3275">
        <w:rPr>
          <w:sz w:val="20"/>
          <w:szCs w:val="20"/>
        </w:rPr>
        <w:t xml:space="preserve"> </w:t>
      </w:r>
      <w:r w:rsidRPr="00BF3275">
        <w:rPr>
          <w:sz w:val="20"/>
          <w:szCs w:val="20"/>
        </w:rPr>
        <w:t>in</w:t>
      </w:r>
      <w:r w:rsidR="00462FBD" w:rsidRPr="00BF3275">
        <w:rPr>
          <w:sz w:val="20"/>
          <w:szCs w:val="20"/>
        </w:rPr>
        <w:t xml:space="preserve"> </w:t>
      </w:r>
      <w:r w:rsidRPr="00BF3275">
        <w:rPr>
          <w:sz w:val="20"/>
          <w:szCs w:val="20"/>
        </w:rPr>
        <w:t>the</w:t>
      </w:r>
      <w:r w:rsidR="00462FBD" w:rsidRPr="00BF3275">
        <w:rPr>
          <w:sz w:val="20"/>
          <w:szCs w:val="20"/>
        </w:rPr>
        <w:t xml:space="preserve"> </w:t>
      </w:r>
      <w:r w:rsidRPr="00BF3275">
        <w:rPr>
          <w:sz w:val="20"/>
          <w:szCs w:val="20"/>
        </w:rPr>
        <w:t>screening</w:t>
      </w:r>
      <w:r w:rsidR="00462FBD" w:rsidRPr="00BF3275">
        <w:rPr>
          <w:sz w:val="20"/>
          <w:szCs w:val="20"/>
        </w:rPr>
        <w:t xml:space="preserve"> </w:t>
      </w:r>
      <w:r w:rsidRPr="00BF3275">
        <w:rPr>
          <w:sz w:val="20"/>
          <w:szCs w:val="20"/>
        </w:rPr>
        <w:t>of</w:t>
      </w:r>
      <w:r w:rsidR="00462FBD" w:rsidRPr="00BF3275">
        <w:rPr>
          <w:sz w:val="20"/>
          <w:szCs w:val="20"/>
        </w:rPr>
        <w:t xml:space="preserve"> </w:t>
      </w:r>
      <w:r w:rsidRPr="00BF3275">
        <w:rPr>
          <w:sz w:val="20"/>
          <w:szCs w:val="20"/>
        </w:rPr>
        <w:t>women</w:t>
      </w:r>
      <w:r w:rsidR="00462FBD" w:rsidRPr="00BF3275">
        <w:rPr>
          <w:sz w:val="20"/>
          <w:szCs w:val="20"/>
        </w:rPr>
        <w:t xml:space="preserve"> </w:t>
      </w:r>
      <w:r w:rsidRPr="00BF3275">
        <w:rPr>
          <w:sz w:val="20"/>
          <w:szCs w:val="20"/>
        </w:rPr>
        <w:t>with</w:t>
      </w:r>
      <w:r w:rsidR="00462FBD" w:rsidRPr="00BF3275">
        <w:rPr>
          <w:sz w:val="20"/>
          <w:szCs w:val="20"/>
        </w:rPr>
        <w:t xml:space="preserve"> </w:t>
      </w:r>
      <w:r w:rsidRPr="00BF3275">
        <w:rPr>
          <w:sz w:val="20"/>
          <w:szCs w:val="20"/>
        </w:rPr>
        <w:t>dense</w:t>
      </w:r>
      <w:r w:rsidR="00462FBD" w:rsidRPr="00BF3275">
        <w:rPr>
          <w:sz w:val="20"/>
          <w:szCs w:val="20"/>
        </w:rPr>
        <w:t xml:space="preserve"> </w:t>
      </w:r>
      <w:r w:rsidRPr="00BF3275">
        <w:rPr>
          <w:sz w:val="20"/>
          <w:szCs w:val="20"/>
        </w:rPr>
        <w:t>breasts.</w:t>
      </w:r>
      <w:r w:rsidR="00462FBD" w:rsidRPr="00BF3275">
        <w:rPr>
          <w:sz w:val="20"/>
          <w:szCs w:val="20"/>
        </w:rPr>
        <w:t xml:space="preserve"> </w:t>
      </w:r>
      <w:r w:rsidRPr="00BF3275">
        <w:rPr>
          <w:sz w:val="20"/>
          <w:szCs w:val="20"/>
        </w:rPr>
        <w:t>Breast</w:t>
      </w:r>
      <w:r w:rsidR="00462FBD" w:rsidRPr="00BF3275">
        <w:rPr>
          <w:sz w:val="20"/>
          <w:szCs w:val="20"/>
        </w:rPr>
        <w:t xml:space="preserve"> </w:t>
      </w:r>
      <w:r w:rsidRPr="00BF3275">
        <w:rPr>
          <w:sz w:val="20"/>
          <w:szCs w:val="20"/>
        </w:rPr>
        <w:t>J;</w:t>
      </w:r>
      <w:r w:rsidR="00462FBD" w:rsidRPr="00BF3275">
        <w:rPr>
          <w:sz w:val="20"/>
          <w:szCs w:val="20"/>
        </w:rPr>
        <w:t xml:space="preserve"> </w:t>
      </w:r>
      <w:r w:rsidRPr="00BF3275">
        <w:rPr>
          <w:sz w:val="20"/>
          <w:szCs w:val="20"/>
        </w:rPr>
        <w:t>18:517–5</w:t>
      </w:r>
      <w:r w:rsidR="00DE2288" w:rsidRPr="00BF3275">
        <w:rPr>
          <w:sz w:val="20"/>
          <w:szCs w:val="20"/>
        </w:rPr>
        <w:t>2.</w:t>
      </w:r>
    </w:p>
    <w:p w:rsidR="00DA2296" w:rsidRPr="00BF3275" w:rsidRDefault="00DA2296" w:rsidP="00DE2288">
      <w:pPr>
        <w:snapToGrid w:val="0"/>
        <w:ind w:left="425" w:hanging="425"/>
        <w:jc w:val="both"/>
        <w:rPr>
          <w:sz w:val="20"/>
          <w:szCs w:val="20"/>
        </w:rPr>
        <w:sectPr w:rsidR="00DA2296" w:rsidRPr="00BF3275" w:rsidSect="00DA2296">
          <w:type w:val="continuous"/>
          <w:pgSz w:w="12240" w:h="15840" w:code="9"/>
          <w:pgMar w:top="1440" w:right="1440" w:bottom="1440" w:left="1440" w:header="720" w:footer="720" w:gutter="0"/>
          <w:cols w:num="2" w:space="600"/>
          <w:docGrid w:linePitch="360" w:charSpace="4096"/>
        </w:sectPr>
      </w:pPr>
    </w:p>
    <w:p w:rsidR="00DA2296" w:rsidRPr="00BF3275" w:rsidRDefault="00DA2296" w:rsidP="00DA2296">
      <w:pPr>
        <w:snapToGrid w:val="0"/>
        <w:jc w:val="both"/>
        <w:rPr>
          <w:sz w:val="20"/>
          <w:szCs w:val="20"/>
          <w:lang w:eastAsia="zh-CN"/>
        </w:rPr>
      </w:pPr>
    </w:p>
    <w:p w:rsidR="00931973" w:rsidRPr="00BF3275" w:rsidRDefault="00931973" w:rsidP="00DA2296">
      <w:pPr>
        <w:snapToGrid w:val="0"/>
        <w:jc w:val="both"/>
        <w:rPr>
          <w:sz w:val="20"/>
          <w:szCs w:val="20"/>
          <w:lang w:eastAsia="zh-CN"/>
        </w:rPr>
      </w:pPr>
    </w:p>
    <w:p w:rsidR="00931973" w:rsidRPr="00BF3275" w:rsidRDefault="00931973" w:rsidP="00DA2296">
      <w:pPr>
        <w:snapToGrid w:val="0"/>
        <w:jc w:val="both"/>
        <w:rPr>
          <w:sz w:val="20"/>
          <w:szCs w:val="20"/>
          <w:lang w:eastAsia="zh-CN"/>
        </w:rPr>
      </w:pPr>
    </w:p>
    <w:p w:rsidR="00262446" w:rsidRPr="00BF3275" w:rsidRDefault="00462FBD" w:rsidP="00DA2296">
      <w:pPr>
        <w:snapToGrid w:val="0"/>
        <w:jc w:val="both"/>
        <w:rPr>
          <w:sz w:val="20"/>
          <w:szCs w:val="20"/>
        </w:rPr>
      </w:pPr>
      <w:r w:rsidRPr="00BF3275">
        <w:rPr>
          <w:sz w:val="20"/>
          <w:szCs w:val="20"/>
        </w:rPr>
        <w:t>12/14/2019</w:t>
      </w:r>
    </w:p>
    <w:sectPr w:rsidR="00262446" w:rsidRPr="00BF3275" w:rsidSect="00462FBD">
      <w:type w:val="continuous"/>
      <w:pgSz w:w="12240" w:h="15840" w:code="9"/>
      <w:pgMar w:top="1440" w:right="1440" w:bottom="1440" w:left="1440" w:header="720" w:footer="720" w:gutter="0"/>
      <w:cols w:space="72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DE1" w:rsidRDefault="00B95DE1">
      <w:r>
        <w:separator/>
      </w:r>
    </w:p>
  </w:endnote>
  <w:endnote w:type="continuationSeparator" w:id="0">
    <w:p w:rsidR="00B95DE1" w:rsidRDefault="00B95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75" w:rsidRDefault="00BF3275" w:rsidP="00AD37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275" w:rsidRDefault="00BF32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75" w:rsidRPr="00573F35" w:rsidRDefault="00BF3275" w:rsidP="00573F35">
    <w:pPr>
      <w:jc w:val="center"/>
      <w:rPr>
        <w:sz w:val="20"/>
      </w:rPr>
    </w:pPr>
    <w:r w:rsidRPr="00573F35">
      <w:rPr>
        <w:sz w:val="20"/>
      </w:rPr>
      <w:fldChar w:fldCharType="begin"/>
    </w:r>
    <w:r w:rsidRPr="00573F35">
      <w:rPr>
        <w:sz w:val="20"/>
      </w:rPr>
      <w:instrText xml:space="preserve"> page </w:instrText>
    </w:r>
    <w:r w:rsidRPr="00573F35">
      <w:rPr>
        <w:sz w:val="20"/>
      </w:rPr>
      <w:fldChar w:fldCharType="separate"/>
    </w:r>
    <w:r w:rsidR="0038154B">
      <w:rPr>
        <w:noProof/>
        <w:sz w:val="20"/>
      </w:rPr>
      <w:t>41</w:t>
    </w:r>
    <w:r w:rsidRPr="00573F3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DE1" w:rsidRDefault="00B95DE1">
      <w:r>
        <w:separator/>
      </w:r>
    </w:p>
  </w:footnote>
  <w:footnote w:type="continuationSeparator" w:id="0">
    <w:p w:rsidR="00B95DE1" w:rsidRDefault="00B95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75" w:rsidRPr="00A8445F" w:rsidRDefault="00BF3275" w:rsidP="00A8445F">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275" w:rsidRPr="00573F35" w:rsidRDefault="00BF3275" w:rsidP="00573F35">
    <w:pPr>
      <w:pBdr>
        <w:bottom w:val="thinThickMediumGap" w:sz="12" w:space="1" w:color="auto"/>
      </w:pBdr>
      <w:tabs>
        <w:tab w:val="left" w:pos="851"/>
        <w:tab w:val="right" w:pos="8364"/>
      </w:tabs>
      <w:adjustRightInd w:val="0"/>
      <w:snapToGrid w:val="0"/>
      <w:jc w:val="both"/>
      <w:rPr>
        <w:iCs/>
        <w:sz w:val="20"/>
        <w:szCs w:val="20"/>
      </w:rPr>
    </w:pPr>
    <w:r w:rsidRPr="00573F35">
      <w:rPr>
        <w:rFonts w:hint="eastAsia"/>
        <w:sz w:val="20"/>
        <w:szCs w:val="20"/>
      </w:rPr>
      <w:tab/>
    </w:r>
    <w:r w:rsidRPr="00573F35">
      <w:rPr>
        <w:sz w:val="20"/>
        <w:szCs w:val="20"/>
      </w:rPr>
      <w:t>New York Science Journal 201</w:t>
    </w:r>
    <w:r w:rsidRPr="00573F35">
      <w:rPr>
        <w:rFonts w:hint="eastAsia"/>
        <w:sz w:val="20"/>
        <w:szCs w:val="20"/>
      </w:rPr>
      <w:t>9</w:t>
    </w:r>
    <w:r w:rsidRPr="00573F35">
      <w:rPr>
        <w:sz w:val="20"/>
        <w:szCs w:val="20"/>
      </w:rPr>
      <w:t>;</w:t>
    </w:r>
    <w:r w:rsidRPr="00573F35">
      <w:rPr>
        <w:rFonts w:hint="eastAsia"/>
        <w:sz w:val="20"/>
        <w:szCs w:val="20"/>
      </w:rPr>
      <w:t>12</w:t>
    </w:r>
    <w:r w:rsidRPr="00573F35">
      <w:rPr>
        <w:sz w:val="20"/>
        <w:szCs w:val="20"/>
      </w:rPr>
      <w:t>(</w:t>
    </w:r>
    <w:r w:rsidRPr="00573F35">
      <w:rPr>
        <w:rFonts w:hint="eastAsia"/>
        <w:sz w:val="20"/>
        <w:szCs w:val="20"/>
      </w:rPr>
      <w:t>12</w:t>
    </w:r>
    <w:r w:rsidRPr="00573F35">
      <w:rPr>
        <w:sz w:val="20"/>
        <w:szCs w:val="20"/>
      </w:rPr>
      <w:t>)</w:t>
    </w:r>
    <w:r w:rsidRPr="00573F35">
      <w:rPr>
        <w:iCs/>
        <w:sz w:val="20"/>
        <w:szCs w:val="20"/>
      </w:rPr>
      <w:t xml:space="preserve"> </w:t>
    </w:r>
    <w:r w:rsidRPr="00573F35">
      <w:rPr>
        <w:rFonts w:hint="eastAsia"/>
        <w:iCs/>
        <w:sz w:val="20"/>
        <w:szCs w:val="20"/>
      </w:rPr>
      <w:tab/>
    </w:r>
    <w:r w:rsidRPr="00573F35">
      <w:rPr>
        <w:iCs/>
        <w:sz w:val="20"/>
        <w:szCs w:val="20"/>
      </w:rPr>
      <w:t xml:space="preserve">  </w:t>
    </w:r>
    <w:hyperlink r:id="rId1" w:history="1">
      <w:r w:rsidRPr="00573F35">
        <w:rPr>
          <w:rStyle w:val="Hyperlink"/>
          <w:sz w:val="20"/>
          <w:szCs w:val="20"/>
        </w:rPr>
        <w:t>http://www.sciencepub.net/newyork</w:t>
      </w:r>
    </w:hyperlink>
    <w:r w:rsidRPr="00573F35">
      <w:rPr>
        <w:rFonts w:hint="eastAsia"/>
        <w:sz w:val="20"/>
      </w:rPr>
      <w:t xml:space="preserve">   </w:t>
    </w:r>
    <w:r w:rsidRPr="00573F35">
      <w:rPr>
        <w:rFonts w:hint="eastAsia"/>
        <w:b/>
        <w:i/>
        <w:color w:val="FF0000"/>
        <w:sz w:val="20"/>
        <w:szCs w:val="20"/>
        <w:bdr w:val="single" w:sz="4" w:space="0" w:color="FF0000"/>
      </w:rPr>
      <w:t>NYJ</w:t>
    </w:r>
  </w:p>
  <w:p w:rsidR="00BF3275" w:rsidRPr="00573F35" w:rsidRDefault="00BF3275" w:rsidP="00573F35">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391" w:firstLine="0"/>
      </w:pPr>
      <w:rPr>
        <w:rFonts w:eastAsia="Times New Roman" w:cs="Times New Roman"/>
        <w:b w:val="0"/>
        <w:i w:val="0"/>
        <w:strike w:val="0"/>
        <w:dstrike w:val="0"/>
        <w:color w:val="000000"/>
        <w:position w:val="0"/>
        <w:sz w:val="36"/>
        <w:szCs w:val="36"/>
        <w:u w:val="none" w:color="000000"/>
        <w:vertAlign w:val="baseline"/>
      </w:rPr>
    </w:lvl>
    <w:lvl w:ilvl="1">
      <w:start w:val="1"/>
      <w:numFmt w:val="bullet"/>
      <w:lvlText w:val="•"/>
      <w:lvlJc w:val="left"/>
      <w:pPr>
        <w:tabs>
          <w:tab w:val="num" w:pos="0"/>
        </w:tabs>
        <w:ind w:left="799" w:firstLine="0"/>
      </w:pPr>
      <w:rPr>
        <w:rFonts w:ascii="Arial" w:hAnsi="Arial" w:cs="Arial"/>
        <w:b w:val="0"/>
        <w:i w:val="0"/>
        <w:strike w:val="0"/>
        <w:dstrike w:val="0"/>
        <w:color w:val="000000"/>
        <w:position w:val="0"/>
        <w:sz w:val="32"/>
        <w:szCs w:val="32"/>
        <w:u w:val="none" w:color="000000"/>
        <w:vertAlign w:val="baseline"/>
      </w:rPr>
    </w:lvl>
    <w:lvl w:ilvl="2">
      <w:start w:val="1"/>
      <w:numFmt w:val="bullet"/>
      <w:lvlText w:val="▪"/>
      <w:lvlJc w:val="left"/>
      <w:pPr>
        <w:tabs>
          <w:tab w:val="num" w:pos="0"/>
        </w:tabs>
        <w:ind w:left="1440" w:firstLine="0"/>
      </w:pPr>
      <w:rPr>
        <w:rFonts w:ascii="Segoe UI Symbol" w:hAnsi="Segoe UI Symbol" w:cs="Segoe UI Symbol"/>
        <w:b w:val="0"/>
        <w:i w:val="0"/>
        <w:strike w:val="0"/>
        <w:dstrike w:val="0"/>
        <w:color w:val="000000"/>
        <w:position w:val="0"/>
        <w:sz w:val="32"/>
        <w:szCs w:val="32"/>
        <w:u w:val="none" w:color="000000"/>
        <w:vertAlign w:val="baseline"/>
      </w:rPr>
    </w:lvl>
    <w:lvl w:ilvl="3">
      <w:start w:val="1"/>
      <w:numFmt w:val="bullet"/>
      <w:lvlText w:val="•"/>
      <w:lvlJc w:val="left"/>
      <w:pPr>
        <w:tabs>
          <w:tab w:val="num" w:pos="0"/>
        </w:tabs>
        <w:ind w:left="2160" w:firstLine="0"/>
      </w:pPr>
      <w:rPr>
        <w:rFonts w:ascii="Arial" w:hAnsi="Arial" w:cs="Arial"/>
        <w:b w:val="0"/>
        <w:i w:val="0"/>
        <w:strike w:val="0"/>
        <w:dstrike w:val="0"/>
        <w:color w:val="000000"/>
        <w:position w:val="0"/>
        <w:sz w:val="32"/>
        <w:szCs w:val="32"/>
        <w:u w:val="none" w:color="000000"/>
        <w:vertAlign w:val="baseline"/>
      </w:rPr>
    </w:lvl>
    <w:lvl w:ilvl="4">
      <w:start w:val="1"/>
      <w:numFmt w:val="bullet"/>
      <w:lvlText w:val="o"/>
      <w:lvlJc w:val="left"/>
      <w:pPr>
        <w:tabs>
          <w:tab w:val="num" w:pos="0"/>
        </w:tabs>
        <w:ind w:left="2880" w:firstLine="0"/>
      </w:pPr>
      <w:rPr>
        <w:rFonts w:ascii="Segoe UI Symbol" w:hAnsi="Segoe UI Symbol" w:cs="Segoe UI Symbol"/>
        <w:b w:val="0"/>
        <w:i w:val="0"/>
        <w:strike w:val="0"/>
        <w:dstrike w:val="0"/>
        <w:color w:val="000000"/>
        <w:position w:val="0"/>
        <w:sz w:val="32"/>
        <w:szCs w:val="32"/>
        <w:u w:val="none" w:color="000000"/>
        <w:vertAlign w:val="baseline"/>
      </w:rPr>
    </w:lvl>
    <w:lvl w:ilvl="5">
      <w:start w:val="1"/>
      <w:numFmt w:val="bullet"/>
      <w:lvlText w:val="▪"/>
      <w:lvlJc w:val="left"/>
      <w:pPr>
        <w:tabs>
          <w:tab w:val="num" w:pos="0"/>
        </w:tabs>
        <w:ind w:left="3600" w:firstLine="0"/>
      </w:pPr>
      <w:rPr>
        <w:rFonts w:ascii="Segoe UI Symbol" w:hAnsi="Segoe UI Symbol" w:cs="Segoe UI Symbol"/>
        <w:b w:val="0"/>
        <w:i w:val="0"/>
        <w:strike w:val="0"/>
        <w:dstrike w:val="0"/>
        <w:color w:val="000000"/>
        <w:position w:val="0"/>
        <w:sz w:val="32"/>
        <w:szCs w:val="32"/>
        <w:u w:val="none" w:color="000000"/>
        <w:vertAlign w:val="baseline"/>
      </w:rPr>
    </w:lvl>
    <w:lvl w:ilvl="6">
      <w:start w:val="1"/>
      <w:numFmt w:val="bullet"/>
      <w:lvlText w:val="•"/>
      <w:lvlJc w:val="left"/>
      <w:pPr>
        <w:tabs>
          <w:tab w:val="num" w:pos="0"/>
        </w:tabs>
        <w:ind w:left="4320" w:firstLine="0"/>
      </w:pPr>
      <w:rPr>
        <w:rFonts w:ascii="Arial" w:hAnsi="Arial" w:cs="Arial"/>
        <w:b w:val="0"/>
        <w:i w:val="0"/>
        <w:strike w:val="0"/>
        <w:dstrike w:val="0"/>
        <w:color w:val="000000"/>
        <w:position w:val="0"/>
        <w:sz w:val="32"/>
        <w:szCs w:val="32"/>
        <w:u w:val="none" w:color="000000"/>
        <w:vertAlign w:val="baseline"/>
      </w:rPr>
    </w:lvl>
    <w:lvl w:ilvl="7">
      <w:start w:val="1"/>
      <w:numFmt w:val="bullet"/>
      <w:lvlText w:val="o"/>
      <w:lvlJc w:val="left"/>
      <w:pPr>
        <w:tabs>
          <w:tab w:val="num" w:pos="0"/>
        </w:tabs>
        <w:ind w:left="5040" w:firstLine="0"/>
      </w:pPr>
      <w:rPr>
        <w:rFonts w:ascii="Segoe UI Symbol" w:hAnsi="Segoe UI Symbol" w:cs="Segoe UI Symbol"/>
        <w:b w:val="0"/>
        <w:i w:val="0"/>
        <w:strike w:val="0"/>
        <w:dstrike w:val="0"/>
        <w:color w:val="000000"/>
        <w:position w:val="0"/>
        <w:sz w:val="32"/>
        <w:szCs w:val="32"/>
        <w:u w:val="none" w:color="000000"/>
        <w:vertAlign w:val="baseline"/>
      </w:rPr>
    </w:lvl>
    <w:lvl w:ilvl="8">
      <w:start w:val="1"/>
      <w:numFmt w:val="bullet"/>
      <w:lvlText w:val="▪"/>
      <w:lvlJc w:val="left"/>
      <w:pPr>
        <w:tabs>
          <w:tab w:val="num" w:pos="0"/>
        </w:tabs>
        <w:ind w:left="5760" w:firstLine="0"/>
      </w:pPr>
      <w:rPr>
        <w:rFonts w:ascii="Segoe UI Symbol" w:hAnsi="Segoe UI Symbol" w:cs="Segoe UI Symbol"/>
        <w:b w:val="0"/>
        <w:i w:val="0"/>
        <w:strike w:val="0"/>
        <w:dstrike w:val="0"/>
        <w:color w:val="000000"/>
        <w:position w:val="0"/>
        <w:sz w:val="32"/>
        <w:szCs w:val="32"/>
        <w:u w:val="none" w:color="000000"/>
        <w:vertAlign w:val="baseline"/>
      </w:r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D476E76"/>
    <w:multiLevelType w:val="hybridMultilevel"/>
    <w:tmpl w:val="D168FEC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6E81D99"/>
    <w:multiLevelType w:val="hybridMultilevel"/>
    <w:tmpl w:val="385E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stylePaneFormatFilter w:val="0000"/>
  <w:documentProtection w:edit="readOnly" w:enforcement="0"/>
  <w:defaultTabStop w:val="720"/>
  <w:defaultTableStyle w:val="Normal"/>
  <w:drawingGridHorizontalSpacing w:val="130"/>
  <w:drawingGridVerticalSpacing w:val="0"/>
  <w:displayHorizontalDrawingGridEvery w:val="0"/>
  <w:displayVerticalDrawingGridEvery w:val="0"/>
  <w:noPunctuationKerning/>
  <w:characterSpacingControl w:val="doNotCompress"/>
  <w:strictFirstAndLastChars/>
  <w:hdrShapeDefaults>
    <o:shapedefaults v:ext="edit" spidmax="14338"/>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
  <w:rsids>
    <w:rsidRoot w:val="0033091A"/>
    <w:rsid w:val="0000701E"/>
    <w:rsid w:val="000242DF"/>
    <w:rsid w:val="000443AF"/>
    <w:rsid w:val="000A6012"/>
    <w:rsid w:val="00114B99"/>
    <w:rsid w:val="00117CB7"/>
    <w:rsid w:val="00166791"/>
    <w:rsid w:val="00203D7F"/>
    <w:rsid w:val="002051F4"/>
    <w:rsid w:val="002367D7"/>
    <w:rsid w:val="00262446"/>
    <w:rsid w:val="002E40C5"/>
    <w:rsid w:val="0033091A"/>
    <w:rsid w:val="0038154B"/>
    <w:rsid w:val="003B31F6"/>
    <w:rsid w:val="00413D6E"/>
    <w:rsid w:val="0043031C"/>
    <w:rsid w:val="00451C35"/>
    <w:rsid w:val="00462FBD"/>
    <w:rsid w:val="005327F6"/>
    <w:rsid w:val="00540263"/>
    <w:rsid w:val="00573F35"/>
    <w:rsid w:val="005F6E7D"/>
    <w:rsid w:val="006478ED"/>
    <w:rsid w:val="00672196"/>
    <w:rsid w:val="00672552"/>
    <w:rsid w:val="006B1CBD"/>
    <w:rsid w:val="006B609D"/>
    <w:rsid w:val="00715DB8"/>
    <w:rsid w:val="0075075B"/>
    <w:rsid w:val="0075322C"/>
    <w:rsid w:val="007F052B"/>
    <w:rsid w:val="00802AA4"/>
    <w:rsid w:val="00821D10"/>
    <w:rsid w:val="008C3684"/>
    <w:rsid w:val="009012EA"/>
    <w:rsid w:val="00931973"/>
    <w:rsid w:val="009514C1"/>
    <w:rsid w:val="00A13A78"/>
    <w:rsid w:val="00A57AEF"/>
    <w:rsid w:val="00A8445F"/>
    <w:rsid w:val="00AC6D5A"/>
    <w:rsid w:val="00AD3741"/>
    <w:rsid w:val="00B1492D"/>
    <w:rsid w:val="00B95DE1"/>
    <w:rsid w:val="00BB443D"/>
    <w:rsid w:val="00BB61AB"/>
    <w:rsid w:val="00BF3275"/>
    <w:rsid w:val="00C17030"/>
    <w:rsid w:val="00C5408B"/>
    <w:rsid w:val="00CE7E42"/>
    <w:rsid w:val="00D65F7B"/>
    <w:rsid w:val="00DA2296"/>
    <w:rsid w:val="00DB7A58"/>
    <w:rsid w:val="00DE2288"/>
    <w:rsid w:val="00E15C2A"/>
    <w:rsid w:val="00F1353C"/>
    <w:rsid w:val="00F207A9"/>
    <w:rsid w:val="00FB0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2D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030"/>
    <w:pPr>
      <w:tabs>
        <w:tab w:val="center" w:pos="4320"/>
        <w:tab w:val="right" w:pos="8640"/>
      </w:tabs>
    </w:pPr>
  </w:style>
  <w:style w:type="paragraph" w:styleId="Footer">
    <w:name w:val="footer"/>
    <w:basedOn w:val="Normal"/>
    <w:rsid w:val="00C17030"/>
    <w:pPr>
      <w:tabs>
        <w:tab w:val="center" w:pos="4320"/>
        <w:tab w:val="right" w:pos="8640"/>
      </w:tabs>
    </w:pPr>
  </w:style>
  <w:style w:type="character" w:styleId="PageNumber">
    <w:name w:val="page number"/>
    <w:basedOn w:val="DefaultParagraphFont"/>
    <w:rsid w:val="00C17030"/>
  </w:style>
  <w:style w:type="table" w:styleId="TableGrid">
    <w:name w:val="Table Grid"/>
    <w:basedOn w:val="TableNormal"/>
    <w:rsid w:val="00AD3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B31F6"/>
    <w:rPr>
      <w:color w:val="0000FF"/>
      <w:u w:val="single"/>
    </w:rPr>
  </w:style>
  <w:style w:type="paragraph" w:styleId="ListParagraph">
    <w:name w:val="List Paragraph"/>
    <w:basedOn w:val="Normal"/>
    <w:uiPriority w:val="34"/>
    <w:qFormat/>
    <w:rsid w:val="00DE2288"/>
    <w:pPr>
      <w:ind w:firstLineChars="200" w:firstLine="420"/>
    </w:pPr>
  </w:style>
  <w:style w:type="paragraph" w:styleId="BalloonText">
    <w:name w:val="Balloon Text"/>
    <w:basedOn w:val="Normal"/>
    <w:link w:val="BalloonTextChar"/>
    <w:rsid w:val="00BF3275"/>
    <w:rPr>
      <w:rFonts w:ascii="Tahoma" w:hAnsi="Tahoma" w:cs="Tahoma"/>
      <w:sz w:val="16"/>
      <w:szCs w:val="16"/>
    </w:rPr>
  </w:style>
  <w:style w:type="character" w:customStyle="1" w:styleId="BalloonTextChar">
    <w:name w:val="Balloon Text Char"/>
    <w:basedOn w:val="DefaultParagraphFont"/>
    <w:link w:val="BalloonText"/>
    <w:rsid w:val="00BF327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21219.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28375</CharactersWithSpaces>
  <SharedDoc>false</SharedDoc>
  <HLinks>
    <vt:vector size="12" baseType="variant">
      <vt:variant>
        <vt:i4>4522059</vt:i4>
      </vt:variant>
      <vt:variant>
        <vt:i4>0</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A_H_H_A</dc:creator>
  <cp:lastModifiedBy>Administrator</cp:lastModifiedBy>
  <cp:revision>3</cp:revision>
  <cp:lastPrinted>2019-11-18T18:48:00Z</cp:lastPrinted>
  <dcterms:created xsi:type="dcterms:W3CDTF">2019-12-16T14:18:00Z</dcterms:created>
  <dcterms:modified xsi:type="dcterms:W3CDTF">2019-12-18T00:13:00Z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