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BD" w:rsidRPr="00A12D77" w:rsidRDefault="00805DBD" w:rsidP="00805DBD">
      <w:pPr>
        <w:snapToGrid w:val="0"/>
        <w:jc w:val="center"/>
        <w:rPr>
          <w:rFonts w:eastAsiaTheme="minorEastAsia"/>
          <w:b/>
          <w:bCs/>
          <w:bdr w:val="none" w:sz="0" w:space="0" w:color="auto" w:frame="1"/>
          <w:lang w:eastAsia="zh-CN"/>
        </w:rPr>
      </w:pPr>
    </w:p>
    <w:p w:rsidR="00C97655" w:rsidRPr="00A12D77" w:rsidRDefault="00673D11" w:rsidP="00805DBD">
      <w:pPr>
        <w:snapToGrid w:val="0"/>
        <w:jc w:val="center"/>
        <w:rPr>
          <w:rFonts w:eastAsiaTheme="minorHAnsi"/>
          <w:b/>
          <w:bCs/>
          <w:bdr w:val="none" w:sz="0" w:space="0" w:color="auto" w:frame="1"/>
          <w:lang w:bidi="ar-EG"/>
        </w:rPr>
      </w:pPr>
      <w:r w:rsidRPr="00A12D77">
        <w:rPr>
          <w:rFonts w:eastAsiaTheme="minorHAnsi"/>
          <w:b/>
          <w:bCs/>
          <w:bdr w:val="none" w:sz="0" w:space="0" w:color="auto" w:frame="1"/>
        </w:rPr>
        <w:t>Discharge Heart Rate as a Predictor of Left Ventricular Adverse Remodeling in ST-Segment Elevation Myocardial Infarction in Patients Treated with Primary Percutaneous Coronary Intervention</w:t>
      </w:r>
    </w:p>
    <w:p w:rsidR="00C97655" w:rsidRPr="00A12D77" w:rsidRDefault="00C97655" w:rsidP="00805DBD">
      <w:pPr>
        <w:snapToGrid w:val="0"/>
        <w:jc w:val="center"/>
        <w:rPr>
          <w:rFonts w:eastAsiaTheme="minorHAnsi"/>
          <w:b/>
          <w:bCs/>
          <w:bdr w:val="none" w:sz="0" w:space="0" w:color="auto" w:frame="1"/>
          <w:lang w:bidi="ar-EG"/>
        </w:rPr>
      </w:pPr>
    </w:p>
    <w:p w:rsidR="00C97655" w:rsidRPr="00A12D77" w:rsidRDefault="00673D11" w:rsidP="00805DBD">
      <w:pPr>
        <w:snapToGrid w:val="0"/>
        <w:jc w:val="center"/>
        <w:rPr>
          <w:rFonts w:eastAsiaTheme="minorEastAsia"/>
          <w:lang w:eastAsia="zh-CN"/>
        </w:rPr>
      </w:pPr>
      <w:bookmarkStart w:id="0" w:name="_GoBack"/>
      <w:r w:rsidRPr="00A12D77">
        <w:t xml:space="preserve">Mohamed Mahmoud Ramadan </w:t>
      </w:r>
      <w:r w:rsidR="002A15A4" w:rsidRPr="00A12D77">
        <w:t>Abdel Raze</w:t>
      </w:r>
      <w:bookmarkEnd w:id="0"/>
      <w:r w:rsidR="00C97655" w:rsidRPr="00A12D77">
        <w:t>k (</w:t>
      </w:r>
      <w:r w:rsidR="002A15A4" w:rsidRPr="00A12D77">
        <w:t>M.B.B.Ch)</w:t>
      </w:r>
      <w:r w:rsidR="00805DBD" w:rsidRPr="00A12D77">
        <w:t>, S</w:t>
      </w:r>
      <w:r w:rsidRPr="00A12D77">
        <w:t>eham F. Badr MD, Hatem M. Elsokkary MD, Ayman A. Gaafar MD.</w:t>
      </w:r>
    </w:p>
    <w:p w:rsidR="00C97655" w:rsidRPr="00A12D77" w:rsidRDefault="00C97655" w:rsidP="00805DBD">
      <w:pPr>
        <w:snapToGrid w:val="0"/>
        <w:jc w:val="center"/>
        <w:rPr>
          <w:rFonts w:eastAsiaTheme="minorEastAsia"/>
          <w:lang w:eastAsia="zh-CN"/>
        </w:rPr>
      </w:pPr>
    </w:p>
    <w:p w:rsidR="00C97655" w:rsidRPr="00A12D77" w:rsidRDefault="00673D11" w:rsidP="00805DBD">
      <w:pPr>
        <w:snapToGrid w:val="0"/>
        <w:jc w:val="center"/>
      </w:pPr>
      <w:r w:rsidRPr="00A12D77">
        <w:t>Cardiology Department, Faculty of Medicine, Tanta University.</w:t>
      </w:r>
    </w:p>
    <w:p w:rsidR="00C97655" w:rsidRPr="00A12D77" w:rsidRDefault="00C97655" w:rsidP="00805DBD">
      <w:pPr>
        <w:snapToGrid w:val="0"/>
        <w:jc w:val="center"/>
      </w:pPr>
    </w:p>
    <w:p w:rsidR="00673D11" w:rsidRPr="00A12D77" w:rsidRDefault="008F5F1A" w:rsidP="00805DBD">
      <w:pPr>
        <w:snapToGrid w:val="0"/>
        <w:jc w:val="both"/>
      </w:pPr>
      <w:r w:rsidRPr="00A12D77">
        <w:rPr>
          <w:rStyle w:val="Heading1Char"/>
          <w:rFonts w:ascii="Times New Roman" w:hAnsi="Times New Roman" w:cs="Times New Roman"/>
          <w:caps w:val="0"/>
          <w:sz w:val="20"/>
          <w:szCs w:val="20"/>
        </w:rPr>
        <w:t>Abstract</w:t>
      </w:r>
      <w:r w:rsidR="00673D11" w:rsidRPr="00A12D77">
        <w:t>:</w:t>
      </w:r>
      <w:r w:rsidR="00924D9E" w:rsidRPr="00A12D77">
        <w:rPr>
          <w:rFonts w:eastAsiaTheme="minorEastAsia" w:hint="eastAsia"/>
          <w:lang w:eastAsia="zh-CN"/>
        </w:rPr>
        <w:t xml:space="preserve"> </w:t>
      </w:r>
      <w:r w:rsidR="00673D11" w:rsidRPr="00A12D77">
        <w:rPr>
          <w:b/>
          <w:bCs/>
        </w:rPr>
        <w:t>Background</w:t>
      </w:r>
      <w:r w:rsidR="00673D11" w:rsidRPr="00A12D77">
        <w:t>: Coronary artery disease is considered the most common cause of death around the world. Left ventricular (LV) dysfunction is the single strongest predictor of mortality and one of the most prevalent and deadly complications following ST-segment elevation myocardial infarction.</w:t>
      </w:r>
      <w:r w:rsidR="00924D9E" w:rsidRPr="00A12D77">
        <w:rPr>
          <w:rFonts w:eastAsiaTheme="minorEastAsia" w:hint="eastAsia"/>
          <w:lang w:eastAsia="zh-CN"/>
        </w:rPr>
        <w:t xml:space="preserve"> </w:t>
      </w:r>
      <w:r w:rsidR="00673D11" w:rsidRPr="00A12D77">
        <w:rPr>
          <w:b/>
          <w:bCs/>
        </w:rPr>
        <w:t>Objectives</w:t>
      </w:r>
      <w:r w:rsidR="00673D11" w:rsidRPr="00A12D77">
        <w:t xml:space="preserve">: </w:t>
      </w:r>
      <w:r w:rsidR="00673D11" w:rsidRPr="00A12D77">
        <w:rPr>
          <w:lang w:bidi="ar-EG"/>
        </w:rPr>
        <w:t xml:space="preserve">study the discharge heart rate in patients with acute ST-elevation myocardial infarction who were treated by primary PCI as a predictor of LV </w:t>
      </w:r>
      <w:r w:rsidR="00A12D77" w:rsidRPr="00A12D77">
        <w:rPr>
          <w:lang w:bidi="ar-EG"/>
        </w:rPr>
        <w:t>remodelling</w:t>
      </w:r>
      <w:r w:rsidR="00673D11" w:rsidRPr="00A12D77">
        <w:rPr>
          <w:lang w:bidi="ar-EG"/>
        </w:rPr>
        <w:t xml:space="preserve"> and dysfunction.</w:t>
      </w:r>
      <w:r w:rsidR="00AA76D5" w:rsidRPr="00A12D77">
        <w:rPr>
          <w:b/>
          <w:bCs/>
        </w:rPr>
        <w:t xml:space="preserve"> </w:t>
      </w:r>
      <w:r w:rsidR="00673D11" w:rsidRPr="00A12D77">
        <w:rPr>
          <w:b/>
          <w:bCs/>
        </w:rPr>
        <w:t>Methods</w:t>
      </w:r>
      <w:r w:rsidR="00673D11" w:rsidRPr="00A12D77">
        <w:t xml:space="preserve">: study population were treated with primary percutaneous coronary intervention, DHR was calculated from predischarge 12-lead electrocardiography. LV volumes were measured with two-dimensional transthoracic echocardiography at baseline and 3-month follow-up. Variables independently associated with the occurrence of LV </w:t>
      </w:r>
      <w:r w:rsidR="00A12D77" w:rsidRPr="00A12D77">
        <w:t>remodelling</w:t>
      </w:r>
      <w:r w:rsidR="00673D11" w:rsidRPr="00A12D77">
        <w:t xml:space="preserve"> were </w:t>
      </w:r>
      <w:r w:rsidR="00AA76D5" w:rsidRPr="00A12D77">
        <w:t>investigated.</w:t>
      </w:r>
      <w:r w:rsidR="00AA76D5" w:rsidRPr="00A12D77">
        <w:rPr>
          <w:b/>
          <w:bCs/>
        </w:rPr>
        <w:t xml:space="preserve"> Results</w:t>
      </w:r>
      <w:r w:rsidR="00673D11" w:rsidRPr="00A12D77">
        <w:t xml:space="preserve">: LV </w:t>
      </w:r>
      <w:r w:rsidR="00A12D77" w:rsidRPr="00A12D77">
        <w:t>remodelling</w:t>
      </w:r>
      <w:r w:rsidR="00673D11" w:rsidRPr="00A12D77">
        <w:t xml:space="preserve"> occurred in 36.6% of patients. Compared with patients without </w:t>
      </w:r>
      <w:r w:rsidR="00A12D77" w:rsidRPr="00A12D77">
        <w:t>remodelling</w:t>
      </w:r>
      <w:r w:rsidR="00673D11" w:rsidRPr="00A12D77">
        <w:t>, these patients had higher DHR (76.0±6.1 bpm vs 70.1±7.8 bpm)</w:t>
      </w:r>
      <w:r w:rsidR="00C97655" w:rsidRPr="00A12D77">
        <w:t>,</w:t>
      </w:r>
      <w:r w:rsidR="00673D11" w:rsidRPr="00A12D77">
        <w:t xml:space="preserve"> hypertensio</w:t>
      </w:r>
      <w:r w:rsidR="00C97655" w:rsidRPr="00A12D77">
        <w:t>n (</w:t>
      </w:r>
      <w:r w:rsidR="00673D11" w:rsidRPr="00A12D77">
        <w:t>72.7% vs 21.0%</w:t>
      </w:r>
      <w:r w:rsidR="00A12D77">
        <w:t>)</w:t>
      </w:r>
      <w:r w:rsidR="00805DBD" w:rsidRPr="00A12D77">
        <w:t>, o</w:t>
      </w:r>
      <w:r w:rsidR="00673D11" w:rsidRPr="00A12D77">
        <w:t>lder age (61.3</w:t>
      </w:r>
      <w:r w:rsidR="00673D11" w:rsidRPr="00A12D77">
        <w:rPr>
          <w:u w:val="single"/>
        </w:rPr>
        <w:t>+</w:t>
      </w:r>
      <w:r w:rsidR="00673D11" w:rsidRPr="00A12D77">
        <w:t>12.6 vs 54.6</w:t>
      </w:r>
      <w:r w:rsidR="00673D11" w:rsidRPr="00A12D77">
        <w:rPr>
          <w:u w:val="single"/>
        </w:rPr>
        <w:t>+</w:t>
      </w:r>
      <w:r w:rsidR="00673D11" w:rsidRPr="00A12D77">
        <w:t xml:space="preserve"> 11.6</w:t>
      </w:r>
      <w:r w:rsidR="00A12D77">
        <w:t>)</w:t>
      </w:r>
      <w:r w:rsidR="00673D11" w:rsidRPr="00A12D77">
        <w:t>, Diabetes mellitus (77.3% vs 42.0%</w:t>
      </w:r>
      <w:r w:rsidR="00A12D77">
        <w:t>)</w:t>
      </w:r>
      <w:r w:rsidR="00C97655" w:rsidRPr="00A12D77">
        <w:t>,</w:t>
      </w:r>
      <w:r w:rsidR="00673D11" w:rsidRPr="00A12D77">
        <w:t xml:space="preserve"> culprit LAD </w:t>
      </w:r>
      <w:r w:rsidR="00A12D77">
        <w:t>(</w:t>
      </w:r>
      <w:r w:rsidR="00673D11" w:rsidRPr="00A12D77">
        <w:t>77.3 % vs 50%</w:t>
      </w:r>
      <w:r w:rsidR="00A12D77">
        <w:t>)</w:t>
      </w:r>
      <w:r w:rsidR="00673D11" w:rsidRPr="00A12D77">
        <w:t>, more than one vessel disease</w:t>
      </w:r>
      <w:r w:rsidR="00C97655" w:rsidRPr="00A12D77">
        <w:t>,</w:t>
      </w:r>
      <w:r w:rsidR="00673D11" w:rsidRPr="00A12D77">
        <w:t xml:space="preserve"> higher discharge EF </w:t>
      </w:r>
      <w:r w:rsidR="00A12D77">
        <w:t>(</w:t>
      </w:r>
      <w:r w:rsidR="00673D11" w:rsidRPr="00A12D77">
        <w:t>32-52% vs 34-62%</w:t>
      </w:r>
      <w:r w:rsidR="00A12D77">
        <w:t>)</w:t>
      </w:r>
      <w:r w:rsidR="00673D11" w:rsidRPr="00A12D77">
        <w:t xml:space="preserve"> and</w:t>
      </w:r>
      <w:r w:rsidR="00C97655" w:rsidRPr="00A12D77">
        <w:t xml:space="preserve"> </w:t>
      </w:r>
      <w:r w:rsidR="00673D11" w:rsidRPr="00A12D77">
        <w:t>higher E</w:t>
      </w:r>
      <w:r w:rsidR="00673D11" w:rsidRPr="00A12D77">
        <w:rPr>
          <w:lang w:bidi="ar-EG"/>
        </w:rPr>
        <w:t>/</w:t>
      </w:r>
      <w:r w:rsidR="00673D11" w:rsidRPr="00A12D77">
        <w:rPr>
          <w:lang w:val="en-US" w:bidi="ar-EG"/>
        </w:rPr>
        <w:t>e’</w:t>
      </w:r>
      <w:r w:rsidR="00805DBD" w:rsidRPr="00A12D77">
        <w:rPr>
          <w:lang w:val="en-US" w:bidi="ar-EG"/>
        </w:rPr>
        <w:t xml:space="preserve">. </w:t>
      </w:r>
      <w:r w:rsidR="00805DBD" w:rsidRPr="00A12D77">
        <w:t>T</w:t>
      </w:r>
      <w:r w:rsidR="00673D11" w:rsidRPr="00A12D77">
        <w:t>he independent predictors were higher discharge heart rate, LAD as culprit vessel, HTN and discharge E</w:t>
      </w:r>
      <w:r w:rsidR="00673D11" w:rsidRPr="00A12D77">
        <w:rPr>
          <w:lang w:bidi="ar-EG"/>
        </w:rPr>
        <w:t>/e’.</w:t>
      </w:r>
    </w:p>
    <w:p w:rsidR="00805DBD" w:rsidRPr="00A12D77" w:rsidRDefault="00805DBD" w:rsidP="00805DBD">
      <w:pPr>
        <w:snapToGrid w:val="0"/>
        <w:jc w:val="both"/>
        <w:rPr>
          <w:rFonts w:eastAsiaTheme="minorHAnsi"/>
          <w:b/>
          <w:bCs/>
          <w:bdr w:val="none" w:sz="0" w:space="0" w:color="auto" w:frame="1"/>
          <w:lang w:bidi="ar-EG"/>
        </w:rPr>
      </w:pPr>
      <w:r w:rsidRPr="00A12D77">
        <w:rPr>
          <w:rFonts w:eastAsiaTheme="minorEastAsia" w:hint="eastAsia"/>
          <w:lang w:eastAsia="zh-CN"/>
        </w:rPr>
        <w:t>[</w:t>
      </w:r>
      <w:r w:rsidR="008F5F1A" w:rsidRPr="00A12D77">
        <w:t>Mohamed Mahmoud Ramadan Abdel Razek</w:t>
      </w:r>
      <w:r w:rsidRPr="00A12D77">
        <w:t>, S</w:t>
      </w:r>
      <w:r w:rsidR="008F5F1A" w:rsidRPr="00A12D77">
        <w:t>eham F. Badr, Hatem M. Elsokkary, Ayman A. Gaafar</w:t>
      </w:r>
      <w:r w:rsidRPr="00A12D77">
        <w:rPr>
          <w:rFonts w:eastAsiaTheme="minorEastAsia" w:hint="eastAsia"/>
          <w:lang w:eastAsia="zh-CN"/>
        </w:rPr>
        <w:t xml:space="preserve">. </w:t>
      </w:r>
      <w:r w:rsidR="008F5F1A" w:rsidRPr="00A12D77">
        <w:rPr>
          <w:rFonts w:eastAsiaTheme="minorHAnsi"/>
          <w:b/>
          <w:bCs/>
          <w:bdr w:val="none" w:sz="0" w:space="0" w:color="auto" w:frame="1"/>
        </w:rPr>
        <w:t>Discharge Heart Rate as a Predictor of Left Ventricular Adverse Remodeling in ST-Segment Elevation Myocardial Infarction in Patients Treated with Primary Percutaneous Coronary Intervention</w:t>
      </w:r>
      <w:r w:rsidRPr="00A12D77">
        <w:rPr>
          <w:b/>
          <w:bCs/>
          <w:lang w:bidi="fa-IR"/>
        </w:rPr>
        <w:t>.</w:t>
      </w:r>
      <w:r w:rsidRPr="00A12D77">
        <w:rPr>
          <w:bCs/>
          <w:i/>
        </w:rPr>
        <w:t xml:space="preserve"> N Y Sci J</w:t>
      </w:r>
      <w:r w:rsidRPr="00A12D77">
        <w:rPr>
          <w:bCs/>
        </w:rPr>
        <w:t xml:space="preserve"> </w:t>
      </w:r>
      <w:r w:rsidRPr="00A12D77">
        <w:t>201</w:t>
      </w:r>
      <w:r w:rsidRPr="00A12D77">
        <w:rPr>
          <w:rFonts w:hint="eastAsia"/>
        </w:rPr>
        <w:t>9</w:t>
      </w:r>
      <w:r w:rsidRPr="00A12D77">
        <w:t>;</w:t>
      </w:r>
      <w:r w:rsidRPr="00A12D77">
        <w:rPr>
          <w:rFonts w:hint="eastAsia"/>
        </w:rPr>
        <w:t>12</w:t>
      </w:r>
      <w:r w:rsidRPr="00A12D77">
        <w:t>(</w:t>
      </w:r>
      <w:r w:rsidRPr="00A12D77">
        <w:rPr>
          <w:rFonts w:hint="eastAsia"/>
        </w:rPr>
        <w:t>12</w:t>
      </w:r>
      <w:r w:rsidRPr="00A12D77">
        <w:t>):</w:t>
      </w:r>
      <w:r w:rsidR="00DD2BEB" w:rsidRPr="00A12D77">
        <w:rPr>
          <w:noProof/>
          <w:color w:val="000000"/>
        </w:rPr>
        <w:t>54-61</w:t>
      </w:r>
      <w:r w:rsidRPr="00A12D77">
        <w:t xml:space="preserve">]. </w:t>
      </w:r>
      <w:r w:rsidRPr="00A12D77">
        <w:rPr>
          <w:iCs/>
          <w:color w:val="000000"/>
        </w:rPr>
        <w:t>ISSN 1554-0200 (print); ISSN 2375-723X (online)</w:t>
      </w:r>
      <w:r w:rsidRPr="00A12D77">
        <w:t xml:space="preserve">. </w:t>
      </w:r>
      <w:hyperlink r:id="rId7" w:history="1">
        <w:r w:rsidRPr="00A12D77">
          <w:rPr>
            <w:rStyle w:val="Hyperlink"/>
          </w:rPr>
          <w:t>http://www.sciencepub.net/newyork</w:t>
        </w:r>
      </w:hyperlink>
      <w:r w:rsidRPr="00A12D77">
        <w:t xml:space="preserve">. </w:t>
      </w:r>
      <w:r w:rsidRPr="00A12D77">
        <w:rPr>
          <w:rFonts w:eastAsiaTheme="minorEastAsia" w:hint="eastAsia"/>
          <w:lang w:eastAsia="zh-CN"/>
        </w:rPr>
        <w:t>8</w:t>
      </w:r>
      <w:r w:rsidRPr="00A12D77">
        <w:rPr>
          <w:rFonts w:hint="eastAsia"/>
        </w:rPr>
        <w:t xml:space="preserve">. </w:t>
      </w:r>
      <w:r w:rsidRPr="00A12D77">
        <w:rPr>
          <w:color w:val="000000"/>
          <w:shd w:val="clear" w:color="auto" w:fill="FFFFFF"/>
        </w:rPr>
        <w:t>doi:</w:t>
      </w:r>
      <w:hyperlink r:id="rId8" w:history="1">
        <w:r w:rsidRPr="00A12D77">
          <w:rPr>
            <w:rStyle w:val="Hyperlink"/>
            <w:shd w:val="clear" w:color="auto" w:fill="FFFFFF"/>
          </w:rPr>
          <w:t>10.7537/mars</w:t>
        </w:r>
        <w:r w:rsidRPr="00A12D77">
          <w:rPr>
            <w:rStyle w:val="Hyperlink"/>
            <w:rFonts w:hint="eastAsia"/>
            <w:shd w:val="clear" w:color="auto" w:fill="FFFFFF"/>
          </w:rPr>
          <w:t>nys121219.</w:t>
        </w:r>
        <w:r w:rsidRPr="00A12D77">
          <w:rPr>
            <w:rStyle w:val="Hyperlink"/>
            <w:shd w:val="clear" w:color="auto" w:fill="FFFFFF"/>
          </w:rPr>
          <w:t>0</w:t>
        </w:r>
        <w:r w:rsidRPr="00A12D77">
          <w:rPr>
            <w:rStyle w:val="Hyperlink"/>
            <w:rFonts w:eastAsiaTheme="minorEastAsia" w:hint="eastAsia"/>
            <w:shd w:val="clear" w:color="auto" w:fill="FFFFFF"/>
            <w:lang w:eastAsia="zh-CN"/>
          </w:rPr>
          <w:t>8</w:t>
        </w:r>
      </w:hyperlink>
      <w:r w:rsidRPr="00A12D77">
        <w:rPr>
          <w:color w:val="000000"/>
          <w:shd w:val="clear" w:color="auto" w:fill="FFFFFF"/>
        </w:rPr>
        <w:t>.</w:t>
      </w:r>
    </w:p>
    <w:p w:rsidR="008F5F1A" w:rsidRPr="00A12D77" w:rsidRDefault="008F5F1A" w:rsidP="00805DBD">
      <w:pPr>
        <w:autoSpaceDE w:val="0"/>
        <w:autoSpaceDN w:val="0"/>
        <w:adjustRightInd w:val="0"/>
        <w:snapToGrid w:val="0"/>
        <w:jc w:val="both"/>
      </w:pPr>
    </w:p>
    <w:p w:rsidR="00673D11" w:rsidRPr="00A12D77" w:rsidRDefault="00673D11" w:rsidP="00805DBD">
      <w:pPr>
        <w:autoSpaceDE w:val="0"/>
        <w:autoSpaceDN w:val="0"/>
        <w:adjustRightInd w:val="0"/>
        <w:snapToGrid w:val="0"/>
        <w:jc w:val="both"/>
      </w:pPr>
      <w:r w:rsidRPr="00A12D77">
        <w:rPr>
          <w:b/>
          <w:bCs/>
        </w:rPr>
        <w:t>Keywords</w:t>
      </w:r>
      <w:r w:rsidRPr="00A12D77">
        <w:t xml:space="preserve">: </w:t>
      </w:r>
      <w:r w:rsidR="00AA76D5" w:rsidRPr="00A12D77">
        <w:t>L</w:t>
      </w:r>
      <w:r w:rsidRPr="00A12D77">
        <w:t xml:space="preserve">eft ventricular </w:t>
      </w:r>
      <w:r w:rsidR="00A12D77" w:rsidRPr="00A12D77">
        <w:t>remodelling</w:t>
      </w:r>
      <w:r w:rsidRPr="00A12D77">
        <w:t xml:space="preserve"> – discharge heart rate–</w:t>
      </w:r>
      <w:r w:rsidR="00C97655" w:rsidRPr="00A12D77">
        <w:t xml:space="preserve"> </w:t>
      </w:r>
      <w:r w:rsidRPr="00A12D77">
        <w:t>primary percutaneous coronary intervention – ST-segment elevation acute myocardial infarction.</w:t>
      </w:r>
    </w:p>
    <w:p w:rsidR="00673D11" w:rsidRPr="00A12D77" w:rsidRDefault="00673D11" w:rsidP="00805DBD">
      <w:pPr>
        <w:autoSpaceDE w:val="0"/>
        <w:autoSpaceDN w:val="0"/>
        <w:adjustRightInd w:val="0"/>
        <w:snapToGrid w:val="0"/>
        <w:jc w:val="both"/>
        <w:rPr>
          <w:rStyle w:val="Heading1Char"/>
          <w:rFonts w:ascii="Times New Roman" w:hAnsi="Times New Roman" w:cs="Times New Roman"/>
          <w:sz w:val="20"/>
          <w:szCs w:val="20"/>
        </w:rPr>
      </w:pPr>
    </w:p>
    <w:p w:rsidR="00805DBD" w:rsidRPr="00A12D77" w:rsidRDefault="00805DBD" w:rsidP="00805DBD">
      <w:pPr>
        <w:autoSpaceDE w:val="0"/>
        <w:autoSpaceDN w:val="0"/>
        <w:adjustRightInd w:val="0"/>
        <w:snapToGrid w:val="0"/>
        <w:jc w:val="both"/>
        <w:rPr>
          <w:rStyle w:val="Heading1Char"/>
          <w:rFonts w:ascii="Times New Roman" w:hAnsi="Times New Roman" w:cs="Times New Roman"/>
          <w:caps w:val="0"/>
          <w:sz w:val="20"/>
          <w:szCs w:val="20"/>
        </w:rPr>
        <w:sectPr w:rsidR="00805DBD" w:rsidRPr="00A12D77" w:rsidSect="00DD2BEB">
          <w:headerReference w:type="default" r:id="rId9"/>
          <w:footerReference w:type="default" r:id="rId10"/>
          <w:type w:val="continuous"/>
          <w:pgSz w:w="12240" w:h="15840"/>
          <w:pgMar w:top="1440" w:right="1440" w:bottom="1440" w:left="1440" w:header="720" w:footer="720" w:gutter="0"/>
          <w:pgNumType w:start="54"/>
          <w:cols w:space="720"/>
          <w:docGrid w:linePitch="360"/>
        </w:sectPr>
      </w:pPr>
    </w:p>
    <w:p w:rsidR="00673D11" w:rsidRPr="00A12D77" w:rsidRDefault="008F5F1A" w:rsidP="00805DBD">
      <w:pPr>
        <w:autoSpaceDE w:val="0"/>
        <w:autoSpaceDN w:val="0"/>
        <w:adjustRightInd w:val="0"/>
        <w:snapToGrid w:val="0"/>
        <w:jc w:val="both"/>
        <w:rPr>
          <w:bCs/>
        </w:rPr>
      </w:pPr>
      <w:r w:rsidRPr="00A12D77">
        <w:rPr>
          <w:rStyle w:val="Heading1Char"/>
          <w:rFonts w:ascii="Times New Roman" w:hAnsi="Times New Roman" w:cs="Times New Roman"/>
          <w:caps w:val="0"/>
          <w:sz w:val="20"/>
          <w:szCs w:val="20"/>
        </w:rPr>
        <w:lastRenderedPageBreak/>
        <w:t>1. Introduction</w:t>
      </w:r>
    </w:p>
    <w:p w:rsidR="00673D11" w:rsidRPr="00A12D77" w:rsidRDefault="00673D11" w:rsidP="00805DBD">
      <w:pPr>
        <w:tabs>
          <w:tab w:val="left" w:pos="0"/>
        </w:tabs>
        <w:snapToGrid w:val="0"/>
        <w:ind w:firstLine="425"/>
        <w:jc w:val="both"/>
      </w:pPr>
      <w:r w:rsidRPr="00A12D77">
        <w:t>Cardiovascular diseases are currently the leading cause of death in developed countries.</w:t>
      </w:r>
      <w:r w:rsidR="006F7B40" w:rsidRPr="00A12D77">
        <w:rPr>
          <w:vertAlign w:val="superscript"/>
        </w:rPr>
        <w:fldChar w:fldCharType="begin" w:fldLock="1"/>
      </w:r>
      <w:r w:rsidRPr="00A12D77">
        <w:rPr>
          <w:vertAlign w:val="superscript"/>
        </w:rPr>
        <w:instrText>ADDIN CSL_CITATION {"citationItems":[{"id":"ITEM-1","itemData":{"DOI":"10.1161/CIR.0000000000000350","ISSN":"0009-7322","PMID":"26673558","author":[{"dropping-particle":"","family":"Mozaffarian","given":"Dariush","non-dropping-particle":"","parse-names":false,"suffix":""},{"dropping-particle":"","family":"Benjamin","given":"Emelia J.","non-dropping-particle":"","parse-names":false,"suffix":""},{"dropping-particle":"","family":"Go","given":"Alan S.","non-dropping-particle":"","parse-names":false,"suffix":""},{"dropping-particle":"","family":"Arnett","given":"Donna K.","non-dropping-particle":"","parse-names":false,"suffix":""},{"dropping-particle":"","family":"Blaha","given":"Michael J.","non-dropping-particle":"","parse-names":false,"suffix":""},{"dropping-particle":"","family":"Cushman","given":"Mary","non-dropping-particle":"","parse-names":false,"suffix":""},{"dropping-particle":"","family":"Das","given":"Sandeep R.","non-dropping-particle":"","parse-names":false,"suffix":""},{"dropping-particle":"","family":"Ferranti","given":"Sarah","non-dropping-particle":"de","parse-names":false,"suffix":""},{"dropping-particle":"","family":"Després","given":"Jean-Pierre","non-dropping-particle":"","parse-names":false,"suffix":""},{"dropping-particle":"","family":"Fullerton","given":"Heather J.","non-dropping-particle":"","parse-names":false,"suffix":""},{"dropping-particle":"","family":"Howard","given":"Virginia J.","non-dropping-particle":"","parse-names":false,"suffix":""},{"dropping-particle":"","family":"Huffman","given":"Mark D.","non-dropping-particle":"","parse-names":false,"suffix":""},{"dropping-particle":"","family":"Isasi","given":"Carmen R.","non-dropping-particle":"","parse-names":false,"suffix":""},{"dropping-particle":"","family":"Jiménez","given":"Monik C.","non-dropping-particle":"","parse-names":false,"suffix":""},{"dropping-particle":"","family":"Judd","given":"Suzanne E.","non-dropping-particle":"","parse-names":false,"suffix":""},{"dropping-particle":"","family":"Kissela","given":"Brett M.","non-dropping-particle":"","parse-names":false,"suffix":""},{"dropping-particle":"","family":"Lichtman","given":"Judith H.","non-dropping-particle":"","parse-names":false,"suffix":""},{"dropping-particle":"","family":"Lisabeth","given":"Lynda D.","non-dropping-particle":"","parse-names":false,"suffix":""},{"dropping-particle":"","family":"Liu","given":"Simin","non-dropping-particle":"","parse-names":false,"suffix":""},{"dropping-particle":"","family":"Mackey","given":"Rachel H.","non-dropping-particle":"","parse-names":false,"suffix":""},{"dropping-particle":"","family":"Magid","given":"David J.","non-dropping-particle":"","parse-names":false,"suffix":""},{"dropping-particle":"","family":"McGuire","given":"Darren K.","non-dropping-particle":"","parse-names":false,"suffix":""},{"dropping-particle":"","family":"Mohler","given":"Emile R.","non-dropping-particle":"","parse-names":false,"suffix":""},{"dropping-particle":"","family":"Moy","given":"Claudia S.","non-dropping-particle":"","parse-names":false,"suffix":""},{"dropping-particle":"","family":"Muntner","given":"Paul","non-dropping-particle":"","parse-names":false,"suffix":""},{"dropping-particle":"","family":"Mussolino","given":"Michael E.","non-dropping-particle":"","parse-names":false,"suffix":""},{"dropping-particle":"","family":"Nasir","given":"Khurram","non-dropping-particle":"","parse-names":false,"suffix":""},{"dropping-particle":"","family":"Neumar","given":"Robert W.","non-dropping-particle":"","parse-names":false,"suffix":""},{"dropping-particle":"","family":"Nichol","given":"Graham","non-dropping-particle":"","parse-names":false,"suffix":""},{"dropping-particle":"","family":"Palaniappan","given":"Latha","non-dropping-particle":"","parse-names":false,"suffix":""},{"dropping-particle":"","family":"Pandey","given":"Dilip K.","non-dropping-particle":"","parse-names":false,"suffix":""},{"dropping-particle":"","family":"Reeves","given":"Mathew J.","non-dropping-particle":"","parse-names":false,"suffix":""},{"dropping-particle":"","family":"Rodriguez","given":"Carlos J.","non-dropping-particle":"","parse-names":false,"suffix":""},{"dropping-particle":"","family":"Rosamond","given":"Wayne","non-dropping-particle":"","parse-names":false,"suffix":""},{"dropping-particle":"","family":"Sorlie","given":"Paul D.","non-dropping-particle":"","parse-names":false,"suffix":""},{"dropping-particle":"","family":"Stein","given":"Joel","non-dropping-particle":"","parse-names":false,"suffix":""},{"dropping-particle":"","family":"Towfighi","given":"Amytis","non-dropping-particle":"","parse-names":false,"suffix":""},{"dropping-particle":"","family":"Turan","given":"Tanya N.","non-dropping-particle":"","parse-names":false,"suffix":""},{"dropping-particle":"","family":"Virani","given":"Salim S.","non-dropping-particle":"","parse-names":false,"suffix":""},{"dropping-particle":"","family":"Woo","given":"Daniel","non-dropping-particle":"","parse-names":false,"suffix":""},{"dropping-particle":"","family":"Yeh","given":"Robert W.","non-dropping-particle":"","parse-names":false,"suffix":""},{"dropping-particle":"","family":"Turner","given":"Melanie B.","non-dropping-particle":"","parse-names":false,"suffix":""},{"dropping-particle":"","family":"Turner","given":"Melanie B","non-dropping-particle":"","parse-names":false,"suffix":""},{"dropping-particle":"","family":"American Heart Association Statistics Committee","given":"","non-dropping-particle":"","parse-names":false,"suffix":""},{"dropping-particle":"","family":"Stroke Statistics Subcommittee","given":"","non-dropping-particle":"","parse-names":false,"suffix":""}],"container-title":"Circulation","id":"ITEM-1","issue":"4","issued":{"date-parts":[["2016","1","26"]]},"page":"e38-360","title":"Heart Disease and Stroke Statistics—2016 Update","type":"article-journal","volume":"133"},"uris":["http://www.mendeley.com/documents/?uuid=46433b63-0dd6-3708-b0a2-5019b1ef009e"]}],"mendeley":{"formattedCitation":"&lt;sup&gt;1&lt;/sup&gt;","plainTextFormattedCitation":"1","previouslyFormattedCitation":"&lt;sup&gt;[1]&lt;/sup&gt;"},"properties":{"noteIndex":0},"schema":"https://github.com/citation-style-language/schema/raw/master/csl-citation.json"}</w:instrText>
      </w:r>
      <w:r w:rsidR="006F7B40" w:rsidRPr="00A12D77">
        <w:rPr>
          <w:vertAlign w:val="superscript"/>
        </w:rPr>
        <w:fldChar w:fldCharType="separate"/>
      </w:r>
      <w:r w:rsidRPr="00A12D77">
        <w:rPr>
          <w:noProof/>
          <w:vertAlign w:val="superscript"/>
        </w:rPr>
        <w:t>1</w:t>
      </w:r>
      <w:r w:rsidR="006F7B40" w:rsidRPr="00A12D77">
        <w:rPr>
          <w:vertAlign w:val="superscript"/>
        </w:rPr>
        <w:fldChar w:fldCharType="end"/>
      </w:r>
      <w:r w:rsidRPr="00A12D77">
        <w:t xml:space="preserve"> Left ventricular (LV) dysfunction is the single strongest indicator of mortality and one of the most frequent and dangerous complications following ST-segment elevation myocardial infarction.</w:t>
      </w:r>
      <w:r w:rsidR="006F7B40" w:rsidRPr="00A12D77">
        <w:rPr>
          <w:vertAlign w:val="superscript"/>
        </w:rPr>
        <w:fldChar w:fldCharType="begin" w:fldLock="1"/>
      </w:r>
      <w:r w:rsidRPr="00A12D77">
        <w:rPr>
          <w:vertAlign w:val="superscript"/>
        </w:rPr>
        <w:instrText>ADDIN CSL_CITATION {"citationItems":[{"id":"ITEM-1","itemData":{"DOI":"10.1016/j.jacc.2015.12.042","ISSN":"07351097","PMID":"26965540","abstract":"BACKGROUND Persistent severe left ventricular (LV) systolic dysfunction after myocardial infarction (MI) is associated with increased mortality and is a class I indication for implantation of a cardioverter-defibrillator. OBJECTIVES This study developed models and assessed independent predictors of LV recovery to &gt;35% and ≥50% after 90-day follow-up in patients presenting with acute MI and severe LV dysfunction. METHODS Our multicenter prospective observational study enrolled participants with ejection fraction (EF) of ≤35% at the time of MI (n = 231). Predictors for EF recovery to &gt;35% and ≥50% were identified after multivariate modeling and validated in a separate cohort (n = 236). RESULTS In the PREDICTS (PREDiction of ICd Treatment Study) study, 43% of patients had persistent EF ≤35%, 31% had an EF of 36% to 49%, and 26% had an EF ≥50%. The model that best predicted recovery of EF to &gt;35% included EF at presentation, length of stay, prior MI, lateral wall motion abnormality at presentation, and peak troponin. The model that best predicted recovery of EF to ≥50% included EF at presentation, peak troponin, prior MI, and presentation with ventricular fibrillation or cardiac arrest. After predictors were transformed into point scores, the lowest point scores predicted a 9% and 4% probability of EF recovery to &gt;35% and ≥50%, respectively, whereas profiles with the highest point scores predicted an 87% and 49% probability of EF recovery to &gt;35% and ≥50%, respectively. CONCLUSIONS In patients with severe systolic dysfunction following acute MI with an EF ≤35%, 57% had EF recovery to &gt;35%. A model using clinical variables present at the time of MI can help predict EF recovery.","author":[{"dropping-particle":"","family":"Brooks","given":"Gabriel C.","non-dropping-particle":"","parse-names":false,"suffix":""},{"dropping-particle":"","family":"Lee","given":"Byron K.","non-dropping-particle":"","parse-names":false,"suffix":""},{"dropping-particle":"","family":"Rao","given":"Rajni","non-dropping-particle":"","parse-names":false,"suffix":""},{"dropping-particle":"","family":"Lin","given":"Feng","non-dropping-particle":"","parse-names":false,"suffix":""},{"dropping-particle":"","family":"Morin","given":"Daniel P.","non-dropping-particle":"","parse-names":false,"suffix":""},{"dropping-particle":"","family":"Zweibel","given":"Steven L.","non-dropping-particle":"","parse-names":false,"suffix":""},{"dropping-particle":"","family":"Buxton","given":"Alfred E.","non-dropping-particle":"","parse-names":false,"suffix":""},{"dropping-particle":"","family":"Pletcher","given":"Mark J.","non-dropping-particle":"","parse-names":false,"suffix":""},{"dropping-particle":"","family":"Vittinghoff","given":"Eric","non-dropping-particle":"","parse-names":false,"suffix":""},{"dropping-particle":"","family":"Olgin","given":"Jeffrey E.","non-dropping-particle":"","parse-names":false,"suffix":""},{"dropping-particle":"","family":"PREDICTS Investigators","given":"","non-dropping-particle":"","parse-names":false,"suffix":""}],"container-title":"Journal of the American College of Cardiology","id":"ITEM-1","issue":"10","issued":{"date-parts":[["2016","3","15"]]},"page":"1186-1196","title":"Predicting Persistent Left Ventricular Dysfunction Following Myocardial Infarction","type":"article-journal","volume":"67"},"uris":["http://www.mendeley.com/documents/?uuid=66e77556-4b22-34d8-9b27-15b75c885385"]}],"mendeley":{"formattedCitation":"&lt;sup&gt;2&lt;/sup&gt;","plainTextFormattedCitation":"2","previouslyFormattedCitation":"&lt;sup&gt;[3]&lt;/sup&gt;"},"properties":{"noteIndex":0},"schema":"https://github.com/citation-style-language/schema/raw/master/csl-citation.json"}</w:instrText>
      </w:r>
      <w:r w:rsidR="006F7B40" w:rsidRPr="00A12D77">
        <w:rPr>
          <w:vertAlign w:val="superscript"/>
        </w:rPr>
        <w:fldChar w:fldCharType="separate"/>
      </w:r>
      <w:r w:rsidRPr="00A12D77">
        <w:rPr>
          <w:noProof/>
          <w:vertAlign w:val="superscript"/>
        </w:rPr>
        <w:t>2</w:t>
      </w:r>
      <w:r w:rsidR="006F7B40" w:rsidRPr="00A12D77">
        <w:rPr>
          <w:vertAlign w:val="superscript"/>
        </w:rPr>
        <w:fldChar w:fldCharType="end"/>
      </w:r>
      <w:r w:rsidRPr="00A12D77">
        <w:t xml:space="preserve"> Recently there has been increased interest in the prevalence of </w:t>
      </w:r>
      <w:r w:rsidR="00A12D77" w:rsidRPr="00A12D77">
        <w:t>remodelling</w:t>
      </w:r>
      <w:r w:rsidRPr="00A12D77">
        <w:t xml:space="preserve"> in the interventional cardiology era. From a clinical point of view, it is vital to identify those patients at higher risk for LV </w:t>
      </w:r>
      <w:r w:rsidR="00A12D77" w:rsidRPr="00A12D77">
        <w:t>remodelling</w:t>
      </w:r>
      <w:r w:rsidRPr="00A12D77">
        <w:t xml:space="preserve">. The early identification of those patients at higher risk of LV </w:t>
      </w:r>
      <w:r w:rsidR="00A12D77" w:rsidRPr="00A12D77">
        <w:t>remodelling</w:t>
      </w:r>
      <w:r w:rsidRPr="00A12D77">
        <w:t xml:space="preserve"> may have crucial therapeutic implications.</w:t>
      </w:r>
      <w:r w:rsidR="006F7B40" w:rsidRPr="00A12D77">
        <w:rPr>
          <w:vertAlign w:val="superscript"/>
        </w:rPr>
        <w:fldChar w:fldCharType="begin" w:fldLock="1"/>
      </w:r>
      <w:r w:rsidRPr="00A12D77">
        <w:rPr>
          <w:vertAlign w:val="superscript"/>
        </w:rPr>
        <w:instrText>ADDIN CSL_CITATION {"citationItems":[{"id":"ITEM-1","itemData":{"ISSN":"1897-5593","PMID":"18651467","abstract":"BACKGROUND Progressive left ventricular dilatation (PLVD) occurs after myocardial infarction (MI), and this may take place in the area of primary percutaneous coronary intervention (PCI). The factors predicting PLVD after primary PCI still need to be clarified. The aim of the study was to assess the prevalence and to define the baseline clinical and echocardiographic predictors of PLVD in patients with STEMI treated by primary PCI. METHODS Of the 90 patients initially selected for the study 88 (29 women and 59 men, mean age 67.1 +/- 5.6 years) with first ST-elevation myocardial infarction (STEMI) treated with primary PCI were examined. Echocardiographic examination was performed in all patients at discharge (M1) and after 6 months (M2). The following factors influencing PLVD were evaluated: type of infarct-related artery (IRA), infarct size expressed as wall motion score index (WMSI) &gt;/= 1.5, left ventricular end-diastolic volume index (LVEDVI) &gt;/= 80 ml/m(2), ejection fraction (EF) &lt;/= 45%, restrictive pattern of transmitral flow, time to reperfusion, left ventricular mass index (LVMI) &gt;/= 125 g/m(2) and coronary risk factors. RESULTS The overall prevalence of PLVD (according to the criterion of 20% LVEDVI increase from M1 to M2) was 24%. Univariate regression analysis revealed that the following were the significant baseline M1 predictors of adverse PLVD: left anterior descending as IRA (relative risk: rr = 2.3, p &lt; 0.05), WMSI &gt;/= 1.5 (rr = 4.29, p &lt; 0.005), EF &lt;/= 45% (rr = 2.89, p &lt; 0.005) and a restrictive pattern of transmitral flow (rr = 2.4, p &lt; 0.01). Multivariate logistic analysis showed that the only independent determinant of PLVD was WMSI &gt;/= 1.5. CONCLUSIONS Both regional and global left ventricular systolic dysfunction indices as well as severe left ventricular diastolic abnormalities but not left ventricular dilatation at discharge are significant predictors of adverse cardiac remodelling after STEMI in patients treated with primary PCI. However the only independent determinant of PLVD was WMSI &gt;/= 1.5 expressing the infarct size. (Cardiol J 2007; 14: 238-245).","author":[{"dropping-particle":"","family":"Loboz-Grudzień","given":"Krystyna","non-dropping-particle":"","parse-names":false,"suffix":""},{"dropping-particle":"","family":"Kowalska","given":"Alicja","non-dropping-particle":"","parse-names":false,"suffix":""},{"dropping-particle":"","family":"Brzezińska","given":"Barbara","non-dropping-particle":"","parse-names":false,"suffix":""},{"dropping-particle":"","family":"Sokalski","given":"Leszek","non-dropping-particle":"","parse-names":false,"suffix":""},{"dropping-particle":"","family":"Jaroch","given":"Joanna","non-dropping-particle":"","parse-names":false,"suffix":""}],"container-title":"Cardiology journal","id":"ITEM-1","issue":"3","issued":{"date-parts":[["2007"]]},"page":"238-45","title":"Early predictors of adverse left ventricular remodelling after myocardial infarction treated by primary angioplasty.","type":"article-journal","volume":"14"},"uris":["http://www.mendeley.com/documents/?uuid=5ba278b7-1f75-3f42-ba1d-c6924ac4e247"]}],"mendeley":{"formattedCitation":"&lt;sup&gt;3&lt;/sup&gt;","plainTextFormattedCitation":"3","previouslyFormattedCitation":"&lt;sup&gt;[9]&lt;/sup&gt;"},"properties":{"noteIndex":0},"schema":"https://github.com/citation-style-language/schema/raw/master/csl-citation.json"}</w:instrText>
      </w:r>
      <w:r w:rsidR="006F7B40" w:rsidRPr="00A12D77">
        <w:rPr>
          <w:vertAlign w:val="superscript"/>
        </w:rPr>
        <w:fldChar w:fldCharType="separate"/>
      </w:r>
      <w:r w:rsidRPr="00A12D77">
        <w:rPr>
          <w:noProof/>
          <w:vertAlign w:val="superscript"/>
        </w:rPr>
        <w:t>3</w:t>
      </w:r>
      <w:r w:rsidR="006F7B40" w:rsidRPr="00A12D77">
        <w:rPr>
          <w:vertAlign w:val="superscript"/>
        </w:rPr>
        <w:fldChar w:fldCharType="end"/>
      </w:r>
      <w:r w:rsidRPr="00A12D77">
        <w:t xml:space="preserve"> Subsequently, factors predicting post-infarct LV </w:t>
      </w:r>
      <w:r w:rsidR="00A12D77" w:rsidRPr="00A12D77">
        <w:t>remodelling</w:t>
      </w:r>
      <w:r w:rsidRPr="00A12D77">
        <w:t xml:space="preserve"> after MI treated by PPCI stay to be clarified. Besides, heart rate is a basic determinant of myocardial oxygen demand and an important risk factor for developing mortality and morbidity in patients with coronary artery disease.</w:t>
      </w:r>
      <w:r w:rsidR="006F7B40" w:rsidRPr="00A12D77">
        <w:rPr>
          <w:vertAlign w:val="superscript"/>
        </w:rPr>
        <w:fldChar w:fldCharType="begin" w:fldLock="1"/>
      </w:r>
      <w:r w:rsidRPr="00A12D77">
        <w:rPr>
          <w:vertAlign w:val="superscript"/>
        </w:rPr>
        <w:instrText>ADDIN CSL_CITATION {"citationItems":[{"id":"ITEM-1","itemData":{"DOI":"10.1093/eurheartj/ehi190","ISSN":"1522-9645","PMID":"15774493","abstract":"AIMS Heart rate reduction is the cornerstone of the treatment of angina. The purpose of this study was to explore the prognostic value of heart rate in patients with stable coronary artery disease (CAD). METHODS AND RESULTS We assessed the relationship between resting heart rate at baseline and cardiovascular mortality/morbidity, while adjusting for risk factors. A total of 24 913 patients with suspected or proven CAD from the Coronary Artery Surgery Study registry were studied for a median follow-up of 14.7 years. All-cause and cardiovascular mortality and cardiovascular rehospitalizations were increased with increasing heart rate (P&lt;0.0001). Patients with resting heart rate &gt; or =83 bpm at baseline had a significantly higher risk for total mortality [hazard ratio (HR)=1.32, CI 1.19-1.47, P&lt;0.0001] and cardiovascular mortality (HR=1.31, CI 1.15-1.48, P&lt;0.0001) after adjustment for multiple clinical variables when compared with the reference group. When comparing patients with heart rates between 77-82 and &gt; or =83 bpm with patients with a heart rate &lt; or =62 bpm, the HR values for time to first cardiovascular rehospitalization were 1.11 and 1.14, respectively (P&lt;0.001 for both). CONCLUSION Resting heart rate is a simple measurement with prognostic implications. High resting heart rate is a predictor for total and cardiovascular mortality independent of other risk factors in patients with CAD.","author":[{"dropping-particle":"","family":"Diaz","given":"Ariel","non-dropping-particle":"","parse-names":false,"suffix":""},{"dropping-particle":"","family":"Bourassa","given":"Martial G.","non-dropping-particle":"","parse-names":false,"suffix":""},{"dropping-particle":"","family":"Guertin","given":"Marie-Claude","non-dropping-particle":"","parse-names":false,"suffix":""},{"dropping-particle":"","family":"Tardif","given":"Jean-Claude","non-dropping-particle":"","parse-names":false,"suffix":""}],"container-title":"European Heart Journal","id":"ITEM-1","issue":"10","issued":{"date-parts":[["2005","5","1"]]},"page":"967-974","title":"Long-term prognostic value of resting heart rate in patients with suspected or proven coronary artery disease","type":"article-journal","volume":"26"},"uris":["http://www.mendeley.com/documents/?uuid=1ec4c40b-4509-36e0-9252-f41792a09fc4"]}],"mendeley":{"formattedCitation":"&lt;sup&gt;4&lt;/sup&gt;","plainTextFormattedCitation":"4","previouslyFormattedCitation":"&lt;sup&gt;[10]&lt;/sup&gt;"},"properties":{"noteIndex":0},"schema":"https://github.com/citation-style-language/schema/raw/master/csl-citation.json"}</w:instrText>
      </w:r>
      <w:r w:rsidR="006F7B40" w:rsidRPr="00A12D77">
        <w:rPr>
          <w:vertAlign w:val="superscript"/>
        </w:rPr>
        <w:fldChar w:fldCharType="separate"/>
      </w:r>
      <w:r w:rsidRPr="00A12D77">
        <w:rPr>
          <w:noProof/>
          <w:vertAlign w:val="superscript"/>
        </w:rPr>
        <w:t>4</w:t>
      </w:r>
      <w:r w:rsidR="006F7B40" w:rsidRPr="00A12D77">
        <w:rPr>
          <w:vertAlign w:val="superscript"/>
        </w:rPr>
        <w:fldChar w:fldCharType="end"/>
      </w:r>
    </w:p>
    <w:p w:rsidR="00673D11" w:rsidRPr="00A12D77" w:rsidRDefault="008F5F1A" w:rsidP="00805DBD">
      <w:pPr>
        <w:pStyle w:val="Els-Abstract-text"/>
        <w:snapToGrid w:val="0"/>
        <w:spacing w:after="0" w:line="240" w:lineRule="auto"/>
        <w:rPr>
          <w:b/>
          <w:bCs/>
          <w:sz w:val="20"/>
        </w:rPr>
      </w:pPr>
      <w:r w:rsidRPr="00A12D77">
        <w:rPr>
          <w:rStyle w:val="Heading1Char"/>
          <w:rFonts w:ascii="Times New Roman" w:hAnsi="Times New Roman" w:cs="Times New Roman"/>
          <w:caps w:val="0"/>
          <w:sz w:val="20"/>
          <w:szCs w:val="20"/>
        </w:rPr>
        <w:t>Aim of the work</w:t>
      </w:r>
    </w:p>
    <w:p w:rsidR="00673D11" w:rsidRPr="00A12D77" w:rsidRDefault="00673D11" w:rsidP="00805DBD">
      <w:pPr>
        <w:snapToGrid w:val="0"/>
        <w:ind w:firstLine="425"/>
        <w:jc w:val="both"/>
        <w:rPr>
          <w:lang w:bidi="ar-EG"/>
        </w:rPr>
      </w:pPr>
      <w:r w:rsidRPr="00A12D77">
        <w:rPr>
          <w:lang w:bidi="ar-EG"/>
        </w:rPr>
        <w:t xml:space="preserve">This work aimed at study the discharge heart rate in patients presented with acute ST-elevation myocardial infarction who are treated by primary PCI as a predictor of LV </w:t>
      </w:r>
      <w:r w:rsidR="00A12D77" w:rsidRPr="00A12D77">
        <w:rPr>
          <w:lang w:bidi="ar-EG"/>
        </w:rPr>
        <w:t>remodelling</w:t>
      </w:r>
      <w:r w:rsidRPr="00A12D77">
        <w:rPr>
          <w:lang w:bidi="ar-EG"/>
        </w:rPr>
        <w:t xml:space="preserve"> and dysfunction.</w:t>
      </w:r>
    </w:p>
    <w:p w:rsidR="008F5F1A" w:rsidRPr="00A12D77" w:rsidRDefault="008F5F1A" w:rsidP="00805DBD">
      <w:pPr>
        <w:pStyle w:val="Els-Abstract-text"/>
        <w:snapToGrid w:val="0"/>
        <w:spacing w:after="0" w:line="240" w:lineRule="auto"/>
        <w:rPr>
          <w:rStyle w:val="Heading1Char"/>
          <w:rFonts w:ascii="Times New Roman" w:hAnsi="Times New Roman" w:cs="Times New Roman"/>
          <w:caps w:val="0"/>
          <w:sz w:val="20"/>
          <w:szCs w:val="20"/>
        </w:rPr>
      </w:pPr>
    </w:p>
    <w:p w:rsidR="00673D11" w:rsidRPr="00A12D77" w:rsidRDefault="008F5F1A" w:rsidP="00805DBD">
      <w:pPr>
        <w:pStyle w:val="Els-Abstract-text"/>
        <w:snapToGrid w:val="0"/>
        <w:spacing w:after="0" w:line="240" w:lineRule="auto"/>
        <w:rPr>
          <w:b/>
          <w:bCs/>
          <w:sz w:val="20"/>
        </w:rPr>
      </w:pPr>
      <w:r w:rsidRPr="00A12D77">
        <w:rPr>
          <w:rStyle w:val="Heading1Char"/>
          <w:rFonts w:ascii="Times New Roman" w:hAnsi="Times New Roman" w:cs="Times New Roman"/>
          <w:caps w:val="0"/>
          <w:sz w:val="20"/>
          <w:szCs w:val="20"/>
        </w:rPr>
        <w:t>2. Patients and Methods</w:t>
      </w:r>
      <w:r w:rsidRPr="00A12D77">
        <w:rPr>
          <w:b/>
          <w:bCs/>
          <w:sz w:val="20"/>
        </w:rPr>
        <w:t>:</w:t>
      </w:r>
    </w:p>
    <w:p w:rsidR="00673D11" w:rsidRPr="00A12D77" w:rsidRDefault="00673D11" w:rsidP="00805DBD">
      <w:pPr>
        <w:snapToGrid w:val="0"/>
        <w:ind w:firstLine="425"/>
        <w:jc w:val="both"/>
      </w:pPr>
      <w:r w:rsidRPr="00A12D77">
        <w:t xml:space="preserve">This study was carried out on 60 patients who were diagnosed with first STEMI within 12 hours from onset of symptoms and treated with primary PCI at The Cardiology Department at Tanta University Hospital, in </w:t>
      </w:r>
      <w:r w:rsidRPr="00A12D77">
        <w:rPr>
          <w:rFonts w:eastAsiaTheme="minorHAnsi"/>
          <w:lang w:eastAsia="en-US"/>
        </w:rPr>
        <w:t>six months starting from July 2018</w:t>
      </w:r>
      <w:r w:rsidRPr="00A12D77">
        <w:t xml:space="preserve">. The diagnosis of STEMI was made according to the recent 2017 European Society of cardiology guidelines. the patients were followed up for 3 months for the development of ventricular </w:t>
      </w:r>
      <w:r w:rsidR="00A12D77" w:rsidRPr="00A12D77">
        <w:t>remodelling</w:t>
      </w:r>
      <w:r w:rsidRPr="00A12D77">
        <w:t xml:space="preserve"> then divided into 2 groups according to the development of </w:t>
      </w:r>
      <w:r w:rsidR="00A12D77" w:rsidRPr="00A12D77">
        <w:t>remodelling</w:t>
      </w:r>
      <w:r w:rsidRPr="00A12D77">
        <w:t xml:space="preserve"> after 3 months:</w:t>
      </w:r>
      <w:r w:rsidRPr="00A12D77">
        <w:rPr>
          <w:i/>
          <w:iCs/>
        </w:rPr>
        <w:t xml:space="preserve"> Group 1 (38 patients):</w:t>
      </w:r>
      <w:r w:rsidRPr="00A12D77">
        <w:t xml:space="preserve"> Those without LV </w:t>
      </w:r>
      <w:r w:rsidR="00A12D77" w:rsidRPr="00A12D77">
        <w:t>remodelling</w:t>
      </w:r>
      <w:r w:rsidRPr="00A12D77">
        <w:t>.</w:t>
      </w:r>
      <w:r w:rsidRPr="00A12D77">
        <w:rPr>
          <w:i/>
          <w:iCs/>
        </w:rPr>
        <w:t xml:space="preserve"> Group 2 (22 patients):</w:t>
      </w:r>
      <w:r w:rsidRPr="00A12D77">
        <w:t xml:space="preserve"> Those who had LV </w:t>
      </w:r>
      <w:r w:rsidR="00A12D77" w:rsidRPr="00A12D77">
        <w:t>remodelling</w:t>
      </w:r>
      <w:r w:rsidRPr="00A12D77">
        <w:t>.</w:t>
      </w:r>
    </w:p>
    <w:p w:rsidR="00673D11" w:rsidRPr="00A12D77" w:rsidRDefault="00673D11" w:rsidP="00805DBD">
      <w:pPr>
        <w:snapToGrid w:val="0"/>
        <w:ind w:firstLine="425"/>
        <w:jc w:val="both"/>
      </w:pPr>
      <w:r w:rsidRPr="00A12D77">
        <w:t xml:space="preserve">LV </w:t>
      </w:r>
      <w:r w:rsidR="00A12D77" w:rsidRPr="00A12D77">
        <w:t>remodelling</w:t>
      </w:r>
      <w:r w:rsidRPr="00A12D77">
        <w:t xml:space="preserve"> was defined as more than 20% increase in LV end-diastolic volume at 3 months follow-up.</w:t>
      </w:r>
      <w:r w:rsidR="006F7B40" w:rsidRPr="00A12D77">
        <w:fldChar w:fldCharType="begin" w:fldLock="1"/>
      </w:r>
      <w:r w:rsidRPr="00A12D77">
        <w:instrText>ADDIN CSL_CITATION {"citationItems":[{"id":"ITEM-1","itemData":{"DOI":"10.1136/heartjnl-2012-303406","ISSN":"1468-201X","PMID":"23468514","abstract":"OBJECTIVE Left ventricular (LV) adverse remodelling is an important determinant of mortality after ST segment elevation myocardial infarction (STEMI). Recently, discharge heart rate (DHR) has been associated with long-term outcomes after STEMI. Whether DHR is related to the development of LV remodelling after STEMI remains unknown. The present study evaluated the association between DHR after STEMI and the occurrence of LV remodelling at 6 months. DESIGN, SETTING, PATIENTS AND INTERVENTIONS: In 964 STEMI patients (60±11 years, 77% male) treated with primary percutaneous coronary intervention, DHR was derived from predischarge 12-lead electrocardiograph. LV volumes were measured with two-dimensional transthoracic echocardiography at baseline and 6-month follow-up. Variables independently associated with the occurrence of LV remodelling were investigated. MAIN OUTCOME MEASURES LV remodelling, defined as ≥20% increase in LV end-diastolic volume at 6 months follow-up. RESULTS LV remodelling occurred in 30.7% of patients. Compared with patients without remodelling, these patients had higher DHR (72±11 bpm vs 68±12 bpm, p&lt;0.001), higher levels of peak troponin T (5.6 (2.7, 11) ug/L vs 3.7 (1.6, 7.4) ug/L, p&lt;0.001) and creatine kinase (2083 (960, 4045) U/L vs 1469 (669, 2750) U/L, p&lt;0.001), lower LV ejection fraction (45±10 vs 48±9%, p&lt;0.001) and more frequently displayed left anterior descending artery as culprit (52% vs 44%, p=0.02). Median DHR was 69 bpm. DHR &gt;69 bpm (OR 1.5, 95% CI 1.10 to 2.04, p=0.01) and higher peak troponin T (OR 1.06, 95% CI 1.03 to 1.09, p&lt;0.001) were independently associated with LV remodelling at follow-up. CONCLUSIONS DHR is independently associated with LV remodelling after STEMI, underlining the importance of heart rate as an early risk marker in this contemporary population.","author":[{"dropping-particle":"","family":"Joyce","given":"Emer","non-dropping-particle":"","parse-names":false,"suffix":""},{"dropping-particle":"","family":"Hoogslag","given":"Georgette E","non-dropping-particle":"","parse-names":false,"suffix":""},{"dropping-particle":"","family":"Leong","given":"Darryl P","non-dropping-particle":"","parse-names":false,"suffix":""},{"dropping-particle":"","family":"Fox","given":"Kim","non-dropping-particle":"","parse-names":false,"suffix":""},{"dropping-particle":"","family":"Schalij","given":"Martin J","non-dropping-particle":"","parse-names":false,"suffix":""},{"dropping-particle":"","family":"Marsan","given":"Nina Ajmone","non-dropping-particle":"","parse-names":false,"suffix":""},{"dropping-particle":"","family":"Bax","given":"Jeroen J","non-dropping-particle":"","parse-names":false,"suffix":""},{"dropping-particle":"","family":"Delgado","given":"Victoria","non-dropping-particle":"","parse-names":false,"suffix":""}],"container-title":"Heart (British Cardiac Society)","id":"ITEM-1","issue":"8","issued":{"date-parts":[["2013","4","15"]]},"page":"556-61","publisher":"BMJ Publishing Group Ltd and British Cardiovascular Society","title":"Association between discharge heart rate and left ventricular adverse remodelling in ST segment elevation myocardial infarction patients treated with primary percutaneous coronary intervention.","type":"article-journal","volume":"99"},"uris":["http://www.mendeley.com/documents/?uuid=b23464c0-54bd-3b88-85e2-fe85694d9448"]},{"id":"ITEM-2","itemData":{"DOI":"10.1161/01.cir.0000036014.90197.fa","ISSN":"1524-4539","PMID":"12403666","abstract":"BACKGROUND We prospectively evaluated the prevalence, pattern, and prognostic impact of left ventricular (LV) remodeling after acute myocardial infarction (AMI) successfully treated with primary PTCA. The prevalence, course, and prognostic value of LV remodeling after primary PTCA are still to be clarified. METHODS AND RESULTS In 284 consecutive patients with AMI treated with primary PTCA, serial echocardiographic and angiographic studies, within 24 hours (T1), at 1 (T2) and 6 months (T3) after AMI were performed. Long-term (61+/-14 months) clinical follow-up data were collected for 98.6% patients enrolled in the study. Overall, 85 (30%) patients showed LV dilation (&gt;20% end-diastolic volume increase) at T3 as compared with T1. Early (from T1 to T2), late (from T2 to T3), and progressive dilation patterns (from T1 to T2 to T3) were detected in 42 (15%), 41 (14%), and 36 (13%) patients, respectively. Cardiac death and combined events rate was significantly higher among patients with than among those without LV dilation (P=0.005 and P=0.025, respectively). The pattern of LV dilation during 6 months did not significantly affect survival. Cox survival analysis identified end-systolic volume at T1 and age as baseline predictors and end-systolic volume at T3 and age as 6-month predictors of cardiac death, respectively. CONCLUSIONS LV remodeling after successful PTCA occurs despite sustained patency of the infarct-related artery and preservation of regional and global LV function. LV dilation at 6 months after AMI but not the specific pattern of LV dilation is clearly associated with worse long-term clinical outcome.","author":[{"dropping-particle":"","family":"Bolognese","given":"Leonardo","non-dropping-particle":"","parse-names":false,"suffix":""},{"dropping-particle":"","family":"Neskovic","given":"Aleksandar N","non-dropping-particle":"","parse-names":false,"suffix":""},{"dropping-particle":"","family":"Parodi","given":"Guido","non-dropping-particle":"","parse-names":false,"suffix":""},{"dropping-particle":"","family":"Cerisano","given":"Giampaolo","non-dropping-particle":"","parse-names":false,"suffix":""},{"dropping-particle":"","family":"Buonamici","given":"Piergiovanni","non-dropping-particle":"","parse-names":false,"suffix":""},{"dropping-particle":"","family":"Santoro","given":"Giovanni M","non-dropping-particle":"","parse-names":false,"suffix":""},{"dropping-particle":"","family":"Antoniucci","given":"David","non-dropping-particle":"","parse-names":false,"suffix":""}],"container-title":"Circulation","id":"ITEM-2","issue":"18","issued":{"date-parts":[["2002","10","29"]]},"page":"2351-7","title":"Left ventricular remodeling after primary coronary angioplasty: patterns of left ventricular dilation and long-term prognostic implications.","type":"article-journal","volume":"106"},"uris":["http://www.mendeley.com/documents/?uuid=267ec568-9f59-3ba5-9d86-65e9c6820c7f"]}],"mendeley":{"formattedCitation":"&lt;sup&gt;5,6&lt;/sup&gt;","plainTextFormattedCitation":"5,6","previouslyFormattedCitation":"&lt;sup&gt;[139,140]&lt;/sup&gt;"},"properties":{"noteIndex":0},"schema":"https://github.com/citation-style-language/schema/raw/master/csl-citation.json"}</w:instrText>
      </w:r>
      <w:r w:rsidR="006F7B40" w:rsidRPr="00A12D77">
        <w:fldChar w:fldCharType="separate"/>
      </w:r>
      <w:r w:rsidRPr="00A12D77">
        <w:rPr>
          <w:noProof/>
          <w:vertAlign w:val="superscript"/>
        </w:rPr>
        <w:t>5,6</w:t>
      </w:r>
      <w:r w:rsidR="006F7B40" w:rsidRPr="00A12D77">
        <w:fldChar w:fldCharType="end"/>
      </w:r>
    </w:p>
    <w:p w:rsidR="00DD2BEB" w:rsidRPr="00A12D77" w:rsidRDefault="00673D11" w:rsidP="00805DBD">
      <w:pPr>
        <w:snapToGrid w:val="0"/>
        <w:ind w:firstLine="425"/>
        <w:jc w:val="both"/>
        <w:sectPr w:rsidR="00DD2BEB" w:rsidRPr="00A12D77" w:rsidSect="00805DBD">
          <w:type w:val="continuous"/>
          <w:pgSz w:w="12240" w:h="15840"/>
          <w:pgMar w:top="1440" w:right="1440" w:bottom="1440" w:left="1440" w:header="720" w:footer="720" w:gutter="0"/>
          <w:cols w:num="2" w:space="500"/>
          <w:docGrid w:linePitch="360"/>
        </w:sectPr>
      </w:pPr>
      <w:r w:rsidRPr="00A12D77">
        <w:t>Exclusion criteria included patients with prior myocardial infarction, history of documented LV dysfunction or past history suggestive of heart failure, patients who were in atrial fibrillation at the time of predischarge 12-lead ECG and patients with a pacemaker.</w:t>
      </w:r>
    </w:p>
    <w:p w:rsidR="00673D11" w:rsidRPr="00A12D77" w:rsidRDefault="00673D11" w:rsidP="00805DBD">
      <w:pPr>
        <w:pStyle w:val="Els-Abstract-text"/>
        <w:snapToGrid w:val="0"/>
        <w:spacing w:after="0" w:line="240" w:lineRule="auto"/>
        <w:ind w:firstLine="425"/>
        <w:rPr>
          <w:sz w:val="20"/>
        </w:rPr>
      </w:pPr>
      <w:r w:rsidRPr="00A12D77">
        <w:rPr>
          <w:sz w:val="20"/>
        </w:rPr>
        <w:lastRenderedPageBreak/>
        <w:t>The study compared the two groups according to risk factors, basic laboratory tests, angiographic findings (culprit vessel, baseline TIMI flow score, final TIMI score, single or multi-vessel disease) and 2D echocardiographic findings (filling pressure, EF and LV volumes by Simpson's method). Follow up after 30 days was done to assess LV volume and function by 2D echocardiography.</w:t>
      </w:r>
    </w:p>
    <w:p w:rsidR="008F5F1A" w:rsidRPr="00A12D77" w:rsidRDefault="00673D11" w:rsidP="00805DBD">
      <w:pPr>
        <w:snapToGrid w:val="0"/>
        <w:jc w:val="both"/>
        <w:rPr>
          <w:lang w:val="en-US"/>
        </w:rPr>
      </w:pPr>
      <w:r w:rsidRPr="00A12D77">
        <w:rPr>
          <w:b/>
          <w:bCs/>
          <w:lang w:val="en-US"/>
        </w:rPr>
        <w:t>Duration of the study</w:t>
      </w:r>
      <w:r w:rsidRPr="00A12D77">
        <w:rPr>
          <w:lang w:val="en-US"/>
        </w:rPr>
        <w:t xml:space="preserve">: </w:t>
      </w:r>
    </w:p>
    <w:p w:rsidR="00673D11" w:rsidRPr="00A12D77" w:rsidRDefault="00673D11" w:rsidP="00805DBD">
      <w:pPr>
        <w:snapToGrid w:val="0"/>
        <w:ind w:firstLine="425"/>
        <w:jc w:val="both"/>
        <w:rPr>
          <w:rStyle w:val="Heading1Char"/>
          <w:rFonts w:ascii="Times New Roman" w:eastAsia="Times New Roman" w:hAnsi="Times New Roman" w:cs="Times New Roman"/>
          <w:b w:val="0"/>
          <w:caps w:val="0"/>
          <w:sz w:val="20"/>
          <w:szCs w:val="20"/>
          <w:lang w:val="en-US"/>
        </w:rPr>
      </w:pPr>
      <w:r w:rsidRPr="00A12D77">
        <w:rPr>
          <w:lang w:val="en-US"/>
        </w:rPr>
        <w:t>This study was done in six months starting from July 2018.</w:t>
      </w:r>
    </w:p>
    <w:p w:rsidR="00673D11" w:rsidRPr="00A12D77" w:rsidRDefault="008F5F1A" w:rsidP="00805DBD">
      <w:pPr>
        <w:snapToGrid w:val="0"/>
        <w:jc w:val="both"/>
        <w:rPr>
          <w:rStyle w:val="Heading1Char"/>
          <w:rFonts w:ascii="Times New Roman" w:hAnsi="Times New Roman" w:cs="Times New Roman"/>
          <w:b w:val="0"/>
          <w:caps w:val="0"/>
          <w:sz w:val="20"/>
          <w:szCs w:val="20"/>
          <w:lang w:val="en-US"/>
        </w:rPr>
      </w:pPr>
      <w:r w:rsidRPr="00A12D77">
        <w:rPr>
          <w:rStyle w:val="Heading1Char"/>
          <w:rFonts w:ascii="Times New Roman" w:hAnsi="Times New Roman" w:cs="Times New Roman"/>
          <w:caps w:val="0"/>
          <w:sz w:val="20"/>
          <w:szCs w:val="20"/>
        </w:rPr>
        <w:t>Statistical Methods</w:t>
      </w:r>
    </w:p>
    <w:p w:rsidR="00673D11" w:rsidRPr="00A12D77" w:rsidRDefault="00673D11" w:rsidP="00805DBD">
      <w:pPr>
        <w:snapToGrid w:val="0"/>
        <w:ind w:firstLine="425"/>
        <w:jc w:val="both"/>
        <w:rPr>
          <w:rStyle w:val="apple-style-span"/>
        </w:rPr>
      </w:pPr>
      <w:r w:rsidRPr="00A12D77">
        <w:rPr>
          <w:rStyle w:val="apple-style-span"/>
        </w:rPr>
        <w:t>Data were analyzed using IBM SPSS software package version 20.0. (Armonk, NY: IBM Corp). Qualitative data were described using numbers and percent. The Kolmogorov-Smirnov test was used to verify the normality of distribution Quantitative data were described using range (minimum and maximum), mean, median and standard deviation. The significance of the obtained results was judged at the 5% level. The used tests were the Chi-square test (</w:t>
      </w:r>
      <w:r w:rsidRPr="00A12D77">
        <w:rPr>
          <w:rStyle w:val="apple-style-span"/>
        </w:rPr>
        <w:sym w:font="Symbol" w:char="F063"/>
      </w:r>
      <w:r w:rsidRPr="00A12D77">
        <w:rPr>
          <w:rStyle w:val="apple-style-span"/>
        </w:rPr>
        <w:t>2), Fisher's Exact or Monte Carlo correction, Student t-test, Mann Whitney test, and Kruskal Wallis test.</w:t>
      </w:r>
    </w:p>
    <w:p w:rsidR="00805DBD" w:rsidRPr="00A12D77" w:rsidRDefault="00805DBD" w:rsidP="00805DBD">
      <w:pPr>
        <w:snapToGrid w:val="0"/>
        <w:jc w:val="both"/>
        <w:rPr>
          <w:rStyle w:val="Heading1Char"/>
          <w:rFonts w:ascii="Times New Roman" w:hAnsi="Times New Roman" w:cs="Times New Roman"/>
          <w:caps w:val="0"/>
          <w:sz w:val="20"/>
          <w:szCs w:val="20"/>
          <w:lang w:eastAsia="zh-CN"/>
        </w:rPr>
      </w:pPr>
    </w:p>
    <w:p w:rsidR="00673D11" w:rsidRPr="00A12D77" w:rsidRDefault="008F5F1A" w:rsidP="00805DBD">
      <w:pPr>
        <w:snapToGrid w:val="0"/>
        <w:jc w:val="both"/>
        <w:rPr>
          <w:rStyle w:val="Heading1Char"/>
          <w:rFonts w:ascii="Times New Roman" w:hAnsi="Times New Roman" w:cs="Times New Roman"/>
          <w:sz w:val="20"/>
          <w:szCs w:val="20"/>
        </w:rPr>
      </w:pPr>
      <w:r w:rsidRPr="00A12D77">
        <w:rPr>
          <w:rStyle w:val="Heading1Char"/>
          <w:rFonts w:ascii="Times New Roman" w:hAnsi="Times New Roman" w:cs="Times New Roman"/>
          <w:caps w:val="0"/>
          <w:sz w:val="20"/>
          <w:szCs w:val="20"/>
        </w:rPr>
        <w:t>3. Results</w:t>
      </w:r>
    </w:p>
    <w:p w:rsidR="008F5F1A" w:rsidRPr="00A12D77" w:rsidRDefault="00673D11" w:rsidP="00805DBD">
      <w:pPr>
        <w:snapToGrid w:val="0"/>
        <w:ind w:firstLine="425"/>
        <w:jc w:val="both"/>
        <w:rPr>
          <w:rStyle w:val="apple-style-span"/>
        </w:rPr>
      </w:pPr>
      <w:r w:rsidRPr="00A12D77">
        <w:rPr>
          <w:rStyle w:val="apple-style-span"/>
          <w:b/>
          <w:bCs/>
        </w:rPr>
        <w:t>Patient demographics</w:t>
      </w:r>
      <w:r w:rsidRPr="00A12D77">
        <w:rPr>
          <w:rStyle w:val="apple-style-span"/>
        </w:rPr>
        <w:t xml:space="preserve">: </w:t>
      </w:r>
    </w:p>
    <w:p w:rsidR="00673D11" w:rsidRPr="00A12D77" w:rsidRDefault="00673D11" w:rsidP="00805DBD">
      <w:pPr>
        <w:snapToGrid w:val="0"/>
        <w:ind w:firstLine="425"/>
        <w:jc w:val="both"/>
        <w:rPr>
          <w:rStyle w:val="apple-style-span"/>
        </w:rPr>
      </w:pPr>
      <w:r w:rsidRPr="00A12D77">
        <w:rPr>
          <w:rStyle w:val="apple-style-span"/>
        </w:rPr>
        <w:t xml:space="preserve">The mean age in group I was </w:t>
      </w:r>
      <w:r w:rsidRPr="00A12D77">
        <w:t xml:space="preserve">54.6 ± 11.6 </w:t>
      </w:r>
      <w:r w:rsidRPr="00A12D77">
        <w:rPr>
          <w:rStyle w:val="apple-style-span"/>
        </w:rPr>
        <w:t xml:space="preserve">years and </w:t>
      </w:r>
      <w:r w:rsidRPr="00A12D77">
        <w:t xml:space="preserve">61.3 ± 12.6 </w:t>
      </w:r>
      <w:r w:rsidRPr="00A12D77">
        <w:rPr>
          <w:rStyle w:val="apple-style-span"/>
        </w:rPr>
        <w:t>years in group II with a statistically significant difference (p =0.048). Group I included 32 males (84.2%) while group II 13 males (59.1%) with a statistically significant difference (p =0.03).</w:t>
      </w:r>
    </w:p>
    <w:p w:rsidR="008F5F1A" w:rsidRPr="00A12D77" w:rsidRDefault="00673D11" w:rsidP="00805DBD">
      <w:pPr>
        <w:snapToGrid w:val="0"/>
        <w:jc w:val="both"/>
        <w:rPr>
          <w:rStyle w:val="apple-style-span"/>
        </w:rPr>
      </w:pPr>
      <w:r w:rsidRPr="00A12D77">
        <w:rPr>
          <w:rStyle w:val="apple-style-span"/>
          <w:b/>
          <w:bCs/>
        </w:rPr>
        <w:t>Prevalence of risk factors</w:t>
      </w:r>
      <w:r w:rsidRPr="00A12D77">
        <w:rPr>
          <w:rStyle w:val="apple-style-span"/>
        </w:rPr>
        <w:t xml:space="preserve">: </w:t>
      </w:r>
    </w:p>
    <w:p w:rsidR="00673D11" w:rsidRPr="00A12D77" w:rsidRDefault="00673D11" w:rsidP="00805DBD">
      <w:pPr>
        <w:snapToGrid w:val="0"/>
        <w:ind w:firstLine="425"/>
        <w:jc w:val="both"/>
        <w:rPr>
          <w:rStyle w:val="apple-style-span"/>
          <w:rFonts w:eastAsiaTheme="minorEastAsia" w:hint="eastAsia"/>
          <w:lang w:eastAsia="zh-CN"/>
        </w:rPr>
      </w:pPr>
      <w:r w:rsidRPr="00A12D77">
        <w:rPr>
          <w:rStyle w:val="apple-style-span"/>
        </w:rPr>
        <w:t xml:space="preserve">16 patients (42%) of group I and 17 patients (77.3%) of group II were diabetics with a statistically significant difference (p = 0.008). Regarding hypertension, 8 patients (21%) of group I and 16 patients (72.7%) in group II were hypertensive with a statistically significant difference (p &lt;0.001). </w:t>
      </w:r>
      <w:r w:rsidRPr="00A12D77">
        <w:rPr>
          <w:rFonts w:eastAsiaTheme="minorHAnsi"/>
          <w:lang w:val="en-US" w:eastAsia="en-US"/>
        </w:rPr>
        <w:t>Regarding dyslipidemia, 26 patients (68.4%) of group I and 12 patients (54.5%) of group II were diagnosed with dyslipidemia, there was no statistically significant difference between the two groups (p =0.</w:t>
      </w:r>
      <w:r w:rsidRPr="00A12D77">
        <w:t>282</w:t>
      </w:r>
      <w:r w:rsidRPr="00A12D77">
        <w:rPr>
          <w:rFonts w:eastAsiaTheme="minorHAnsi"/>
          <w:lang w:val="en-US" w:eastAsia="en-US"/>
        </w:rPr>
        <w:t xml:space="preserve">). Regarding smoking, there were 27 smokers in group I (71.1%) and 12 smokers in group II (54.5%) with no statistically significant difference </w:t>
      </w:r>
      <w:r w:rsidRPr="00A12D77">
        <w:rPr>
          <w:rStyle w:val="apple-style-span"/>
        </w:rPr>
        <w:t>(p = 0.196), (Table 1)</w:t>
      </w:r>
      <w:r w:rsidR="00A12D77">
        <w:rPr>
          <w:rStyle w:val="apple-style-span"/>
          <w:rFonts w:eastAsiaTheme="minorEastAsia" w:hint="eastAsia"/>
          <w:lang w:eastAsia="zh-CN"/>
        </w:rPr>
        <w:t>.</w:t>
      </w:r>
    </w:p>
    <w:p w:rsidR="00805DBD" w:rsidRPr="00A12D77" w:rsidRDefault="00805DBD" w:rsidP="00805DBD">
      <w:pPr>
        <w:pStyle w:val="Caption"/>
        <w:snapToGrid w:val="0"/>
        <w:spacing w:after="0"/>
        <w:rPr>
          <w:sz w:val="20"/>
          <w:szCs w:val="20"/>
        </w:rPr>
        <w:sectPr w:rsidR="00805DBD" w:rsidRPr="00A12D77" w:rsidSect="00DD2BEB">
          <w:headerReference w:type="default" r:id="rId11"/>
          <w:pgSz w:w="12240" w:h="15840"/>
          <w:pgMar w:top="1440" w:right="1440" w:bottom="1440" w:left="1440" w:header="720" w:footer="720" w:gutter="0"/>
          <w:cols w:num="2" w:space="500"/>
          <w:docGrid w:linePitch="360"/>
        </w:sectPr>
      </w:pPr>
    </w:p>
    <w:p w:rsidR="008F5F1A" w:rsidRPr="00A12D77" w:rsidRDefault="008F5F1A" w:rsidP="00805DBD">
      <w:pPr>
        <w:pStyle w:val="Caption"/>
        <w:snapToGrid w:val="0"/>
        <w:spacing w:after="0"/>
        <w:rPr>
          <w:sz w:val="20"/>
          <w:szCs w:val="20"/>
        </w:rPr>
      </w:pPr>
    </w:p>
    <w:p w:rsidR="00673D11" w:rsidRPr="00A12D77" w:rsidRDefault="00673D11" w:rsidP="00805DBD">
      <w:pPr>
        <w:pStyle w:val="Caption"/>
        <w:snapToGrid w:val="0"/>
        <w:spacing w:after="0"/>
        <w:rPr>
          <w:sz w:val="20"/>
          <w:szCs w:val="20"/>
        </w:rPr>
      </w:pPr>
      <w:r w:rsidRPr="00A12D77">
        <w:rPr>
          <w:sz w:val="20"/>
          <w:szCs w:val="20"/>
        </w:rPr>
        <w:t xml:space="preserve">Table </w:t>
      </w:r>
      <w:r w:rsidR="006F7B40" w:rsidRPr="00A12D77">
        <w:rPr>
          <w:sz w:val="20"/>
          <w:szCs w:val="20"/>
        </w:rPr>
        <w:fldChar w:fldCharType="begin"/>
      </w:r>
      <w:r w:rsidRPr="00A12D77">
        <w:rPr>
          <w:sz w:val="20"/>
          <w:szCs w:val="20"/>
        </w:rPr>
        <w:instrText xml:space="preserve"> SEQ Table \* ARABIC </w:instrText>
      </w:r>
      <w:r w:rsidR="006F7B40" w:rsidRPr="00A12D77">
        <w:rPr>
          <w:sz w:val="20"/>
          <w:szCs w:val="20"/>
        </w:rPr>
        <w:fldChar w:fldCharType="separate"/>
      </w:r>
      <w:r w:rsidRPr="00A12D77">
        <w:rPr>
          <w:noProof/>
          <w:sz w:val="20"/>
          <w:szCs w:val="20"/>
        </w:rPr>
        <w:t>1</w:t>
      </w:r>
      <w:r w:rsidR="006F7B40" w:rsidRPr="00A12D77">
        <w:rPr>
          <w:sz w:val="20"/>
          <w:szCs w:val="20"/>
        </w:rPr>
        <w:fldChar w:fldCharType="end"/>
      </w:r>
      <w:r w:rsidRPr="00A12D77">
        <w:rPr>
          <w:sz w:val="20"/>
          <w:szCs w:val="20"/>
        </w:rPr>
        <w:t xml:space="preserve"> Comparison between the two studied groups according to risk factors</w:t>
      </w:r>
    </w:p>
    <w:tbl>
      <w:tblPr>
        <w:tblStyle w:val="GridTable4"/>
        <w:tblW w:w="5000" w:type="pct"/>
        <w:jc w:val="center"/>
        <w:tblCellMar>
          <w:left w:w="57" w:type="dxa"/>
          <w:right w:w="57" w:type="dxa"/>
        </w:tblCellMar>
        <w:tblLook w:val="04A0"/>
      </w:tblPr>
      <w:tblGrid>
        <w:gridCol w:w="3143"/>
        <w:gridCol w:w="839"/>
        <w:gridCol w:w="951"/>
        <w:gridCol w:w="839"/>
        <w:gridCol w:w="951"/>
        <w:gridCol w:w="1362"/>
        <w:gridCol w:w="1389"/>
      </w:tblGrid>
      <w:tr w:rsidR="00673D11" w:rsidRPr="00A12D77" w:rsidTr="00C97655">
        <w:trPr>
          <w:cnfStyle w:val="100000000000"/>
          <w:jc w:val="center"/>
        </w:trPr>
        <w:tc>
          <w:tcPr>
            <w:cnfStyle w:val="001000000000"/>
            <w:tcW w:w="1658" w:type="pct"/>
            <w:vMerge w:val="restart"/>
            <w:tcBorders>
              <w:bottom w:val="single" w:sz="4" w:space="0" w:color="666666" w:themeColor="text1" w:themeTint="99"/>
            </w:tcBorders>
            <w:vAlign w:val="center"/>
            <w:hideMark/>
          </w:tcPr>
          <w:p w:rsidR="00673D11" w:rsidRPr="00A12D77" w:rsidRDefault="00673D11" w:rsidP="00805DBD">
            <w:pPr>
              <w:snapToGrid w:val="0"/>
              <w:jc w:val="both"/>
            </w:pPr>
            <w:r w:rsidRPr="00A12D77">
              <w:rPr>
                <w:b w:val="0"/>
                <w:bCs w:val="0"/>
              </w:rPr>
              <w:t>Risk Factors</w:t>
            </w:r>
          </w:p>
        </w:tc>
        <w:tc>
          <w:tcPr>
            <w:tcW w:w="945" w:type="pct"/>
            <w:gridSpan w:val="2"/>
            <w:vAlign w:val="center"/>
            <w:hideMark/>
          </w:tcPr>
          <w:p w:rsidR="00673D11" w:rsidRPr="00A12D77" w:rsidRDefault="00673D11" w:rsidP="00805DBD">
            <w:pPr>
              <w:snapToGrid w:val="0"/>
              <w:jc w:val="both"/>
              <w:cnfStyle w:val="100000000000"/>
            </w:pPr>
            <w:r w:rsidRPr="00A12D77">
              <w:rPr>
                <w:b w:val="0"/>
                <w:bCs w:val="0"/>
              </w:rPr>
              <w:t>Group I</w:t>
            </w:r>
          </w:p>
        </w:tc>
        <w:tc>
          <w:tcPr>
            <w:tcW w:w="945" w:type="pct"/>
            <w:gridSpan w:val="2"/>
            <w:vAlign w:val="center"/>
            <w:hideMark/>
          </w:tcPr>
          <w:p w:rsidR="00673D11" w:rsidRPr="00A12D77" w:rsidRDefault="00673D11" w:rsidP="00805DBD">
            <w:pPr>
              <w:snapToGrid w:val="0"/>
              <w:jc w:val="both"/>
              <w:cnfStyle w:val="100000000000"/>
            </w:pPr>
            <w:r w:rsidRPr="00A12D77">
              <w:rPr>
                <w:b w:val="0"/>
                <w:bCs w:val="0"/>
              </w:rPr>
              <w:t>Group II</w:t>
            </w:r>
          </w:p>
        </w:tc>
        <w:tc>
          <w:tcPr>
            <w:tcW w:w="719" w:type="pct"/>
            <w:vMerge w:val="restart"/>
            <w:tcBorders>
              <w:bottom w:val="single" w:sz="4" w:space="0" w:color="666666" w:themeColor="text1" w:themeTint="99"/>
            </w:tcBorders>
            <w:vAlign w:val="center"/>
            <w:hideMark/>
          </w:tcPr>
          <w:p w:rsidR="00673D11" w:rsidRPr="00A12D77" w:rsidRDefault="00673D11" w:rsidP="00805DBD">
            <w:pPr>
              <w:snapToGrid w:val="0"/>
              <w:jc w:val="both"/>
              <w:cnfStyle w:val="100000000000"/>
              <w:rPr>
                <w:highlight w:val="yellow"/>
              </w:rPr>
            </w:pPr>
            <w:r w:rsidRPr="00A12D77">
              <w:rPr>
                <w:b w:val="0"/>
                <w:bCs w:val="0"/>
              </w:rPr>
              <w:t>χ</w:t>
            </w:r>
            <w:r w:rsidRPr="00A12D77">
              <w:rPr>
                <w:b w:val="0"/>
                <w:bCs w:val="0"/>
                <w:vertAlign w:val="superscript"/>
              </w:rPr>
              <w:t>2</w:t>
            </w:r>
          </w:p>
        </w:tc>
        <w:tc>
          <w:tcPr>
            <w:tcW w:w="733" w:type="pct"/>
            <w:vMerge w:val="restart"/>
            <w:tcBorders>
              <w:bottom w:val="single" w:sz="4" w:space="0" w:color="666666" w:themeColor="text1" w:themeTint="99"/>
            </w:tcBorders>
            <w:vAlign w:val="center"/>
            <w:hideMark/>
          </w:tcPr>
          <w:p w:rsidR="00673D11" w:rsidRPr="00A12D77" w:rsidRDefault="00673D11" w:rsidP="00805DBD">
            <w:pPr>
              <w:snapToGrid w:val="0"/>
              <w:jc w:val="both"/>
              <w:cnfStyle w:val="100000000000"/>
            </w:pPr>
            <w:r w:rsidRPr="00A12D77">
              <w:rPr>
                <w:b w:val="0"/>
                <w:bCs w:val="0"/>
              </w:rPr>
              <w:t>P</w:t>
            </w:r>
          </w:p>
        </w:tc>
      </w:tr>
      <w:tr w:rsidR="00C97655" w:rsidRPr="00A12D77" w:rsidTr="00C97655">
        <w:trPr>
          <w:cnfStyle w:val="000000100000"/>
          <w:jc w:val="center"/>
        </w:trPr>
        <w:tc>
          <w:tcPr>
            <w:cnfStyle w:val="001000000000"/>
            <w:tcW w:w="1658" w:type="pct"/>
            <w:vMerge/>
            <w:tcBorders>
              <w:top w:val="single" w:sz="4" w:space="0" w:color="000000" w:themeColor="text1"/>
              <w:left w:val="single" w:sz="4" w:space="0" w:color="000000" w:themeColor="text1"/>
              <w:bottom w:val="single" w:sz="4" w:space="0" w:color="666666" w:themeColor="text1" w:themeTint="99"/>
              <w:right w:val="nil"/>
            </w:tcBorders>
            <w:vAlign w:val="center"/>
            <w:hideMark/>
          </w:tcPr>
          <w:p w:rsidR="00673D11" w:rsidRPr="00A12D77" w:rsidRDefault="00673D11" w:rsidP="00805DBD">
            <w:pPr>
              <w:snapToGrid w:val="0"/>
              <w:jc w:val="both"/>
              <w:rPr>
                <w:color w:val="FFFFFF" w:themeColor="background1"/>
              </w:rPr>
            </w:pPr>
          </w:p>
        </w:tc>
        <w:tc>
          <w:tcPr>
            <w:tcW w:w="44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rPr>
                <w:b/>
                <w:bCs/>
              </w:rPr>
            </w:pPr>
            <w:r w:rsidRPr="00A12D77">
              <w:rPr>
                <w:b/>
                <w:bCs/>
              </w:rPr>
              <w:t>No.</w:t>
            </w:r>
          </w:p>
        </w:tc>
        <w:tc>
          <w:tcPr>
            <w:tcW w:w="5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rPr>
                <w:b/>
                <w:bCs/>
              </w:rPr>
            </w:pPr>
            <w:r w:rsidRPr="00A12D77">
              <w:rPr>
                <w:b/>
                <w:bCs/>
              </w:rPr>
              <w:t>%</w:t>
            </w:r>
          </w:p>
        </w:tc>
        <w:tc>
          <w:tcPr>
            <w:tcW w:w="44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rPr>
                <w:b/>
                <w:bCs/>
              </w:rPr>
            </w:pPr>
            <w:r w:rsidRPr="00A12D77">
              <w:rPr>
                <w:b/>
                <w:bCs/>
              </w:rPr>
              <w:t>No.</w:t>
            </w:r>
          </w:p>
        </w:tc>
        <w:tc>
          <w:tcPr>
            <w:tcW w:w="5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rPr>
                <w:b/>
                <w:bCs/>
              </w:rPr>
            </w:pPr>
            <w:r w:rsidRPr="00A12D77">
              <w:rPr>
                <w:b/>
                <w:bCs/>
              </w:rPr>
              <w:t>%</w:t>
            </w:r>
          </w:p>
        </w:tc>
        <w:tc>
          <w:tcPr>
            <w:tcW w:w="719" w:type="pct"/>
            <w:vMerge/>
            <w:tcBorders>
              <w:top w:val="single" w:sz="4" w:space="0" w:color="000000" w:themeColor="text1"/>
              <w:left w:val="nil"/>
              <w:bottom w:val="single" w:sz="4" w:space="0" w:color="666666" w:themeColor="text1" w:themeTint="99"/>
              <w:right w:val="nil"/>
            </w:tcBorders>
            <w:vAlign w:val="center"/>
            <w:hideMark/>
          </w:tcPr>
          <w:p w:rsidR="00673D11" w:rsidRPr="00A12D77" w:rsidRDefault="00673D11" w:rsidP="00805DBD">
            <w:pPr>
              <w:snapToGrid w:val="0"/>
              <w:jc w:val="both"/>
              <w:cnfStyle w:val="000000100000"/>
              <w:rPr>
                <w:b/>
                <w:bCs/>
                <w:color w:val="FFFFFF" w:themeColor="background1"/>
                <w:highlight w:val="yellow"/>
              </w:rPr>
            </w:pPr>
          </w:p>
        </w:tc>
        <w:tc>
          <w:tcPr>
            <w:tcW w:w="733" w:type="pct"/>
            <w:vMerge/>
            <w:tcBorders>
              <w:top w:val="single" w:sz="4" w:space="0" w:color="000000" w:themeColor="text1"/>
              <w:left w:val="nil"/>
              <w:bottom w:val="single" w:sz="4" w:space="0" w:color="666666" w:themeColor="text1" w:themeTint="99"/>
              <w:right w:val="single" w:sz="4" w:space="0" w:color="000000" w:themeColor="text1"/>
            </w:tcBorders>
            <w:vAlign w:val="center"/>
            <w:hideMark/>
          </w:tcPr>
          <w:p w:rsidR="00673D11" w:rsidRPr="00A12D77" w:rsidRDefault="00673D11" w:rsidP="00805DBD">
            <w:pPr>
              <w:snapToGrid w:val="0"/>
              <w:jc w:val="both"/>
              <w:cnfStyle w:val="000000100000"/>
              <w:rPr>
                <w:b/>
                <w:bCs/>
                <w:color w:val="FFFFFF" w:themeColor="background1"/>
              </w:rPr>
            </w:pPr>
          </w:p>
        </w:tc>
      </w:tr>
      <w:tr w:rsidR="00C97655" w:rsidRPr="00A12D77" w:rsidTr="00C97655">
        <w:trPr>
          <w:jc w:val="center"/>
        </w:trPr>
        <w:tc>
          <w:tcPr>
            <w:cnfStyle w:val="001000000000"/>
            <w:tcW w:w="165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pPr>
            <w:r w:rsidRPr="00A12D77">
              <w:rPr>
                <w:b w:val="0"/>
                <w:bCs w:val="0"/>
              </w:rPr>
              <w:t>Diabetes Mellitus</w:t>
            </w:r>
          </w:p>
        </w:tc>
        <w:tc>
          <w:tcPr>
            <w:tcW w:w="44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000000"/>
            </w:pPr>
            <w:r w:rsidRPr="00A12D77">
              <w:t>16</w:t>
            </w:r>
          </w:p>
        </w:tc>
        <w:tc>
          <w:tcPr>
            <w:tcW w:w="5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000000"/>
            </w:pPr>
            <w:r w:rsidRPr="00A12D77">
              <w:t>42.0</w:t>
            </w:r>
          </w:p>
        </w:tc>
        <w:tc>
          <w:tcPr>
            <w:tcW w:w="44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000000"/>
            </w:pPr>
            <w:r w:rsidRPr="00A12D77">
              <w:t>17</w:t>
            </w:r>
          </w:p>
        </w:tc>
        <w:tc>
          <w:tcPr>
            <w:tcW w:w="5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000000"/>
            </w:pPr>
            <w:r w:rsidRPr="00A12D77">
              <w:t>77.3</w:t>
            </w:r>
          </w:p>
        </w:tc>
        <w:tc>
          <w:tcPr>
            <w:tcW w:w="7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000000"/>
            </w:pPr>
            <w:r w:rsidRPr="00A12D77">
              <w:t>6.962</w:t>
            </w:r>
          </w:p>
        </w:tc>
        <w:tc>
          <w:tcPr>
            <w:tcW w:w="73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000000"/>
            </w:pPr>
            <w:r w:rsidRPr="00A12D77">
              <w:rPr>
                <w:rStyle w:val="apple-style-span"/>
              </w:rPr>
              <w:t>0.008</w:t>
            </w:r>
          </w:p>
        </w:tc>
      </w:tr>
      <w:tr w:rsidR="00C97655" w:rsidRPr="00A12D77" w:rsidTr="00C97655">
        <w:trPr>
          <w:cnfStyle w:val="000000100000"/>
          <w:jc w:val="center"/>
        </w:trPr>
        <w:tc>
          <w:tcPr>
            <w:cnfStyle w:val="001000000000"/>
            <w:tcW w:w="165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pPr>
            <w:r w:rsidRPr="00A12D77">
              <w:rPr>
                <w:b w:val="0"/>
                <w:bCs w:val="0"/>
              </w:rPr>
              <w:t>Hypertension</w:t>
            </w:r>
          </w:p>
        </w:tc>
        <w:tc>
          <w:tcPr>
            <w:tcW w:w="44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pPr>
            <w:r w:rsidRPr="00A12D77">
              <w:t>8</w:t>
            </w:r>
          </w:p>
        </w:tc>
        <w:tc>
          <w:tcPr>
            <w:tcW w:w="5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pPr>
            <w:r w:rsidRPr="00A12D77">
              <w:t>21.0</w:t>
            </w:r>
          </w:p>
        </w:tc>
        <w:tc>
          <w:tcPr>
            <w:tcW w:w="44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pPr>
            <w:r w:rsidRPr="00A12D77">
              <w:t>16</w:t>
            </w:r>
          </w:p>
        </w:tc>
        <w:tc>
          <w:tcPr>
            <w:tcW w:w="5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pPr>
            <w:r w:rsidRPr="00A12D77">
              <w:t>72.7</w:t>
            </w:r>
          </w:p>
        </w:tc>
        <w:tc>
          <w:tcPr>
            <w:tcW w:w="7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pPr>
            <w:r w:rsidRPr="00A12D77">
              <w:t>15.502</w:t>
            </w:r>
          </w:p>
        </w:tc>
        <w:tc>
          <w:tcPr>
            <w:tcW w:w="73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pPr>
            <w:r w:rsidRPr="00A12D77">
              <w:t>&lt;0.001</w:t>
            </w:r>
          </w:p>
        </w:tc>
      </w:tr>
      <w:tr w:rsidR="00C97655" w:rsidRPr="00A12D77" w:rsidTr="00C97655">
        <w:trPr>
          <w:jc w:val="center"/>
        </w:trPr>
        <w:tc>
          <w:tcPr>
            <w:cnfStyle w:val="001000000000"/>
            <w:tcW w:w="165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pPr>
            <w:r w:rsidRPr="00A12D77">
              <w:rPr>
                <w:b w:val="0"/>
                <w:bCs w:val="0"/>
              </w:rPr>
              <w:t>Smoking</w:t>
            </w:r>
          </w:p>
        </w:tc>
        <w:tc>
          <w:tcPr>
            <w:tcW w:w="44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000000"/>
            </w:pPr>
            <w:r w:rsidRPr="00A12D77">
              <w:t>27</w:t>
            </w:r>
          </w:p>
        </w:tc>
        <w:tc>
          <w:tcPr>
            <w:tcW w:w="5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000000"/>
            </w:pPr>
            <w:r w:rsidRPr="00A12D77">
              <w:t>71.1</w:t>
            </w:r>
          </w:p>
        </w:tc>
        <w:tc>
          <w:tcPr>
            <w:tcW w:w="44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000000"/>
            </w:pPr>
            <w:r w:rsidRPr="00A12D77">
              <w:t>12</w:t>
            </w:r>
          </w:p>
        </w:tc>
        <w:tc>
          <w:tcPr>
            <w:tcW w:w="5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000000"/>
            </w:pPr>
            <w:r w:rsidRPr="00A12D77">
              <w:t>54.5</w:t>
            </w:r>
          </w:p>
        </w:tc>
        <w:tc>
          <w:tcPr>
            <w:tcW w:w="7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000000"/>
            </w:pPr>
            <w:r w:rsidRPr="00A12D77">
              <w:t>1.669</w:t>
            </w:r>
          </w:p>
        </w:tc>
        <w:tc>
          <w:tcPr>
            <w:tcW w:w="73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000000"/>
            </w:pPr>
            <w:r w:rsidRPr="00A12D77">
              <w:t>0.196</w:t>
            </w:r>
          </w:p>
        </w:tc>
      </w:tr>
      <w:tr w:rsidR="00C97655" w:rsidRPr="00A12D77" w:rsidTr="00C97655">
        <w:trPr>
          <w:cnfStyle w:val="000000100000"/>
          <w:jc w:val="center"/>
        </w:trPr>
        <w:tc>
          <w:tcPr>
            <w:cnfStyle w:val="001000000000"/>
            <w:tcW w:w="165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pPr>
            <w:r w:rsidRPr="00A12D77">
              <w:rPr>
                <w:b w:val="0"/>
                <w:bCs w:val="0"/>
              </w:rPr>
              <w:t>Dyslipidaemia</w:t>
            </w:r>
          </w:p>
        </w:tc>
        <w:tc>
          <w:tcPr>
            <w:tcW w:w="44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pPr>
            <w:r w:rsidRPr="00A12D77">
              <w:t>26</w:t>
            </w:r>
          </w:p>
        </w:tc>
        <w:tc>
          <w:tcPr>
            <w:tcW w:w="5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pPr>
            <w:r w:rsidRPr="00A12D77">
              <w:t>68.4</w:t>
            </w:r>
          </w:p>
        </w:tc>
        <w:tc>
          <w:tcPr>
            <w:tcW w:w="44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pPr>
            <w:r w:rsidRPr="00A12D77">
              <w:t>12</w:t>
            </w:r>
          </w:p>
        </w:tc>
        <w:tc>
          <w:tcPr>
            <w:tcW w:w="50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pPr>
            <w:r w:rsidRPr="00A12D77">
              <w:t>54.5</w:t>
            </w:r>
          </w:p>
        </w:tc>
        <w:tc>
          <w:tcPr>
            <w:tcW w:w="7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pPr>
            <w:r w:rsidRPr="00A12D77">
              <w:t>1.155</w:t>
            </w:r>
          </w:p>
        </w:tc>
        <w:tc>
          <w:tcPr>
            <w:tcW w:w="733"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673D11" w:rsidRPr="00A12D77" w:rsidRDefault="00673D11" w:rsidP="00805DBD">
            <w:pPr>
              <w:snapToGrid w:val="0"/>
              <w:jc w:val="both"/>
              <w:cnfStyle w:val="000000100000"/>
            </w:pPr>
            <w:r w:rsidRPr="00A12D77">
              <w:t>0. 282</w:t>
            </w:r>
          </w:p>
        </w:tc>
      </w:tr>
    </w:tbl>
    <w:p w:rsidR="00673D11" w:rsidRPr="00A12D77" w:rsidRDefault="00673D11" w:rsidP="00805DBD">
      <w:pPr>
        <w:snapToGrid w:val="0"/>
        <w:jc w:val="both"/>
        <w:rPr>
          <w:rStyle w:val="apple-style-span"/>
          <w:b/>
          <w:bCs/>
        </w:rPr>
      </w:pPr>
    </w:p>
    <w:p w:rsidR="00805DBD" w:rsidRPr="00A12D77" w:rsidRDefault="00805DBD" w:rsidP="00805DBD">
      <w:pPr>
        <w:snapToGrid w:val="0"/>
        <w:ind w:firstLine="425"/>
        <w:jc w:val="both"/>
        <w:rPr>
          <w:rStyle w:val="apple-style-span"/>
          <w:b/>
          <w:bCs/>
          <w:lang w:val="en-US"/>
        </w:rPr>
        <w:sectPr w:rsidR="00805DBD" w:rsidRPr="00A12D77" w:rsidSect="00C97655">
          <w:type w:val="continuous"/>
          <w:pgSz w:w="12240" w:h="15840"/>
          <w:pgMar w:top="1440" w:right="1440" w:bottom="1440" w:left="1440" w:header="720" w:footer="720" w:gutter="0"/>
          <w:cols w:space="720"/>
          <w:docGrid w:linePitch="360"/>
        </w:sectPr>
      </w:pPr>
    </w:p>
    <w:p w:rsidR="008F5F1A" w:rsidRPr="00A12D77" w:rsidRDefault="00673D11" w:rsidP="00805DBD">
      <w:pPr>
        <w:snapToGrid w:val="0"/>
        <w:jc w:val="both"/>
        <w:rPr>
          <w:rStyle w:val="apple-style-span"/>
          <w:lang w:val="en-US"/>
        </w:rPr>
      </w:pPr>
      <w:r w:rsidRPr="00A12D77">
        <w:rPr>
          <w:rStyle w:val="apple-style-span"/>
          <w:b/>
          <w:bCs/>
          <w:lang w:val="en-US"/>
        </w:rPr>
        <w:lastRenderedPageBreak/>
        <w:t>Angiographic finding</w:t>
      </w:r>
      <w:r w:rsidRPr="00A12D77">
        <w:rPr>
          <w:rStyle w:val="apple-style-span"/>
          <w:lang w:val="en-US"/>
        </w:rPr>
        <w:t xml:space="preserve">: </w:t>
      </w:r>
    </w:p>
    <w:p w:rsidR="00673D11" w:rsidRPr="00A12D77" w:rsidRDefault="00673D11" w:rsidP="00805DBD">
      <w:pPr>
        <w:snapToGrid w:val="0"/>
        <w:jc w:val="both"/>
        <w:rPr>
          <w:b/>
          <w:iCs/>
        </w:rPr>
      </w:pPr>
    </w:p>
    <w:p w:rsidR="008F5F1A" w:rsidRPr="00A12D77" w:rsidRDefault="008F5F1A" w:rsidP="00805DBD">
      <w:pPr>
        <w:snapToGrid w:val="0"/>
        <w:jc w:val="center"/>
        <w:rPr>
          <w:b/>
          <w:bCs/>
        </w:rPr>
      </w:pPr>
      <w:bookmarkStart w:id="1" w:name="_Toc18449355"/>
      <w:r w:rsidRPr="00A12D77">
        <w:rPr>
          <w:b/>
          <w:bCs/>
          <w:noProof/>
          <w:lang w:val="en-US" w:eastAsia="zh-CN"/>
        </w:rPr>
        <w:drawing>
          <wp:inline distT="0" distB="0" distL="0" distR="0">
            <wp:extent cx="2622550" cy="1598875"/>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2916" cy="1599098"/>
                    </a:xfrm>
                    <a:prstGeom prst="rect">
                      <a:avLst/>
                    </a:prstGeom>
                    <a:noFill/>
                  </pic:spPr>
                </pic:pic>
              </a:graphicData>
            </a:graphic>
          </wp:inline>
        </w:drawing>
      </w:r>
    </w:p>
    <w:p w:rsidR="00673D11" w:rsidRPr="00A12D77" w:rsidRDefault="00673D11" w:rsidP="00805DBD">
      <w:pPr>
        <w:snapToGrid w:val="0"/>
        <w:jc w:val="both"/>
        <w:rPr>
          <w:rFonts w:eastAsiaTheme="minorEastAsia"/>
          <w:lang w:eastAsia="zh-CN"/>
        </w:rPr>
      </w:pPr>
      <w:r w:rsidRPr="00A12D77">
        <w:rPr>
          <w:b/>
          <w:bCs/>
        </w:rPr>
        <w:t>Figure 1</w:t>
      </w:r>
      <w:r w:rsidR="00A12D77" w:rsidRPr="00A12D77">
        <w:rPr>
          <w:rFonts w:eastAsiaTheme="minorEastAsia" w:hint="eastAsia"/>
          <w:b/>
          <w:bCs/>
          <w:lang w:eastAsia="zh-CN"/>
        </w:rPr>
        <w:t>.</w:t>
      </w:r>
      <w:r w:rsidR="00C97655" w:rsidRPr="00A12D77">
        <w:t xml:space="preserve"> </w:t>
      </w:r>
      <w:r w:rsidR="00A12D77" w:rsidRPr="00A12D77">
        <w:rPr>
          <w:rFonts w:eastAsiaTheme="minorEastAsia" w:hint="eastAsia"/>
          <w:lang w:eastAsia="zh-CN"/>
        </w:rPr>
        <w:t>S</w:t>
      </w:r>
      <w:r w:rsidRPr="00A12D77">
        <w:t xml:space="preserve">howing a comparison between both groups according to culprit vessel </w:t>
      </w:r>
      <w:bookmarkEnd w:id="1"/>
    </w:p>
    <w:p w:rsidR="00805DBD" w:rsidRPr="00A12D77" w:rsidRDefault="00805DBD" w:rsidP="00805DBD">
      <w:pPr>
        <w:snapToGrid w:val="0"/>
        <w:jc w:val="both"/>
        <w:rPr>
          <w:rFonts w:eastAsiaTheme="minorEastAsia"/>
          <w:lang w:eastAsia="zh-CN"/>
        </w:rPr>
      </w:pPr>
    </w:p>
    <w:p w:rsidR="00805DBD" w:rsidRPr="00A12D77" w:rsidRDefault="00805DBD" w:rsidP="00805DBD">
      <w:pPr>
        <w:snapToGrid w:val="0"/>
        <w:ind w:firstLine="425"/>
        <w:jc w:val="both"/>
        <w:rPr>
          <w:rStyle w:val="apple-style-span"/>
          <w:lang w:val="en-US"/>
        </w:rPr>
      </w:pPr>
      <w:r w:rsidRPr="00A12D77">
        <w:rPr>
          <w:rStyle w:val="apple-style-span"/>
          <w:lang w:val="en-US"/>
        </w:rPr>
        <w:t>There was no statistically significant difference regarding symptoms to balloon time (P = 0.567), TIMI flow before or after PCI (P=0.203, 1.000 respectively</w:t>
      </w:r>
      <w:r w:rsidR="00A12D77">
        <w:rPr>
          <w:rStyle w:val="apple-style-span"/>
          <w:lang w:val="en-US"/>
        </w:rPr>
        <w:t>)</w:t>
      </w:r>
      <w:r w:rsidRPr="00A12D77">
        <w:rPr>
          <w:rStyle w:val="apple-style-span"/>
          <w:lang w:val="en-US"/>
        </w:rPr>
        <w:t xml:space="preserve">. In group I, the culprit vessel was the left anterior descending coronary artery (LAD) in 19 patients (50%), Non-LAD in 19 patients (50%). In group II, the culprit was the LAD in 17 patients (77.3%), non-LAD was the culprit in 5 patients (22.7%). </w:t>
      </w:r>
      <w:r w:rsidRPr="00A12D77">
        <w:rPr>
          <w:i/>
          <w:iCs/>
        </w:rPr>
        <w:t xml:space="preserve">LAD as a culprit </w:t>
      </w:r>
      <w:r w:rsidRPr="00A12D77">
        <w:rPr>
          <w:i/>
          <w:iCs/>
        </w:rPr>
        <w:lastRenderedPageBreak/>
        <w:t xml:space="preserve">vessel was statistically significant being more prevalent in group II (P-value 0.038). </w:t>
      </w:r>
      <w:r w:rsidRPr="00A12D77">
        <w:t xml:space="preserve">(figure 1) </w:t>
      </w:r>
      <w:r w:rsidR="00A12D77">
        <w:t>(</w:t>
      </w:r>
      <w:r w:rsidRPr="00A12D77">
        <w:t>Table 2)</w:t>
      </w:r>
    </w:p>
    <w:p w:rsidR="00C97655" w:rsidRPr="00A12D77" w:rsidRDefault="00C97655" w:rsidP="00805DBD">
      <w:pPr>
        <w:snapToGrid w:val="0"/>
        <w:ind w:firstLine="425"/>
        <w:jc w:val="both"/>
        <w:rPr>
          <w:rFonts w:eastAsiaTheme="minorEastAsia"/>
          <w:lang w:eastAsia="zh-CN"/>
        </w:rPr>
      </w:pPr>
    </w:p>
    <w:p w:rsidR="008F5F1A" w:rsidRPr="00A12D77" w:rsidRDefault="008F5F1A" w:rsidP="00805DBD">
      <w:pPr>
        <w:pStyle w:val="Caption"/>
        <w:snapToGrid w:val="0"/>
        <w:spacing w:after="0"/>
        <w:rPr>
          <w:bCs/>
          <w:sz w:val="20"/>
          <w:szCs w:val="20"/>
        </w:rPr>
      </w:pPr>
      <w:bookmarkStart w:id="2" w:name="_Toc18449354"/>
      <w:r w:rsidRPr="00A12D77">
        <w:rPr>
          <w:bCs/>
          <w:noProof/>
          <w:sz w:val="20"/>
          <w:szCs w:val="20"/>
          <w:lang w:val="en-US" w:eastAsia="zh-CN"/>
        </w:rPr>
        <w:drawing>
          <wp:inline distT="0" distB="0" distL="0" distR="0">
            <wp:extent cx="2584450" cy="137894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8628" cy="1381169"/>
                    </a:xfrm>
                    <a:prstGeom prst="rect">
                      <a:avLst/>
                    </a:prstGeom>
                    <a:noFill/>
                  </pic:spPr>
                </pic:pic>
              </a:graphicData>
            </a:graphic>
          </wp:inline>
        </w:drawing>
      </w:r>
    </w:p>
    <w:p w:rsidR="008F5F1A" w:rsidRPr="00A12D77" w:rsidRDefault="008F5F1A" w:rsidP="00805DBD">
      <w:pPr>
        <w:pStyle w:val="Caption"/>
        <w:snapToGrid w:val="0"/>
        <w:spacing w:after="0"/>
        <w:jc w:val="both"/>
        <w:rPr>
          <w:noProof/>
          <w:sz w:val="20"/>
          <w:szCs w:val="20"/>
        </w:rPr>
      </w:pPr>
      <w:bookmarkStart w:id="3" w:name="_Toc18449361"/>
      <w:r w:rsidRPr="00A12D77">
        <w:rPr>
          <w:bCs/>
          <w:sz w:val="20"/>
          <w:szCs w:val="20"/>
        </w:rPr>
        <w:t xml:space="preserve">Figure </w:t>
      </w:r>
      <w:r w:rsidR="006F7B40" w:rsidRPr="00A12D77">
        <w:rPr>
          <w:sz w:val="20"/>
          <w:szCs w:val="20"/>
        </w:rPr>
        <w:fldChar w:fldCharType="begin"/>
      </w:r>
      <w:r w:rsidRPr="00A12D77">
        <w:rPr>
          <w:bCs/>
          <w:sz w:val="20"/>
          <w:szCs w:val="20"/>
        </w:rPr>
        <w:instrText xml:space="preserve"> SEQ Figure \* ARABIC </w:instrText>
      </w:r>
      <w:r w:rsidR="006F7B40" w:rsidRPr="00A12D77">
        <w:rPr>
          <w:sz w:val="20"/>
          <w:szCs w:val="20"/>
        </w:rPr>
        <w:fldChar w:fldCharType="separate"/>
      </w:r>
      <w:r w:rsidRPr="00A12D77">
        <w:rPr>
          <w:bCs/>
          <w:noProof/>
          <w:sz w:val="20"/>
          <w:szCs w:val="20"/>
        </w:rPr>
        <w:t>2</w:t>
      </w:r>
      <w:r w:rsidR="006F7B40" w:rsidRPr="00A12D77">
        <w:rPr>
          <w:sz w:val="20"/>
          <w:szCs w:val="20"/>
        </w:rPr>
        <w:fldChar w:fldCharType="end"/>
      </w:r>
      <w:r w:rsidRPr="00A12D77">
        <w:rPr>
          <w:sz w:val="20"/>
          <w:szCs w:val="20"/>
        </w:rPr>
        <w:t>: Percentage change in EF between discharge and after 3 month</w:t>
      </w:r>
      <w:bookmarkEnd w:id="3"/>
    </w:p>
    <w:p w:rsidR="00805DBD" w:rsidRPr="00A12D77" w:rsidRDefault="00805DBD" w:rsidP="00805DBD">
      <w:pPr>
        <w:snapToGrid w:val="0"/>
        <w:jc w:val="both"/>
        <w:rPr>
          <w:rFonts w:eastAsiaTheme="minorEastAsia"/>
          <w:b/>
          <w:bCs/>
          <w:lang w:eastAsia="zh-CN"/>
        </w:rPr>
      </w:pPr>
      <w:bookmarkStart w:id="4" w:name="_Toc18449400"/>
      <w:bookmarkEnd w:id="2"/>
    </w:p>
    <w:p w:rsidR="00805DBD" w:rsidRPr="00A12D77" w:rsidRDefault="00805DBD" w:rsidP="00805DBD">
      <w:pPr>
        <w:snapToGrid w:val="0"/>
        <w:ind w:firstLine="425"/>
        <w:jc w:val="both"/>
        <w:rPr>
          <w:rFonts w:eastAsiaTheme="minorEastAsia" w:hint="eastAsia"/>
          <w:lang w:eastAsia="zh-CN"/>
        </w:rPr>
      </w:pPr>
      <w:r w:rsidRPr="00A12D77">
        <w:t>In</w:t>
      </w:r>
      <w:r w:rsidRPr="00A12D77">
        <w:rPr>
          <w:i/>
          <w:iCs/>
        </w:rPr>
        <w:t xml:space="preserve"> group I</w:t>
      </w:r>
      <w:r w:rsidRPr="00A12D77">
        <w:t>, 23 patients (60.5%) had single-vessel disease, 7 patients (18.4%) had two-vessel disease and 8 patients (21.1%) had a three-vessel disease. While in</w:t>
      </w:r>
      <w:r w:rsidRPr="00A12D77">
        <w:rPr>
          <w:i/>
          <w:iCs/>
        </w:rPr>
        <w:t xml:space="preserve"> group II</w:t>
      </w:r>
      <w:r w:rsidRPr="00A12D77">
        <w:t>, 9 patients (40.9%) had single-vessel disease, 11 patients (50%) had two-vessel disease and two patients (9.1 %) had three-vessel disease.</w:t>
      </w:r>
      <w:r w:rsidRPr="00A12D77">
        <w:rPr>
          <w:i/>
          <w:iCs/>
        </w:rPr>
        <w:t xml:space="preserve"> Single vessel disease was more prevalent in group I. While more </w:t>
      </w:r>
      <w:r w:rsidRPr="00A12D77">
        <w:rPr>
          <w:i/>
          <w:iCs/>
        </w:rPr>
        <w:lastRenderedPageBreak/>
        <w:t>than one vessel disease was more prevalent in group II</w:t>
      </w:r>
      <w:r w:rsidRPr="00A12D77">
        <w:t>, (</w:t>
      </w:r>
      <w:r w:rsidRPr="00A12D77">
        <w:rPr>
          <w:i/>
          <w:iCs/>
        </w:rPr>
        <w:t xml:space="preserve">P-value 0.033) </w:t>
      </w:r>
      <w:r w:rsidRPr="00A12D77">
        <w:t>(Figure 2) (Table 2)</w:t>
      </w:r>
      <w:r w:rsidR="00A12D77">
        <w:rPr>
          <w:rFonts w:eastAsiaTheme="minorEastAsia" w:hint="eastAsia"/>
          <w:lang w:eastAsia="zh-CN"/>
        </w:rPr>
        <w:t>.</w:t>
      </w:r>
    </w:p>
    <w:p w:rsidR="00805DBD" w:rsidRPr="00A12D77" w:rsidRDefault="00805DBD" w:rsidP="00805DBD">
      <w:pPr>
        <w:snapToGrid w:val="0"/>
        <w:jc w:val="both"/>
        <w:rPr>
          <w:rFonts w:eastAsiaTheme="minorEastAsia"/>
          <w:b/>
          <w:bCs/>
          <w:lang w:eastAsia="zh-CN"/>
        </w:rPr>
      </w:pPr>
    </w:p>
    <w:p w:rsidR="00C97655" w:rsidRPr="00A12D77" w:rsidRDefault="00673D11" w:rsidP="00805DBD">
      <w:pPr>
        <w:snapToGrid w:val="0"/>
        <w:jc w:val="both"/>
        <w:rPr>
          <w:b/>
          <w:bCs/>
        </w:rPr>
      </w:pPr>
      <w:r w:rsidRPr="00A12D77">
        <w:rPr>
          <w:b/>
          <w:bCs/>
        </w:rPr>
        <w:t>Laboratory investigations</w:t>
      </w:r>
      <w:r w:rsidR="00C97655" w:rsidRPr="00A12D77">
        <w:rPr>
          <w:b/>
          <w:bCs/>
        </w:rPr>
        <w:t>:</w:t>
      </w:r>
    </w:p>
    <w:p w:rsidR="00805DBD" w:rsidRPr="00A12D77" w:rsidRDefault="00C97655" w:rsidP="00805DBD">
      <w:pPr>
        <w:pStyle w:val="Caption"/>
        <w:snapToGrid w:val="0"/>
        <w:spacing w:after="0"/>
        <w:ind w:firstLine="425"/>
        <w:jc w:val="both"/>
        <w:rPr>
          <w:b w:val="0"/>
          <w:bCs/>
          <w:sz w:val="20"/>
          <w:szCs w:val="20"/>
        </w:rPr>
      </w:pPr>
      <w:r w:rsidRPr="00A12D77">
        <w:rPr>
          <w:b w:val="0"/>
          <w:bCs/>
          <w:sz w:val="20"/>
          <w:szCs w:val="20"/>
        </w:rPr>
        <w:lastRenderedPageBreak/>
        <w:t>A</w:t>
      </w:r>
      <w:r w:rsidR="00673D11" w:rsidRPr="00A12D77">
        <w:rPr>
          <w:b w:val="0"/>
          <w:bCs/>
          <w:sz w:val="20"/>
          <w:szCs w:val="20"/>
        </w:rPr>
        <w:t>s regard baseline lab investigations there was no statistically significant difference between both group</w:t>
      </w:r>
      <w:r w:rsidR="00805DBD" w:rsidRPr="00A12D77">
        <w:rPr>
          <w:b w:val="0"/>
          <w:bCs/>
          <w:sz w:val="20"/>
          <w:szCs w:val="20"/>
        </w:rPr>
        <w:t>s.</w:t>
      </w:r>
    </w:p>
    <w:p w:rsidR="00805DBD" w:rsidRPr="00A12D77" w:rsidRDefault="00805DBD" w:rsidP="00805DBD">
      <w:pPr>
        <w:pStyle w:val="Caption"/>
        <w:snapToGrid w:val="0"/>
        <w:spacing w:after="0"/>
        <w:rPr>
          <w:rFonts w:eastAsiaTheme="minorEastAsia"/>
          <w:bCs/>
          <w:sz w:val="20"/>
          <w:szCs w:val="20"/>
          <w:lang w:eastAsia="zh-CN"/>
        </w:rPr>
        <w:sectPr w:rsidR="00805DBD" w:rsidRPr="00A12D77" w:rsidSect="00805DBD">
          <w:type w:val="continuous"/>
          <w:pgSz w:w="12240" w:h="15840"/>
          <w:pgMar w:top="1440" w:right="1440" w:bottom="1440" w:left="1440" w:header="720" w:footer="720" w:gutter="0"/>
          <w:cols w:num="2" w:space="500"/>
          <w:docGrid w:linePitch="360"/>
        </w:sectPr>
      </w:pPr>
    </w:p>
    <w:p w:rsidR="00C97655" w:rsidRPr="00A12D77" w:rsidRDefault="00C97655" w:rsidP="00805DBD">
      <w:pPr>
        <w:pStyle w:val="Caption"/>
        <w:snapToGrid w:val="0"/>
        <w:spacing w:after="0"/>
        <w:rPr>
          <w:rFonts w:eastAsiaTheme="minorEastAsia"/>
          <w:bCs/>
          <w:sz w:val="20"/>
          <w:szCs w:val="20"/>
          <w:lang w:eastAsia="zh-CN"/>
        </w:rPr>
      </w:pPr>
    </w:p>
    <w:p w:rsidR="00673D11" w:rsidRPr="00A12D77" w:rsidRDefault="00673D11" w:rsidP="00805DBD">
      <w:pPr>
        <w:pStyle w:val="Caption"/>
        <w:snapToGrid w:val="0"/>
        <w:spacing w:after="0"/>
        <w:rPr>
          <w:sz w:val="20"/>
          <w:szCs w:val="20"/>
        </w:rPr>
      </w:pPr>
      <w:r w:rsidRPr="00A12D77">
        <w:rPr>
          <w:bCs/>
          <w:sz w:val="20"/>
          <w:szCs w:val="20"/>
        </w:rPr>
        <w:t xml:space="preserve">Table </w:t>
      </w:r>
      <w:r w:rsidRPr="00A12D77">
        <w:rPr>
          <w:sz w:val="20"/>
          <w:szCs w:val="20"/>
        </w:rPr>
        <w:t>2</w:t>
      </w:r>
      <w:r w:rsidR="00A12D77" w:rsidRPr="00A12D77">
        <w:rPr>
          <w:rFonts w:eastAsiaTheme="minorEastAsia" w:hint="eastAsia"/>
          <w:sz w:val="20"/>
          <w:szCs w:val="20"/>
          <w:lang w:eastAsia="zh-CN"/>
        </w:rPr>
        <w:t>.</w:t>
      </w:r>
      <w:r w:rsidR="00A12D77" w:rsidRPr="00A12D77">
        <w:rPr>
          <w:sz w:val="20"/>
          <w:szCs w:val="20"/>
        </w:rPr>
        <w:t xml:space="preserve"> </w:t>
      </w:r>
      <w:r w:rsidR="00A12D77" w:rsidRPr="00A12D77">
        <w:rPr>
          <w:rFonts w:eastAsiaTheme="minorEastAsia" w:hint="eastAsia"/>
          <w:sz w:val="20"/>
          <w:szCs w:val="20"/>
          <w:lang w:eastAsia="zh-CN"/>
        </w:rPr>
        <w:t>S</w:t>
      </w:r>
      <w:r w:rsidRPr="00A12D77">
        <w:rPr>
          <w:sz w:val="20"/>
          <w:szCs w:val="20"/>
        </w:rPr>
        <w:t>howing angiographic characteristics in both groups</w:t>
      </w:r>
      <w:bookmarkEnd w:id="4"/>
    </w:p>
    <w:tbl>
      <w:tblPr>
        <w:tblStyle w:val="TableGrid"/>
        <w:tblW w:w="5000" w:type="pct"/>
        <w:jc w:val="center"/>
        <w:tblCellMar>
          <w:left w:w="57" w:type="dxa"/>
          <w:right w:w="57" w:type="dxa"/>
        </w:tblCellMar>
        <w:tblLook w:val="04A0"/>
      </w:tblPr>
      <w:tblGrid>
        <w:gridCol w:w="1868"/>
        <w:gridCol w:w="860"/>
        <w:gridCol w:w="2107"/>
        <w:gridCol w:w="1943"/>
        <w:gridCol w:w="564"/>
        <w:gridCol w:w="2132"/>
      </w:tblGrid>
      <w:tr w:rsidR="00673D11" w:rsidRPr="00A12D77" w:rsidTr="00805DBD">
        <w:trPr>
          <w:jc w:val="center"/>
        </w:trPr>
        <w:tc>
          <w:tcPr>
            <w:tcW w:w="1446" w:type="pct"/>
            <w:gridSpan w:val="2"/>
            <w:tcBorders>
              <w:top w:val="single" w:sz="4" w:space="0" w:color="auto"/>
              <w:left w:val="single" w:sz="4" w:space="0" w:color="auto"/>
              <w:bottom w:val="single" w:sz="4" w:space="0" w:color="auto"/>
              <w:right w:val="single" w:sz="4" w:space="0" w:color="auto"/>
            </w:tcBorders>
            <w:vAlign w:val="center"/>
          </w:tcPr>
          <w:p w:rsidR="00673D11" w:rsidRPr="00A12D77" w:rsidRDefault="00673D11" w:rsidP="00805DBD">
            <w:pPr>
              <w:snapToGrid w:val="0"/>
              <w:ind w:firstLine="0"/>
              <w:rPr>
                <w:lang w:bidi="ar-EG"/>
              </w:rPr>
            </w:pPr>
          </w:p>
        </w:tc>
        <w:tc>
          <w:tcPr>
            <w:tcW w:w="1115"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Group I</w:t>
            </w:r>
            <w:r w:rsidR="00805DBD" w:rsidRPr="00A12D77">
              <w:rPr>
                <w:lang w:bidi="ar-EG"/>
              </w:rPr>
              <w:t xml:space="preserve"> </w:t>
            </w:r>
            <w:r w:rsidRPr="00A12D77">
              <w:rPr>
                <w:lang w:bidi="ar-EG"/>
              </w:rPr>
              <w:t>(No LVR)</w:t>
            </w:r>
            <w:r w:rsidR="00805DBD" w:rsidRPr="00A12D77">
              <w:rPr>
                <w:lang w:bidi="ar-EG"/>
              </w:rPr>
              <w:t xml:space="preserve"> </w:t>
            </w:r>
            <w:r w:rsidR="00C97655" w:rsidRPr="00A12D77">
              <w:rPr>
                <w:lang w:bidi="ar-EG"/>
              </w:rPr>
              <w:t>(</w:t>
            </w:r>
            <w:r w:rsidRPr="00A12D77">
              <w:rPr>
                <w:lang w:bidi="ar-EG"/>
              </w:rPr>
              <w:t>N=38)</w:t>
            </w:r>
          </w:p>
        </w:tc>
        <w:tc>
          <w:tcPr>
            <w:tcW w:w="102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 xml:space="preserve">Group II </w:t>
            </w:r>
            <w:r w:rsidR="00805DBD" w:rsidRPr="00A12D77">
              <w:rPr>
                <w:lang w:bidi="ar-EG"/>
              </w:rPr>
              <w:t xml:space="preserve"> </w:t>
            </w:r>
            <w:r w:rsidRPr="00A12D77">
              <w:rPr>
                <w:lang w:bidi="ar-EG"/>
              </w:rPr>
              <w:t>(LVR)</w:t>
            </w:r>
            <w:r w:rsidR="00805DBD" w:rsidRPr="00A12D77">
              <w:rPr>
                <w:lang w:bidi="ar-EG"/>
              </w:rPr>
              <w:t xml:space="preserve"> </w:t>
            </w:r>
            <w:r w:rsidR="00C97655" w:rsidRPr="00A12D77">
              <w:rPr>
                <w:lang w:bidi="ar-EG"/>
              </w:rPr>
              <w:t>(</w:t>
            </w:r>
            <w:r w:rsidRPr="00A12D77">
              <w:rPr>
                <w:lang w:bidi="ar-EG"/>
              </w:rPr>
              <w:t>N=22)</w:t>
            </w:r>
          </w:p>
        </w:tc>
        <w:tc>
          <w:tcPr>
            <w:tcW w:w="283"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vertAlign w:val="superscript"/>
                <w:lang w:bidi="ar-EG"/>
              </w:rPr>
            </w:pPr>
            <w:r w:rsidRPr="00A12D77">
              <w:sym w:font="Symbol" w:char="F063"/>
            </w:r>
            <w:r w:rsidRPr="00A12D77">
              <w:rPr>
                <w:vertAlign w:val="superscript"/>
              </w:rPr>
              <w:t>2</w:t>
            </w:r>
          </w:p>
        </w:tc>
        <w:tc>
          <w:tcPr>
            <w:tcW w:w="112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P Value</w:t>
            </w:r>
          </w:p>
        </w:tc>
      </w:tr>
      <w:tr w:rsidR="00673D11" w:rsidRPr="00A12D77" w:rsidTr="00805DBD">
        <w:trPr>
          <w:jc w:val="center"/>
        </w:trPr>
        <w:tc>
          <w:tcPr>
            <w:tcW w:w="989" w:type="pct"/>
            <w:vMerge w:val="restar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TIMI Before</w:t>
            </w:r>
          </w:p>
        </w:tc>
        <w:tc>
          <w:tcPr>
            <w:tcW w:w="45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TIMI 0</w:t>
            </w:r>
          </w:p>
        </w:tc>
        <w:tc>
          <w:tcPr>
            <w:tcW w:w="1115"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34 (89.5%)</w:t>
            </w:r>
          </w:p>
        </w:tc>
        <w:tc>
          <w:tcPr>
            <w:tcW w:w="102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16 (72.7%)</w:t>
            </w:r>
          </w:p>
        </w:tc>
        <w:tc>
          <w:tcPr>
            <w:tcW w:w="283" w:type="pct"/>
            <w:vMerge w:val="restar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4.536</w:t>
            </w:r>
          </w:p>
        </w:tc>
        <w:tc>
          <w:tcPr>
            <w:tcW w:w="1128" w:type="pct"/>
            <w:vMerge w:val="restar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0.203</w:t>
            </w:r>
          </w:p>
          <w:p w:rsidR="00673D11" w:rsidRPr="00A12D77" w:rsidRDefault="00673D11" w:rsidP="00805DBD">
            <w:pPr>
              <w:snapToGrid w:val="0"/>
              <w:ind w:firstLine="0"/>
              <w:rPr>
                <w:lang w:bidi="ar-EG"/>
              </w:rPr>
            </w:pPr>
            <w:r w:rsidRPr="00A12D77">
              <w:rPr>
                <w:lang w:bidi="ar-EG"/>
              </w:rPr>
              <w:t>Calculated by Monte Carlo</w:t>
            </w:r>
          </w:p>
        </w:tc>
      </w:tr>
      <w:tr w:rsidR="00673D11" w:rsidRPr="00A12D77" w:rsidTr="00805DBD">
        <w:trPr>
          <w:jc w:val="center"/>
        </w:trPr>
        <w:tc>
          <w:tcPr>
            <w:tcW w:w="989"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45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TIMI 1</w:t>
            </w:r>
          </w:p>
        </w:tc>
        <w:tc>
          <w:tcPr>
            <w:tcW w:w="1115"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2 (5.3 %)</w:t>
            </w:r>
          </w:p>
        </w:tc>
        <w:tc>
          <w:tcPr>
            <w:tcW w:w="102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4 (18.2 %)</w:t>
            </w: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1128"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r>
      <w:tr w:rsidR="00673D11" w:rsidRPr="00A12D77" w:rsidTr="00805DBD">
        <w:trPr>
          <w:jc w:val="center"/>
        </w:trPr>
        <w:tc>
          <w:tcPr>
            <w:tcW w:w="989"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45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 xml:space="preserve">TIMI 2 </w:t>
            </w:r>
          </w:p>
        </w:tc>
        <w:tc>
          <w:tcPr>
            <w:tcW w:w="1115"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0 (0%)</w:t>
            </w:r>
          </w:p>
        </w:tc>
        <w:tc>
          <w:tcPr>
            <w:tcW w:w="102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1 (4.5%)</w:t>
            </w: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1128"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r>
      <w:tr w:rsidR="00673D11" w:rsidRPr="00A12D77" w:rsidTr="00805DBD">
        <w:trPr>
          <w:jc w:val="center"/>
        </w:trPr>
        <w:tc>
          <w:tcPr>
            <w:tcW w:w="989"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45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TIMI 3</w:t>
            </w:r>
          </w:p>
        </w:tc>
        <w:tc>
          <w:tcPr>
            <w:tcW w:w="1115"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2 (5.3%)</w:t>
            </w:r>
          </w:p>
        </w:tc>
        <w:tc>
          <w:tcPr>
            <w:tcW w:w="102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1(4.5%)</w:t>
            </w: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1128"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r>
      <w:tr w:rsidR="00673D11" w:rsidRPr="00A12D77" w:rsidTr="00805DBD">
        <w:trPr>
          <w:jc w:val="center"/>
        </w:trPr>
        <w:tc>
          <w:tcPr>
            <w:tcW w:w="989" w:type="pct"/>
            <w:vMerge w:val="restar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TIMI after</w:t>
            </w:r>
          </w:p>
        </w:tc>
        <w:tc>
          <w:tcPr>
            <w:tcW w:w="45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TIMI 1</w:t>
            </w:r>
          </w:p>
        </w:tc>
        <w:tc>
          <w:tcPr>
            <w:tcW w:w="1115"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1 (2.6%)</w:t>
            </w:r>
          </w:p>
        </w:tc>
        <w:tc>
          <w:tcPr>
            <w:tcW w:w="102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0 (0%)</w:t>
            </w:r>
          </w:p>
        </w:tc>
        <w:tc>
          <w:tcPr>
            <w:tcW w:w="283" w:type="pct"/>
            <w:vMerge w:val="restar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0.61</w:t>
            </w:r>
          </w:p>
        </w:tc>
        <w:tc>
          <w:tcPr>
            <w:tcW w:w="1128" w:type="pct"/>
            <w:vMerge w:val="restar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1</w:t>
            </w:r>
          </w:p>
          <w:p w:rsidR="00673D11" w:rsidRPr="00A12D77" w:rsidRDefault="00673D11" w:rsidP="00805DBD">
            <w:pPr>
              <w:snapToGrid w:val="0"/>
              <w:ind w:firstLine="0"/>
              <w:rPr>
                <w:lang w:bidi="ar-EG"/>
              </w:rPr>
            </w:pPr>
            <w:r w:rsidRPr="00A12D77">
              <w:rPr>
                <w:lang w:bidi="ar-EG"/>
              </w:rPr>
              <w:t>Calculated by Monte Carlo</w:t>
            </w:r>
          </w:p>
        </w:tc>
      </w:tr>
      <w:tr w:rsidR="00673D11" w:rsidRPr="00A12D77" w:rsidTr="00805DBD">
        <w:trPr>
          <w:jc w:val="center"/>
        </w:trPr>
        <w:tc>
          <w:tcPr>
            <w:tcW w:w="989"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45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 xml:space="preserve">TIMI 2 </w:t>
            </w:r>
          </w:p>
        </w:tc>
        <w:tc>
          <w:tcPr>
            <w:tcW w:w="1115"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2 (5.3%)</w:t>
            </w:r>
          </w:p>
        </w:tc>
        <w:tc>
          <w:tcPr>
            <w:tcW w:w="102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1 (4.5%)</w:t>
            </w: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1128"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r>
      <w:tr w:rsidR="00673D11" w:rsidRPr="00A12D77" w:rsidTr="00805DBD">
        <w:trPr>
          <w:jc w:val="center"/>
        </w:trPr>
        <w:tc>
          <w:tcPr>
            <w:tcW w:w="989"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45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TIMI 3</w:t>
            </w:r>
          </w:p>
        </w:tc>
        <w:tc>
          <w:tcPr>
            <w:tcW w:w="1115"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35 (92.1%)</w:t>
            </w:r>
          </w:p>
        </w:tc>
        <w:tc>
          <w:tcPr>
            <w:tcW w:w="102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21 (95.5%)</w:t>
            </w: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1128"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r>
      <w:tr w:rsidR="00673D11" w:rsidRPr="00A12D77" w:rsidTr="00805DBD">
        <w:trPr>
          <w:jc w:val="center"/>
        </w:trPr>
        <w:tc>
          <w:tcPr>
            <w:tcW w:w="989" w:type="pct"/>
            <w:vMerge w:val="restar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ind w:firstLine="0"/>
              <w:rPr>
                <w:lang w:bidi="ar-EG"/>
              </w:rPr>
            </w:pPr>
            <w:r w:rsidRPr="00A12D77">
              <w:rPr>
                <w:color w:val="000000"/>
              </w:rPr>
              <w:t>Number affected</w:t>
            </w:r>
            <w:r w:rsidR="00C97655" w:rsidRPr="00A12D77">
              <w:rPr>
                <w:color w:val="000000"/>
              </w:rPr>
              <w:t xml:space="preserve"> </w:t>
            </w:r>
            <w:r w:rsidRPr="00A12D77">
              <w:rPr>
                <w:color w:val="000000"/>
              </w:rPr>
              <w:t>vessel</w:t>
            </w:r>
          </w:p>
        </w:tc>
        <w:tc>
          <w:tcPr>
            <w:tcW w:w="45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 xml:space="preserve">One </w:t>
            </w:r>
          </w:p>
        </w:tc>
        <w:tc>
          <w:tcPr>
            <w:tcW w:w="1115"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23 (60.5%)</w:t>
            </w:r>
          </w:p>
        </w:tc>
        <w:tc>
          <w:tcPr>
            <w:tcW w:w="102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9 (40.9%)</w:t>
            </w:r>
          </w:p>
        </w:tc>
        <w:tc>
          <w:tcPr>
            <w:tcW w:w="283" w:type="pct"/>
            <w:vMerge w:val="restar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6.833</w:t>
            </w:r>
          </w:p>
        </w:tc>
        <w:tc>
          <w:tcPr>
            <w:tcW w:w="112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3D11" w:rsidRPr="00A12D77" w:rsidRDefault="00673D11" w:rsidP="00805DBD">
            <w:pPr>
              <w:snapToGrid w:val="0"/>
              <w:ind w:firstLine="0"/>
              <w:rPr>
                <w:lang w:bidi="ar-EG"/>
              </w:rPr>
            </w:pPr>
            <w:r w:rsidRPr="00A12D77">
              <w:rPr>
                <w:lang w:bidi="ar-EG"/>
              </w:rPr>
              <w:t>0.033*</w:t>
            </w:r>
          </w:p>
        </w:tc>
      </w:tr>
      <w:tr w:rsidR="00673D11" w:rsidRPr="00A12D77" w:rsidTr="00805DBD">
        <w:trPr>
          <w:jc w:val="center"/>
        </w:trPr>
        <w:tc>
          <w:tcPr>
            <w:tcW w:w="989"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45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Two</w:t>
            </w:r>
          </w:p>
        </w:tc>
        <w:tc>
          <w:tcPr>
            <w:tcW w:w="1115"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7 (18.4%)</w:t>
            </w:r>
          </w:p>
        </w:tc>
        <w:tc>
          <w:tcPr>
            <w:tcW w:w="102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11 (50%)</w:t>
            </w: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1128"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r>
      <w:tr w:rsidR="00673D11" w:rsidRPr="00A12D77" w:rsidTr="00805DBD">
        <w:trPr>
          <w:jc w:val="center"/>
        </w:trPr>
        <w:tc>
          <w:tcPr>
            <w:tcW w:w="989"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45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 xml:space="preserve">Three </w:t>
            </w:r>
          </w:p>
        </w:tc>
        <w:tc>
          <w:tcPr>
            <w:tcW w:w="1115"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8 (21.1%)</w:t>
            </w:r>
          </w:p>
        </w:tc>
        <w:tc>
          <w:tcPr>
            <w:tcW w:w="102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2 (9.1%)</w:t>
            </w: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1128"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r>
      <w:tr w:rsidR="00673D11" w:rsidRPr="00A12D77" w:rsidTr="00805DBD">
        <w:trPr>
          <w:jc w:val="center"/>
        </w:trPr>
        <w:tc>
          <w:tcPr>
            <w:tcW w:w="989" w:type="pct"/>
            <w:vMerge w:val="restar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Culprit vessel</w:t>
            </w:r>
          </w:p>
        </w:tc>
        <w:tc>
          <w:tcPr>
            <w:tcW w:w="45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LAD</w:t>
            </w:r>
          </w:p>
        </w:tc>
        <w:tc>
          <w:tcPr>
            <w:tcW w:w="1115"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19 (50%)</w:t>
            </w:r>
          </w:p>
        </w:tc>
        <w:tc>
          <w:tcPr>
            <w:tcW w:w="102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17 (77.3%)</w:t>
            </w:r>
          </w:p>
        </w:tc>
        <w:tc>
          <w:tcPr>
            <w:tcW w:w="283" w:type="pct"/>
            <w:vMerge w:val="restar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4.31</w:t>
            </w:r>
          </w:p>
        </w:tc>
        <w:tc>
          <w:tcPr>
            <w:tcW w:w="1128" w:type="pct"/>
            <w:vMerge w:val="restar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0.038*</w:t>
            </w:r>
          </w:p>
        </w:tc>
      </w:tr>
      <w:tr w:rsidR="00673D11" w:rsidRPr="00A12D77" w:rsidTr="00805DBD">
        <w:trPr>
          <w:jc w:val="center"/>
        </w:trPr>
        <w:tc>
          <w:tcPr>
            <w:tcW w:w="989"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45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Non LAD</w:t>
            </w:r>
          </w:p>
        </w:tc>
        <w:tc>
          <w:tcPr>
            <w:tcW w:w="1115"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19 (50%)</w:t>
            </w:r>
          </w:p>
        </w:tc>
        <w:tc>
          <w:tcPr>
            <w:tcW w:w="102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5 (22.7%)</w:t>
            </w: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c>
          <w:tcPr>
            <w:tcW w:w="1128"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p>
        </w:tc>
      </w:tr>
    </w:tbl>
    <w:p w:rsidR="00673D11" w:rsidRPr="00A12D77" w:rsidRDefault="00673D11" w:rsidP="00805DBD">
      <w:pPr>
        <w:snapToGrid w:val="0"/>
        <w:jc w:val="both"/>
        <w:rPr>
          <w:b/>
          <w:bCs/>
        </w:rPr>
      </w:pPr>
    </w:p>
    <w:p w:rsidR="00805DBD" w:rsidRPr="00A12D77" w:rsidRDefault="00805DBD" w:rsidP="00805DBD">
      <w:pPr>
        <w:snapToGrid w:val="0"/>
        <w:ind w:firstLine="425"/>
        <w:jc w:val="both"/>
        <w:rPr>
          <w:b/>
          <w:bCs/>
        </w:rPr>
        <w:sectPr w:rsidR="00805DBD" w:rsidRPr="00A12D77" w:rsidSect="00C97655">
          <w:type w:val="continuous"/>
          <w:pgSz w:w="12240" w:h="15840"/>
          <w:pgMar w:top="1440" w:right="1440" w:bottom="1440" w:left="1440" w:header="720" w:footer="720" w:gutter="0"/>
          <w:cols w:space="720"/>
          <w:docGrid w:linePitch="360"/>
        </w:sectPr>
      </w:pPr>
    </w:p>
    <w:p w:rsidR="00C97655" w:rsidRPr="00A12D77" w:rsidRDefault="00673D11" w:rsidP="00A12D77">
      <w:pPr>
        <w:snapToGrid w:val="0"/>
        <w:jc w:val="both"/>
        <w:rPr>
          <w:rFonts w:eastAsiaTheme="minorEastAsia"/>
          <w:i/>
          <w:iCs/>
          <w:lang w:eastAsia="zh-CN"/>
        </w:rPr>
      </w:pPr>
      <w:r w:rsidRPr="00A12D77">
        <w:rPr>
          <w:b/>
          <w:bCs/>
        </w:rPr>
        <w:lastRenderedPageBreak/>
        <w:t>Echocardiographic findings</w:t>
      </w:r>
      <w:r w:rsidRPr="00A12D77">
        <w:t xml:space="preserve">: </w:t>
      </w:r>
    </w:p>
    <w:p w:rsidR="008F5F1A" w:rsidRPr="00A12D77" w:rsidRDefault="008F5F1A" w:rsidP="00805DBD">
      <w:pPr>
        <w:pStyle w:val="Caption"/>
        <w:snapToGrid w:val="0"/>
        <w:spacing w:after="0"/>
        <w:rPr>
          <w:noProof/>
          <w:sz w:val="20"/>
          <w:szCs w:val="20"/>
        </w:rPr>
      </w:pPr>
      <w:r w:rsidRPr="00A12D77">
        <w:rPr>
          <w:noProof/>
          <w:sz w:val="20"/>
          <w:szCs w:val="20"/>
          <w:lang w:val="en-US" w:eastAsia="zh-CN"/>
        </w:rPr>
        <w:drawing>
          <wp:inline distT="0" distB="0" distL="0" distR="0">
            <wp:extent cx="2425700" cy="14910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7828" cy="1492376"/>
                    </a:xfrm>
                    <a:prstGeom prst="rect">
                      <a:avLst/>
                    </a:prstGeom>
                    <a:noFill/>
                  </pic:spPr>
                </pic:pic>
              </a:graphicData>
            </a:graphic>
          </wp:inline>
        </w:drawing>
      </w:r>
    </w:p>
    <w:p w:rsidR="00673D11" w:rsidRPr="00A12D77" w:rsidRDefault="00673D11" w:rsidP="00805DBD">
      <w:pPr>
        <w:pStyle w:val="Caption"/>
        <w:snapToGrid w:val="0"/>
        <w:spacing w:after="0"/>
        <w:jc w:val="both"/>
        <w:rPr>
          <w:b w:val="0"/>
          <w:bCs/>
          <w:sz w:val="20"/>
          <w:szCs w:val="20"/>
        </w:rPr>
      </w:pPr>
      <w:r w:rsidRPr="00A12D77">
        <w:rPr>
          <w:noProof/>
          <w:sz w:val="20"/>
          <w:szCs w:val="20"/>
        </w:rPr>
        <w:t>Fig. 3 relation between discharge EF and LV remodeling</w:t>
      </w:r>
    </w:p>
    <w:p w:rsidR="00A12D77" w:rsidRDefault="00A12D77" w:rsidP="00805DBD">
      <w:pPr>
        <w:snapToGrid w:val="0"/>
        <w:ind w:firstLine="425"/>
        <w:jc w:val="both"/>
        <w:rPr>
          <w:rFonts w:eastAsiaTheme="minorEastAsia" w:hint="eastAsia"/>
          <w:lang w:eastAsia="zh-CN"/>
        </w:rPr>
      </w:pPr>
    </w:p>
    <w:p w:rsidR="00805DBD" w:rsidRPr="00A12D77" w:rsidRDefault="00805DBD" w:rsidP="00805DBD">
      <w:pPr>
        <w:snapToGrid w:val="0"/>
        <w:ind w:firstLine="425"/>
        <w:jc w:val="both"/>
        <w:rPr>
          <w:rFonts w:eastAsiaTheme="minorEastAsia" w:hint="eastAsia"/>
          <w:i/>
          <w:iCs/>
          <w:lang w:eastAsia="zh-CN"/>
        </w:rPr>
      </w:pPr>
      <w:r w:rsidRPr="00A12D77">
        <w:t xml:space="preserve">There was no statistical significance between both groups as regard EDV at discharge (P=0.256). The median discharge EF in group I was 50 %, ranged from 34-62 %, while in group II, the median discharge EF was 45%, ranged from 32-52 %. </w:t>
      </w:r>
      <w:r w:rsidRPr="00A12D77">
        <w:rPr>
          <w:i/>
          <w:iCs/>
        </w:rPr>
        <w:t>Group II showed lower discharge EF (P-value =0.005) (Figure 3)</w:t>
      </w:r>
      <w:r w:rsidR="00A12D77">
        <w:rPr>
          <w:rFonts w:eastAsiaTheme="minorEastAsia" w:hint="eastAsia"/>
          <w:i/>
          <w:iCs/>
          <w:lang w:eastAsia="zh-CN"/>
        </w:rPr>
        <w:t>.</w:t>
      </w:r>
    </w:p>
    <w:p w:rsidR="00805DBD" w:rsidRPr="00A12D77" w:rsidRDefault="00673D11" w:rsidP="00805DBD">
      <w:pPr>
        <w:snapToGrid w:val="0"/>
        <w:ind w:firstLine="425"/>
        <w:jc w:val="both"/>
        <w:rPr>
          <w:lang w:bidi="ar-EG"/>
        </w:rPr>
      </w:pPr>
      <w:r w:rsidRPr="00A12D77">
        <w:t xml:space="preserve">In group I, mean discharge EDV was </w:t>
      </w:r>
      <w:r w:rsidRPr="00A12D77">
        <w:rPr>
          <w:lang w:bidi="ar-EG"/>
        </w:rPr>
        <w:t xml:space="preserve">91.2 ± 10.4 ml and the mean EDV after 3 months was 90.1 ± 7.7 ml, the mean percentage change was -0.65 ± 6.9 </w:t>
      </w:r>
      <w:r w:rsidR="00805DBD" w:rsidRPr="00A12D77">
        <w:rPr>
          <w:lang w:bidi="ar-EG"/>
        </w:rPr>
        <w:t>%.</w:t>
      </w:r>
    </w:p>
    <w:p w:rsidR="00805DBD" w:rsidRPr="00A12D77" w:rsidRDefault="00805DBD" w:rsidP="00805DBD">
      <w:pPr>
        <w:snapToGrid w:val="0"/>
        <w:jc w:val="center"/>
        <w:rPr>
          <w:rFonts w:eastAsiaTheme="minorEastAsia"/>
          <w:lang w:eastAsia="zh-CN" w:bidi="ar-EG"/>
        </w:rPr>
        <w:sectPr w:rsidR="00805DBD" w:rsidRPr="00A12D77" w:rsidSect="00805DBD">
          <w:type w:val="continuous"/>
          <w:pgSz w:w="12240" w:h="15840"/>
          <w:pgMar w:top="1440" w:right="1440" w:bottom="1440" w:left="1440" w:header="720" w:footer="720" w:gutter="0"/>
          <w:cols w:num="2" w:space="500"/>
          <w:docGrid w:linePitch="360"/>
        </w:sectPr>
      </w:pPr>
    </w:p>
    <w:p w:rsidR="00C97655" w:rsidRPr="00A12D77" w:rsidRDefault="00C97655" w:rsidP="00805DBD">
      <w:pPr>
        <w:snapToGrid w:val="0"/>
        <w:jc w:val="center"/>
        <w:rPr>
          <w:rFonts w:eastAsiaTheme="minorEastAsia"/>
          <w:lang w:eastAsia="zh-CN" w:bidi="ar-EG"/>
        </w:rPr>
      </w:pPr>
    </w:p>
    <w:p w:rsidR="00673D11" w:rsidRPr="00A12D77" w:rsidRDefault="00673D11" w:rsidP="00805DBD">
      <w:pPr>
        <w:pStyle w:val="Caption"/>
        <w:snapToGrid w:val="0"/>
        <w:spacing w:after="0"/>
        <w:rPr>
          <w:sz w:val="20"/>
          <w:szCs w:val="20"/>
        </w:rPr>
      </w:pPr>
      <w:bookmarkStart w:id="5" w:name="_Toc18449405"/>
      <w:r w:rsidRPr="00A12D77">
        <w:rPr>
          <w:bCs/>
          <w:sz w:val="20"/>
          <w:szCs w:val="20"/>
        </w:rPr>
        <w:t>Table</w:t>
      </w:r>
      <w:r w:rsidRPr="00A12D77">
        <w:rPr>
          <w:sz w:val="20"/>
          <w:szCs w:val="20"/>
        </w:rPr>
        <w:t>3: Percentage of change in EDV between discharge and after 3 month</w:t>
      </w:r>
      <w:bookmarkEnd w:id="5"/>
    </w:p>
    <w:tbl>
      <w:tblPr>
        <w:tblStyle w:val="TableGrid"/>
        <w:tblW w:w="5000" w:type="pct"/>
        <w:jc w:val="center"/>
        <w:tblCellMar>
          <w:left w:w="57" w:type="dxa"/>
          <w:right w:w="57" w:type="dxa"/>
        </w:tblCellMar>
        <w:tblLook w:val="04A0"/>
      </w:tblPr>
      <w:tblGrid>
        <w:gridCol w:w="3400"/>
        <w:gridCol w:w="3400"/>
        <w:gridCol w:w="1086"/>
        <w:gridCol w:w="1588"/>
      </w:tblGrid>
      <w:tr w:rsidR="00673D11" w:rsidRPr="00A12D77" w:rsidTr="00C97655">
        <w:trPr>
          <w:jc w:val="center"/>
        </w:trPr>
        <w:tc>
          <w:tcPr>
            <w:tcW w:w="179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Group II (N= 38)</w:t>
            </w:r>
          </w:p>
          <w:p w:rsidR="00673D11" w:rsidRPr="00A12D77" w:rsidRDefault="00673D11" w:rsidP="00805DBD">
            <w:pPr>
              <w:snapToGrid w:val="0"/>
              <w:ind w:firstLine="0"/>
              <w:rPr>
                <w:lang w:bidi="ar-EG"/>
              </w:rPr>
            </w:pPr>
            <w:r w:rsidRPr="00A12D77">
              <w:rPr>
                <w:lang w:bidi="ar-EG"/>
              </w:rPr>
              <w:t>Mean ± SD (range)</w:t>
            </w:r>
          </w:p>
        </w:tc>
        <w:tc>
          <w:tcPr>
            <w:tcW w:w="179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Group I</w:t>
            </w:r>
            <w:r w:rsidR="00C97655" w:rsidRPr="00A12D77">
              <w:rPr>
                <w:lang w:bidi="ar-EG"/>
              </w:rPr>
              <w:t xml:space="preserve"> </w:t>
            </w:r>
            <w:r w:rsidRPr="00A12D77">
              <w:rPr>
                <w:lang w:bidi="ar-EG"/>
              </w:rPr>
              <w:t>(N=22)</w:t>
            </w:r>
          </w:p>
          <w:p w:rsidR="00673D11" w:rsidRPr="00A12D77" w:rsidRDefault="00673D11" w:rsidP="00805DBD">
            <w:pPr>
              <w:snapToGrid w:val="0"/>
              <w:ind w:firstLine="0"/>
              <w:rPr>
                <w:lang w:bidi="ar-EG"/>
              </w:rPr>
            </w:pPr>
            <w:r w:rsidRPr="00A12D77">
              <w:rPr>
                <w:lang w:bidi="ar-EG"/>
              </w:rPr>
              <w:t>Mean ± SD (range)</w:t>
            </w:r>
          </w:p>
        </w:tc>
        <w:tc>
          <w:tcPr>
            <w:tcW w:w="573"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T</w:t>
            </w:r>
          </w:p>
          <w:p w:rsidR="00673D11" w:rsidRPr="00A12D77" w:rsidRDefault="00673D11" w:rsidP="00805DBD">
            <w:pPr>
              <w:snapToGrid w:val="0"/>
              <w:ind w:firstLine="0"/>
            </w:pPr>
            <w:r w:rsidRPr="00A12D77">
              <w:t>-test</w:t>
            </w:r>
          </w:p>
        </w:tc>
        <w:tc>
          <w:tcPr>
            <w:tcW w:w="83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P-Value</w:t>
            </w:r>
          </w:p>
        </w:tc>
      </w:tr>
      <w:tr w:rsidR="00673D11" w:rsidRPr="00A12D77" w:rsidTr="00C97655">
        <w:trPr>
          <w:jc w:val="center"/>
        </w:trPr>
        <w:tc>
          <w:tcPr>
            <w:tcW w:w="179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-0.65 ± 6.9</w:t>
            </w:r>
          </w:p>
          <w:p w:rsidR="00673D11" w:rsidRPr="00A12D77" w:rsidRDefault="00673D11" w:rsidP="00805DBD">
            <w:pPr>
              <w:snapToGrid w:val="0"/>
              <w:ind w:firstLine="0"/>
              <w:rPr>
                <w:lang w:bidi="ar-EG"/>
              </w:rPr>
            </w:pPr>
            <w:r w:rsidRPr="00A12D77">
              <w:rPr>
                <w:lang w:bidi="ar-EG"/>
              </w:rPr>
              <w:t>(-26 - 12)</w:t>
            </w:r>
          </w:p>
        </w:tc>
        <w:tc>
          <w:tcPr>
            <w:tcW w:w="179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26.08 ± 4.27</w:t>
            </w:r>
          </w:p>
          <w:p w:rsidR="00673D11" w:rsidRPr="00A12D77" w:rsidRDefault="00673D11" w:rsidP="00805DBD">
            <w:pPr>
              <w:snapToGrid w:val="0"/>
              <w:ind w:firstLine="0"/>
              <w:rPr>
                <w:lang w:bidi="ar-EG"/>
              </w:rPr>
            </w:pPr>
            <w:r w:rsidRPr="00A12D77">
              <w:rPr>
                <w:lang w:bidi="ar-EG"/>
              </w:rPr>
              <w:t>(20 - 38)</w:t>
            </w:r>
          </w:p>
        </w:tc>
        <w:tc>
          <w:tcPr>
            <w:tcW w:w="573"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-18.5</w:t>
            </w:r>
          </w:p>
        </w:tc>
        <w:tc>
          <w:tcPr>
            <w:tcW w:w="8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3D11" w:rsidRPr="00A12D77" w:rsidRDefault="00673D11" w:rsidP="00805DBD">
            <w:pPr>
              <w:snapToGrid w:val="0"/>
              <w:ind w:firstLine="0"/>
              <w:rPr>
                <w:lang w:bidi="ar-EG"/>
              </w:rPr>
            </w:pPr>
            <w:r w:rsidRPr="00A12D77">
              <w:rPr>
                <w:lang w:bidi="ar-EG"/>
              </w:rPr>
              <w:t>&lt;0.001*</w:t>
            </w:r>
          </w:p>
        </w:tc>
      </w:tr>
    </w:tbl>
    <w:p w:rsidR="00673D11" w:rsidRPr="00A12D77" w:rsidRDefault="00673D11" w:rsidP="00805DBD">
      <w:pPr>
        <w:snapToGrid w:val="0"/>
        <w:jc w:val="both"/>
        <w:rPr>
          <w:b/>
          <w:bCs/>
          <w:u w:val="single"/>
        </w:rPr>
      </w:pPr>
    </w:p>
    <w:p w:rsidR="00805DBD" w:rsidRPr="00A12D77" w:rsidRDefault="00805DBD" w:rsidP="00805DBD">
      <w:pPr>
        <w:snapToGrid w:val="0"/>
        <w:jc w:val="center"/>
        <w:sectPr w:rsidR="00805DBD" w:rsidRPr="00A12D77" w:rsidSect="00805DBD">
          <w:type w:val="continuous"/>
          <w:pgSz w:w="12240" w:h="15840"/>
          <w:pgMar w:top="1440" w:right="1440" w:bottom="1440" w:left="1440" w:header="720" w:footer="720" w:gutter="0"/>
          <w:cols w:space="500"/>
          <w:docGrid w:linePitch="360"/>
        </w:sectPr>
      </w:pPr>
    </w:p>
    <w:p w:rsidR="00673D11" w:rsidRPr="00A12D77" w:rsidRDefault="008F5F1A" w:rsidP="00805DBD">
      <w:pPr>
        <w:snapToGrid w:val="0"/>
        <w:jc w:val="center"/>
      </w:pPr>
      <w:r w:rsidRPr="00A12D77">
        <w:rPr>
          <w:noProof/>
          <w:lang w:val="en-US" w:eastAsia="zh-CN"/>
        </w:rPr>
        <w:lastRenderedPageBreak/>
        <w:drawing>
          <wp:inline distT="0" distB="0" distL="0" distR="0">
            <wp:extent cx="2608028" cy="1515539"/>
            <wp:effectExtent l="19050" t="0" r="182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5926" cy="1520128"/>
                    </a:xfrm>
                    <a:prstGeom prst="rect">
                      <a:avLst/>
                    </a:prstGeom>
                    <a:noFill/>
                  </pic:spPr>
                </pic:pic>
              </a:graphicData>
            </a:graphic>
          </wp:inline>
        </w:drawing>
      </w:r>
    </w:p>
    <w:p w:rsidR="00673D11" w:rsidRDefault="00673D11" w:rsidP="00805DBD">
      <w:pPr>
        <w:pStyle w:val="Caption"/>
        <w:snapToGrid w:val="0"/>
        <w:spacing w:after="0"/>
        <w:jc w:val="both"/>
        <w:rPr>
          <w:rFonts w:eastAsiaTheme="minorEastAsia" w:hint="eastAsia"/>
          <w:sz w:val="20"/>
          <w:szCs w:val="20"/>
          <w:lang w:eastAsia="zh-CN"/>
        </w:rPr>
      </w:pPr>
      <w:bookmarkStart w:id="6" w:name="_Toc18449360"/>
      <w:r w:rsidRPr="00A12D77">
        <w:rPr>
          <w:bCs/>
          <w:sz w:val="20"/>
          <w:szCs w:val="20"/>
        </w:rPr>
        <w:t xml:space="preserve">Figure </w:t>
      </w:r>
      <w:r w:rsidRPr="00A12D77">
        <w:rPr>
          <w:sz w:val="20"/>
          <w:szCs w:val="20"/>
        </w:rPr>
        <w:t>4: Percentage of change in EDV between discharge and after 3 months</w:t>
      </w:r>
      <w:bookmarkEnd w:id="6"/>
    </w:p>
    <w:p w:rsidR="00A12D77" w:rsidRPr="00A12D77" w:rsidRDefault="00A12D77" w:rsidP="00A12D77">
      <w:pPr>
        <w:rPr>
          <w:rFonts w:eastAsiaTheme="minorEastAsia"/>
          <w:lang w:eastAsia="zh-CN"/>
        </w:rPr>
      </w:pPr>
    </w:p>
    <w:p w:rsidR="00805DBD" w:rsidRPr="00A12D77" w:rsidRDefault="00805DBD" w:rsidP="00805DBD">
      <w:pPr>
        <w:rPr>
          <w:rFonts w:eastAsiaTheme="minorEastAsia"/>
          <w:lang w:eastAsia="zh-CN"/>
        </w:rPr>
      </w:pPr>
    </w:p>
    <w:p w:rsidR="00805DBD" w:rsidRPr="00A12D77" w:rsidRDefault="00805DBD" w:rsidP="00805DBD">
      <w:pPr>
        <w:snapToGrid w:val="0"/>
        <w:ind w:firstLine="425"/>
        <w:jc w:val="both"/>
        <w:rPr>
          <w:rFonts w:eastAsiaTheme="minorEastAsia" w:hint="eastAsia"/>
          <w:lang w:eastAsia="zh-CN" w:bidi="ar-EG"/>
        </w:rPr>
      </w:pPr>
      <w:r w:rsidRPr="00A12D77">
        <w:rPr>
          <w:i/>
          <w:iCs/>
          <w:lang w:bidi="ar-EG"/>
        </w:rPr>
        <w:t xml:space="preserve">In group II, </w:t>
      </w:r>
      <w:r w:rsidRPr="00A12D77">
        <w:rPr>
          <w:lang w:bidi="ar-EG"/>
        </w:rPr>
        <w:t xml:space="preserve">the mean discharge EDV was 87.6 ± 9.4 ml and the mean EDV after 3 months was 110.5 ± 13.4%, the mean percentage change was 26.08 ± 4.27 %, and was assigned as a group of </w:t>
      </w:r>
      <w:r w:rsidR="00A12D77" w:rsidRPr="00A12D77">
        <w:rPr>
          <w:lang w:bidi="ar-EG"/>
        </w:rPr>
        <w:t>remodelling</w:t>
      </w:r>
      <w:r w:rsidRPr="00A12D77">
        <w:rPr>
          <w:lang w:bidi="ar-EG"/>
        </w:rPr>
        <w:t>. (Table 3</w:t>
      </w:r>
      <w:r w:rsidR="00A12D77">
        <w:rPr>
          <w:rFonts w:eastAsiaTheme="minorEastAsia" w:hint="eastAsia"/>
          <w:lang w:eastAsia="zh-CN" w:bidi="ar-EG"/>
        </w:rPr>
        <w:t>, F</w:t>
      </w:r>
      <w:r w:rsidRPr="00A12D77">
        <w:rPr>
          <w:lang w:bidi="ar-EG"/>
        </w:rPr>
        <w:t>igure 4)</w:t>
      </w:r>
      <w:r w:rsidR="00A12D77">
        <w:rPr>
          <w:rFonts w:eastAsiaTheme="minorEastAsia" w:hint="eastAsia"/>
          <w:lang w:eastAsia="zh-CN" w:bidi="ar-EG"/>
        </w:rPr>
        <w:t>.</w:t>
      </w:r>
    </w:p>
    <w:p w:rsidR="00C97655" w:rsidRPr="00A12D77" w:rsidRDefault="00673D11" w:rsidP="00805DBD">
      <w:pPr>
        <w:pStyle w:val="Caption"/>
        <w:snapToGrid w:val="0"/>
        <w:spacing w:after="0"/>
        <w:ind w:firstLine="425"/>
        <w:jc w:val="both"/>
        <w:rPr>
          <w:rFonts w:eastAsiaTheme="minorEastAsia"/>
          <w:sz w:val="20"/>
          <w:szCs w:val="20"/>
          <w:lang w:val="en-US" w:eastAsia="zh-CN"/>
        </w:rPr>
      </w:pPr>
      <w:r w:rsidRPr="00A12D77">
        <w:rPr>
          <w:b w:val="0"/>
          <w:sz w:val="20"/>
          <w:szCs w:val="20"/>
        </w:rPr>
        <w:t>Percentage change in EF after 3 months</w:t>
      </w:r>
      <w:r w:rsidRPr="00A12D77">
        <w:rPr>
          <w:b w:val="0"/>
          <w:sz w:val="20"/>
          <w:szCs w:val="20"/>
          <w:lang w:val="en-US"/>
        </w:rPr>
        <w:t xml:space="preserve">is shown in </w:t>
      </w:r>
      <w:r w:rsidR="00A12D77">
        <w:rPr>
          <w:rFonts w:eastAsiaTheme="minorEastAsia" w:hint="eastAsia"/>
          <w:b w:val="0"/>
          <w:sz w:val="20"/>
          <w:szCs w:val="20"/>
          <w:lang w:val="en-US" w:eastAsia="zh-CN"/>
        </w:rPr>
        <w:t>T</w:t>
      </w:r>
      <w:r w:rsidRPr="00A12D77">
        <w:rPr>
          <w:b w:val="0"/>
          <w:sz w:val="20"/>
          <w:szCs w:val="20"/>
          <w:lang w:val="en-US"/>
        </w:rPr>
        <w:t>able 4</w:t>
      </w:r>
      <w:r w:rsidR="00A12D77">
        <w:rPr>
          <w:rFonts w:eastAsiaTheme="minorEastAsia" w:hint="eastAsia"/>
          <w:b w:val="0"/>
          <w:sz w:val="20"/>
          <w:szCs w:val="20"/>
          <w:lang w:val="en-US" w:eastAsia="zh-CN"/>
        </w:rPr>
        <w:t>.</w:t>
      </w:r>
      <w:r w:rsidRPr="00A12D77">
        <w:rPr>
          <w:b w:val="0"/>
          <w:sz w:val="20"/>
          <w:szCs w:val="20"/>
          <w:lang w:val="en-US"/>
        </w:rPr>
        <w:t xml:space="preserve"> </w:t>
      </w:r>
    </w:p>
    <w:p w:rsidR="00805DBD" w:rsidRPr="00A12D77" w:rsidRDefault="00805DBD" w:rsidP="00805DBD">
      <w:pPr>
        <w:snapToGrid w:val="0"/>
        <w:ind w:firstLine="425"/>
        <w:jc w:val="both"/>
        <w:rPr>
          <w:lang w:val="en-US" w:bidi="ar-EG"/>
        </w:rPr>
        <w:sectPr w:rsidR="00805DBD" w:rsidRPr="00A12D77" w:rsidSect="00805DBD">
          <w:type w:val="continuous"/>
          <w:pgSz w:w="12240" w:h="15840"/>
          <w:pgMar w:top="1440" w:right="1440" w:bottom="1440" w:left="1440" w:header="720" w:footer="720" w:gutter="0"/>
          <w:cols w:num="2" w:space="500"/>
          <w:docGrid w:linePitch="360"/>
        </w:sectPr>
      </w:pPr>
    </w:p>
    <w:p w:rsidR="00805DBD" w:rsidRPr="00A12D77" w:rsidRDefault="00FF6CBD" w:rsidP="00805DBD">
      <w:pPr>
        <w:snapToGrid w:val="0"/>
        <w:jc w:val="center"/>
        <w:rPr>
          <w:rFonts w:eastAsiaTheme="minorEastAsia"/>
          <w:lang w:val="en-US" w:eastAsia="zh-CN" w:bidi="ar-EG"/>
        </w:rPr>
      </w:pPr>
      <w:r w:rsidRPr="00A12D77">
        <w:rPr>
          <w:rFonts w:eastAsiaTheme="minorEastAsia" w:hint="eastAsia"/>
          <w:lang w:val="en-US" w:eastAsia="zh-CN" w:bidi="ar-EG"/>
        </w:rPr>
        <w:lastRenderedPageBreak/>
        <w:t xml:space="preserve"> </w:t>
      </w:r>
    </w:p>
    <w:p w:rsidR="00673D11" w:rsidRPr="00A12D77" w:rsidRDefault="00C97655" w:rsidP="00805DBD">
      <w:pPr>
        <w:snapToGrid w:val="0"/>
        <w:jc w:val="center"/>
        <w:rPr>
          <w:lang w:val="en-US" w:bidi="ar-EG"/>
        </w:rPr>
      </w:pPr>
      <w:r w:rsidRPr="00A12D77">
        <w:rPr>
          <w:lang w:val="en-US" w:bidi="ar-EG"/>
        </w:rPr>
        <w:lastRenderedPageBreak/>
        <w:t>T</w:t>
      </w:r>
      <w:r w:rsidR="00673D11" w:rsidRPr="00A12D77">
        <w:rPr>
          <w:lang w:val="en-US" w:bidi="ar-EG"/>
        </w:rPr>
        <w:t>able 4</w:t>
      </w:r>
      <w:r w:rsidRPr="00A12D77">
        <w:rPr>
          <w:lang w:val="en-US" w:bidi="ar-EG"/>
        </w:rPr>
        <w:t>:</w:t>
      </w:r>
    </w:p>
    <w:tbl>
      <w:tblPr>
        <w:tblStyle w:val="TableGrid"/>
        <w:tblW w:w="5000" w:type="pct"/>
        <w:jc w:val="center"/>
        <w:tblCellMar>
          <w:left w:w="57" w:type="dxa"/>
          <w:right w:w="57" w:type="dxa"/>
        </w:tblCellMar>
        <w:tblLook w:val="04A0"/>
      </w:tblPr>
      <w:tblGrid>
        <w:gridCol w:w="3450"/>
        <w:gridCol w:w="3450"/>
        <w:gridCol w:w="963"/>
        <w:gridCol w:w="1611"/>
      </w:tblGrid>
      <w:tr w:rsidR="00673D11" w:rsidRPr="00A12D77" w:rsidTr="00C97655">
        <w:trPr>
          <w:jc w:val="center"/>
        </w:trPr>
        <w:tc>
          <w:tcPr>
            <w:tcW w:w="1821"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Group I</w:t>
            </w:r>
            <w:r w:rsidR="00C97655" w:rsidRPr="00A12D77">
              <w:rPr>
                <w:lang w:bidi="ar-EG"/>
              </w:rPr>
              <w:t xml:space="preserve"> </w:t>
            </w:r>
            <w:r w:rsidRPr="00A12D77">
              <w:rPr>
                <w:lang w:bidi="ar-EG"/>
              </w:rPr>
              <w:t>(N=22)</w:t>
            </w:r>
          </w:p>
          <w:p w:rsidR="00673D11" w:rsidRPr="00A12D77" w:rsidRDefault="00673D11" w:rsidP="00805DBD">
            <w:pPr>
              <w:snapToGrid w:val="0"/>
              <w:ind w:firstLine="0"/>
              <w:rPr>
                <w:lang w:bidi="ar-EG"/>
              </w:rPr>
            </w:pPr>
            <w:r w:rsidRPr="00A12D77">
              <w:rPr>
                <w:lang w:bidi="ar-EG"/>
              </w:rPr>
              <w:t>Mean ± SD (range)</w:t>
            </w:r>
          </w:p>
        </w:tc>
        <w:tc>
          <w:tcPr>
            <w:tcW w:w="1821"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Group II (N= 38)</w:t>
            </w:r>
          </w:p>
          <w:p w:rsidR="00673D11" w:rsidRPr="00A12D77" w:rsidRDefault="00673D11" w:rsidP="00805DBD">
            <w:pPr>
              <w:snapToGrid w:val="0"/>
              <w:ind w:firstLine="0"/>
              <w:rPr>
                <w:lang w:bidi="ar-EG"/>
              </w:rPr>
            </w:pPr>
            <w:r w:rsidRPr="00A12D77">
              <w:rPr>
                <w:lang w:bidi="ar-EG"/>
              </w:rPr>
              <w:t>Mean ± SD (range)</w:t>
            </w:r>
          </w:p>
        </w:tc>
        <w:tc>
          <w:tcPr>
            <w:tcW w:w="50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T</w:t>
            </w:r>
          </w:p>
          <w:p w:rsidR="00673D11" w:rsidRPr="00A12D77" w:rsidRDefault="00673D11" w:rsidP="00805DBD">
            <w:pPr>
              <w:snapToGrid w:val="0"/>
              <w:ind w:firstLine="0"/>
            </w:pPr>
            <w:r w:rsidRPr="00A12D77">
              <w:t>-test</w:t>
            </w:r>
          </w:p>
        </w:tc>
        <w:tc>
          <w:tcPr>
            <w:tcW w:w="851"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P-Value</w:t>
            </w:r>
          </w:p>
        </w:tc>
      </w:tr>
      <w:tr w:rsidR="00673D11" w:rsidRPr="00A12D77" w:rsidTr="00C97655">
        <w:trPr>
          <w:jc w:val="center"/>
        </w:trPr>
        <w:tc>
          <w:tcPr>
            <w:tcW w:w="1821"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-11.4 ± 7.01</w:t>
            </w:r>
          </w:p>
          <w:p w:rsidR="00673D11" w:rsidRPr="00A12D77" w:rsidRDefault="00673D11" w:rsidP="00805DBD">
            <w:pPr>
              <w:snapToGrid w:val="0"/>
              <w:ind w:firstLine="0"/>
              <w:rPr>
                <w:lang w:bidi="ar-EG"/>
              </w:rPr>
            </w:pPr>
            <w:r w:rsidRPr="00A12D77">
              <w:rPr>
                <w:lang w:bidi="ar-EG"/>
              </w:rPr>
              <w:t>(-24 - 3)</w:t>
            </w:r>
          </w:p>
        </w:tc>
        <w:tc>
          <w:tcPr>
            <w:tcW w:w="1821"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5.7 ± 6.9</w:t>
            </w:r>
          </w:p>
          <w:p w:rsidR="00673D11" w:rsidRPr="00A12D77" w:rsidRDefault="00673D11" w:rsidP="00805DBD">
            <w:pPr>
              <w:snapToGrid w:val="0"/>
              <w:ind w:firstLine="0"/>
              <w:rPr>
                <w:lang w:bidi="ar-EG"/>
              </w:rPr>
            </w:pPr>
            <w:r w:rsidRPr="00A12D77">
              <w:rPr>
                <w:lang w:bidi="ar-EG"/>
              </w:rPr>
              <w:t>(-7 - 22)</w:t>
            </w:r>
          </w:p>
        </w:tc>
        <w:tc>
          <w:tcPr>
            <w:tcW w:w="508"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ind w:firstLine="0"/>
              <w:rPr>
                <w:lang w:bidi="ar-EG"/>
              </w:rPr>
            </w:pPr>
            <w:r w:rsidRPr="00A12D77">
              <w:rPr>
                <w:lang w:bidi="ar-EG"/>
              </w:rPr>
              <w:t>9.13</w:t>
            </w:r>
          </w:p>
        </w:tc>
        <w:tc>
          <w:tcPr>
            <w:tcW w:w="8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3D11" w:rsidRPr="00A12D77" w:rsidRDefault="00673D11" w:rsidP="00805DBD">
            <w:pPr>
              <w:snapToGrid w:val="0"/>
              <w:ind w:firstLine="0"/>
              <w:rPr>
                <w:lang w:bidi="ar-EG"/>
              </w:rPr>
            </w:pPr>
            <w:r w:rsidRPr="00A12D77">
              <w:rPr>
                <w:lang w:bidi="ar-EG"/>
              </w:rPr>
              <w:t>&lt;0.001*</w:t>
            </w:r>
          </w:p>
        </w:tc>
      </w:tr>
    </w:tbl>
    <w:p w:rsidR="00805DBD" w:rsidRPr="00A12D77" w:rsidRDefault="00805DBD" w:rsidP="00805DBD">
      <w:pPr>
        <w:snapToGrid w:val="0"/>
        <w:jc w:val="both"/>
        <w:rPr>
          <w:b/>
          <w:bCs/>
          <w:lang w:bidi="ar-EG"/>
        </w:rPr>
        <w:sectPr w:rsidR="00805DBD" w:rsidRPr="00A12D77" w:rsidSect="00805DBD">
          <w:type w:val="continuous"/>
          <w:pgSz w:w="12240" w:h="15840"/>
          <w:pgMar w:top="1440" w:right="1440" w:bottom="1440" w:left="1440" w:header="720" w:footer="720" w:gutter="0"/>
          <w:cols w:space="500"/>
          <w:docGrid w:linePitch="360"/>
        </w:sectPr>
      </w:pPr>
    </w:p>
    <w:p w:rsidR="00673D11" w:rsidRPr="00A12D77" w:rsidRDefault="00673D11" w:rsidP="00805DBD">
      <w:pPr>
        <w:snapToGrid w:val="0"/>
        <w:jc w:val="both"/>
        <w:rPr>
          <w:b/>
          <w:bCs/>
          <w:lang w:bidi="ar-EG"/>
        </w:rPr>
      </w:pPr>
    </w:p>
    <w:p w:rsidR="00805DBD" w:rsidRPr="00A12D77" w:rsidRDefault="00805DBD" w:rsidP="00805DBD">
      <w:pPr>
        <w:snapToGrid w:val="0"/>
        <w:jc w:val="both"/>
        <w:rPr>
          <w:rFonts w:eastAsiaTheme="minorEastAsia"/>
          <w:b/>
          <w:bCs/>
          <w:lang w:eastAsia="zh-CN" w:bidi="ar-EG"/>
        </w:rPr>
      </w:pPr>
    </w:p>
    <w:p w:rsidR="008F5F1A" w:rsidRPr="00A12D77" w:rsidRDefault="00673D11" w:rsidP="00805DBD">
      <w:pPr>
        <w:snapToGrid w:val="0"/>
        <w:jc w:val="both"/>
        <w:rPr>
          <w:b/>
          <w:bCs/>
          <w:lang w:bidi="ar-EG"/>
        </w:rPr>
      </w:pPr>
      <w:r w:rsidRPr="00A12D77">
        <w:rPr>
          <w:b/>
          <w:bCs/>
          <w:lang w:bidi="ar-EG"/>
        </w:rPr>
        <w:t xml:space="preserve">Discharge heart rate: </w:t>
      </w:r>
    </w:p>
    <w:p w:rsidR="00673D11" w:rsidRPr="00A12D77" w:rsidRDefault="00673D11" w:rsidP="00805DBD">
      <w:pPr>
        <w:snapToGrid w:val="0"/>
        <w:ind w:firstLine="425"/>
        <w:jc w:val="both"/>
        <w:rPr>
          <w:rFonts w:eastAsiaTheme="minorEastAsia"/>
          <w:lang w:eastAsia="zh-CN"/>
        </w:rPr>
      </w:pPr>
      <w:r w:rsidRPr="00A12D77">
        <w:t xml:space="preserve">The discharge heart rate of the study population ranged from 55-88 beats per minute (bpm). </w:t>
      </w:r>
      <w:r w:rsidRPr="00A12D77">
        <w:rPr>
          <w:i/>
          <w:iCs/>
        </w:rPr>
        <w:t>In group I</w:t>
      </w:r>
      <w:r w:rsidRPr="00A12D77">
        <w:t xml:space="preserve">, it ranged from 55.0 – 82.0 bpm with a mean of 70.1 ± 7.8. </w:t>
      </w:r>
      <w:r w:rsidRPr="00A12D77">
        <w:rPr>
          <w:i/>
          <w:iCs/>
        </w:rPr>
        <w:t>In group II</w:t>
      </w:r>
      <w:r w:rsidRPr="00A12D77">
        <w:t xml:space="preserve">, it ranged from 65.0 – 88.0 bpm with a mean of 76.0 ± 6.1. </w:t>
      </w:r>
      <w:r w:rsidRPr="00A12D77">
        <w:rPr>
          <w:i/>
          <w:iCs/>
        </w:rPr>
        <w:t xml:space="preserve">Discharge heart rate was statistically significant, it was higher in group II (P-value =0.002) </w:t>
      </w:r>
      <w:r w:rsidR="00A12D77" w:rsidRPr="00A12D77">
        <w:t>and by</w:t>
      </w:r>
      <w:r w:rsidRPr="00A12D77">
        <w:t xml:space="preserve"> </w:t>
      </w:r>
      <w:r w:rsidRPr="00A12D77">
        <w:rPr>
          <w:i/>
          <w:iCs/>
        </w:rPr>
        <w:t>ROC</w:t>
      </w:r>
      <w:r w:rsidRPr="00A12D77">
        <w:t xml:space="preserve"> analysis, a cut-off value of 72 bpm showed 77.2% sensitivity and 60.3% specificity</w:t>
      </w:r>
      <w:r w:rsidR="00A12D77">
        <w:rPr>
          <w:rFonts w:eastAsiaTheme="minorEastAsia" w:hint="eastAsia"/>
          <w:lang w:eastAsia="zh-CN"/>
        </w:rPr>
        <w:t xml:space="preserve"> (</w:t>
      </w:r>
      <w:r w:rsidRPr="00A12D77">
        <w:t>Figur</w:t>
      </w:r>
      <w:r w:rsidR="00C97655" w:rsidRPr="00A12D77">
        <w:t>e</w:t>
      </w:r>
      <w:r w:rsidR="00A12D77">
        <w:rPr>
          <w:rFonts w:eastAsiaTheme="minorEastAsia" w:hint="eastAsia"/>
          <w:lang w:eastAsia="zh-CN"/>
        </w:rPr>
        <w:t>s</w:t>
      </w:r>
      <w:r w:rsidR="00C97655" w:rsidRPr="00A12D77">
        <w:t xml:space="preserve"> </w:t>
      </w:r>
      <w:r w:rsidRPr="00A12D77">
        <w:t>5,</w:t>
      </w:r>
      <w:r w:rsidR="00A12D77">
        <w:rPr>
          <w:rFonts w:eastAsiaTheme="minorEastAsia" w:hint="eastAsia"/>
          <w:lang w:eastAsia="zh-CN"/>
        </w:rPr>
        <w:t xml:space="preserve"> </w:t>
      </w:r>
      <w:r w:rsidRPr="00A12D77">
        <w:t>6)</w:t>
      </w:r>
      <w:r w:rsidR="00A12D77">
        <w:rPr>
          <w:rFonts w:eastAsiaTheme="minorEastAsia" w:hint="eastAsia"/>
          <w:lang w:eastAsia="zh-CN"/>
        </w:rPr>
        <w:t>.</w:t>
      </w:r>
      <w:r w:rsidR="00FF6CBD" w:rsidRPr="00A12D77">
        <w:rPr>
          <w:rFonts w:eastAsiaTheme="minorEastAsia" w:hint="eastAsia"/>
          <w:lang w:eastAsia="zh-CN"/>
        </w:rPr>
        <w:t xml:space="preserve"> </w:t>
      </w:r>
    </w:p>
    <w:p w:rsidR="00673D11" w:rsidRPr="00A12D77" w:rsidRDefault="00673D11" w:rsidP="00805DBD">
      <w:pPr>
        <w:snapToGrid w:val="0"/>
        <w:ind w:firstLine="425"/>
        <w:jc w:val="both"/>
        <w:rPr>
          <w:rStyle w:val="Heading1Char"/>
          <w:rFonts w:ascii="Times New Roman" w:eastAsia="Times New Roman" w:hAnsi="Times New Roman" w:cs="Times New Roman"/>
          <w:b w:val="0"/>
          <w:caps w:val="0"/>
          <w:sz w:val="20"/>
          <w:szCs w:val="20"/>
          <w:lang w:bidi="ar-EG"/>
        </w:rPr>
      </w:pPr>
    </w:p>
    <w:p w:rsidR="00805DBD" w:rsidRPr="00A12D77" w:rsidRDefault="008F5F1A" w:rsidP="00805DBD">
      <w:pPr>
        <w:pStyle w:val="Caption"/>
        <w:snapToGrid w:val="0"/>
        <w:spacing w:after="0"/>
        <w:rPr>
          <w:rFonts w:eastAsiaTheme="minorEastAsia"/>
          <w:bCs/>
          <w:sz w:val="20"/>
          <w:szCs w:val="20"/>
          <w:lang w:eastAsia="zh-CN"/>
        </w:rPr>
      </w:pPr>
      <w:r w:rsidRPr="00A12D77">
        <w:rPr>
          <w:bCs/>
          <w:noProof/>
          <w:sz w:val="20"/>
          <w:szCs w:val="20"/>
          <w:lang w:val="en-US" w:eastAsia="zh-CN"/>
        </w:rPr>
        <w:drawing>
          <wp:inline distT="0" distB="0" distL="0" distR="0">
            <wp:extent cx="2546350" cy="1183829"/>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0360" cy="1185693"/>
                    </a:xfrm>
                    <a:prstGeom prst="rect">
                      <a:avLst/>
                    </a:prstGeom>
                    <a:noFill/>
                  </pic:spPr>
                </pic:pic>
              </a:graphicData>
            </a:graphic>
          </wp:inline>
        </w:drawing>
      </w:r>
    </w:p>
    <w:p w:rsidR="00673D11" w:rsidRPr="00A12D77" w:rsidRDefault="00673D11" w:rsidP="00805DBD">
      <w:pPr>
        <w:pStyle w:val="Caption"/>
        <w:snapToGrid w:val="0"/>
        <w:spacing w:after="0"/>
        <w:jc w:val="both"/>
        <w:rPr>
          <w:bCs/>
          <w:sz w:val="20"/>
          <w:szCs w:val="20"/>
        </w:rPr>
      </w:pPr>
      <w:r w:rsidRPr="00A12D77">
        <w:rPr>
          <w:bCs/>
          <w:sz w:val="20"/>
          <w:szCs w:val="20"/>
        </w:rPr>
        <w:t>Figure 5</w:t>
      </w:r>
      <w:r w:rsidR="00805DBD" w:rsidRPr="00A12D77">
        <w:rPr>
          <w:bCs/>
          <w:sz w:val="20"/>
          <w:szCs w:val="20"/>
        </w:rPr>
        <w:t>: C</w:t>
      </w:r>
      <w:r w:rsidRPr="00A12D77">
        <w:rPr>
          <w:bCs/>
          <w:sz w:val="20"/>
          <w:szCs w:val="20"/>
        </w:rPr>
        <w:t>omparison between both groups as regard discharge heart rate.</w:t>
      </w:r>
    </w:p>
    <w:p w:rsidR="00673D11" w:rsidRPr="00A12D77" w:rsidRDefault="00673D11" w:rsidP="00805DBD">
      <w:pPr>
        <w:snapToGrid w:val="0"/>
        <w:jc w:val="both"/>
        <w:rPr>
          <w:rStyle w:val="Heading1Char"/>
          <w:rFonts w:ascii="Times New Roman" w:hAnsi="Times New Roman" w:cs="Times New Roman"/>
          <w:sz w:val="20"/>
          <w:szCs w:val="20"/>
          <w:lang w:eastAsia="zh-CN"/>
        </w:rPr>
      </w:pPr>
    </w:p>
    <w:p w:rsidR="008F5F1A" w:rsidRPr="00A12D77" w:rsidRDefault="008F5F1A" w:rsidP="00805DBD">
      <w:pPr>
        <w:pStyle w:val="Caption"/>
        <w:snapToGrid w:val="0"/>
        <w:spacing w:after="0"/>
        <w:rPr>
          <w:noProof/>
          <w:sz w:val="20"/>
          <w:szCs w:val="20"/>
        </w:rPr>
      </w:pPr>
      <w:r w:rsidRPr="00A12D77">
        <w:rPr>
          <w:noProof/>
          <w:sz w:val="20"/>
          <w:szCs w:val="20"/>
          <w:lang w:val="en-US" w:eastAsia="zh-CN"/>
        </w:rPr>
        <w:drawing>
          <wp:inline distT="0" distB="0" distL="0" distR="0">
            <wp:extent cx="2429952" cy="1806513"/>
            <wp:effectExtent l="19050" t="0" r="8448"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5880" cy="1810920"/>
                    </a:xfrm>
                    <a:prstGeom prst="rect">
                      <a:avLst/>
                    </a:prstGeom>
                    <a:noFill/>
                  </pic:spPr>
                </pic:pic>
              </a:graphicData>
            </a:graphic>
          </wp:inline>
        </w:drawing>
      </w:r>
    </w:p>
    <w:p w:rsidR="00673D11" w:rsidRPr="00A12D77" w:rsidRDefault="00673D11" w:rsidP="00805DBD">
      <w:pPr>
        <w:pStyle w:val="Caption"/>
        <w:snapToGrid w:val="0"/>
        <w:spacing w:after="0"/>
        <w:jc w:val="both"/>
        <w:rPr>
          <w:noProof/>
          <w:sz w:val="20"/>
          <w:szCs w:val="20"/>
        </w:rPr>
      </w:pPr>
      <w:r w:rsidRPr="00A12D77">
        <w:rPr>
          <w:noProof/>
          <w:sz w:val="20"/>
          <w:szCs w:val="20"/>
        </w:rPr>
        <w:t>Figure 6</w:t>
      </w:r>
      <w:r w:rsidR="00805DBD" w:rsidRPr="00A12D77">
        <w:rPr>
          <w:noProof/>
          <w:sz w:val="20"/>
          <w:szCs w:val="20"/>
        </w:rPr>
        <w:t>: R</w:t>
      </w:r>
      <w:r w:rsidRPr="00A12D77">
        <w:rPr>
          <w:noProof/>
          <w:sz w:val="20"/>
          <w:szCs w:val="20"/>
        </w:rPr>
        <w:t>OC curve for discharge heart rate to predict left ventricular remodeling</w:t>
      </w:r>
    </w:p>
    <w:p w:rsidR="00673D11" w:rsidRPr="00A12D77" w:rsidRDefault="00673D11" w:rsidP="00805DBD">
      <w:pPr>
        <w:snapToGrid w:val="0"/>
        <w:jc w:val="both"/>
        <w:rPr>
          <w:rStyle w:val="Heading1Char"/>
          <w:rFonts w:ascii="Times New Roman" w:hAnsi="Times New Roman" w:cs="Times New Roman"/>
          <w:sz w:val="20"/>
          <w:szCs w:val="20"/>
        </w:rPr>
      </w:pPr>
    </w:p>
    <w:p w:rsidR="00805DBD" w:rsidRPr="00A12D77" w:rsidRDefault="00673D11" w:rsidP="00805DBD">
      <w:pPr>
        <w:snapToGrid w:val="0"/>
        <w:ind w:firstLine="425"/>
        <w:jc w:val="both"/>
        <w:rPr>
          <w:rFonts w:eastAsiaTheme="minorEastAsia"/>
          <w:lang w:eastAsia="zh-CN" w:bidi="ar-EG"/>
        </w:rPr>
      </w:pPr>
      <w:r w:rsidRPr="00A12D77">
        <w:t>By multivariate analysis, higher discharge heart rate, HTN, higher discharge E</w:t>
      </w:r>
      <w:r w:rsidRPr="00A12D77">
        <w:rPr>
          <w:lang w:bidi="ar-EG"/>
        </w:rPr>
        <w:t>/e’ and LAD as culprit vessel</w:t>
      </w:r>
      <w:r w:rsidRPr="00A12D77">
        <w:t xml:space="preserve"> independently predicted the development of LV </w:t>
      </w:r>
      <w:r w:rsidR="00A12D77" w:rsidRPr="00A12D77">
        <w:t>remodelling</w:t>
      </w:r>
      <w:r w:rsidRPr="00A12D77">
        <w:rPr>
          <w:lang w:bidi="ar-EG"/>
        </w:rPr>
        <w:t>.</w:t>
      </w:r>
    </w:p>
    <w:p w:rsidR="00805DBD" w:rsidRPr="00A12D77" w:rsidRDefault="00805DBD" w:rsidP="00805DBD">
      <w:pPr>
        <w:snapToGrid w:val="0"/>
        <w:jc w:val="both"/>
        <w:rPr>
          <w:rFonts w:eastAsiaTheme="minorEastAsia"/>
          <w:lang w:eastAsia="zh-CN" w:bidi="ar-EG"/>
        </w:rPr>
        <w:sectPr w:rsidR="00805DBD" w:rsidRPr="00A12D77" w:rsidSect="00805DBD">
          <w:type w:val="continuous"/>
          <w:pgSz w:w="12240" w:h="15840"/>
          <w:pgMar w:top="1440" w:right="1440" w:bottom="1440" w:left="1440" w:header="720" w:footer="720" w:gutter="0"/>
          <w:cols w:num="2" w:space="500"/>
          <w:docGrid w:linePitch="360"/>
        </w:sectPr>
      </w:pPr>
    </w:p>
    <w:tbl>
      <w:tblPr>
        <w:tblStyle w:val="TableGrid4"/>
        <w:tblW w:w="5000" w:type="pct"/>
        <w:jc w:val="center"/>
        <w:tblCellMar>
          <w:left w:w="57" w:type="dxa"/>
          <w:right w:w="57" w:type="dxa"/>
        </w:tblCellMar>
        <w:tblLook w:val="04A0"/>
      </w:tblPr>
      <w:tblGrid>
        <w:gridCol w:w="3948"/>
        <w:gridCol w:w="927"/>
        <w:gridCol w:w="828"/>
        <w:gridCol w:w="828"/>
        <w:gridCol w:w="828"/>
        <w:gridCol w:w="972"/>
        <w:gridCol w:w="1143"/>
      </w:tblGrid>
      <w:tr w:rsidR="00673D11" w:rsidRPr="00A12D77" w:rsidTr="00C97655">
        <w:trPr>
          <w:jc w:val="center"/>
        </w:trPr>
        <w:tc>
          <w:tcPr>
            <w:tcW w:w="2084" w:type="pct"/>
            <w:vMerge w:val="restart"/>
            <w:tcBorders>
              <w:top w:val="single" w:sz="4" w:space="0" w:color="auto"/>
              <w:left w:val="single" w:sz="4" w:space="0" w:color="auto"/>
              <w:bottom w:val="single" w:sz="4" w:space="0" w:color="auto"/>
              <w:right w:val="single" w:sz="4" w:space="0" w:color="auto"/>
            </w:tcBorders>
            <w:vAlign w:val="center"/>
          </w:tcPr>
          <w:p w:rsidR="00673D11" w:rsidRPr="00A12D77" w:rsidRDefault="00673D11" w:rsidP="00805DBD">
            <w:pPr>
              <w:snapToGrid w:val="0"/>
              <w:jc w:val="both"/>
              <w:rPr>
                <w:rFonts w:eastAsia="Calibri"/>
                <w:lang w:bidi="ar-EG"/>
              </w:rPr>
            </w:pP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jc w:val="both"/>
              <w:rPr>
                <w:rFonts w:eastAsia="Calibri"/>
                <w:b/>
                <w:bCs/>
                <w:lang w:bidi="ar-EG"/>
              </w:rPr>
            </w:pPr>
            <w:r w:rsidRPr="00A12D77">
              <w:rPr>
                <w:rFonts w:eastAsia="Calibri"/>
                <w:b/>
                <w:bCs/>
                <w:lang w:bidi="ar-EG"/>
              </w:rPr>
              <w:t>B</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jc w:val="both"/>
              <w:rPr>
                <w:rFonts w:eastAsia="Calibri"/>
                <w:b/>
                <w:bCs/>
                <w:lang w:bidi="ar-EG"/>
              </w:rPr>
            </w:pPr>
            <w:r w:rsidRPr="00A12D77">
              <w:rPr>
                <w:rFonts w:eastAsia="Calibri"/>
                <w:b/>
                <w:bCs/>
                <w:lang w:bidi="ar-EG"/>
              </w:rPr>
              <w:t>SE</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jc w:val="both"/>
              <w:rPr>
                <w:rFonts w:eastAsia="Calibri"/>
                <w:b/>
                <w:bCs/>
                <w:lang w:bidi="ar-EG"/>
              </w:rPr>
            </w:pPr>
            <w:r w:rsidRPr="00A12D77">
              <w:rPr>
                <w:rFonts w:eastAsia="Calibri"/>
                <w:b/>
                <w:bCs/>
                <w:lang w:bidi="ar-EG"/>
              </w:rPr>
              <w:t>Sig.</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jc w:val="both"/>
              <w:rPr>
                <w:rFonts w:eastAsia="Calibri"/>
                <w:b/>
                <w:bCs/>
                <w:lang w:bidi="ar-EG"/>
              </w:rPr>
            </w:pPr>
            <w:r w:rsidRPr="00A12D77">
              <w:rPr>
                <w:rFonts w:eastAsia="Calibri"/>
                <w:b/>
                <w:bCs/>
                <w:lang w:bidi="ar-EG"/>
              </w:rPr>
              <w:t>OR</w:t>
            </w:r>
          </w:p>
        </w:tc>
        <w:tc>
          <w:tcPr>
            <w:tcW w:w="1117" w:type="pct"/>
            <w:gridSpan w:val="2"/>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jc w:val="both"/>
              <w:rPr>
                <w:rFonts w:eastAsia="Calibri"/>
                <w:b/>
                <w:bCs/>
                <w:lang w:bidi="ar-EG"/>
              </w:rPr>
            </w:pPr>
            <w:r w:rsidRPr="00A12D77">
              <w:rPr>
                <w:rFonts w:eastAsia="Calibri"/>
                <w:b/>
                <w:bCs/>
                <w:lang w:bidi="ar-EG"/>
              </w:rPr>
              <w:t>95% CI for OR</w:t>
            </w:r>
          </w:p>
        </w:tc>
      </w:tr>
      <w:tr w:rsidR="00673D11" w:rsidRPr="00A12D77" w:rsidTr="00C97655">
        <w:trPr>
          <w:jc w:val="center"/>
        </w:trPr>
        <w:tc>
          <w:tcPr>
            <w:tcW w:w="2084"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jc w:val="both"/>
              <w:rPr>
                <w:rFonts w:eastAsia="Calibri"/>
                <w:lang w:bidi="ar-EG"/>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jc w:val="both"/>
              <w:rPr>
                <w:rFonts w:eastAsia="Calibri"/>
                <w:b/>
                <w:bCs/>
                <w:lang w:bidi="ar-EG"/>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jc w:val="both"/>
              <w:rPr>
                <w:rFonts w:eastAsia="Calibri"/>
                <w:b/>
                <w:bCs/>
                <w:lang w:bidi="ar-EG"/>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jc w:val="both"/>
              <w:rPr>
                <w:rFonts w:eastAsia="Calibri"/>
                <w:b/>
                <w:bCs/>
                <w:lang w:bidi="ar-EG"/>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jc w:val="both"/>
              <w:rPr>
                <w:rFonts w:eastAsia="Calibri"/>
                <w:b/>
                <w:bCs/>
                <w:lang w:bidi="ar-EG"/>
              </w:rPr>
            </w:pPr>
          </w:p>
        </w:tc>
        <w:tc>
          <w:tcPr>
            <w:tcW w:w="513"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jc w:val="both"/>
              <w:rPr>
                <w:rFonts w:eastAsia="Calibri"/>
                <w:b/>
                <w:bCs/>
                <w:lang w:bidi="ar-EG"/>
              </w:rPr>
            </w:pPr>
            <w:r w:rsidRPr="00A12D77">
              <w:rPr>
                <w:rFonts w:eastAsia="Calibri"/>
                <w:b/>
                <w:bCs/>
                <w:lang w:bidi="ar-EG"/>
              </w:rPr>
              <w:t>LL</w:t>
            </w:r>
          </w:p>
        </w:tc>
        <w:tc>
          <w:tcPr>
            <w:tcW w:w="60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snapToGrid w:val="0"/>
              <w:jc w:val="both"/>
              <w:rPr>
                <w:rFonts w:eastAsia="Calibri"/>
                <w:b/>
                <w:bCs/>
                <w:lang w:bidi="ar-EG"/>
              </w:rPr>
            </w:pPr>
            <w:r w:rsidRPr="00A12D77">
              <w:rPr>
                <w:rFonts w:eastAsia="Calibri"/>
                <w:b/>
                <w:bCs/>
                <w:lang w:bidi="ar-EG"/>
              </w:rPr>
              <w:t>UL</w:t>
            </w:r>
          </w:p>
        </w:tc>
      </w:tr>
      <w:tr w:rsidR="00673D11" w:rsidRPr="00A12D77" w:rsidTr="00C97655">
        <w:trPr>
          <w:jc w:val="center"/>
        </w:trPr>
        <w:tc>
          <w:tcPr>
            <w:tcW w:w="208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Heart rate</w:t>
            </w:r>
          </w:p>
        </w:tc>
        <w:tc>
          <w:tcPr>
            <w:tcW w:w="489"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0.23</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0.096</w:t>
            </w:r>
          </w:p>
        </w:tc>
        <w:tc>
          <w:tcPr>
            <w:tcW w:w="4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0.017</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1.25</w:t>
            </w:r>
          </w:p>
        </w:tc>
        <w:tc>
          <w:tcPr>
            <w:tcW w:w="513"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1.04</w:t>
            </w:r>
          </w:p>
        </w:tc>
        <w:tc>
          <w:tcPr>
            <w:tcW w:w="60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1.5</w:t>
            </w:r>
          </w:p>
        </w:tc>
      </w:tr>
      <w:tr w:rsidR="00673D11" w:rsidRPr="00A12D77" w:rsidTr="00C97655">
        <w:trPr>
          <w:jc w:val="center"/>
        </w:trPr>
        <w:tc>
          <w:tcPr>
            <w:tcW w:w="208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Sex (male)</w:t>
            </w:r>
          </w:p>
        </w:tc>
        <w:tc>
          <w:tcPr>
            <w:tcW w:w="489"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0.651</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1.01</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0.522</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1.9</w:t>
            </w:r>
          </w:p>
        </w:tc>
        <w:tc>
          <w:tcPr>
            <w:tcW w:w="513"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0.26</w:t>
            </w:r>
          </w:p>
        </w:tc>
        <w:tc>
          <w:tcPr>
            <w:tcW w:w="60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14.05</w:t>
            </w:r>
          </w:p>
        </w:tc>
      </w:tr>
      <w:tr w:rsidR="00673D11" w:rsidRPr="00A12D77" w:rsidTr="00C97655">
        <w:trPr>
          <w:jc w:val="center"/>
        </w:trPr>
        <w:tc>
          <w:tcPr>
            <w:tcW w:w="208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DM</w:t>
            </w:r>
          </w:p>
        </w:tc>
        <w:tc>
          <w:tcPr>
            <w:tcW w:w="489"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-0.915</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0.935</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0.327</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0.4</w:t>
            </w:r>
          </w:p>
        </w:tc>
        <w:tc>
          <w:tcPr>
            <w:tcW w:w="513"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0.06</w:t>
            </w:r>
          </w:p>
        </w:tc>
        <w:tc>
          <w:tcPr>
            <w:tcW w:w="60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2.5</w:t>
            </w:r>
          </w:p>
        </w:tc>
      </w:tr>
      <w:tr w:rsidR="00673D11" w:rsidRPr="00A12D77" w:rsidTr="00C97655">
        <w:trPr>
          <w:jc w:val="center"/>
        </w:trPr>
        <w:tc>
          <w:tcPr>
            <w:tcW w:w="208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HTN</w:t>
            </w:r>
          </w:p>
        </w:tc>
        <w:tc>
          <w:tcPr>
            <w:tcW w:w="489"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-2.4</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0.921</w:t>
            </w:r>
          </w:p>
        </w:tc>
        <w:tc>
          <w:tcPr>
            <w:tcW w:w="4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0.009</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0.09</w:t>
            </w:r>
          </w:p>
        </w:tc>
        <w:tc>
          <w:tcPr>
            <w:tcW w:w="513"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0.015</w:t>
            </w:r>
          </w:p>
        </w:tc>
        <w:tc>
          <w:tcPr>
            <w:tcW w:w="60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0.54</w:t>
            </w:r>
          </w:p>
        </w:tc>
      </w:tr>
      <w:tr w:rsidR="00673D11" w:rsidRPr="00A12D77" w:rsidTr="00C97655">
        <w:trPr>
          <w:jc w:val="center"/>
        </w:trPr>
        <w:tc>
          <w:tcPr>
            <w:tcW w:w="208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Number of affected vessel (one)</w:t>
            </w:r>
          </w:p>
        </w:tc>
        <w:tc>
          <w:tcPr>
            <w:tcW w:w="489"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-0.657</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0.888</w:t>
            </w:r>
          </w:p>
        </w:tc>
        <w:tc>
          <w:tcPr>
            <w:tcW w:w="4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0.459</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0.518</w:t>
            </w:r>
          </w:p>
        </w:tc>
        <w:tc>
          <w:tcPr>
            <w:tcW w:w="513"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0.09</w:t>
            </w:r>
          </w:p>
        </w:tc>
        <w:tc>
          <w:tcPr>
            <w:tcW w:w="60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2.9</w:t>
            </w:r>
          </w:p>
        </w:tc>
      </w:tr>
      <w:tr w:rsidR="00673D11" w:rsidRPr="00A12D77" w:rsidTr="00C97655">
        <w:trPr>
          <w:jc w:val="center"/>
        </w:trPr>
        <w:tc>
          <w:tcPr>
            <w:tcW w:w="208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Culprit vessel (LAD)</w:t>
            </w:r>
          </w:p>
        </w:tc>
        <w:tc>
          <w:tcPr>
            <w:tcW w:w="489"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2.6</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1.23</w:t>
            </w:r>
          </w:p>
        </w:tc>
        <w:tc>
          <w:tcPr>
            <w:tcW w:w="4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0.034</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13.7</w:t>
            </w:r>
          </w:p>
        </w:tc>
        <w:tc>
          <w:tcPr>
            <w:tcW w:w="513"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1.2</w:t>
            </w:r>
          </w:p>
        </w:tc>
        <w:tc>
          <w:tcPr>
            <w:tcW w:w="60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155.14</w:t>
            </w:r>
          </w:p>
        </w:tc>
      </w:tr>
      <w:tr w:rsidR="00673D11" w:rsidRPr="00A12D77" w:rsidTr="00C97655">
        <w:trPr>
          <w:jc w:val="center"/>
        </w:trPr>
        <w:tc>
          <w:tcPr>
            <w:tcW w:w="208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E/e at discharge</w:t>
            </w:r>
          </w:p>
        </w:tc>
        <w:tc>
          <w:tcPr>
            <w:tcW w:w="489"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0.603</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0.253</w:t>
            </w:r>
          </w:p>
        </w:tc>
        <w:tc>
          <w:tcPr>
            <w:tcW w:w="4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0.017</w:t>
            </w:r>
          </w:p>
        </w:tc>
        <w:tc>
          <w:tcPr>
            <w:tcW w:w="437"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1.8</w:t>
            </w:r>
          </w:p>
        </w:tc>
        <w:tc>
          <w:tcPr>
            <w:tcW w:w="513"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1.1</w:t>
            </w:r>
          </w:p>
        </w:tc>
        <w:tc>
          <w:tcPr>
            <w:tcW w:w="604" w:type="pct"/>
            <w:tcBorders>
              <w:top w:val="single" w:sz="4" w:space="0" w:color="auto"/>
              <w:left w:val="single" w:sz="4" w:space="0" w:color="auto"/>
              <w:bottom w:val="single" w:sz="4" w:space="0" w:color="auto"/>
              <w:right w:val="single" w:sz="4" w:space="0" w:color="auto"/>
            </w:tcBorders>
            <w:vAlign w:val="center"/>
            <w:hideMark/>
          </w:tcPr>
          <w:p w:rsidR="00673D11" w:rsidRPr="00A12D77" w:rsidRDefault="00673D11" w:rsidP="00805DBD">
            <w:pPr>
              <w:autoSpaceDE w:val="0"/>
              <w:autoSpaceDN w:val="0"/>
              <w:adjustRightInd w:val="0"/>
              <w:snapToGrid w:val="0"/>
              <w:jc w:val="both"/>
              <w:rPr>
                <w:rFonts w:eastAsia="Calibri"/>
                <w:color w:val="000000"/>
              </w:rPr>
            </w:pPr>
            <w:r w:rsidRPr="00A12D77">
              <w:rPr>
                <w:rFonts w:eastAsia="Calibri"/>
                <w:color w:val="000000"/>
              </w:rPr>
              <w:t>2.99</w:t>
            </w:r>
          </w:p>
        </w:tc>
      </w:tr>
    </w:tbl>
    <w:p w:rsidR="00673D11" w:rsidRPr="00A12D77" w:rsidRDefault="00673D11" w:rsidP="00805DBD">
      <w:pPr>
        <w:snapToGrid w:val="0"/>
        <w:ind w:firstLine="425"/>
        <w:jc w:val="both"/>
        <w:rPr>
          <w:lang w:bidi="ar-EG"/>
        </w:rPr>
      </w:pPr>
    </w:p>
    <w:p w:rsidR="00805DBD" w:rsidRPr="00A12D77" w:rsidRDefault="00805DBD" w:rsidP="00805DBD">
      <w:pPr>
        <w:snapToGrid w:val="0"/>
        <w:ind w:firstLine="425"/>
        <w:jc w:val="both"/>
        <w:rPr>
          <w:i/>
          <w:iCs/>
          <w:lang w:bidi="ar-EG"/>
        </w:rPr>
        <w:sectPr w:rsidR="00805DBD" w:rsidRPr="00A12D77" w:rsidSect="00C97655">
          <w:type w:val="continuous"/>
          <w:pgSz w:w="12240" w:h="15840"/>
          <w:pgMar w:top="1440" w:right="1440" w:bottom="1440" w:left="1440" w:header="720" w:footer="720" w:gutter="0"/>
          <w:cols w:space="720"/>
          <w:docGrid w:linePitch="360"/>
        </w:sectPr>
      </w:pPr>
    </w:p>
    <w:p w:rsidR="00673D11" w:rsidRPr="00A12D77" w:rsidRDefault="00673D11" w:rsidP="00805DBD">
      <w:pPr>
        <w:snapToGrid w:val="0"/>
        <w:ind w:firstLine="425"/>
        <w:jc w:val="both"/>
      </w:pPr>
      <w:r w:rsidRPr="00A12D77">
        <w:rPr>
          <w:i/>
          <w:iCs/>
          <w:lang w:bidi="ar-EG"/>
        </w:rPr>
        <w:lastRenderedPageBreak/>
        <w:t>A subanalysis</w:t>
      </w:r>
      <w:r w:rsidRPr="00A12D77">
        <w:rPr>
          <w:lang w:bidi="ar-EG"/>
        </w:rPr>
        <w:t xml:space="preserve"> of DHR vs other predictors showed that higher discharge heart rate was statistically significant in predicting LV </w:t>
      </w:r>
      <w:r w:rsidR="00A12D77" w:rsidRPr="00A12D77">
        <w:rPr>
          <w:lang w:bidi="ar-EG"/>
        </w:rPr>
        <w:t>remodelling</w:t>
      </w:r>
      <w:r w:rsidRPr="00A12D77">
        <w:rPr>
          <w:lang w:bidi="ar-EG"/>
        </w:rPr>
        <w:t xml:space="preserve"> in a subgroup </w:t>
      </w:r>
      <w:r w:rsidRPr="00A12D77">
        <w:rPr>
          <w:lang w:bidi="ar-EG"/>
        </w:rPr>
        <w:lastRenderedPageBreak/>
        <w:t xml:space="preserve">of culprit LAD </w:t>
      </w:r>
      <w:r w:rsidR="00A12D77">
        <w:rPr>
          <w:lang w:bidi="ar-EG"/>
        </w:rPr>
        <w:t>(</w:t>
      </w:r>
      <w:r w:rsidRPr="00A12D77">
        <w:rPr>
          <w:lang w:bidi="ar-EG"/>
        </w:rPr>
        <w:t>P=0.005), a subgroup of non-LAD (</w:t>
      </w:r>
      <w:r w:rsidRPr="00A12D77">
        <w:rPr>
          <w:i/>
          <w:iCs/>
        </w:rPr>
        <w:t xml:space="preserve">P-value =0.033), a </w:t>
      </w:r>
      <w:r w:rsidRPr="00A12D77">
        <w:t>subgroup of single-vessel disease</w:t>
      </w:r>
      <w:r w:rsidRPr="00A12D77">
        <w:rPr>
          <w:i/>
          <w:iCs/>
        </w:rPr>
        <w:t xml:space="preserve"> (P-value =0.002)</w:t>
      </w:r>
      <w:r w:rsidR="00C97655" w:rsidRPr="00A12D77">
        <w:rPr>
          <w:i/>
          <w:iCs/>
        </w:rPr>
        <w:t>. (</w:t>
      </w:r>
      <w:r w:rsidRPr="00A12D77">
        <w:rPr>
          <w:i/>
          <w:iCs/>
        </w:rPr>
        <w:t>Figure</w:t>
      </w:r>
      <w:r w:rsidR="00A12D77">
        <w:rPr>
          <w:rFonts w:eastAsiaTheme="minorEastAsia" w:hint="eastAsia"/>
          <w:i/>
          <w:iCs/>
          <w:lang w:eastAsia="zh-CN"/>
        </w:rPr>
        <w:t>s</w:t>
      </w:r>
      <w:r w:rsidRPr="00A12D77">
        <w:rPr>
          <w:i/>
          <w:iCs/>
        </w:rPr>
        <w:t xml:space="preserve"> 7-9)</w:t>
      </w:r>
    </w:p>
    <w:p w:rsidR="00805DBD" w:rsidRPr="00A12D77" w:rsidRDefault="00805DBD" w:rsidP="00805DBD">
      <w:pPr>
        <w:pStyle w:val="ListParagraph"/>
        <w:snapToGrid w:val="0"/>
        <w:spacing w:after="0" w:line="240" w:lineRule="auto"/>
        <w:ind w:left="0" w:firstLine="425"/>
        <w:jc w:val="both"/>
        <w:rPr>
          <w:rFonts w:ascii="Times New Roman" w:hAnsi="Times New Roman" w:cs="Times New Roman"/>
          <w:sz w:val="20"/>
          <w:szCs w:val="20"/>
        </w:rPr>
        <w:sectPr w:rsidR="00805DBD" w:rsidRPr="00A12D77" w:rsidSect="00805DBD">
          <w:type w:val="continuous"/>
          <w:pgSz w:w="12240" w:h="15840"/>
          <w:pgMar w:top="1440" w:right="1440" w:bottom="1440" w:left="1440" w:header="720" w:footer="720" w:gutter="0"/>
          <w:cols w:num="2" w:space="500"/>
          <w:docGrid w:linePitch="360"/>
        </w:sectPr>
      </w:pPr>
    </w:p>
    <w:p w:rsidR="008F5F1A" w:rsidRPr="00A12D77" w:rsidRDefault="008F5F1A" w:rsidP="00805DBD">
      <w:pPr>
        <w:pStyle w:val="ListParagraph"/>
        <w:snapToGrid w:val="0"/>
        <w:spacing w:after="0" w:line="240" w:lineRule="auto"/>
        <w:ind w:left="0" w:firstLine="425"/>
        <w:jc w:val="both"/>
        <w:rPr>
          <w:rFonts w:ascii="Times New Roman" w:hAnsi="Times New Roman" w:cs="Times New Roman"/>
          <w:sz w:val="20"/>
          <w:szCs w:val="20"/>
        </w:rPr>
      </w:pPr>
    </w:p>
    <w:p w:rsidR="008F5F1A" w:rsidRPr="00A12D77" w:rsidRDefault="008F5F1A" w:rsidP="00805DBD">
      <w:pPr>
        <w:pStyle w:val="ListParagraph"/>
        <w:snapToGrid w:val="0"/>
        <w:spacing w:after="0" w:line="240" w:lineRule="auto"/>
        <w:ind w:left="0"/>
        <w:jc w:val="center"/>
        <w:rPr>
          <w:rFonts w:ascii="Times New Roman" w:hAnsi="Times New Roman" w:cs="Times New Roman"/>
          <w:sz w:val="20"/>
          <w:szCs w:val="20"/>
        </w:rPr>
      </w:pPr>
      <w:r w:rsidRPr="00A12D77">
        <w:rPr>
          <w:rFonts w:ascii="Times New Roman" w:hAnsi="Times New Roman" w:cs="Times New Roman"/>
          <w:noProof/>
          <w:sz w:val="20"/>
          <w:szCs w:val="20"/>
          <w:lang w:eastAsia="zh-CN"/>
        </w:rPr>
        <w:drawing>
          <wp:inline distT="0" distB="0" distL="0" distR="0">
            <wp:extent cx="2525367" cy="1637612"/>
            <wp:effectExtent l="19050" t="0" r="8283"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9442" cy="1640255"/>
                    </a:xfrm>
                    <a:prstGeom prst="rect">
                      <a:avLst/>
                    </a:prstGeom>
                    <a:noFill/>
                  </pic:spPr>
                </pic:pic>
              </a:graphicData>
            </a:graphic>
          </wp:inline>
        </w:drawing>
      </w:r>
      <w:r w:rsidR="00805DBD" w:rsidRPr="00A12D77">
        <w:rPr>
          <w:rFonts w:ascii="Times New Roman" w:eastAsiaTheme="minorEastAsia" w:hAnsi="Times New Roman" w:cs="Times New Roman" w:hint="eastAsia"/>
          <w:sz w:val="20"/>
          <w:szCs w:val="20"/>
          <w:lang w:eastAsia="zh-CN"/>
        </w:rPr>
        <w:tab/>
      </w:r>
      <w:r w:rsidRPr="00A12D77">
        <w:rPr>
          <w:rFonts w:ascii="Times New Roman" w:hAnsi="Times New Roman" w:cs="Times New Roman"/>
          <w:noProof/>
          <w:sz w:val="20"/>
          <w:szCs w:val="20"/>
          <w:lang w:eastAsia="zh-CN"/>
        </w:rPr>
        <w:drawing>
          <wp:inline distT="0" distB="0" distL="0" distR="0">
            <wp:extent cx="2574109" cy="163796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3740" cy="1644098"/>
                    </a:xfrm>
                    <a:prstGeom prst="rect">
                      <a:avLst/>
                    </a:prstGeom>
                    <a:noFill/>
                  </pic:spPr>
                </pic:pic>
              </a:graphicData>
            </a:graphic>
          </wp:inline>
        </w:drawing>
      </w:r>
    </w:p>
    <w:p w:rsidR="00673D11" w:rsidRPr="00A12D77" w:rsidRDefault="00673D11" w:rsidP="00805DBD">
      <w:pPr>
        <w:pStyle w:val="ListParagraph"/>
        <w:snapToGrid w:val="0"/>
        <w:spacing w:after="0" w:line="240" w:lineRule="auto"/>
        <w:ind w:left="0"/>
        <w:jc w:val="center"/>
        <w:rPr>
          <w:rFonts w:ascii="Times New Roman" w:hAnsi="Times New Roman" w:cs="Times New Roman"/>
          <w:sz w:val="20"/>
          <w:szCs w:val="20"/>
        </w:rPr>
      </w:pPr>
      <w:r w:rsidRPr="00A12D77">
        <w:rPr>
          <w:rFonts w:ascii="Times New Roman" w:hAnsi="Times New Roman" w:cs="Times New Roman"/>
          <w:sz w:val="20"/>
          <w:szCs w:val="20"/>
        </w:rPr>
        <w:t>Figure 7:</w:t>
      </w:r>
      <w:r w:rsidR="00C97655" w:rsidRPr="00A12D77">
        <w:rPr>
          <w:rFonts w:ascii="Times New Roman" w:hAnsi="Times New Roman" w:cs="Times New Roman"/>
          <w:sz w:val="20"/>
          <w:szCs w:val="20"/>
        </w:rPr>
        <w:t xml:space="preserve"> </w:t>
      </w:r>
      <w:r w:rsidRPr="00A12D77">
        <w:rPr>
          <w:rFonts w:ascii="Times New Roman" w:hAnsi="Times New Roman" w:cs="Times New Roman"/>
          <w:sz w:val="20"/>
          <w:szCs w:val="20"/>
        </w:rPr>
        <w:t>DHR in as subgroup of LAD</w:t>
      </w:r>
      <w:r w:rsidR="00C97655" w:rsidRPr="00A12D77">
        <w:rPr>
          <w:rFonts w:ascii="Times New Roman" w:hAnsi="Times New Roman" w:cs="Times New Roman"/>
          <w:sz w:val="20"/>
          <w:szCs w:val="20"/>
        </w:rPr>
        <w:t xml:space="preserve"> </w:t>
      </w:r>
      <w:r w:rsidR="00C97655" w:rsidRPr="00A12D77">
        <w:rPr>
          <w:rFonts w:ascii="Times New Roman" w:eastAsiaTheme="minorEastAsia" w:hAnsi="Times New Roman" w:cs="Times New Roman" w:hint="eastAsia"/>
          <w:sz w:val="20"/>
          <w:szCs w:val="20"/>
          <w:lang w:eastAsia="zh-CN"/>
        </w:rPr>
        <w:tab/>
      </w:r>
      <w:r w:rsidR="00805DBD" w:rsidRPr="00A12D77">
        <w:rPr>
          <w:rFonts w:ascii="Times New Roman" w:eastAsiaTheme="minorEastAsia" w:hAnsi="Times New Roman" w:cs="Times New Roman" w:hint="eastAsia"/>
          <w:sz w:val="20"/>
          <w:szCs w:val="20"/>
          <w:lang w:eastAsia="zh-CN"/>
        </w:rPr>
        <w:tab/>
      </w:r>
      <w:r w:rsidR="00C97655" w:rsidRPr="00A12D77">
        <w:rPr>
          <w:rFonts w:ascii="Times New Roman" w:hAnsi="Times New Roman" w:cs="Times New Roman"/>
          <w:sz w:val="20"/>
          <w:szCs w:val="20"/>
        </w:rPr>
        <w:t xml:space="preserve"> </w:t>
      </w:r>
      <w:r w:rsidRPr="00A12D77">
        <w:rPr>
          <w:rFonts w:ascii="Times New Roman" w:hAnsi="Times New Roman" w:cs="Times New Roman"/>
          <w:sz w:val="20"/>
          <w:szCs w:val="20"/>
        </w:rPr>
        <w:t>Figure 8</w:t>
      </w:r>
      <w:r w:rsidR="00805DBD" w:rsidRPr="00A12D77">
        <w:rPr>
          <w:rFonts w:ascii="Times New Roman" w:hAnsi="Times New Roman" w:cs="Times New Roman"/>
          <w:sz w:val="20"/>
          <w:szCs w:val="20"/>
        </w:rPr>
        <w:t>: D</w:t>
      </w:r>
      <w:r w:rsidRPr="00A12D77">
        <w:rPr>
          <w:rFonts w:ascii="Times New Roman" w:hAnsi="Times New Roman" w:cs="Times New Roman"/>
          <w:sz w:val="20"/>
          <w:szCs w:val="20"/>
        </w:rPr>
        <w:t>HR in a subgroup of Non-LAD</w:t>
      </w:r>
    </w:p>
    <w:p w:rsidR="00962341" w:rsidRDefault="00962341" w:rsidP="00805DBD">
      <w:pPr>
        <w:pStyle w:val="ListParagraph"/>
        <w:snapToGrid w:val="0"/>
        <w:spacing w:after="0" w:line="240" w:lineRule="auto"/>
        <w:ind w:left="0"/>
        <w:jc w:val="center"/>
        <w:rPr>
          <w:rFonts w:ascii="Times New Roman" w:eastAsiaTheme="minorEastAsia" w:hAnsi="Times New Roman" w:cs="Times New Roman" w:hint="eastAsia"/>
          <w:sz w:val="20"/>
          <w:szCs w:val="20"/>
          <w:lang w:eastAsia="zh-CN"/>
        </w:rPr>
      </w:pPr>
    </w:p>
    <w:p w:rsidR="00962341" w:rsidRDefault="00962341" w:rsidP="00805DBD">
      <w:pPr>
        <w:pStyle w:val="ListParagraph"/>
        <w:snapToGrid w:val="0"/>
        <w:spacing w:after="0" w:line="240" w:lineRule="auto"/>
        <w:ind w:left="0"/>
        <w:jc w:val="center"/>
        <w:rPr>
          <w:rFonts w:ascii="Times New Roman" w:eastAsiaTheme="minorEastAsia" w:hAnsi="Times New Roman" w:cs="Times New Roman" w:hint="eastAsia"/>
          <w:sz w:val="20"/>
          <w:szCs w:val="20"/>
          <w:lang w:eastAsia="zh-CN"/>
        </w:rPr>
      </w:pPr>
    </w:p>
    <w:p w:rsidR="008F5F1A" w:rsidRPr="00A12D77" w:rsidRDefault="008F5F1A" w:rsidP="00805DBD">
      <w:pPr>
        <w:pStyle w:val="ListParagraph"/>
        <w:snapToGrid w:val="0"/>
        <w:spacing w:after="0" w:line="240" w:lineRule="auto"/>
        <w:ind w:left="0"/>
        <w:jc w:val="center"/>
        <w:rPr>
          <w:rFonts w:ascii="Times New Roman" w:hAnsi="Times New Roman" w:cs="Times New Roman"/>
          <w:sz w:val="20"/>
          <w:szCs w:val="20"/>
        </w:rPr>
      </w:pPr>
      <w:r w:rsidRPr="00A12D77">
        <w:rPr>
          <w:rFonts w:ascii="Times New Roman" w:hAnsi="Times New Roman" w:cs="Times New Roman"/>
          <w:noProof/>
          <w:sz w:val="20"/>
          <w:szCs w:val="20"/>
          <w:lang w:eastAsia="zh-CN"/>
        </w:rPr>
        <w:drawing>
          <wp:inline distT="0" distB="0" distL="0" distR="0">
            <wp:extent cx="4973589" cy="2337684"/>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5626" cy="2338641"/>
                    </a:xfrm>
                    <a:prstGeom prst="rect">
                      <a:avLst/>
                    </a:prstGeom>
                    <a:noFill/>
                  </pic:spPr>
                </pic:pic>
              </a:graphicData>
            </a:graphic>
          </wp:inline>
        </w:drawing>
      </w:r>
    </w:p>
    <w:p w:rsidR="00673D11" w:rsidRPr="00A12D77" w:rsidRDefault="00673D11" w:rsidP="00805DBD">
      <w:pPr>
        <w:pStyle w:val="ListParagraph"/>
        <w:snapToGrid w:val="0"/>
        <w:spacing w:after="0" w:line="240" w:lineRule="auto"/>
        <w:ind w:left="0"/>
        <w:jc w:val="center"/>
        <w:rPr>
          <w:rStyle w:val="Heading1Char"/>
          <w:rFonts w:ascii="Times New Roman" w:eastAsiaTheme="minorHAnsi" w:hAnsi="Times New Roman" w:cs="Times New Roman"/>
          <w:b w:val="0"/>
          <w:caps w:val="0"/>
          <w:sz w:val="20"/>
          <w:szCs w:val="20"/>
          <w:lang w:val="en-US" w:eastAsia="en-US"/>
        </w:rPr>
      </w:pPr>
      <w:r w:rsidRPr="00A12D77">
        <w:rPr>
          <w:rFonts w:ascii="Times New Roman" w:hAnsi="Times New Roman" w:cs="Times New Roman"/>
          <w:sz w:val="20"/>
          <w:szCs w:val="20"/>
        </w:rPr>
        <w:t>Figure 9: DHR in a subgroup of single-vessel disease</w:t>
      </w:r>
    </w:p>
    <w:p w:rsidR="008F5F1A" w:rsidRDefault="008F5F1A" w:rsidP="00805DBD">
      <w:pPr>
        <w:pStyle w:val="ListParagraph"/>
        <w:snapToGrid w:val="0"/>
        <w:spacing w:after="0" w:line="240" w:lineRule="auto"/>
        <w:ind w:left="0" w:firstLine="425"/>
        <w:jc w:val="both"/>
        <w:rPr>
          <w:rStyle w:val="Heading1Char"/>
          <w:rFonts w:ascii="Times New Roman" w:eastAsiaTheme="minorEastAsia" w:hAnsi="Times New Roman" w:cs="Times New Roman" w:hint="eastAsia"/>
          <w:b w:val="0"/>
          <w:caps w:val="0"/>
          <w:sz w:val="20"/>
          <w:szCs w:val="20"/>
          <w:lang w:val="en-US" w:eastAsia="zh-CN"/>
        </w:rPr>
      </w:pPr>
    </w:p>
    <w:p w:rsidR="00962341" w:rsidRPr="00962341" w:rsidRDefault="00962341" w:rsidP="00805DBD">
      <w:pPr>
        <w:pStyle w:val="ListParagraph"/>
        <w:snapToGrid w:val="0"/>
        <w:spacing w:after="0" w:line="240" w:lineRule="auto"/>
        <w:ind w:left="0" w:firstLine="425"/>
        <w:jc w:val="both"/>
        <w:rPr>
          <w:rStyle w:val="Heading1Char"/>
          <w:rFonts w:ascii="Times New Roman" w:eastAsiaTheme="minorEastAsia" w:hAnsi="Times New Roman" w:cs="Times New Roman" w:hint="eastAsia"/>
          <w:b w:val="0"/>
          <w:caps w:val="0"/>
          <w:sz w:val="20"/>
          <w:szCs w:val="20"/>
          <w:lang w:val="en-US" w:eastAsia="zh-CN"/>
        </w:rPr>
      </w:pPr>
    </w:p>
    <w:p w:rsidR="00805DBD" w:rsidRPr="00A12D77" w:rsidRDefault="00805DBD" w:rsidP="00805DBD">
      <w:pPr>
        <w:snapToGrid w:val="0"/>
        <w:jc w:val="both"/>
        <w:rPr>
          <w:rStyle w:val="Heading1Char"/>
          <w:rFonts w:ascii="Times New Roman" w:hAnsi="Times New Roman" w:cs="Times New Roman"/>
          <w:caps w:val="0"/>
          <w:sz w:val="20"/>
          <w:szCs w:val="20"/>
        </w:rPr>
        <w:sectPr w:rsidR="00805DBD" w:rsidRPr="00A12D77" w:rsidSect="00C97655">
          <w:type w:val="continuous"/>
          <w:pgSz w:w="12240" w:h="15840"/>
          <w:pgMar w:top="1440" w:right="1440" w:bottom="1440" w:left="1440" w:header="720" w:footer="720" w:gutter="0"/>
          <w:cols w:space="720"/>
          <w:docGrid w:linePitch="360"/>
        </w:sectPr>
      </w:pPr>
    </w:p>
    <w:p w:rsidR="00673D11" w:rsidRPr="00A12D77" w:rsidRDefault="008F5F1A" w:rsidP="00805DBD">
      <w:pPr>
        <w:snapToGrid w:val="0"/>
        <w:jc w:val="both"/>
        <w:rPr>
          <w:rStyle w:val="Heading1Char"/>
          <w:rFonts w:ascii="Times New Roman" w:hAnsi="Times New Roman" w:cs="Times New Roman"/>
          <w:sz w:val="20"/>
          <w:szCs w:val="20"/>
        </w:rPr>
      </w:pPr>
      <w:r w:rsidRPr="00A12D77">
        <w:rPr>
          <w:rStyle w:val="Heading1Char"/>
          <w:rFonts w:ascii="Times New Roman" w:hAnsi="Times New Roman" w:cs="Times New Roman"/>
          <w:caps w:val="0"/>
          <w:sz w:val="20"/>
          <w:szCs w:val="20"/>
        </w:rPr>
        <w:lastRenderedPageBreak/>
        <w:t>4. Discussion</w:t>
      </w:r>
    </w:p>
    <w:p w:rsidR="00673D11" w:rsidRPr="00A12D77" w:rsidRDefault="00673D11" w:rsidP="00805DBD">
      <w:pPr>
        <w:snapToGrid w:val="0"/>
        <w:ind w:firstLine="425"/>
        <w:jc w:val="both"/>
      </w:pPr>
      <w:r w:rsidRPr="00A12D77">
        <w:rPr>
          <w:rStyle w:val="None"/>
        </w:rPr>
        <w:t>Coronary artery disease</w:t>
      </w:r>
      <w:r w:rsidRPr="00A12D77">
        <w:t xml:space="preserve"> is the leading cause of death worldwide and its frequency is increasing.</w:t>
      </w:r>
      <w:r w:rsidR="006F7B40" w:rsidRPr="00A12D77">
        <w:fldChar w:fldCharType="begin" w:fldLock="1"/>
      </w:r>
      <w:r w:rsidRPr="00A12D77">
        <w:instrText>ADDIN CSL_CITATION {"citationItems":[{"id":"ITEM-1","itemData":{"DOI":"10.1161/CIRCULATIONAHA.112.128413","ISSN":"1524-4539","PMID":"23401116","author":[{"dropping-particle":"","family":"Pagidipati","given":"Neha Jadeja","non-dropping-particle":"","parse-names":false,"suffix":""},{"dropping-particle":"","family":"Gaziano","given":"Thomas A","non-dropping-particle":"","parse-names":false,"suffix":""}],"container-title":"Circulation","id":"ITEM-1","issue":"6","issued":{"date-parts":[["2013","2","12"]]},"page":"749-56","publisher":"NIH Public Access","title":"Estimating deaths from cardiovascular disease: a review of global methodologies of mortality measurement.","type":"article-journal","volume":"127"},"uris":["http://www.mendeley.com/documents/?uuid=2ba67ba6-3208-31ef-b6d4-4526e0511f82"]}],"mendeley":{"formattedCitation":"&lt;sup&gt;7&lt;/sup&gt;","plainTextFormattedCitation":"7","previouslyFormattedCitation":"&lt;sup&gt;[142]&lt;/sup&gt;"},"properties":{"noteIndex":0},"schema":"https://github.com/citation-style-language/schema/raw/master/csl-citation.json"}</w:instrText>
      </w:r>
      <w:r w:rsidR="006F7B40" w:rsidRPr="00A12D77">
        <w:fldChar w:fldCharType="separate"/>
      </w:r>
      <w:r w:rsidRPr="00A12D77">
        <w:rPr>
          <w:noProof/>
          <w:vertAlign w:val="superscript"/>
        </w:rPr>
        <w:t>7</w:t>
      </w:r>
      <w:r w:rsidR="006F7B40" w:rsidRPr="00A12D77">
        <w:fldChar w:fldCharType="end"/>
      </w:r>
    </w:p>
    <w:p w:rsidR="00673D11" w:rsidRPr="00A12D77" w:rsidRDefault="00673D11" w:rsidP="00805DBD">
      <w:pPr>
        <w:snapToGrid w:val="0"/>
        <w:ind w:firstLine="425"/>
        <w:jc w:val="both"/>
      </w:pPr>
      <w:r w:rsidRPr="00A12D77">
        <w:t>Despite the latest advances in</w:t>
      </w:r>
      <w:r w:rsidR="00C97655" w:rsidRPr="00A12D77">
        <w:t xml:space="preserve"> </w:t>
      </w:r>
      <w:r w:rsidRPr="00A12D77">
        <w:t xml:space="preserve">management of acute myocardial infarction (AMI), the left ventricular </w:t>
      </w:r>
      <w:r w:rsidR="00A12D77" w:rsidRPr="00A12D77">
        <w:t>remodelling</w:t>
      </w:r>
      <w:r w:rsidRPr="00A12D77">
        <w:t xml:space="preserve"> (LVR) process that leads to congestive heart failure still represents a major problem.</w:t>
      </w:r>
      <w:r w:rsidR="006F7B40" w:rsidRPr="00A12D77">
        <w:fldChar w:fldCharType="begin" w:fldLock="1"/>
      </w:r>
      <w:r w:rsidRPr="00A12D77">
        <w:instrText>ADDIN CSL_CITATION {"citationItems":[{"id":"ITEM-1","itemData":{"DOI":"10.1515/jim-2016-0013","abstract":"Background: The acute loss of myocardium, following an acute myocardial infarction (AMI) leads to an abrupt increase in the loading conditions that induces a pattern of left ventricular remodeling (LVR). It has been shown that remodeling occurs rapidly and progressively within weeks after the AMI. Study aim: The aim of our study was to identify predictors for LVR, and find correlations between them and the cardiovascular (CV) risk factors that lead to remodel-ing. Material and methods: One hundred and five AMI patients who underwent primary PCI were included in the study. A 2-D echocardiography was performed at baseline (day 1 ± 3 post-MI) and at 6 months follow-up. The LV remodeling index (RI), was defined as the difference between the Left Ventricular End-Diastolic diameter (LVEDD) at 6 months and at baseline. The patients were divided into 2 groups, according to the RI: Group 1-RI &gt;15% with positive remodeling (n = 23); Group 2-RI ≤15% with no remodeling (n = 82). Results: The mean age was 63.26 ± 2.084 years for Group 1 and 59.72 ± 1.267 years for Group 2. The most significant predictor of LVR was the female gender (Group 1-52% vs. Group 2-18%, p &lt;0.0001). Men younger than 50 years showed a lower rate of LVR (Group1-9% vs. Group 2-20%, p = 0.0432). In women, age over 65 years was a significant predictor for LVR (Group 1-26% vs. Group 2-9%, p = 0.0025). The CV risk factors associated with LVR were: smoking (p = 0.0008); obesity (p = 0.013); dyslipidemia (p = 0.1184). The positive remodeling group had a higher rate of LAD stenosis compared to the no-remodeling group (48% vs. 26%, p = 0.002). The presence of multi-vessel disease was shown to be higher in Group 1 (26% vs. 9%, p = 0.0025). The echocardiographic parameters that predicted LVR were: LVEF &lt;45% (p = 0.048), mitral regurgitation (p = 0.022), and interventricular septum hypertrophy (p &lt;0.0001). Conclusions: The CV risk factors correlated with LVR were smoking, obesity and dyslipidemia. A &gt;50% stenosis in the LAD and the presence of multi-vessel CAD were found to be significant predictors for LVR. The most powerful predictors of LVR following AMI were: LVEF &lt;45%, mitral regurgitation, and interventricular septum hypertrophy.","author":[{"dropping-particle":"","family":"Pop","given":"Sorin","non-dropping-particle":"","parse-names":false,"suffix":""},{"dropping-particle":"","family":"Hodaș","given":"Roxana","non-dropping-particle":"","parse-names":false,"suffix":""},{"dropping-particle":"","family":"Benedek","given":"Edvin","non-dropping-particle":"","parse-names":false,"suffix":""},{"dropping-particle":"","family":"Opincariu","given":"Diana","non-dropping-particle":"","parse-names":false,"suffix":""},{"dropping-particle":"","family":"Rat","given":"Nora","non-dropping-particle":"","parse-names":false,"suffix":""},{"dropping-particle":"","family":"Jani","given":"Laura","non-dropping-particle":"","parse-names":false,"suffix":""},{"dropping-particle":"","family":"Stanescu","given":"Alexandra","non-dropping-particle":"","parse-names":false,"suffix":""},{"dropping-particle":"","family":"Chitu","given":"Monica","non-dropping-particle":"","parse-names":false,"suffix":""},{"dropping-particle":"","family":"Benedek","given":"Imre","non-dropping-particle":"","parse-names":false,"suffix":""},{"dropping-particle":"","family":"Benedek","given":"Theodora","non-dropping-particle":"","parse-names":false,"suffix":""}],"id":"ITEM-1","issued":{"date-parts":[["0"]]},"title":"Predictors of Left Ventricular Remodeling after Revascularized Acute Myocardial Infarction","type":"article-journal"},"uris":["http://www.mendeley.com/documents/?uuid=8b87f76f-1951-37e5-a385-6590da63b3df"]}],"mendeley":{"formattedCitation":"&lt;sup&gt;8&lt;/sup&gt;","plainTextFormattedCitation":"8","previouslyFormattedCitation":"&lt;sup&gt;[143]&lt;/sup&gt;"},"properties":{"noteIndex":0},"schema":"https://github.com/citation-style-language/schema/raw/master/csl-citation.json"}</w:instrText>
      </w:r>
      <w:r w:rsidR="006F7B40" w:rsidRPr="00A12D77">
        <w:fldChar w:fldCharType="separate"/>
      </w:r>
      <w:r w:rsidRPr="00A12D77">
        <w:rPr>
          <w:noProof/>
          <w:vertAlign w:val="superscript"/>
        </w:rPr>
        <w:t>8</w:t>
      </w:r>
      <w:r w:rsidR="006F7B40" w:rsidRPr="00A12D77">
        <w:fldChar w:fldCharType="end"/>
      </w:r>
    </w:p>
    <w:p w:rsidR="00673D11" w:rsidRPr="00A12D77" w:rsidRDefault="00A12D77" w:rsidP="00805DBD">
      <w:pPr>
        <w:snapToGrid w:val="0"/>
        <w:ind w:firstLine="425"/>
        <w:jc w:val="both"/>
      </w:pPr>
      <w:r w:rsidRPr="00A12D77">
        <w:t>In this</w:t>
      </w:r>
      <w:r w:rsidR="00673D11" w:rsidRPr="00A12D77">
        <w:t xml:space="preserve"> study</w:t>
      </w:r>
      <w:r w:rsidR="00805DBD" w:rsidRPr="00A12D77">
        <w:t>, p</w:t>
      </w:r>
      <w:r w:rsidR="00673D11" w:rsidRPr="00A12D77">
        <w:t xml:space="preserve">atients in the LV </w:t>
      </w:r>
      <w:r w:rsidRPr="00A12D77">
        <w:t>remodelling</w:t>
      </w:r>
      <w:r>
        <w:rPr>
          <w:rFonts w:eastAsiaTheme="minorEastAsia" w:hint="eastAsia"/>
          <w:lang w:eastAsia="zh-CN"/>
        </w:rPr>
        <w:t xml:space="preserve"> </w:t>
      </w:r>
      <w:r w:rsidR="00673D11" w:rsidRPr="00A12D77">
        <w:rPr>
          <w:lang w:val="en-US" w:bidi="ar-EG"/>
        </w:rPr>
        <w:t>group</w:t>
      </w:r>
      <w:r w:rsidR="00673D11" w:rsidRPr="00A12D77">
        <w:t xml:space="preserve"> were older than the non-</w:t>
      </w:r>
      <w:r w:rsidRPr="00A12D77">
        <w:t>remodelling</w:t>
      </w:r>
      <w:r w:rsidR="00673D11" w:rsidRPr="00A12D77">
        <w:t xml:space="preserve"> group </w:t>
      </w:r>
      <w:r>
        <w:t>(</w:t>
      </w:r>
      <w:r w:rsidR="00673D11" w:rsidRPr="00A12D77">
        <w:t xml:space="preserve">P =0.048) In contrast to this study, the study conducted by </w:t>
      </w:r>
      <w:r w:rsidR="00673D11" w:rsidRPr="00A12D77">
        <w:rPr>
          <w:b/>
          <w:bCs/>
          <w:i/>
          <w:iCs/>
        </w:rPr>
        <w:t>Pop et al</w:t>
      </w:r>
      <w:r w:rsidR="006F7B40" w:rsidRPr="00A12D77">
        <w:rPr>
          <w:b/>
          <w:bCs/>
        </w:rPr>
        <w:fldChar w:fldCharType="begin" w:fldLock="1"/>
      </w:r>
      <w:r w:rsidR="00673D11" w:rsidRPr="00A12D77">
        <w:rPr>
          <w:b/>
          <w:bCs/>
        </w:rPr>
        <w:instrText>ADDIN CSL_CITATION {"citationItems":[{"id":"ITEM-1","itemData":{"DOI":"10.1515/jim-2016-0013","abstract":"Background: The acute loss of myocardium, following an acute myocardial infarction (AMI) leads to an abrupt increase in the loading conditions that induces a pattern of left ventricular remodeling (LVR). It has been shown that remodeling occurs rapidly and progressively within weeks after the AMI. Study aim: The aim of our study was to identify predictors for LVR, and find correlations between them and the cardiovascular (CV) risk factors that lead to remodel-ing. Material and methods: One hundred and five AMI patients who underwent primary PCI were included in the study. A 2-D echocardiography was performed at baseline (day 1 ± 3 post-MI) and at 6 months follow-up. The LV remodeling index (RI), was defined as the difference between the Left Ventricular End-Diastolic diameter (LVEDD) at 6 months and at baseline. The patients were divided into 2 groups, according to the RI: Group 1-RI &gt;15% with positive remodeling (n = 23); Group 2-RI ≤15% with no remodeling (n = 82). Results: The mean age was 63.26 ± 2.084 years for Group 1 and 59.72 ± 1.267 years for Group 2. The most significant predictor of LVR was the female gender (Group 1-52% vs. Group 2-18%, p &lt;0.0001). Men younger than 50 years showed a lower rate of LVR (Group1-9% vs. Group 2-20%, p = 0.0432). In women, age over 65 years was a significant predictor for LVR (Group 1-26% vs. Group 2-9%, p = 0.0025). The CV risk factors associated with LVR were: smoking (p = 0.0008); obesity (p = 0.013); dyslipidemia (p = 0.1184). The positive remodeling group had a higher rate of LAD stenosis compared to the no-remodeling group (48% vs. 26%, p = 0.002). The presence of multi-vessel disease was shown to be higher in Group 1 (26% vs. 9%, p = 0.0025). The echocardiographic parameters that predicted LVR were: LVEF &lt;45% (p = 0.048), mitral regurgitation (p = 0.022), and interventricular septum hypertrophy (p &lt;0.0001). Conclusions: The CV risk factors correlated with LVR were smoking, obesity and dyslipidemia. A &gt;50% stenosis in the LAD and the presence of multi-vessel CAD were found to be significant predictors for LVR. The most powerful predictors of LVR following AMI were: LVEF &lt;45%, mitral regurgitation, and interventricular septum hypertrophy.","author":[{"dropping-particle":"","family":"Pop","given":"Sorin","non-dropping-particle":"","parse-names":false,"suffix":""},{"dropping-particle":"","family":"Hodaș","given":"Roxana","non-dropping-particle":"","parse-names":false,"suffix":""},{"dropping-particle":"","family":"Benedek","given":"Edvin","non-dropping-particle":"","parse-names":false,"suffix":""},{"dropping-particle":"","family":"Opincariu","given":"Diana","non-dropping-particle":"","parse-names":false,"suffix":""},{"dropping-particle":"","family":"Rat","given":"Nora","non-dropping-particle":"","parse-names":false,"suffix":""},{"dropping-particle":"","family":"Jani","given":"Laura","non-dropping-particle":"","parse-names":false,"suffix":""},{"dropping-particle":"","family":"Stanescu","given":"Alexandra","non-dropping-particle":"","parse-names":false,"suffix":""},{"dropping-particle":"","family":"Chitu","given":"Monica","non-dropping-particle":"","parse-names":false,"suffix":""},{"dropping-particle":"","family":"Benedek","given":"Imre","non-dropping-particle":"","parse-names":false,"suffix":""},{"dropping-particle":"","family":"Benedek","given":"Theodora","non-dropping-particle":"","parse-names":false,"suffix":""}],"id":"ITEM-1","issued":{"date-parts":[["0"]]},"title":"Predictors of Left Ventricular Remodeling after Revascularized Acute Myocardial Infarction","type":"article-journal"},"uris":["http://www.mendeley.com/documents/?uuid=8b87f76f-1951-37e5-a385-6590da63b3df"]}],"mendeley":{"formattedCitation":"&lt;sup&gt;8&lt;/sup&gt;","plainTextFormattedCitation":"8","previouslyFormattedCitation":"&lt;sup&gt;[143]&lt;/sup&gt;"},"properties":{"noteIndex":0},"schema":"https://github.com/citation-style-language/schema/raw/master/csl-citation.json"}</w:instrText>
      </w:r>
      <w:r w:rsidR="006F7B40" w:rsidRPr="00A12D77">
        <w:rPr>
          <w:b/>
          <w:bCs/>
        </w:rPr>
        <w:fldChar w:fldCharType="separate"/>
      </w:r>
      <w:r w:rsidR="00673D11" w:rsidRPr="00A12D77">
        <w:rPr>
          <w:bCs/>
          <w:noProof/>
          <w:vertAlign w:val="superscript"/>
        </w:rPr>
        <w:t>8</w:t>
      </w:r>
      <w:r w:rsidR="006F7B40" w:rsidRPr="00A12D77">
        <w:rPr>
          <w:b/>
          <w:bCs/>
        </w:rPr>
        <w:fldChar w:fldCharType="end"/>
      </w:r>
      <w:r>
        <w:rPr>
          <w:rFonts w:eastAsiaTheme="minorEastAsia" w:hint="eastAsia"/>
          <w:b/>
          <w:bCs/>
          <w:lang w:eastAsia="zh-CN"/>
        </w:rPr>
        <w:t xml:space="preserve"> </w:t>
      </w:r>
      <w:r w:rsidR="00673D11" w:rsidRPr="00A12D77">
        <w:t xml:space="preserve">on 105 patients and showed no statistically significant difference between both groups as regard mean age </w:t>
      </w:r>
      <w:r>
        <w:t>(</w:t>
      </w:r>
      <w:r w:rsidR="00673D11" w:rsidRPr="00A12D77">
        <w:t xml:space="preserve">P =0.182). Also, male patients were found to be more prone to the development of LV </w:t>
      </w:r>
      <w:r w:rsidRPr="00A12D77">
        <w:t>remodelling</w:t>
      </w:r>
      <w:r w:rsidR="00673D11" w:rsidRPr="00A12D77">
        <w:t xml:space="preserve"> </w:t>
      </w:r>
      <w:r>
        <w:t>(</w:t>
      </w:r>
      <w:r w:rsidR="00673D11" w:rsidRPr="00A12D77">
        <w:t>P =0.03)</w:t>
      </w:r>
      <w:r w:rsidR="00673D11" w:rsidRPr="00A12D77">
        <w:rPr>
          <w:i/>
          <w:iCs/>
        </w:rPr>
        <w:t xml:space="preserve">, </w:t>
      </w:r>
      <w:r w:rsidR="00673D11" w:rsidRPr="00A12D77">
        <w:t xml:space="preserve">in contrast to the study conducted by </w:t>
      </w:r>
      <w:r w:rsidR="00673D11" w:rsidRPr="00A12D77">
        <w:rPr>
          <w:b/>
          <w:bCs/>
          <w:i/>
          <w:iCs/>
        </w:rPr>
        <w:t>Mousa et al</w:t>
      </w:r>
      <w:r w:rsidR="006F7B40" w:rsidRPr="00A12D77">
        <w:fldChar w:fldCharType="begin" w:fldLock="1"/>
      </w:r>
      <w:r w:rsidR="00673D11" w:rsidRPr="00A12D77">
        <w:instrText>ADDIN CSL_CITATION {"citationItems":[{"id":"ITEM-1","itemData":{"DOI":"10.1016/j.ehj.2018.05.003","ISSN":"11102608","author":[{"dropping-particle":"","family":"Aboelkasem Ali Mousa","given":"Mohammad","non-dropping-particle":"","parse-names":false,"suffix":""},{"dropping-particle":"","family":"Abdelsabour Abdallah","given":"Mahmoud","non-dropping-particle":"","parse-names":false,"suffix":""},{"dropping-particle":"","family":"Shamseddin Mohammad","given":"Hamdy","non-dropping-particle":"","parse-names":false,"suffix":""},{"dropping-particle":"","family":"Ahmad Aly Youssef","given":"Amr","non-dropping-particle":"","parse-names":false,"suffix":""}],"container-title":"The Egyptian Heart Journal","id":"ITEM-1","issue":"4","issued":{"date-parts":[["2018","12"]]},"page":"403-407","title":"Early predictors of left ventricular remodeling after primary percutaneous coronary intervention","type":"article-journal","volume":"70"},"uris":["http://www.mendeley.com/documents/?uuid=683fb86f-f25e-3d7a-abe7-e80f80e6334d"]}],"mendeley":{"formattedCitation":"&lt;sup&gt;9&lt;/sup&gt;","plainTextFormattedCitation":"9","previouslyFormattedCitation":"&lt;sup&gt;[144]&lt;/sup&gt;"},"properties":{"noteIndex":0},"schema":"https://github.com/citation-style-language/schema/raw/master/csl-citation.json"}</w:instrText>
      </w:r>
      <w:r w:rsidR="006F7B40" w:rsidRPr="00A12D77">
        <w:fldChar w:fldCharType="separate"/>
      </w:r>
      <w:r w:rsidR="00673D11" w:rsidRPr="00A12D77">
        <w:rPr>
          <w:noProof/>
          <w:vertAlign w:val="superscript"/>
        </w:rPr>
        <w:t>9</w:t>
      </w:r>
      <w:r w:rsidR="006F7B40" w:rsidRPr="00A12D77">
        <w:fldChar w:fldCharType="end"/>
      </w:r>
      <w:r w:rsidR="00673D11" w:rsidRPr="00A12D77">
        <w:t xml:space="preserve"> where there was no statistically significant difference between both groups as regard gender (P =0.5).</w:t>
      </w:r>
    </w:p>
    <w:p w:rsidR="00673D11" w:rsidRPr="00A12D77" w:rsidRDefault="00673D11" w:rsidP="00805DBD">
      <w:pPr>
        <w:pStyle w:val="Body2"/>
        <w:keepLines w:val="0"/>
        <w:suppressAutoHyphens w:val="0"/>
        <w:snapToGrid w:val="0"/>
        <w:spacing w:line="240" w:lineRule="auto"/>
        <w:ind w:firstLine="425"/>
        <w:rPr>
          <w:sz w:val="20"/>
          <w:szCs w:val="20"/>
        </w:rPr>
      </w:pPr>
      <w:r w:rsidRPr="00A12D77">
        <w:rPr>
          <w:sz w:val="20"/>
          <w:szCs w:val="20"/>
        </w:rPr>
        <w:t xml:space="preserve">In this study, DM was shown to have a statistically significant impact on LV remodeling </w:t>
      </w:r>
      <w:r w:rsidR="00A12D77">
        <w:rPr>
          <w:sz w:val="20"/>
          <w:szCs w:val="20"/>
        </w:rPr>
        <w:t>(</w:t>
      </w:r>
      <w:r w:rsidRPr="00A12D77">
        <w:rPr>
          <w:sz w:val="20"/>
          <w:szCs w:val="20"/>
        </w:rPr>
        <w:t>P =0.008</w:t>
      </w:r>
      <w:r w:rsidR="00A12D77">
        <w:rPr>
          <w:sz w:val="20"/>
          <w:szCs w:val="20"/>
        </w:rPr>
        <w:t>)</w:t>
      </w:r>
      <w:r w:rsidR="00C97655" w:rsidRPr="00A12D77">
        <w:rPr>
          <w:sz w:val="20"/>
          <w:szCs w:val="20"/>
        </w:rPr>
        <w:t xml:space="preserve"> </w:t>
      </w:r>
      <w:r w:rsidRPr="00A12D77">
        <w:rPr>
          <w:sz w:val="20"/>
          <w:szCs w:val="20"/>
        </w:rPr>
        <w:t xml:space="preserve">similar to the study conducted by </w:t>
      </w:r>
      <w:r w:rsidRPr="00A12D77">
        <w:rPr>
          <w:b/>
          <w:bCs/>
          <w:i/>
          <w:iCs/>
          <w:sz w:val="20"/>
          <w:szCs w:val="20"/>
        </w:rPr>
        <w:t>Joyce et al</w:t>
      </w:r>
      <w:r w:rsidR="006F7B40" w:rsidRPr="00A12D77">
        <w:rPr>
          <w:sz w:val="20"/>
          <w:szCs w:val="20"/>
        </w:rPr>
        <w:fldChar w:fldCharType="begin" w:fldLock="1"/>
      </w:r>
      <w:r w:rsidRPr="00A12D77">
        <w:rPr>
          <w:sz w:val="20"/>
          <w:szCs w:val="20"/>
        </w:rPr>
        <w:instrText>ADDIN CSL_CITATION {"citationItems":[{"id":"ITEM-1","itemData":{"DOI":"10.1136/heartjnl-2012-303406","ISSN":"1468-201X","PMID":"23468514","abstract":"OBJECTIVE Left ventricular (LV) adverse remodelling is an important determinant of mortality after ST segment elevation myocardial infarction (STEMI). Recently, discharge heart rate (DHR) has been associated with long-term outcomes after STEMI. Whether DHR is related to the development of LV remodelling after STEMI remains unknown. The present study evaluated the association between DHR after STEMI and the occurrence of LV remodelling at 6 months. DESIGN, SETTING, PATIENTS AND INTERVENTIONS: In 964 STEMI patients (60±11 years, 77% male) treated with primary percutaneous coronary intervention, DHR was derived from predischarge 12-lead electrocardiograph. LV volumes were measured with two-dimensional transthoracic echocardiography at baseline and 6-month follow-up. Variables independently associated with the occurrence of LV remodelling were investigated. MAIN OUTCOME MEASURES LV remodelling, defined as ≥20% increase in LV end-diastolic volume at 6 months follow-up. RESULTS LV remodelling occurred in 30.7% of patients. Compared with patients without remodelling, these patients had higher DHR (72±11 bpm vs 68±12 bpm, p&lt;0.001), higher levels of peak troponin T (5.6 (2.7, 11) ug/L vs 3.7 (1.6, 7.4) ug/L, p&lt;0.001) and creatine kinase (2083 (960, 4045) U/L vs 1469 (669, 2750) U/L, p&lt;0.001), lower LV ejection fraction (45±10 vs 48±9%, p&lt;0.001) and more frequently displayed left anterior descending artery as culprit (52% vs 44%, p=0.02). Median DHR was 69 bpm. DHR &gt;69 bpm (OR 1.5, 95% CI 1.10 to 2.04, p=0.01) and higher peak troponin T (OR 1.06, 95% CI 1.03 to 1.09, p&lt;0.001) were independently associated with LV remodelling at follow-up. CONCLUSIONS DHR is independently associated with LV remodelling after STEMI, underlining the importance of heart rate as an early risk marker in this contemporary population.","author":[{"dropping-particle":"","family":"Joyce","given":"Emer","non-dropping-particle":"","parse-names":false,"suffix":""},{"dropping-particle":"","family":"Hoogslag","given":"Georgette E","non-dropping-particle":"","parse-names":false,"suffix":""},{"dropping-particle":"","family":"Leong","given":"Darryl P","non-dropping-particle":"","parse-names":false,"suffix":""},{"dropping-particle":"","family":"Fox","given":"Kim","non-dropping-particle":"","parse-names":false,"suffix":""},{"dropping-particle":"","family":"Schalij","given":"Martin J","non-dropping-particle":"","parse-names":false,"suffix":""},{"dropping-particle":"","family":"Marsan","given":"Nina Ajmone","non-dropping-particle":"","parse-names":false,"suffix":""},{"dropping-particle":"","family":"Bax","given":"Jeroen J","non-dropping-particle":"","parse-names":false,"suffix":""},{"dropping-particle":"","family":"Delgado","given":"Victoria","non-dropping-particle":"","parse-names":false,"suffix":""}],"container-title":"Heart (British Cardiac Society)","id":"ITEM-1","issue":"8","issued":{"date-parts":[["2013","4","15"]]},"page":"556-61","publisher":"BMJ Publishing Group Ltd and British Cardiovascular Society","title":"Association between discharge heart rate and left ventricular adverse remodelling in ST segment elevation myocardial infarction patients treated with primary percutaneous coronary intervention.","type":"article-journal","volume":"99"},"uris":["http://www.mendeley.com/documents/?uuid=b23464c0-54bd-3b88-85e2-fe85694d9448"]}],"mendeley":{"formattedCitation":"&lt;sup&gt;5&lt;/sup&gt;","plainTextFormattedCitation":"5","previouslyFormattedCitation":"&lt;sup&gt;[139]&lt;/sup&gt;"},"properties":{"noteIndex":0},"schema":"https://github.com/citation-style-language/schema/raw/master/csl-citation.json"}</w:instrText>
      </w:r>
      <w:r w:rsidR="006F7B40" w:rsidRPr="00A12D77">
        <w:rPr>
          <w:sz w:val="20"/>
          <w:szCs w:val="20"/>
        </w:rPr>
        <w:fldChar w:fldCharType="separate"/>
      </w:r>
      <w:r w:rsidRPr="00A12D77">
        <w:rPr>
          <w:noProof/>
          <w:sz w:val="20"/>
          <w:szCs w:val="20"/>
          <w:vertAlign w:val="superscript"/>
        </w:rPr>
        <w:t>5</w:t>
      </w:r>
      <w:r w:rsidR="006F7B40" w:rsidRPr="00A12D77">
        <w:rPr>
          <w:sz w:val="20"/>
          <w:szCs w:val="20"/>
        </w:rPr>
        <w:fldChar w:fldCharType="end"/>
      </w:r>
      <w:r w:rsidRPr="00A12D77">
        <w:rPr>
          <w:sz w:val="20"/>
          <w:szCs w:val="20"/>
        </w:rPr>
        <w:t xml:space="preserve"> on 964 STEMI patients </w:t>
      </w:r>
      <w:r w:rsidR="00A12D77">
        <w:rPr>
          <w:sz w:val="20"/>
          <w:szCs w:val="20"/>
        </w:rPr>
        <w:t>(</w:t>
      </w:r>
      <w:r w:rsidRPr="00A12D77">
        <w:rPr>
          <w:sz w:val="20"/>
          <w:szCs w:val="20"/>
        </w:rPr>
        <w:t>P =0.05</w:t>
      </w:r>
      <w:r w:rsidR="00A12D77">
        <w:rPr>
          <w:sz w:val="20"/>
          <w:szCs w:val="20"/>
        </w:rPr>
        <w:t>)</w:t>
      </w:r>
      <w:r w:rsidR="00805DBD" w:rsidRPr="00A12D77">
        <w:rPr>
          <w:sz w:val="20"/>
          <w:szCs w:val="20"/>
        </w:rPr>
        <w:t>. I</w:t>
      </w:r>
      <w:r w:rsidRPr="00A12D77">
        <w:rPr>
          <w:sz w:val="20"/>
          <w:szCs w:val="20"/>
        </w:rPr>
        <w:t xml:space="preserve">n contrast to this study, the study conducted by </w:t>
      </w:r>
      <w:r w:rsidRPr="00A12D77">
        <w:rPr>
          <w:b/>
          <w:bCs/>
          <w:i/>
          <w:iCs/>
          <w:sz w:val="20"/>
          <w:szCs w:val="20"/>
        </w:rPr>
        <w:t xml:space="preserve">Mousa et al </w:t>
      </w:r>
      <w:r w:rsidR="006F7B40" w:rsidRPr="00A12D77">
        <w:rPr>
          <w:b/>
          <w:bCs/>
          <w:i/>
          <w:iCs/>
          <w:sz w:val="20"/>
          <w:szCs w:val="20"/>
        </w:rPr>
        <w:fldChar w:fldCharType="begin" w:fldLock="1"/>
      </w:r>
      <w:r w:rsidRPr="00A12D77">
        <w:rPr>
          <w:b/>
          <w:bCs/>
          <w:i/>
          <w:iCs/>
          <w:sz w:val="20"/>
          <w:szCs w:val="20"/>
        </w:rPr>
        <w:instrText>ADDIN CSL_CITATION {"citationItems":[{"id":"ITEM-1","itemData":{"DOI":"10.1016/j.ehj.2018.05.003","ISSN":"11102608","author":[{"dropping-particle":"","family":"Aboelkasem Ali Mousa","given":"Mohammad","non-dropping-particle":"","parse-names":false,"suffix":""},{"dropping-particle":"","family":"Abdelsabour Abdallah","given":"Mahmoud","non-dropping-particle":"","parse-names":false,"suffix":""},{"dropping-particle":"","family":"Shamseddin Mohammad","given":"Hamdy","non-dropping-particle":"","parse-names":false,"suffix":""},{"dropping-particle":"","family":"Ahmad Aly Youssef","given":"Amr","non-dropping-particle":"","parse-names":false,"suffix":""}],"container-title":"The Egyptian Heart Journal","id":"ITEM-1","issue":"4","issued":{"date-parts":[["2018","12"]]},"page":"403-407","title":"Early predictors of left ventricular remodeling after primary percutaneous coronary intervention","type":"article-journal","volume":"70"},"uris":["http://www.mendeley.com/documents/?uuid=683fb86f-f25e-3d7a-abe7-e80f80e6334d"]}],"mendeley":{"formattedCitation":"&lt;sup&gt;9&lt;/sup&gt;","plainTextFormattedCitation":"9","previouslyFormattedCitation":"&lt;sup&gt;[144]&lt;/sup&gt;"},"properties":{"noteIndex":0},"schema":"https://github.com/citation-style-language/schema/raw/master/csl-citation.json"}</w:instrText>
      </w:r>
      <w:r w:rsidR="006F7B40" w:rsidRPr="00A12D77">
        <w:rPr>
          <w:b/>
          <w:bCs/>
          <w:i/>
          <w:iCs/>
          <w:sz w:val="20"/>
          <w:szCs w:val="20"/>
        </w:rPr>
        <w:fldChar w:fldCharType="separate"/>
      </w:r>
      <w:r w:rsidRPr="00A12D77">
        <w:rPr>
          <w:bCs/>
          <w:iCs/>
          <w:noProof/>
          <w:sz w:val="20"/>
          <w:szCs w:val="20"/>
          <w:vertAlign w:val="superscript"/>
        </w:rPr>
        <w:t>9</w:t>
      </w:r>
      <w:r w:rsidR="006F7B40" w:rsidRPr="00A12D77">
        <w:rPr>
          <w:b/>
          <w:bCs/>
          <w:i/>
          <w:iCs/>
          <w:sz w:val="20"/>
          <w:szCs w:val="20"/>
        </w:rPr>
        <w:fldChar w:fldCharType="end"/>
      </w:r>
      <w:r w:rsidR="00A12D77">
        <w:rPr>
          <w:rFonts w:eastAsiaTheme="minorEastAsia" w:hint="eastAsia"/>
          <w:b/>
          <w:bCs/>
          <w:i/>
          <w:iCs/>
          <w:sz w:val="20"/>
          <w:szCs w:val="20"/>
          <w:lang w:eastAsia="zh-CN"/>
        </w:rPr>
        <w:t xml:space="preserve"> </w:t>
      </w:r>
      <w:r w:rsidRPr="00A12D77">
        <w:rPr>
          <w:sz w:val="20"/>
          <w:szCs w:val="20"/>
        </w:rPr>
        <w:t>on 152 STEMI patients treated with PCI</w:t>
      </w:r>
      <w:r w:rsidR="00C97655" w:rsidRPr="00A12D77">
        <w:rPr>
          <w:sz w:val="20"/>
          <w:szCs w:val="20"/>
        </w:rPr>
        <w:t xml:space="preserve"> </w:t>
      </w:r>
      <w:r w:rsidRPr="00A12D77">
        <w:rPr>
          <w:sz w:val="20"/>
          <w:szCs w:val="20"/>
        </w:rPr>
        <w:t xml:space="preserve">and </w:t>
      </w:r>
      <w:r w:rsidRPr="00A12D77">
        <w:rPr>
          <w:b/>
          <w:bCs/>
          <w:i/>
          <w:iCs/>
          <w:sz w:val="20"/>
          <w:szCs w:val="20"/>
        </w:rPr>
        <w:t xml:space="preserve">Pop et al </w:t>
      </w:r>
      <w:r w:rsidR="006F7B40" w:rsidRPr="00A12D77">
        <w:rPr>
          <w:b/>
          <w:bCs/>
          <w:i/>
          <w:iCs/>
          <w:sz w:val="20"/>
          <w:szCs w:val="20"/>
        </w:rPr>
        <w:fldChar w:fldCharType="begin" w:fldLock="1"/>
      </w:r>
      <w:r w:rsidRPr="00A12D77">
        <w:rPr>
          <w:b/>
          <w:bCs/>
          <w:i/>
          <w:iCs/>
          <w:sz w:val="20"/>
          <w:szCs w:val="20"/>
        </w:rPr>
        <w:instrText>ADDIN CSL_CITATION {"citationItems":[{"id":"ITEM-1","itemData":{"DOI":"10.1515/jim-2016-0013","abstract":"Background: The acute loss of myocardium, following an acute myocardial infarction (AMI) leads to an abrupt increase in the loading conditions that induces a pattern of left ventricular remodeling (LVR). It has been shown that remodeling occurs rapidly and progressively within weeks after the AMI. Study aim: The aim of our study was to identify predictors for LVR, and find correlations between them and the cardiovascular (CV) risk factors that lead to remodel-ing. Material and methods: One hundred and five AMI patients who underwent primary PCI were included in the study. A 2-D echocardiography was performed at baseline (day 1 ± 3 post-MI) and at 6 months follow-up. The LV remodeling index (RI), was defined as the difference between the Left Ventricular End-Diastolic diameter (LVEDD) at 6 months and at baseline. The patients were divided into 2 groups, according to the RI: Group 1-RI &gt;15% with positive remodeling (n = 23); Group 2-RI ≤15% with no remodeling (n = 82). Results: The mean age was 63.26 ± 2.084 years for Group 1 and 59.72 ± 1.267 years for Group 2. The most significant predictor of LVR was the female gender (Group 1-52% vs. Group 2-18%, p &lt;0.0001). Men younger than 50 years showed a lower rate of LVR (Group1-9% vs. Group 2-20%, p = 0.0432). In women, age over 65 years was a significant predictor for LVR (Group 1-26% vs. Group 2-9%, p = 0.0025). The CV risk factors associated with LVR were: smoking (p = 0.0008); obesity (p = 0.013); dyslipidemia (p = 0.1184). The positive remodeling group had a higher rate of LAD stenosis compared to the no-remodeling group (48% vs. 26%, p = 0.002). The presence of multi-vessel disease was shown to be higher in Group 1 (26% vs. 9%, p = 0.0025). The echocardiographic parameters that predicted LVR were: LVEF &lt;45% (p = 0.048), mitral regurgitation (p = 0.022), and interventricular septum hypertrophy (p &lt;0.0001). Conclusions: The CV risk factors correlated with LVR were smoking, obesity and dyslipidemia. A &gt;50% stenosis in the LAD and the presence of multi-vessel CAD were found to be significant predictors for LVR. The most powerful predictors of LVR following AMI were: LVEF &lt;45%, mitral regurgitation, and interventricular septum hypertrophy.","author":[{"dropping-particle":"","family":"Pop","given":"Sorin","non-dropping-particle":"","parse-names":false,"suffix":""},{"dropping-particle":"","family":"Hodaș","given":"Roxana","non-dropping-particle":"","parse-names":false,"suffix":""},{"dropping-particle":"","family":"Benedek","given":"Edvin","non-dropping-particle":"","parse-names":false,"suffix":""},{"dropping-particle":"","family":"Opincariu","given":"Diana","non-dropping-particle":"","parse-names":false,"suffix":""},{"dropping-particle":"","family":"Rat","given":"Nora","non-dropping-particle":"","parse-names":false,"suffix":""},{"dropping-particle":"","family":"Jani","given":"Laura","non-dropping-particle":"","parse-names":false,"suffix":""},{"dropping-particle":"","family":"Stanescu","given":"Alexandra","non-dropping-particle":"","parse-names":false,"suffix":""},{"dropping-particle":"","family":"Chitu","given":"Monica","non-dropping-particle":"","parse-names":false,"suffix":""},{"dropping-particle":"","family":"Benedek","given":"Imre","non-dropping-particle":"","parse-names":false,"suffix":""},{"dropping-particle":"","family":"Benedek","given":"Theodora","non-dropping-particle":"","parse-names":false,"suffix":""}],"id":"ITEM-1","issued":{"date-parts":[["0"]]},"title":"Predictors of Left Ventricular Remodeling after Revascularized Acute Myocardial Infarction","type":"article-journal"},"uris":["http://www.mendeley.com/documents/?uuid=8b87f76f-1951-37e5-a385-6590da63b3df"]}],"mendeley":{"formattedCitation":"&lt;sup&gt;8&lt;/sup&gt;","plainTextFormattedCitation":"8","previouslyFormattedCitation":"&lt;sup&gt;[143]&lt;/sup&gt;"},"properties":{"noteIndex":0},"schema":"https://github.com/citation-style-language/schema/raw/master/csl-citation.json"}</w:instrText>
      </w:r>
      <w:r w:rsidR="006F7B40" w:rsidRPr="00A12D77">
        <w:rPr>
          <w:b/>
          <w:bCs/>
          <w:i/>
          <w:iCs/>
          <w:sz w:val="20"/>
          <w:szCs w:val="20"/>
        </w:rPr>
        <w:fldChar w:fldCharType="separate"/>
      </w:r>
      <w:r w:rsidRPr="00A12D77">
        <w:rPr>
          <w:bCs/>
          <w:iCs/>
          <w:noProof/>
          <w:sz w:val="20"/>
          <w:szCs w:val="20"/>
          <w:vertAlign w:val="superscript"/>
        </w:rPr>
        <w:t>8</w:t>
      </w:r>
      <w:r w:rsidR="006F7B40" w:rsidRPr="00A12D77">
        <w:rPr>
          <w:b/>
          <w:bCs/>
          <w:i/>
          <w:iCs/>
          <w:sz w:val="20"/>
          <w:szCs w:val="20"/>
        </w:rPr>
        <w:fldChar w:fldCharType="end"/>
      </w:r>
      <w:r w:rsidR="00A12D77">
        <w:rPr>
          <w:rFonts w:eastAsiaTheme="minorEastAsia" w:hint="eastAsia"/>
          <w:b/>
          <w:bCs/>
          <w:i/>
          <w:iCs/>
          <w:sz w:val="20"/>
          <w:szCs w:val="20"/>
          <w:lang w:eastAsia="zh-CN"/>
        </w:rPr>
        <w:t xml:space="preserve"> </w:t>
      </w:r>
      <w:r w:rsidRPr="00A12D77">
        <w:rPr>
          <w:sz w:val="20"/>
          <w:szCs w:val="20"/>
        </w:rPr>
        <w:t>on 105 patients showed no statistically significant difference among both groups, (P =0.09 and 0.059 respectively)</w:t>
      </w:r>
      <w:r w:rsidR="00805DBD" w:rsidRPr="00A12D77">
        <w:rPr>
          <w:sz w:val="20"/>
          <w:szCs w:val="20"/>
        </w:rPr>
        <w:t>. A</w:t>
      </w:r>
      <w:r w:rsidRPr="00A12D77">
        <w:rPr>
          <w:sz w:val="20"/>
          <w:szCs w:val="20"/>
        </w:rPr>
        <w:t xml:space="preserve">lso, Hypertension was more prevalent in remodeling group (P&lt; 0.001) similar to study conducted by </w:t>
      </w:r>
      <w:r w:rsidRPr="00A12D77">
        <w:rPr>
          <w:b/>
          <w:bCs/>
          <w:i/>
          <w:iCs/>
          <w:sz w:val="20"/>
          <w:szCs w:val="20"/>
        </w:rPr>
        <w:t>Hendriks et al</w:t>
      </w:r>
      <w:r w:rsidR="006F7B40" w:rsidRPr="00A12D77">
        <w:rPr>
          <w:sz w:val="20"/>
          <w:szCs w:val="20"/>
        </w:rPr>
        <w:fldChar w:fldCharType="begin" w:fldLock="1"/>
      </w:r>
      <w:r w:rsidRPr="00A12D77">
        <w:rPr>
          <w:sz w:val="20"/>
          <w:szCs w:val="20"/>
        </w:rPr>
        <w:instrText>ADDIN CSL_CITATION {"citationItems":[{"id":"ITEM-1","itemData":{"DOI":"10.1007/s10554-017-1131-1","ISSN":"1875-8312","PMID":"28389968","abstract":"Adverse left ventricular (LV) remodeling after acute ST-elevation myocardial infarction (STEMI) is associated with morbidity and mortality. We studied clinical, biochemical and angiographic determinants of LV end diastolic volume index (LVEDVi), end systolic volume index (LVESVi) and mass index (LVMi) as global LV remodeling parameters 4 months after STEMI, as well as end diastolic wall thickness (EDWT) and end systolic wall thickness (ESWT) of the non-infarcted myocardium, as compensatory remote LV remodeling parameters. Data was collected in 271 patients participating in the GIPS-III trial, presenting with a first STEMI. Laboratory measures were collected at baseline, 2 weeks, and 6-8 weeks. Cardiovascular magnetic resonance imaging (CMR) was performed 4 months after STEMI. Linear regression analyses were performed to determine predictors. At baseline, patients were 21% female, median age was 58 years. At 4 months, mean LV ejection fraction (LVEF) was 54 ± 9%, mean infarct size was 9.0 ± 7.9% of LVM. Strongest univariate predictors (all p &lt; 0.001) were peak Troponin T for LVEDVi (R2 = 0.26), peak CK-MB for LVESVi (R2 = 0.41), NT-proBNP at 2 weeks for LVMi (R2 = 0.24), body surface area for EDWT (R2 = 0.32), and weight for ESWT (R2 = 0.29). After multivariable analysis, cardiac biomarkers remained the strongest predictors of LVMi, LVEDVi and LVESVi. NT-proBNP but none of the acute cardiac injury biomarkers were associated with remote LV wall thickness. Our analyses illustrate the value of cardiac specific biochemical biomarkers in predicting global LV remodeling after STEMI. We found no evidence for a hypertrophic response of the non-infarcted myocardium.","author":[{"dropping-particle":"","family":"Hendriks","given":"Tom","non-dropping-particle":"","parse-names":false,"suffix":""},{"dropping-particle":"","family":"Hartman","given":"Minke H T","non-dropping-particle":"","parse-names":false,"suffix":""},{"dropping-particle":"","family":"Vlaar","given":"Pieter J J","non-dropping-particle":"","parse-names":false,"suffix":""},{"dropping-particle":"","family":"Prakken","given":"Niek H J","non-dropping-particle":"","parse-names":false,"suffix":""},{"dropping-particle":"","family":"Ende","given":"Yldau M Y","non-dropping-particle":"van der","parse-names":false,"suffix":""},{"dropping-particle":"","family":"Lexis","given":"Chris P H","non-dropping-particle":"","parse-names":false,"suffix":""},{"dropping-particle":"","family":"Veldhuisen","given":"Dirk J","non-dropping-particle":"van","parse-names":false,"suffix":""},{"dropping-particle":"","family":"Horst","given":"Iwan C C","non-dropping-particle":"van der","parse-names":false,"suffix":""},{"dropping-particle":"","family":"Lipsic","given":"Erik","non-dropping-particle":"","parse-names":false,"suffix":""},{"dropping-particle":"","family":"Nijveldt","given":"Robin","non-dropping-particle":"","parse-names":false,"suffix":""},{"dropping-particle":"","family":"Harst","given":"Pim","non-dropping-particle":"van der","parse-names":false,"suffix":""}],"container-title":"The international journal of cardiovascular imaging","id":"ITEM-1","issue":"9","issued":{"date-parts":[["2017","9"]]},"page":"1415-1423","publisher":"Springer","title":"Predictors of left ventricular remodeling after ST-elevation myocardial infarction.","type":"article-journal","volume":"33"},"uris":["http://www.mendeley.com/documents/?uuid=af6a3830-c86b-3ce3-8146-2c5ec2a0395e"]}],"mendeley":{"formattedCitation":"&lt;sup&gt;[145]&lt;/sup&gt;","plainTextFormattedCitation":"[145]","previouslyFormattedCitation":"&lt;sup&gt;[145]&lt;/sup&gt;"},"properties":{"noteIndex":0},"schema":"https://github.com/citation-style-language/schema/raw/master/csl-citation.json"}</w:instrText>
      </w:r>
      <w:r w:rsidR="006F7B40" w:rsidRPr="00A12D77">
        <w:rPr>
          <w:sz w:val="20"/>
          <w:szCs w:val="20"/>
        </w:rPr>
        <w:fldChar w:fldCharType="separate"/>
      </w:r>
      <w:r w:rsidRPr="00A12D77">
        <w:rPr>
          <w:noProof/>
          <w:sz w:val="20"/>
          <w:szCs w:val="20"/>
          <w:vertAlign w:val="superscript"/>
        </w:rPr>
        <w:t>[145]</w:t>
      </w:r>
      <w:r w:rsidR="006F7B40" w:rsidRPr="00A12D77">
        <w:rPr>
          <w:sz w:val="20"/>
          <w:szCs w:val="20"/>
        </w:rPr>
        <w:fldChar w:fldCharType="end"/>
      </w:r>
      <w:r w:rsidRPr="00A12D77">
        <w:rPr>
          <w:sz w:val="20"/>
          <w:szCs w:val="20"/>
        </w:rPr>
        <w:t xml:space="preserve"> on </w:t>
      </w:r>
      <w:r w:rsidRPr="00A12D77">
        <w:rPr>
          <w:sz w:val="20"/>
          <w:szCs w:val="20"/>
          <w:shd w:val="clear" w:color="auto" w:fill="FFFFFF"/>
        </w:rPr>
        <w:t xml:space="preserve">271 patients participating in the GIPS-III trial </w:t>
      </w:r>
      <w:r w:rsidR="00A12D77">
        <w:rPr>
          <w:sz w:val="20"/>
          <w:szCs w:val="20"/>
          <w:shd w:val="clear" w:color="auto" w:fill="FFFFFF"/>
        </w:rPr>
        <w:t>(</w:t>
      </w:r>
      <w:r w:rsidRPr="00A12D77">
        <w:rPr>
          <w:sz w:val="20"/>
          <w:szCs w:val="20"/>
          <w:shd w:val="clear" w:color="auto" w:fill="FFFFFF"/>
        </w:rPr>
        <w:t>P =0.03</w:t>
      </w:r>
      <w:r w:rsidR="00A12D77">
        <w:rPr>
          <w:sz w:val="20"/>
          <w:szCs w:val="20"/>
          <w:shd w:val="clear" w:color="auto" w:fill="FFFFFF"/>
        </w:rPr>
        <w:t>)</w:t>
      </w:r>
      <w:r w:rsidR="00805DBD" w:rsidRPr="00A12D77">
        <w:rPr>
          <w:sz w:val="20"/>
          <w:szCs w:val="20"/>
        </w:rPr>
        <w:t>, i</w:t>
      </w:r>
      <w:r w:rsidRPr="00A12D77">
        <w:rPr>
          <w:sz w:val="20"/>
          <w:szCs w:val="20"/>
        </w:rPr>
        <w:t>n contrast to current study</w:t>
      </w:r>
      <w:r w:rsidR="00C97655" w:rsidRPr="00A12D77">
        <w:rPr>
          <w:sz w:val="20"/>
          <w:szCs w:val="20"/>
        </w:rPr>
        <w:t>,</w:t>
      </w:r>
      <w:r w:rsidRPr="00A12D77">
        <w:rPr>
          <w:sz w:val="20"/>
          <w:szCs w:val="20"/>
        </w:rPr>
        <w:t xml:space="preserve"> The study conducted by </w:t>
      </w:r>
      <w:r w:rsidRPr="00A12D77">
        <w:rPr>
          <w:b/>
          <w:bCs/>
          <w:i/>
          <w:iCs/>
          <w:sz w:val="20"/>
          <w:szCs w:val="20"/>
        </w:rPr>
        <w:t>Mousa et al</w:t>
      </w:r>
      <w:r w:rsidR="006F7B40" w:rsidRPr="00A12D77">
        <w:rPr>
          <w:sz w:val="20"/>
          <w:szCs w:val="20"/>
        </w:rPr>
        <w:fldChar w:fldCharType="begin" w:fldLock="1"/>
      </w:r>
      <w:r w:rsidRPr="00A12D77">
        <w:rPr>
          <w:sz w:val="20"/>
          <w:szCs w:val="20"/>
        </w:rPr>
        <w:instrText>ADDIN CSL_CITATION {"citationItems":[{"id":"ITEM-1","itemData":{"DOI":"10.1016/j.ehj.2018.05.003","ISSN":"11102608","author":[{"dropping-particle":"","family":"Aboelkasem Ali Mousa","given":"Mohammad","non-dropping-particle":"","parse-names":false,"suffix":""},{"dropping-particle":"","family":"Abdelsabour Abdallah","given":"Mahmoud","non-dropping-particle":"","parse-names":false,"suffix":""},{"dropping-particle":"","family":"Shamseddin Mohammad","given":"Hamdy","non-dropping-particle":"","parse-names":false,"suffix":""},{"dropping-particle":"","family":"Ahmad Aly Youssef","given":"Amr","non-dropping-particle":"","parse-names":false,"suffix":""}],"container-title":"The Egyptian Heart Journal","id":"ITEM-1","issue":"4","issued":{"date-parts":[["2018","12"]]},"page":"403-407","title":"Early predictors of left ventricular remodeling after primary percutaneous coronary intervention","type":"article-journal","volume":"70"},"uris":["http://www.mendeley.com/documents/?uuid=683fb86f-f25e-3d7a-abe7-e80f80e6334d"]}],"mendeley":{"formattedCitation":"&lt;sup&gt;[144]&lt;/sup&gt;","plainTextFormattedCitation":"[144]","previouslyFormattedCitation":"&lt;sup&gt;[144]&lt;/sup&gt;"},"properties":{"noteIndex":0},"schema":"https://github.com/citation-style-language/schema/raw/master/csl-citation.json"}</w:instrText>
      </w:r>
      <w:r w:rsidR="006F7B40" w:rsidRPr="00A12D77">
        <w:rPr>
          <w:sz w:val="20"/>
          <w:szCs w:val="20"/>
        </w:rPr>
        <w:fldChar w:fldCharType="separate"/>
      </w:r>
      <w:r w:rsidRPr="00A12D77">
        <w:rPr>
          <w:noProof/>
          <w:sz w:val="20"/>
          <w:szCs w:val="20"/>
          <w:vertAlign w:val="superscript"/>
        </w:rPr>
        <w:t>[144]</w:t>
      </w:r>
      <w:r w:rsidR="006F7B40" w:rsidRPr="00A12D77">
        <w:rPr>
          <w:sz w:val="20"/>
          <w:szCs w:val="20"/>
        </w:rPr>
        <w:fldChar w:fldCharType="end"/>
      </w:r>
      <w:r w:rsidRPr="00A12D77">
        <w:rPr>
          <w:sz w:val="20"/>
          <w:szCs w:val="20"/>
        </w:rPr>
        <w:t xml:space="preserve"> on 152 patients showed no statistical significance between both groups </w:t>
      </w:r>
      <w:r w:rsidR="00A12D77">
        <w:rPr>
          <w:sz w:val="20"/>
          <w:szCs w:val="20"/>
        </w:rPr>
        <w:t>(</w:t>
      </w:r>
      <w:r w:rsidRPr="00A12D77">
        <w:rPr>
          <w:sz w:val="20"/>
          <w:szCs w:val="20"/>
        </w:rPr>
        <w:t>P =0.53).</w:t>
      </w:r>
    </w:p>
    <w:p w:rsidR="00673D11" w:rsidRPr="00A12D77" w:rsidRDefault="00673D11" w:rsidP="00805DBD">
      <w:pPr>
        <w:snapToGrid w:val="0"/>
        <w:ind w:firstLine="425"/>
        <w:jc w:val="both"/>
        <w:rPr>
          <w:b/>
          <w:bCs/>
          <w:i/>
          <w:iCs/>
          <w:lang w:bidi="ar-EG"/>
        </w:rPr>
      </w:pPr>
      <w:r w:rsidRPr="00A12D77">
        <w:rPr>
          <w:lang w:bidi="ar-EG"/>
        </w:rPr>
        <w:t xml:space="preserve">Ischemic time had no statistical significance for the development of LV </w:t>
      </w:r>
      <w:r w:rsidR="00A12D77" w:rsidRPr="00A12D77">
        <w:rPr>
          <w:lang w:bidi="ar-EG"/>
        </w:rPr>
        <w:t>remodelling</w:t>
      </w:r>
      <w:r w:rsidR="00C97655" w:rsidRPr="00A12D77">
        <w:rPr>
          <w:lang w:bidi="ar-EG"/>
        </w:rPr>
        <w:t xml:space="preserve"> </w:t>
      </w:r>
      <w:r w:rsidRPr="00A12D77">
        <w:rPr>
          <w:lang w:bidi="ar-EG"/>
        </w:rPr>
        <w:t xml:space="preserve">(P =0.567) similar to the study conducted by </w:t>
      </w:r>
      <w:r w:rsidRPr="00A12D77">
        <w:rPr>
          <w:b/>
          <w:bCs/>
          <w:i/>
          <w:iCs/>
          <w:lang w:bidi="ar-EG"/>
        </w:rPr>
        <w:t>Hendriks et al</w:t>
      </w:r>
      <w:r w:rsidR="006F7B40" w:rsidRPr="00A12D77">
        <w:rPr>
          <w:lang w:bidi="ar-EG"/>
        </w:rPr>
        <w:fldChar w:fldCharType="begin" w:fldLock="1"/>
      </w:r>
      <w:r w:rsidRPr="00A12D77">
        <w:rPr>
          <w:lang w:bidi="ar-EG"/>
        </w:rPr>
        <w:instrText>ADDIN CSL_CITATION {"citationItems":[{"id":"ITEM-1","itemData":{"DOI":"10.1007/s10554-017-1131-1","ISSN":"1875-8312","PMID":"28389968","abstract":"Adverse left ventricular (LV) remodeling after acute ST-elevation myocardial infarction (STEMI) is associated with morbidity and mortality. We studied clinical, biochemical and angiographic determinants of LV end diastolic volume index (LVEDVi), end systolic volume index (LVESVi) and mass index (LVMi) as global LV remodeling parameters 4 months after STEMI, as well as end diastolic wall thickness (EDWT) and end systolic wall thickness (ESWT) of the non-infarcted myocardium, as compensatory remote LV remodeling parameters. Data was collected in 271 patients participating in the GIPS-III trial, presenting with a first STEMI. Laboratory measures were collected at baseline, 2 weeks, and 6-8 weeks. Cardiovascular magnetic resonance imaging (CMR) was performed 4 months after STEMI. Linear regression analyses were performed to determine predictors. At baseline, patients were 21% female, median age was 58 years. At 4 months, mean LV ejection fraction (LVEF) was 54 ± 9%, mean infarct size was 9.0 ± 7.9% of LVM. Strongest univariate predictors (all p &lt; 0.001) were peak Troponin T for LVEDVi (R2 = 0.26), peak CK-MB for LVESVi (R2 = 0.41), NT-proBNP at 2 weeks for LVMi (R2 = 0.24), body surface area for EDWT (R2 = 0.32), and weight for ESWT (R2 = 0.29). After multivariable analysis, cardiac biomarkers remained the strongest predictors of LVMi, LVEDVi and LVESVi. NT-proBNP but none of the acute cardiac injury biomarkers were associated with remote LV wall thickness. Our analyses illustrate the value of cardiac specific biochemical biomarkers in predicting global LV remodeling after STEMI. We found no evidence for a hypertrophic response of the non-infarcted myocardium.","author":[{"dropping-particle":"","family":"Hendriks","given":"Tom","non-dropping-particle":"","parse-names":false,"suffix":""},{"dropping-particle":"","family":"Hartman","given":"Minke H T","non-dropping-particle":"","parse-names":false,"suffix":""},{"dropping-particle":"","family":"Vlaar","given":"Pieter J J","non-dropping-particle":"","parse-names":false,"suffix":""},{"dropping-particle":"","family":"Prakken","given":"Niek H J","non-dropping-particle":"","parse-names":false,"suffix":""},{"dropping-particle":"","family":"Ende","given":"Yldau M Y","non-dropping-particle":"van der","parse-names":false,"suffix":""},{"dropping-particle":"","family":"Lexis","given":"Chris P H","non-dropping-particle":"","parse-names":false,"suffix":""},{"dropping-particle":"","family":"Veldhuisen","given":"Dirk J","non-dropping-particle":"van","parse-names":false,"suffix":""},{"dropping-particle":"","family":"Horst","given":"Iwan C C","non-dropping-particle":"van der","parse-names":false,"suffix":""},{"dropping-particle":"","family":"Lipsic","given":"Erik","non-dropping-particle":"","parse-names":false,"suffix":""},{"dropping-particle":"","family":"Nijveldt","given":"Robin","non-dropping-particle":"","parse-names":false,"suffix":""},{"dropping-particle":"","family":"Harst","given":"Pim","non-dropping-particle":"van der","parse-names":false,"suffix":""}],"container-title":"The international journal of cardiovascular imaging","id":"ITEM-1","issue":"9","issued":{"date-parts":[["2017","9"]]},"page":"1415-1423","publisher":"Springer","title":"Predictors of left ventricular remodeling after ST-elevation myocardial infarction.","type":"article-journal","volume":"33"},"uris":["http://www.mendeley.com/documents/?uuid=af6a3830-c86b-3ce3-8146-2c5ec2a0395e"]}],"mendeley":{"formattedCitation":"&lt;sup&gt;10&lt;/sup&gt;","plainTextFormattedCitation":"10","previouslyFormattedCitation":"&lt;sup&gt;[145]&lt;/sup&gt;"},"properties":{"noteIndex":0},"schema":"https://github.com/citation-style-language/schema/raw/master/csl-citation.json"}</w:instrText>
      </w:r>
      <w:r w:rsidR="006F7B40" w:rsidRPr="00A12D77">
        <w:rPr>
          <w:lang w:bidi="ar-EG"/>
        </w:rPr>
        <w:fldChar w:fldCharType="separate"/>
      </w:r>
      <w:r w:rsidRPr="00A12D77">
        <w:rPr>
          <w:noProof/>
          <w:vertAlign w:val="superscript"/>
          <w:lang w:bidi="ar-EG"/>
        </w:rPr>
        <w:t>10</w:t>
      </w:r>
      <w:r w:rsidR="006F7B40" w:rsidRPr="00A12D77">
        <w:rPr>
          <w:lang w:bidi="ar-EG"/>
        </w:rPr>
        <w:fldChar w:fldCharType="end"/>
      </w:r>
      <w:r w:rsidRPr="00A12D77">
        <w:rPr>
          <w:lang w:bidi="ar-EG"/>
        </w:rPr>
        <w:t xml:space="preserve"> (P =0.97</w:t>
      </w:r>
      <w:r w:rsidR="00A12D77">
        <w:rPr>
          <w:lang w:bidi="ar-EG"/>
        </w:rPr>
        <w:t>)</w:t>
      </w:r>
      <w:r w:rsidRPr="00A12D77">
        <w:rPr>
          <w:lang w:bidi="ar-EG"/>
        </w:rPr>
        <w:t xml:space="preserve"> </w:t>
      </w:r>
      <w:r w:rsidRPr="00A12D77">
        <w:rPr>
          <w:lang w:bidi="ar-EG"/>
        </w:rPr>
        <w:lastRenderedPageBreak/>
        <w:t xml:space="preserve">and the study by </w:t>
      </w:r>
      <w:r w:rsidRPr="00A12D77">
        <w:rPr>
          <w:b/>
          <w:bCs/>
          <w:i/>
          <w:iCs/>
        </w:rPr>
        <w:t>Zaliaduonyte-Peksiene et al</w:t>
      </w:r>
      <w:r w:rsidR="006F7B40" w:rsidRPr="00A12D77">
        <w:fldChar w:fldCharType="begin" w:fldLock="1"/>
      </w:r>
      <w:r w:rsidRPr="00A12D77">
        <w:instrText>ADDIN CSL_CITATION {"citationItems":[{"id":"ITEM-1","itemData":{"DOI":"10.1177/1470320312471228","ISSN":"1470-3203","author":[{"dropping-particle":"","family":"Zaliaduonyte-Peksiene","given":"Diana","non-dropping-particle":"","parse-names":false,"suffix":""},{"dropping-particle":"","family":"Simonyte","given":"Sandrita","non-dropping-particle":"","parse-names":false,"suffix":""},{"dropping-particle":"","family":"Lesauskaite","given":"Vaiva","non-dropping-particle":"","parse-names":false,"suffix":""},{"dropping-particle":"","family":"Vaskelyte","given":"Jolanta","non-dropping-particle":"","parse-names":false,"suffix":""},{"dropping-particle":"","family":"Gustiene","given":"Olivija","non-dropping-particle":"","parse-names":false,"suffix":""},{"dropping-particle":"","family":"Mizariene","given":"Vaida","non-dropping-particle":"","parse-names":false,"suffix":""},{"dropping-particle":"","family":"Jurkevicius","given":"Renaldas","non-dropping-particle":"","parse-names":false,"suffix":""},{"dropping-particle":"","family":"Jariene","given":"Giedre","non-dropping-particle":"","parse-names":false,"suffix":""},{"dropping-particle":"","family":"Tamosiunas","given":"Abdonas","non-dropping-particle":"","parse-names":false,"suffix":""},{"dropping-particle":"","family":"Zaliunas","given":"Remigijus","non-dropping-particle":"","parse-names":false,"suffix":""}],"container-title":"Journal of the Renin-Angiotensin-Aldosterone System","id":"ITEM-1","issue":"3","issued":{"date-parts":[["2014","9","2"]]},"page":"286-293","title":"Left ventricular remodelling after acute myocardial infarction: Impact of clinical, echocardiographic parameters and polymorphism of angiotensinogen gene","type":"article-journal","volume":"15"},"uris":["http://www.mendeley.com/documents/?uuid=5bb820ee-59e1-37f7-a665-b085d42754b0"]}],"mendeley":{"formattedCitation":"&lt;sup&gt;11&lt;/sup&gt;","plainTextFormattedCitation":"11","previouslyFormattedCitation":"&lt;sup&gt;[149]&lt;/sup&gt;"},"properties":{"noteIndex":0},"schema":"https://github.com/citation-style-language/schema/raw/master/csl-citation.json"}</w:instrText>
      </w:r>
      <w:r w:rsidR="006F7B40" w:rsidRPr="00A12D77">
        <w:fldChar w:fldCharType="separate"/>
      </w:r>
      <w:r w:rsidRPr="00A12D77">
        <w:rPr>
          <w:noProof/>
          <w:vertAlign w:val="superscript"/>
        </w:rPr>
        <w:t>11</w:t>
      </w:r>
      <w:r w:rsidR="006F7B40" w:rsidRPr="00A12D77">
        <w:fldChar w:fldCharType="end"/>
      </w:r>
      <w:r w:rsidRPr="00A12D77">
        <w:t xml:space="preserve"> on 141 patients with a first-time acute myocardial infarction, which showed no statistically significant difference between both groups.</w:t>
      </w:r>
    </w:p>
    <w:p w:rsidR="00673D11" w:rsidRPr="00A12D77" w:rsidRDefault="00673D11" w:rsidP="00805DBD">
      <w:pPr>
        <w:pStyle w:val="ListParagraph"/>
        <w:snapToGrid w:val="0"/>
        <w:spacing w:after="0" w:line="240" w:lineRule="auto"/>
        <w:ind w:left="0" w:firstLine="425"/>
        <w:jc w:val="both"/>
        <w:rPr>
          <w:rFonts w:ascii="Times New Roman" w:hAnsi="Times New Roman" w:cs="Times New Roman"/>
          <w:color w:val="000000"/>
          <w:sz w:val="20"/>
          <w:szCs w:val="20"/>
          <w:shd w:val="clear" w:color="auto" w:fill="FFFFFF"/>
        </w:rPr>
      </w:pPr>
      <w:r w:rsidRPr="00A12D77">
        <w:rPr>
          <w:rFonts w:ascii="Times New Roman" w:hAnsi="Times New Roman" w:cs="Times New Roman"/>
          <w:sz w:val="20"/>
          <w:szCs w:val="20"/>
          <w:lang w:bidi="ar-EG"/>
        </w:rPr>
        <w:t xml:space="preserve">In contrast to the current study, the study conducted by </w:t>
      </w:r>
      <w:r w:rsidRPr="00A12D77">
        <w:rPr>
          <w:rFonts w:ascii="Times New Roman" w:hAnsi="Times New Roman" w:cs="Times New Roman"/>
          <w:b/>
          <w:bCs/>
          <w:i/>
          <w:iCs/>
          <w:sz w:val="20"/>
          <w:szCs w:val="20"/>
          <w:lang w:bidi="ar-EG"/>
        </w:rPr>
        <w:t xml:space="preserve">Farag et al </w:t>
      </w:r>
      <w:r w:rsidR="006F7B40" w:rsidRPr="00A12D77">
        <w:rPr>
          <w:rFonts w:ascii="Times New Roman" w:hAnsi="Times New Roman" w:cs="Times New Roman"/>
          <w:b/>
          <w:bCs/>
          <w:i/>
          <w:iCs/>
          <w:sz w:val="20"/>
          <w:szCs w:val="20"/>
          <w:lang w:bidi="ar-EG"/>
        </w:rPr>
        <w:fldChar w:fldCharType="begin" w:fldLock="1"/>
      </w:r>
      <w:r w:rsidRPr="00A12D77">
        <w:rPr>
          <w:rFonts w:ascii="Times New Roman" w:hAnsi="Times New Roman" w:cs="Times New Roman"/>
          <w:b/>
          <w:bCs/>
          <w:i/>
          <w:iCs/>
          <w:sz w:val="20"/>
          <w:szCs w:val="20"/>
          <w:lang w:bidi="ar-EG"/>
        </w:rPr>
        <w:instrText>ADDIN CSL_CITATION {"citationItems":[{"id":"ITEM-1","itemData":{"DOI":"10.5830/CVJA-2016-085","ISSN":"1680-0745","PMID":"27805238","abstract":"INTRODUCTION In patients with ST-segment elevation myocardial infarction (STEMI), successful primary percutaneous coronary intervention (PCI) was found to be useful in earlier restoration of TIMI flow 3. However, the incidence of left ventricular (LV) dilatation and remodelling after successful primary PCI is still high. We aimed to determine the independent predictors of LV remodelling after successful primary PCI for patients with first STEMI. METHODS We included 232 STEMI patients treated with primary PCI. Echocardiography was done on the day of PCI and after six months. LV remodelling was defined as ≥ 20% increase in the six-month left ventricular end-diastolic volume (LVEDV). RESULTS In patients with remodelling, symptom-to-door and symptom-to-balloon times were significantly longer (p &lt; 0.00001 for each), initial ejection fraction (EF) was significantly lower (p = 0.044), six-month LVEDV, left ventricular end-systolic volume (LVESV) and LVEDV increase were significantly higher, and EF was significantly lower (p &lt; 0.00001 for each). Mean myocardial blush grade (MBG) was significantly lower in patients with remodelling (p &lt; 0.00001). There was a significant positive correlation between LVEDV increase and both symptom-to-balloon time (r = 0.603, p &lt; 0.00001) and symptom-to-door time (r = 0.564, p &lt; 0.00001), and a significant negative correlation between LVEDV increase and MBG (r = -0.447, p &lt; 0.00001). Logistic regression showed that the independent predictors of LV remodelling were symptom-to-balloon time (p = 0.00068), symptom to door time (p = 0.0013) and MBG (p = 0.0057). CONCLUSION Symptom-to-door time, symptom-to-balloon time and MBG were the only significant predictors of LV remodelling.","author":[{"dropping-particle":"","family":"Farag","given":"El-Sayed M","non-dropping-particle":"","parse-names":false,"suffix":""},{"dropping-particle":"","family":"Al-Daydamony","given":"Mohammad M","non-dropping-particle":"","parse-names":false,"suffix":""}],"container-title":"Cardiovascular journal of Africa","id":"ITEM-1","issue":"3","issued":{"date-parts":[["2017"]]},"page":"186-190","publisher":"Clinics Cardive Publishing (Pty) Ltd.","title":"Symptom-to-balloon time and myocardial blush grade are predictors of left ventricular remodelling after successful primary percutaneous coronary intervention.","type":"article-journal","volume":"28"},"uris":["http://www.mendeley.com/documents/?uuid=9ff2910d-dcfb-3187-aef2-7d3df82dc80b"]}],"mendeley":{"formattedCitation":"&lt;sup&gt;12&lt;/sup&gt;","plainTextFormattedCitation":"12","previouslyFormattedCitation":"&lt;sup&gt;[150]&lt;/sup&gt;"},"properties":{"noteIndex":0},"schema":"https://github.com/citation-style-language/schema/raw/master/csl-citation.json"}</w:instrText>
      </w:r>
      <w:r w:rsidR="006F7B40" w:rsidRPr="00A12D77">
        <w:rPr>
          <w:rFonts w:ascii="Times New Roman" w:hAnsi="Times New Roman" w:cs="Times New Roman"/>
          <w:b/>
          <w:bCs/>
          <w:i/>
          <w:iCs/>
          <w:sz w:val="20"/>
          <w:szCs w:val="20"/>
          <w:lang w:bidi="ar-EG"/>
        </w:rPr>
        <w:fldChar w:fldCharType="separate"/>
      </w:r>
      <w:r w:rsidRPr="00A12D77">
        <w:rPr>
          <w:rFonts w:ascii="Times New Roman" w:hAnsi="Times New Roman" w:cs="Times New Roman"/>
          <w:bCs/>
          <w:iCs/>
          <w:noProof/>
          <w:sz w:val="20"/>
          <w:szCs w:val="20"/>
          <w:vertAlign w:val="superscript"/>
          <w:lang w:bidi="ar-EG"/>
        </w:rPr>
        <w:t>12</w:t>
      </w:r>
      <w:r w:rsidR="006F7B40" w:rsidRPr="00A12D77">
        <w:rPr>
          <w:rFonts w:ascii="Times New Roman" w:hAnsi="Times New Roman" w:cs="Times New Roman"/>
          <w:b/>
          <w:bCs/>
          <w:i/>
          <w:iCs/>
          <w:sz w:val="20"/>
          <w:szCs w:val="20"/>
          <w:lang w:bidi="ar-EG"/>
        </w:rPr>
        <w:fldChar w:fldCharType="end"/>
      </w:r>
      <w:r w:rsidR="00A12D77">
        <w:rPr>
          <w:rFonts w:ascii="Times New Roman" w:eastAsiaTheme="minorEastAsia" w:hAnsi="Times New Roman" w:cs="Times New Roman" w:hint="eastAsia"/>
          <w:b/>
          <w:bCs/>
          <w:i/>
          <w:iCs/>
          <w:sz w:val="20"/>
          <w:szCs w:val="20"/>
          <w:lang w:eastAsia="zh-CN" w:bidi="ar-EG"/>
        </w:rPr>
        <w:t xml:space="preserve"> </w:t>
      </w:r>
      <w:r w:rsidRPr="00A12D77">
        <w:rPr>
          <w:rFonts w:ascii="Times New Roman" w:hAnsi="Times New Roman" w:cs="Times New Roman"/>
          <w:sz w:val="20"/>
          <w:szCs w:val="20"/>
          <w:lang w:bidi="ar-EG"/>
        </w:rPr>
        <w:t xml:space="preserve">on 232 patients undergoing primary PCI, </w:t>
      </w:r>
      <w:r w:rsidRPr="00A12D77">
        <w:rPr>
          <w:rFonts w:ascii="Times New Roman" w:hAnsi="Times New Roman" w:cs="Times New Roman"/>
          <w:color w:val="000000"/>
          <w:sz w:val="20"/>
          <w:szCs w:val="20"/>
          <w:shd w:val="clear" w:color="auto" w:fill="FFFFFF"/>
        </w:rPr>
        <w:t>There was a significant positive correlation between LVEDV increase and symptom-to-balloon time</w:t>
      </w:r>
      <w:r w:rsidR="00C97655" w:rsidRPr="00A12D77">
        <w:rPr>
          <w:rFonts w:ascii="Times New Roman" w:hAnsi="Times New Roman" w:cs="Times New Roman"/>
          <w:color w:val="000000"/>
          <w:sz w:val="20"/>
          <w:szCs w:val="20"/>
          <w:shd w:val="clear" w:color="auto" w:fill="FFFFFF"/>
        </w:rPr>
        <w:t xml:space="preserve"> </w:t>
      </w:r>
      <w:r w:rsidR="00A12D77">
        <w:rPr>
          <w:rFonts w:ascii="Times New Roman" w:hAnsi="Times New Roman" w:cs="Times New Roman"/>
          <w:color w:val="000000"/>
          <w:sz w:val="20"/>
          <w:szCs w:val="20"/>
          <w:shd w:val="clear" w:color="auto" w:fill="FFFFFF"/>
        </w:rPr>
        <w:t>(</w:t>
      </w:r>
      <w:r w:rsidRPr="00A12D77">
        <w:rPr>
          <w:rFonts w:ascii="Times New Roman" w:hAnsi="Times New Roman" w:cs="Times New Roman"/>
          <w:color w:val="000000"/>
          <w:sz w:val="20"/>
          <w:szCs w:val="20"/>
          <w:shd w:val="clear" w:color="auto" w:fill="FFFFFF"/>
        </w:rPr>
        <w:t>P &lt; 0.0001).</w:t>
      </w:r>
    </w:p>
    <w:p w:rsidR="00673D11" w:rsidRPr="00A12D77" w:rsidRDefault="00673D11" w:rsidP="00805DBD">
      <w:pPr>
        <w:snapToGrid w:val="0"/>
        <w:ind w:firstLine="425"/>
        <w:jc w:val="both"/>
        <w:rPr>
          <w:b/>
          <w:bCs/>
          <w:i/>
          <w:iCs/>
          <w:lang w:bidi="ar-EG"/>
        </w:rPr>
      </w:pPr>
      <w:r w:rsidRPr="00A12D77">
        <w:rPr>
          <w:color w:val="000000"/>
          <w:shd w:val="clear" w:color="auto" w:fill="FFFFFF"/>
        </w:rPr>
        <w:t xml:space="preserve">Regarding culprit vessel, </w:t>
      </w:r>
      <w:r w:rsidRPr="00A12D77">
        <w:t xml:space="preserve">it was found that the positive </w:t>
      </w:r>
      <w:r w:rsidR="00A12D77" w:rsidRPr="00A12D77">
        <w:t>remodelling</w:t>
      </w:r>
      <w:r w:rsidRPr="00A12D77">
        <w:t xml:space="preserve"> group had a higher rate of LAD stenosis compared to the no-</w:t>
      </w:r>
      <w:r w:rsidR="00A12D77" w:rsidRPr="00A12D77">
        <w:t>remodelling</w:t>
      </w:r>
      <w:r w:rsidRPr="00A12D77">
        <w:t xml:space="preserve"> group, the difference being statistically significant </w:t>
      </w:r>
      <w:r w:rsidRPr="00A12D77">
        <w:rPr>
          <w:lang w:bidi="ar-EG"/>
        </w:rPr>
        <w:t>(P =</w:t>
      </w:r>
      <w:r w:rsidRPr="00A12D77">
        <w:t>0.038</w:t>
      </w:r>
      <w:r w:rsidRPr="00A12D77">
        <w:rPr>
          <w:lang w:bidi="ar-EG"/>
        </w:rPr>
        <w:t xml:space="preserve">) similar to the study conducted by </w:t>
      </w:r>
      <w:r w:rsidRPr="00A12D77">
        <w:rPr>
          <w:b/>
          <w:bCs/>
          <w:i/>
          <w:iCs/>
          <w:lang w:bidi="ar-EG"/>
        </w:rPr>
        <w:t>Pop et al</w:t>
      </w:r>
      <w:r w:rsidR="006F7B40" w:rsidRPr="00A12D77">
        <w:rPr>
          <w:lang w:bidi="ar-EG"/>
        </w:rPr>
        <w:fldChar w:fldCharType="begin" w:fldLock="1"/>
      </w:r>
      <w:r w:rsidRPr="00A12D77">
        <w:rPr>
          <w:lang w:bidi="ar-EG"/>
        </w:rPr>
        <w:instrText>ADDIN CSL_CITATION {"citationItems":[{"id":"ITEM-1","itemData":{"DOI":"10.1515/jim-2016-0013","abstract":"Background: The acute loss of myocardium, following an acute myocardial infarction (AMI) leads to an abrupt increase in the loading conditions that induces a pattern of left ventricular remodeling (LVR). It has been shown that remodeling occurs rapidly and progressively within weeks after the AMI. Study aim: The aim of our study was to identify predictors for LVR, and find correlations between them and the cardiovascular (CV) risk factors that lead to remodel-ing. Material and methods: One hundred and five AMI patients who underwent primary PCI were included in the study. A 2-D echocardiography was performed at baseline (day 1 ± 3 post-MI) and at 6 months follow-up. The LV remodeling index (RI), was defined as the difference between the Left Ventricular End-Diastolic diameter (LVEDD) at 6 months and at baseline. The patients were divided into 2 groups, according to the RI: Group 1-RI &gt;15% with positive remodeling (n = 23); Group 2-RI ≤15% with no remodeling (n = 82). Results: The mean age was 63.26 ± 2.084 years for Group 1 and 59.72 ± 1.267 years for Group 2. The most significant predictor of LVR was the female gender (Group 1-52% vs. Group 2-18%, p &lt;0.0001). Men younger than 50 years showed a lower rate of LVR (Group1-9% vs. Group 2-20%, p = 0.0432). In women, age over 65 years was a significant predictor for LVR (Group 1-26% vs. Group 2-9%, p = 0.0025). The CV risk factors associated with LVR were: smoking (p = 0.0008); obesity (p = 0.013); dyslipidemia (p = 0.1184). The positive remodeling group had a higher rate of LAD stenosis compared to the no-remodeling group (48% vs. 26%, p = 0.002). The presence of multi-vessel disease was shown to be higher in Group 1 (26% vs. 9%, p = 0.0025). The echocardiographic parameters that predicted LVR were: LVEF &lt;45% (p = 0.048), mitral regurgitation (p = 0.022), and interventricular septum hypertrophy (p &lt;0.0001). Conclusions: The CV risk factors correlated with LVR were smoking, obesity and dyslipidemia. A &gt;50% stenosis in the LAD and the presence of multi-vessel CAD were found to be significant predictors for LVR. The most powerful predictors of LVR following AMI were: LVEF &lt;45%, mitral regurgitation, and interventricular septum hypertrophy.","author":[{"dropping-particle":"","family":"Pop","given":"Sorin","non-dropping-particle":"","parse-names":false,"suffix":""},{"dropping-particle":"","family":"Hodaș","given":"Roxana","non-dropping-particle":"","parse-names":false,"suffix":""},{"dropping-particle":"","family":"Benedek","given":"Edvin","non-dropping-particle":"","parse-names":false,"suffix":""},{"dropping-particle":"","family":"Opincariu","given":"Diana","non-dropping-particle":"","parse-names":false,"suffix":""},{"dropping-particle":"","family":"Rat","given":"Nora","non-dropping-particle":"","parse-names":false,"suffix":""},{"dropping-particle":"","family":"Jani","given":"Laura","non-dropping-particle":"","parse-names":false,"suffix":""},{"dropping-particle":"","family":"Stanescu","given":"Alexandra","non-dropping-particle":"","parse-names":false,"suffix":""},{"dropping-particle":"","family":"Chitu","given":"Monica","non-dropping-particle":"","parse-names":false,"suffix":""},{"dropping-particle":"","family":"Benedek","given":"Imre","non-dropping-particle":"","parse-names":false,"suffix":""},{"dropping-particle":"","family":"Benedek","given":"Theodora","non-dropping-particle":"","parse-names":false,"suffix":""}],"id":"ITEM-1","issued":{"date-parts":[["0"]]},"title":"Predictors of Left Ventricular Remodeling after Revascularized Acute Myocardial Infarction","type":"article-journal"},"uris":["http://www.mendeley.com/documents/?uuid=8b87f76f-1951-37e5-a385-6590da63b3df"]}],"mendeley":{"formattedCitation":"&lt;sup&gt;8&lt;/sup&gt;","plainTextFormattedCitation":"8","previouslyFormattedCitation":"&lt;sup&gt;[143]&lt;/sup&gt;"},"properties":{"noteIndex":0},"schema":"https://github.com/citation-style-language/schema/raw/master/csl-citation.json"}</w:instrText>
      </w:r>
      <w:r w:rsidR="006F7B40" w:rsidRPr="00A12D77">
        <w:rPr>
          <w:lang w:bidi="ar-EG"/>
        </w:rPr>
        <w:fldChar w:fldCharType="separate"/>
      </w:r>
      <w:r w:rsidRPr="00A12D77">
        <w:rPr>
          <w:noProof/>
          <w:vertAlign w:val="superscript"/>
          <w:lang w:bidi="ar-EG"/>
        </w:rPr>
        <w:t>8</w:t>
      </w:r>
      <w:r w:rsidR="006F7B40" w:rsidRPr="00A12D77">
        <w:rPr>
          <w:lang w:bidi="ar-EG"/>
        </w:rPr>
        <w:fldChar w:fldCharType="end"/>
      </w:r>
      <w:r w:rsidRPr="00A12D77">
        <w:rPr>
          <w:lang w:bidi="ar-EG"/>
        </w:rPr>
        <w:t xml:space="preserve"> on 105 patients (P =0.002)</w:t>
      </w:r>
      <w:r w:rsidR="00C97655" w:rsidRPr="00A12D77">
        <w:rPr>
          <w:lang w:bidi="ar-EG"/>
        </w:rPr>
        <w:t>,</w:t>
      </w:r>
      <w:r w:rsidRPr="00A12D77">
        <w:rPr>
          <w:lang w:bidi="ar-EG"/>
        </w:rPr>
        <w:t xml:space="preserve"> also</w:t>
      </w:r>
      <w:r w:rsidRPr="00A12D77">
        <w:rPr>
          <w:b/>
          <w:bCs/>
          <w:i/>
          <w:iCs/>
        </w:rPr>
        <w:t xml:space="preserve"> Warren et al</w:t>
      </w:r>
      <w:r w:rsidR="006F7B40" w:rsidRPr="00A12D77">
        <w:fldChar w:fldCharType="begin" w:fldLock="1"/>
      </w:r>
      <w:r w:rsidRPr="00A12D77">
        <w:instrText>ADDIN CSL_CITATION {"citationItems":[{"id":"ITEM-1","itemData":{"DOI":"10.1016/0735-1097(88)90159-3","ISSN":"0735-1097","abstract":"Dilation of the left ventricle after myocardial infarction is common, occurs rapidly (within 2 weeks of infarction) and may be self-limited. To evaluate the time course of postinfarction left ventricular dilation and to assess the impact of successful coronary thrombolysis, serial radionuclide left ventricular volume analyses were performed in 36 patients undergoing attempted thrombolysis for acute transmural myocardial infarction. All patients underwent cardiac catheterization, coronary angiography and attempted thrombolysis within 7 h of the onset of symptoms. The site of coronary occlusion was the left anterior descending coronary artery in 17 patients, the right coronary artery in 18 and, in 1 patient, occluded bypass grafts to the right and left circumflex coronary arteries. Attempted reperfusion using a thrombolytic agent was successful in 22 individuals, occurring 5 ± 1 h after the onset of symptoms. Gated radionuclide ventriculography was performed early (mean time 1 day after admission, n = 36), subacutely (mean time 11 days postinfarction, n = 36) and late after infarction (mean time 10.5 months, n = 25), and a geometric technique was used to measure serial left ventricular enddiastolic volume. Left ventricular end-diastolic volume for the entire group increased significantly (p &lt; 0.01) from 153 ± 30 ml at baseline to 172 ± 45 ml (at 11 days) to 220 ± 63 ml (at 10.5 months). Twenty of 36 patients showed &gt;20% increase in left ventricular end-diastolic volume (dilation) with time. This appeared early in seven patients, occurred remote from infarction in seven others and showed a progressive pattern in six. Left ventricular dilation was more frequent and chronic dilation significantly more marked (p &lt; 0.01) in patients with left anterior descending as compared with right coronary artery occlusion. Dilation outcomes and ejection fraction for patients in whom attempted thrombolysis was not successful were similar to findings in patients for whom reperfusion was successful. It is concluded that left ventricular dilation after myocardial infarction is a common, though sometimes late-appearing complication, both more frequent and severe in anterior infarction. Relatively late thrombolysis (5 ± 1 h) in the course of acute myocardial infarction did not prevent subsequent development of left ventricular dilation, most probably because of delayed intervention.","author":[{"dropping-particle":"","family":"Warren","given":"Sanford E","non-dropping-particle":"","parse-names":false,"suffix":""},{"dropping-particle":"","family":"Royal","given":"Henry D","non-dropping-particle":"","parse-names":false,"suffix":""},{"dropping-particle":"","family":"Markis","given":"John E","non-dropping-particle":"","parse-names":false,"suffix":""},{"dropping-particle":"","family":"Grossman","given":"William","non-dropping-particle":"","parse-names":false,"suffix":""},{"dropping-particle":"","family":"McKay","given":"Raymond G","non-dropping-particle":"","parse-names":false,"suffix":""}],"container-title":"Journal of the American College of Cardiology","id":"ITEM-1","issue":"1","issued":{"date-parts":[["2003","1","1"]]},"page":"12-19","publisher":"Elsevier","title":"Time course of left ventricular dilation after myocardial infarction: Influence of infarct-related artery and success of coronary thrombolysis","type":"article-journal","volume":"11"},"uris":["http://www.mendeley.com/documents/?uuid=94a99c96-82b8-315c-b1b7-7b9c22583eaf"]}],"mendeley":{"formattedCitation":"&lt;sup&gt;13&lt;/sup&gt;","plainTextFormattedCitation":"13","previouslyFormattedCitation":"&lt;sup&gt;[151]&lt;/sup&gt;"},"properties":{"noteIndex":0},"schema":"https://github.com/citation-style-language/schema/raw/master/csl-citation.json"}</w:instrText>
      </w:r>
      <w:r w:rsidR="006F7B40" w:rsidRPr="00A12D77">
        <w:fldChar w:fldCharType="separate"/>
      </w:r>
      <w:r w:rsidRPr="00A12D77">
        <w:rPr>
          <w:noProof/>
          <w:vertAlign w:val="superscript"/>
        </w:rPr>
        <w:t>13</w:t>
      </w:r>
      <w:r w:rsidR="006F7B40" w:rsidRPr="00A12D77">
        <w:fldChar w:fldCharType="end"/>
      </w:r>
      <w:r w:rsidRPr="00A12D77">
        <w:t xml:space="preserve"> who studied</w:t>
      </w:r>
      <w:r w:rsidR="00C97655" w:rsidRPr="00A12D77">
        <w:t xml:space="preserve"> </w:t>
      </w:r>
      <w:r w:rsidRPr="00A12D77">
        <w:t xml:space="preserve">the time course of LV dilatation after MI and effect of IRA; they found that LV dilatation was more prevalent and chronic dilatation significantly more marked (P&lt; 0.001) in patients with culprit LAD as compared with culprit RCA. Also concordant with findings of </w:t>
      </w:r>
      <w:r w:rsidRPr="00A12D77">
        <w:rPr>
          <w:b/>
          <w:bCs/>
          <w:i/>
          <w:iCs/>
        </w:rPr>
        <w:t>Loboz-Grudzien et al</w:t>
      </w:r>
      <w:r w:rsidR="006F7B40" w:rsidRPr="00A12D77">
        <w:fldChar w:fldCharType="begin" w:fldLock="1"/>
      </w:r>
      <w:r w:rsidRPr="00A12D77">
        <w:instrText>ADDIN CSL_CITATION {"citationItems":[{"id":"ITEM-1","itemData":{"ISSN":"1897-5593","PMID":"18651467","abstract":"BACKGROUND Progressive left ventricular dilatation (PLVD) occurs after myocardial infarction (MI), and this may take place in the area of primary percutaneous coronary intervention (PCI). The factors predicting PLVD after primary PCI still need to be clarified. The aim of the study was to assess the prevalence and to define the baseline clinical and echocardiographic predictors of PLVD in patients with STEMI treated by primary PCI. METHODS Of the 90 patients initially selected for the study 88 (29 women and 59 men, mean age 67.1 +/- 5.6 years) with first ST-elevation myocardial infarction (STEMI) treated with primary PCI were examined. Echocardiographic examination was performed in all patients at discharge (M1) and after 6 months (M2). The following factors influencing PLVD were evaluated: type of infarct-related artery (IRA), infarct size expressed as wall motion score index (WMSI) &gt;/= 1.5, left ventricular end-diastolic volume index (LVEDVI) &gt;/= 80 ml/m(2), ejection fraction (EF) &lt;/= 45%, restrictive pattern of transmitral flow, time to reperfusion, left ventricular mass index (LVMI) &gt;/= 125 g/m(2) and coronary risk factors. RESULTS The overall prevalence of PLVD (according to the criterion of 20% LVEDVI increase from M1 to M2) was 24%. Univariate regression analysis revealed that the following were the significant baseline M1 predictors of adverse PLVD: left anterior descending as IRA (relative risk: rr = 2.3, p &lt; 0.05), WMSI &gt;/= 1.5 (rr = 4.29, p &lt; 0.005), EF &lt;/= 45% (rr = 2.89, p &lt; 0.005) and a restrictive pattern of transmitral flow (rr = 2.4, p &lt; 0.01). Multivariate logistic analysis showed that the only independent determinant of PLVD was WMSI &gt;/= 1.5. CONCLUSIONS Both regional and global left ventricular systolic dysfunction indices as well as severe left ventricular diastolic abnormalities but not left ventricular dilatation at discharge are significant predictors of adverse cardiac remodelling after STEMI in patients treated with primary PCI. However the only independent determinant of PLVD was WMSI &gt;/= 1.5 expressing the infarct size. (Cardiol J 2007; 14: 238-245).","author":[{"dropping-particle":"","family":"Loboz-Grudzień","given":"Krystyna","non-dropping-particle":"","parse-names":false,"suffix":""},{"dropping-particle":"","family":"Kowalska","given":"Alicja","non-dropping-particle":"","parse-names":false,"suffix":""},{"dropping-particle":"","family":"Brzezińska","given":"Barbara","non-dropping-particle":"","parse-names":false,"suffix":""},{"dropping-particle":"","family":"Sokalski","given":"Leszek","non-dropping-particle":"","parse-names":false,"suffix":""},{"dropping-particle":"","family":"Jaroch","given":"Joanna","non-dropping-particle":"","parse-names":false,"suffix":""}],"container-title":"Cardiology journal","id":"ITEM-1","issue":"3","issued":{"date-parts":[["2007"]]},"page":"238-45","title":"Early predictors of adverse left ventricular remodelling after myocardial infarction treated by primary angioplasty.","type":"article-journal","volume":"14"},"uris":["http://www.mendeley.com/documents/?uuid=5ba278b7-1f75-3f42-ba1d-c6924ac4e247"]}],"mendeley":{"formattedCitation":"&lt;sup&gt;3&lt;/sup&gt;","plainTextFormattedCitation":"3","previouslyFormattedCitation":"&lt;sup&gt;[9]&lt;/sup&gt;"},"properties":{"noteIndex":0},"schema":"https://github.com/citation-style-language/schema/raw/master/csl-citation.json"}</w:instrText>
      </w:r>
      <w:r w:rsidR="006F7B40" w:rsidRPr="00A12D77">
        <w:fldChar w:fldCharType="separate"/>
      </w:r>
      <w:r w:rsidRPr="00A12D77">
        <w:rPr>
          <w:noProof/>
          <w:vertAlign w:val="superscript"/>
        </w:rPr>
        <w:t>3</w:t>
      </w:r>
      <w:r w:rsidR="006F7B40" w:rsidRPr="00A12D77">
        <w:fldChar w:fldCharType="end"/>
      </w:r>
      <w:r w:rsidRPr="00A12D77">
        <w:t xml:space="preserve"> who studied early predictors of adverse LV </w:t>
      </w:r>
      <w:r w:rsidR="00A12D77" w:rsidRPr="00A12D77">
        <w:t>remodelling</w:t>
      </w:r>
      <w:r w:rsidRPr="00A12D77">
        <w:t xml:space="preserve"> after primary PCI in 88 patients with a first-time STEMI and found that LAD as IRA was a significant predictor of LV Remodeling (P &lt; 0.05).</w:t>
      </w:r>
    </w:p>
    <w:p w:rsidR="00673D11" w:rsidRPr="00A12D77" w:rsidRDefault="00673D11" w:rsidP="00805DBD">
      <w:pPr>
        <w:pStyle w:val="ListParagraph"/>
        <w:snapToGrid w:val="0"/>
        <w:spacing w:after="0" w:line="240" w:lineRule="auto"/>
        <w:ind w:left="0" w:firstLine="425"/>
        <w:jc w:val="both"/>
        <w:rPr>
          <w:rFonts w:ascii="Times New Roman" w:hAnsi="Times New Roman" w:cs="Times New Roman"/>
          <w:i/>
          <w:iCs/>
          <w:sz w:val="20"/>
          <w:szCs w:val="20"/>
          <w:lang w:bidi="ar-EG"/>
        </w:rPr>
      </w:pPr>
      <w:r w:rsidRPr="00A12D77">
        <w:rPr>
          <w:rFonts w:ascii="Times New Roman" w:hAnsi="Times New Roman" w:cs="Times New Roman"/>
          <w:sz w:val="20"/>
          <w:szCs w:val="20"/>
        </w:rPr>
        <w:t>Acute myocardial infarction caused by LAD occlusion is one of the strongest determinates of infarct size which is a strong predictor of LV remodeling.</w:t>
      </w:r>
      <w:r w:rsidR="006F7B40" w:rsidRPr="00A12D77">
        <w:rPr>
          <w:rFonts w:ascii="Times New Roman" w:hAnsi="Times New Roman" w:cs="Times New Roman"/>
          <w:sz w:val="20"/>
          <w:szCs w:val="20"/>
        </w:rPr>
        <w:fldChar w:fldCharType="begin" w:fldLock="1"/>
      </w:r>
      <w:r w:rsidRPr="00A12D77">
        <w:rPr>
          <w:rFonts w:ascii="Times New Roman" w:hAnsi="Times New Roman" w:cs="Times New Roman"/>
          <w:sz w:val="20"/>
          <w:szCs w:val="20"/>
        </w:rPr>
        <w:instrText>ADDIN CSL_CITATION {"citationItems":[{"id":"ITEM-1","itemData":{"DOI":"10.1016/J.AMJCARD.2007.06.027","ISSN":"0002-9149","author":[{"dropping-particle":"","family":"Tang","given":"Wilson","non-dropping-particle":"","parse-names":false,"suffix":""}],"container-title":"The American Journal of Cardiology","id":"ITEM-1","issue":"9","issued":{"date-parts":[["2007","11","1"]]},"page":"1370-1375","publisher":"Excerpta Medica","title":"Predictors of Infarct Size After Primary Coronary Angioplasty in Acute Myocardial Infarction from Pooled Analysis from Four Contemporary Trials","type":"article-journal","volume":"100"},"uris":["http://www.mendeley.com/documents/?uuid=aae06462-56bc-38a1-a547-c68abd31ca8e"]}],"mendeley":{"formattedCitation":"&lt;sup&gt;14&lt;/sup&gt;","plainTextFormattedCitation":"14","previouslyFormattedCitation":"&lt;sup&gt;[152]&lt;/sup&gt;"},"properties":{"noteIndex":0},"schema":"https://github.com/citation-style-language/schema/raw/master/csl-citation.json"}</w:instrText>
      </w:r>
      <w:r w:rsidR="006F7B40" w:rsidRPr="00A12D77">
        <w:rPr>
          <w:rFonts w:ascii="Times New Roman" w:hAnsi="Times New Roman" w:cs="Times New Roman"/>
          <w:sz w:val="20"/>
          <w:szCs w:val="20"/>
        </w:rPr>
        <w:fldChar w:fldCharType="separate"/>
      </w:r>
      <w:r w:rsidRPr="00A12D77">
        <w:rPr>
          <w:rFonts w:ascii="Times New Roman" w:hAnsi="Times New Roman" w:cs="Times New Roman"/>
          <w:noProof/>
          <w:sz w:val="20"/>
          <w:szCs w:val="20"/>
          <w:vertAlign w:val="superscript"/>
        </w:rPr>
        <w:t>14</w:t>
      </w:r>
      <w:r w:rsidR="006F7B40" w:rsidRPr="00A12D77">
        <w:rPr>
          <w:rFonts w:ascii="Times New Roman" w:hAnsi="Times New Roman" w:cs="Times New Roman"/>
          <w:sz w:val="20"/>
          <w:szCs w:val="20"/>
        </w:rPr>
        <w:fldChar w:fldCharType="end"/>
      </w:r>
    </w:p>
    <w:p w:rsidR="00673D11" w:rsidRPr="00A12D77" w:rsidRDefault="00673D11" w:rsidP="00805DBD">
      <w:pPr>
        <w:pStyle w:val="ListParagraph"/>
        <w:snapToGrid w:val="0"/>
        <w:spacing w:after="0" w:line="240" w:lineRule="auto"/>
        <w:ind w:left="0" w:firstLine="425"/>
        <w:jc w:val="both"/>
        <w:rPr>
          <w:rFonts w:ascii="Times New Roman" w:hAnsi="Times New Roman" w:cs="Times New Roman"/>
          <w:sz w:val="20"/>
          <w:szCs w:val="20"/>
          <w:lang w:bidi="ar-EG"/>
        </w:rPr>
      </w:pPr>
      <w:r w:rsidRPr="00A12D77">
        <w:rPr>
          <w:rFonts w:ascii="Times New Roman" w:hAnsi="Times New Roman" w:cs="Times New Roman"/>
          <w:sz w:val="20"/>
          <w:szCs w:val="20"/>
          <w:lang w:bidi="ar-EG"/>
        </w:rPr>
        <w:t xml:space="preserve">In contrast to this study, the study conducted by </w:t>
      </w:r>
      <w:r w:rsidRPr="00A12D77">
        <w:rPr>
          <w:rFonts w:ascii="Times New Roman" w:hAnsi="Times New Roman" w:cs="Times New Roman"/>
          <w:b/>
          <w:bCs/>
          <w:i/>
          <w:iCs/>
          <w:sz w:val="20"/>
          <w:szCs w:val="20"/>
          <w:lang w:bidi="ar-EG"/>
        </w:rPr>
        <w:t>Farag et al</w:t>
      </w:r>
      <w:r w:rsidR="006F7B40" w:rsidRPr="00A12D77">
        <w:rPr>
          <w:rFonts w:ascii="Times New Roman" w:hAnsi="Times New Roman" w:cs="Times New Roman"/>
          <w:sz w:val="20"/>
          <w:szCs w:val="20"/>
          <w:lang w:bidi="ar-EG"/>
        </w:rPr>
        <w:fldChar w:fldCharType="begin" w:fldLock="1"/>
      </w:r>
      <w:r w:rsidRPr="00A12D77">
        <w:rPr>
          <w:rFonts w:ascii="Times New Roman" w:hAnsi="Times New Roman" w:cs="Times New Roman"/>
          <w:sz w:val="20"/>
          <w:szCs w:val="20"/>
          <w:lang w:bidi="ar-EG"/>
        </w:rPr>
        <w:instrText>ADDIN CSL_CITATION {"citationItems":[{"id":"ITEM-1","itemData":{"DOI":"10.5830/CVJA-2016-085","ISSN":"1680-0745","PMID":"27805238","abstract":"INTRODUCTION In patients with ST-segment elevation myocardial infarction (STEMI), successful primary percutaneous coronary intervention (PCI) was found to be useful in earlier restoration of TIMI flow 3. However, the incidence of left ventricular (LV) dilatation and remodelling after successful primary PCI is still high. We aimed to determine the independent predictors of LV remodelling after successful primary PCI for patients with first STEMI. METHODS We included 232 STEMI patients treated with primary PCI. Echocardiography was done on the day of PCI and after six months. LV remodelling was defined as ≥ 20% increase in the six-month left ventricular end-diastolic volume (LVEDV). RESULTS In patients with remodelling, symptom-to-door and symptom-to-balloon times were significantly longer (p &lt; 0.00001 for each), initial ejection fraction (EF) was significantly lower (p = 0.044), six-month LVEDV, left ventricular end-systolic volume (LVESV) and LVEDV increase were significantly higher, and EF was significantly lower (p &lt; 0.00001 for each). Mean myocardial blush grade (MBG) was significantly lower in patients with remodelling (p &lt; 0.00001). There was a significant positive correlation between LVEDV increase and both symptom-to-balloon time (r = 0.603, p &lt; 0.00001) and symptom-to-door time (r = 0.564, p &lt; 0.00001), and a significant negative correlation between LVEDV increase and MBG (r = -0.447, p &lt; 0.00001). Logistic regression showed that the independent predictors of LV remodelling were symptom-to-balloon time (p = 0.00068), symptom to door time (p = 0.0013) and MBG (p = 0.0057). CONCLUSION Symptom-to-door time, symptom-to-balloon time and MBG were the only significant predictors of LV remodelling.","author":[{"dropping-particle":"","family":"Farag","given":"El-Sayed M","non-dropping-particle":"","parse-names":false,"suffix":""},{"dropping-particle":"","family":"Al-Daydamony","given":"Mohammad M","non-dropping-particle":"","parse-names":false,"suffix":""}],"container-title":"Cardiovascular journal of Africa","id":"ITEM-1","issue":"3","issued":{"date-parts":[["2017"]]},"page":"186-190","publisher":"Clinics Cardive Publishing (Pty) Ltd.","title":"Symptom-to-balloon time and myocardial blush grade are predictors of left ventricular remodelling after successful primary percutaneous coronary intervention.","type":"article-journal","volume":"28"},"uris":["http://www.mendeley.com/documents/?uuid=9ff2910d-dcfb-3187-aef2-7d3df82dc80b"]}],"mendeley":{"formattedCitation":"&lt;sup&gt;12&lt;/sup&gt;","plainTextFormattedCitation":"12","previouslyFormattedCitation":"&lt;sup&gt;[150]&lt;/sup&gt;"},"properties":{"noteIndex":0},"schema":"https://github.com/citation-style-language/schema/raw/master/csl-citation.json"}</w:instrText>
      </w:r>
      <w:r w:rsidR="006F7B40" w:rsidRPr="00A12D77">
        <w:rPr>
          <w:rFonts w:ascii="Times New Roman" w:hAnsi="Times New Roman" w:cs="Times New Roman"/>
          <w:sz w:val="20"/>
          <w:szCs w:val="20"/>
          <w:lang w:bidi="ar-EG"/>
        </w:rPr>
        <w:fldChar w:fldCharType="separate"/>
      </w:r>
      <w:r w:rsidRPr="00A12D77">
        <w:rPr>
          <w:rFonts w:ascii="Times New Roman" w:hAnsi="Times New Roman" w:cs="Times New Roman"/>
          <w:noProof/>
          <w:sz w:val="20"/>
          <w:szCs w:val="20"/>
          <w:vertAlign w:val="superscript"/>
          <w:lang w:bidi="ar-EG"/>
        </w:rPr>
        <w:t>12</w:t>
      </w:r>
      <w:r w:rsidR="006F7B40" w:rsidRPr="00A12D77">
        <w:rPr>
          <w:rFonts w:ascii="Times New Roman" w:hAnsi="Times New Roman" w:cs="Times New Roman"/>
          <w:sz w:val="20"/>
          <w:szCs w:val="20"/>
          <w:lang w:bidi="ar-EG"/>
        </w:rPr>
        <w:fldChar w:fldCharType="end"/>
      </w:r>
      <w:r w:rsidRPr="00A12D77">
        <w:rPr>
          <w:rFonts w:ascii="Times New Roman" w:hAnsi="Times New Roman" w:cs="Times New Roman"/>
          <w:sz w:val="20"/>
          <w:szCs w:val="20"/>
          <w:lang w:bidi="ar-EG"/>
        </w:rPr>
        <w:t xml:space="preserve"> on 232</w:t>
      </w:r>
      <w:r w:rsidR="00C97655" w:rsidRPr="00A12D77">
        <w:rPr>
          <w:rFonts w:ascii="Times New Roman" w:hAnsi="Times New Roman" w:cs="Times New Roman"/>
          <w:sz w:val="20"/>
          <w:szCs w:val="20"/>
          <w:lang w:bidi="ar-EG"/>
        </w:rPr>
        <w:t xml:space="preserve"> </w:t>
      </w:r>
      <w:r w:rsidRPr="00A12D77">
        <w:rPr>
          <w:rFonts w:ascii="Times New Roman" w:hAnsi="Times New Roman" w:cs="Times New Roman"/>
          <w:sz w:val="20"/>
          <w:szCs w:val="20"/>
          <w:lang w:bidi="ar-EG"/>
        </w:rPr>
        <w:t>patients, LAD was the culprit in 41 patients of remodeling group</w:t>
      </w:r>
      <w:r w:rsidR="00C97655" w:rsidRPr="00A12D77">
        <w:rPr>
          <w:rFonts w:ascii="Times New Roman" w:hAnsi="Times New Roman" w:cs="Times New Roman"/>
          <w:sz w:val="20"/>
          <w:szCs w:val="20"/>
          <w:lang w:bidi="ar-EG"/>
        </w:rPr>
        <w:t xml:space="preserve"> </w:t>
      </w:r>
      <w:r w:rsidRPr="00A12D77">
        <w:rPr>
          <w:rFonts w:ascii="Times New Roman" w:hAnsi="Times New Roman" w:cs="Times New Roman"/>
          <w:sz w:val="20"/>
          <w:szCs w:val="20"/>
          <w:lang w:bidi="ar-EG"/>
        </w:rPr>
        <w:t>(60.3%</w:t>
      </w:r>
      <w:r w:rsidR="00A12D77">
        <w:rPr>
          <w:rFonts w:ascii="Times New Roman" w:hAnsi="Times New Roman" w:cs="Times New Roman"/>
          <w:sz w:val="20"/>
          <w:szCs w:val="20"/>
          <w:lang w:bidi="ar-EG"/>
        </w:rPr>
        <w:t>)</w:t>
      </w:r>
      <w:r w:rsidRPr="00A12D77">
        <w:rPr>
          <w:rFonts w:ascii="Times New Roman" w:hAnsi="Times New Roman" w:cs="Times New Roman"/>
          <w:sz w:val="20"/>
          <w:szCs w:val="20"/>
          <w:lang w:bidi="ar-EG"/>
        </w:rPr>
        <w:t xml:space="preserve"> and 93 patients of the non-remodeling group (56.7%) showed no significant statistical difference between both groups </w:t>
      </w:r>
      <w:r w:rsidR="00A12D77">
        <w:rPr>
          <w:rFonts w:ascii="Times New Roman" w:hAnsi="Times New Roman" w:cs="Times New Roman"/>
          <w:sz w:val="20"/>
          <w:szCs w:val="20"/>
          <w:lang w:bidi="ar-EG"/>
        </w:rPr>
        <w:t>(</w:t>
      </w:r>
      <w:r w:rsidRPr="00A12D77">
        <w:rPr>
          <w:rFonts w:ascii="Times New Roman" w:hAnsi="Times New Roman" w:cs="Times New Roman"/>
          <w:sz w:val="20"/>
          <w:szCs w:val="20"/>
          <w:lang w:bidi="ar-EG"/>
        </w:rPr>
        <w:t>P =0.87). Besides, P</w:t>
      </w:r>
      <w:r w:rsidRPr="00A12D77">
        <w:rPr>
          <w:rFonts w:ascii="Times New Roman" w:hAnsi="Times New Roman" w:cs="Times New Roman"/>
          <w:sz w:val="20"/>
          <w:szCs w:val="20"/>
        </w:rPr>
        <w:t xml:space="preserve">atients with multivessel disease was more prone to LV remodeling compared </w:t>
      </w:r>
      <w:r w:rsidRPr="00A12D77">
        <w:rPr>
          <w:rFonts w:ascii="Times New Roman" w:hAnsi="Times New Roman" w:cs="Times New Roman"/>
          <w:sz w:val="20"/>
          <w:szCs w:val="20"/>
        </w:rPr>
        <w:lastRenderedPageBreak/>
        <w:t>to patients with single-vessel disease (</w:t>
      </w:r>
      <w:r w:rsidRPr="00A12D77">
        <w:rPr>
          <w:rFonts w:ascii="Times New Roman" w:hAnsi="Times New Roman" w:cs="Times New Roman"/>
          <w:i/>
          <w:iCs/>
          <w:sz w:val="20"/>
          <w:szCs w:val="20"/>
        </w:rPr>
        <w:t xml:space="preserve">P=0.033) </w:t>
      </w:r>
      <w:r w:rsidRPr="00A12D77">
        <w:rPr>
          <w:rFonts w:ascii="Times New Roman" w:hAnsi="Times New Roman" w:cs="Times New Roman"/>
          <w:sz w:val="20"/>
          <w:szCs w:val="20"/>
        </w:rPr>
        <w:t xml:space="preserve">similar to the study conducted by </w:t>
      </w:r>
      <w:r w:rsidRPr="00A12D77">
        <w:rPr>
          <w:rFonts w:ascii="Times New Roman" w:hAnsi="Times New Roman" w:cs="Times New Roman"/>
          <w:b/>
          <w:bCs/>
          <w:i/>
          <w:iCs/>
          <w:sz w:val="20"/>
          <w:szCs w:val="20"/>
        </w:rPr>
        <w:t>Bolognese et al</w:t>
      </w:r>
      <w:r w:rsidR="006F7B40" w:rsidRPr="00A12D77">
        <w:rPr>
          <w:rFonts w:ascii="Times New Roman" w:hAnsi="Times New Roman" w:cs="Times New Roman"/>
          <w:sz w:val="20"/>
          <w:szCs w:val="20"/>
        </w:rPr>
        <w:fldChar w:fldCharType="begin" w:fldLock="1"/>
      </w:r>
      <w:r w:rsidRPr="00A12D77">
        <w:rPr>
          <w:rFonts w:ascii="Times New Roman" w:hAnsi="Times New Roman" w:cs="Times New Roman"/>
          <w:sz w:val="20"/>
          <w:szCs w:val="20"/>
        </w:rPr>
        <w:instrText>ADDIN CSL_CITATION {"citationItems":[{"id":"ITEM-1","itemData":{"DOI":"10.1161/01.cir.0000036014.90197.fa","ISSN":"1524-4539","PMID":"12403666","abstract":"BACKGROUND We prospectively evaluated the prevalence, pattern, and prognostic impact of left ventricular (LV) remodeling after acute myocardial infarction (AMI) successfully treated with primary PTCA. The prevalence, course, and prognostic value of LV remodeling after primary PTCA are still to be clarified. METHODS AND RESULTS In 284 consecutive patients with AMI treated with primary PTCA, serial echocardiographic and angiographic studies, within 24 hours (T1), at 1 (T2) and 6 months (T3) after AMI were performed. Long-term (61+/-14 months) clinical follow-up data were collected for 98.6% patients enrolled in the study. Overall, 85 (30%) patients showed LV dilation (&gt;20% end-diastolic volume increase) at T3 as compared with T1. Early (from T1 to T2), late (from T2 to T3), and progressive dilation patterns (from T1 to T2 to T3) were detected in 42 (15%), 41 (14%), and 36 (13%) patients, respectively. Cardiac death and combined events rate was significantly higher among patients with than among those without LV dilation (P=0.005 and P=0.025, respectively). The pattern of LV dilation during 6 months did not significantly affect survival. Cox survival analysis identified end-systolic volume at T1 and age as baseline predictors and end-systolic volume at T3 and age as 6-month predictors of cardiac death, respectively. CONCLUSIONS LV remodeling after successful PTCA occurs despite sustained patency of the infarct-related artery and preservation of regional and global LV function. LV dilation at 6 months after AMI but not the specific pattern of LV dilation is clearly associated with worse long-term clinical outcome.","author":[{"dropping-particle":"","family":"Bolognese","given":"Leonardo","non-dropping-particle":"","parse-names":false,"suffix":""},{"dropping-particle":"","family":"Neskovic","given":"Aleksandar N","non-dropping-particle":"","parse-names":false,"suffix":""},{"dropping-particle":"","family":"Parodi","given":"Guido","non-dropping-particle":"","parse-names":false,"suffix":""},{"dropping-particle":"","family":"Cerisano","given":"Giampaolo","non-dropping-particle":"","parse-names":false,"suffix":""},{"dropping-particle":"","family":"Buonamici","given":"Piergiovanni","non-dropping-particle":"","parse-names":false,"suffix":""},{"dropping-particle":"","family":"Santoro","given":"Giovanni M","non-dropping-particle":"","parse-names":false,"suffix":""},{"dropping-particle":"","family":"Antoniucci","given":"David","non-dropping-particle":"","parse-names":false,"suffix":""}],"container-title":"Circulation","id":"ITEM-1","issue":"18","issued":{"date-parts":[["2002","10","29"]]},"page":"2351-7","title":"Left ventricular remodeling after primary coronary angioplasty: patterns of left ventricular dilation and long-term prognostic implications.","type":"article-journal","volume":"106"},"uris":["http://www.mendeley.com/documents/?uuid=267ec568-9f59-3ba5-9d86-65e9c6820c7f"]}],"mendeley":{"formattedCitation":"&lt;sup&gt;6&lt;/sup&gt;","plainTextFormattedCitation":"6","previouslyFormattedCitation":"&lt;sup&gt;[140]&lt;/sup&gt;"},"properties":{"noteIndex":0},"schema":"https://github.com/citation-style-language/schema/raw/master/csl-citation.json"}</w:instrText>
      </w:r>
      <w:r w:rsidR="006F7B40" w:rsidRPr="00A12D77">
        <w:rPr>
          <w:rFonts w:ascii="Times New Roman" w:hAnsi="Times New Roman" w:cs="Times New Roman"/>
          <w:sz w:val="20"/>
          <w:szCs w:val="20"/>
        </w:rPr>
        <w:fldChar w:fldCharType="separate"/>
      </w:r>
      <w:r w:rsidRPr="00A12D77">
        <w:rPr>
          <w:rFonts w:ascii="Times New Roman" w:hAnsi="Times New Roman" w:cs="Times New Roman"/>
          <w:noProof/>
          <w:sz w:val="20"/>
          <w:szCs w:val="20"/>
          <w:vertAlign w:val="superscript"/>
        </w:rPr>
        <w:t>6</w:t>
      </w:r>
      <w:r w:rsidR="006F7B40" w:rsidRPr="00A12D77">
        <w:rPr>
          <w:rFonts w:ascii="Times New Roman" w:hAnsi="Times New Roman" w:cs="Times New Roman"/>
          <w:sz w:val="20"/>
          <w:szCs w:val="20"/>
        </w:rPr>
        <w:fldChar w:fldCharType="end"/>
      </w:r>
      <w:r w:rsidRPr="00A12D77">
        <w:rPr>
          <w:rFonts w:ascii="Times New Roman" w:hAnsi="Times New Roman" w:cs="Times New Roman"/>
          <w:sz w:val="20"/>
          <w:szCs w:val="20"/>
        </w:rPr>
        <w:t xml:space="preserve"> who studied LV remodeling after primary PCI in 284 patients with AMI and found that the presence of multi-vessel coronary artery disease is an independent predictor for developing LV remodeling</w:t>
      </w:r>
      <w:r w:rsidR="00C97655" w:rsidRPr="00A12D77">
        <w:rPr>
          <w:rFonts w:ascii="Times New Roman" w:hAnsi="Times New Roman" w:cs="Times New Roman"/>
          <w:sz w:val="20"/>
          <w:szCs w:val="20"/>
        </w:rPr>
        <w:t>.</w:t>
      </w:r>
      <w:r w:rsidRPr="00A12D77">
        <w:rPr>
          <w:rFonts w:ascii="Times New Roman" w:hAnsi="Times New Roman" w:cs="Times New Roman"/>
          <w:sz w:val="20"/>
          <w:szCs w:val="20"/>
        </w:rPr>
        <w:t xml:space="preserve"> Also consistent with findings of </w:t>
      </w:r>
      <w:r w:rsidRPr="00A12D77">
        <w:rPr>
          <w:rFonts w:ascii="Times New Roman" w:hAnsi="Times New Roman" w:cs="Times New Roman"/>
          <w:b/>
          <w:bCs/>
          <w:i/>
          <w:iCs/>
          <w:sz w:val="20"/>
          <w:szCs w:val="20"/>
        </w:rPr>
        <w:t>Pop et al</w:t>
      </w:r>
      <w:r w:rsidR="006F7B40" w:rsidRPr="00A12D77">
        <w:rPr>
          <w:rFonts w:ascii="Times New Roman" w:hAnsi="Times New Roman" w:cs="Times New Roman"/>
          <w:sz w:val="20"/>
          <w:szCs w:val="20"/>
        </w:rPr>
        <w:fldChar w:fldCharType="begin" w:fldLock="1"/>
      </w:r>
      <w:r w:rsidRPr="00A12D77">
        <w:rPr>
          <w:rFonts w:ascii="Times New Roman" w:hAnsi="Times New Roman" w:cs="Times New Roman"/>
          <w:sz w:val="20"/>
          <w:szCs w:val="20"/>
        </w:rPr>
        <w:instrText>ADDIN CSL_CITATION {"citationItems":[{"id":"ITEM-1","itemData":{"DOI":"10.1515/jim-2016-0013","abstract":"Background: The acute loss of myocardium, following an acute myocardial infarction (AMI) leads to an abrupt increase in the loading conditions that induces a pattern of left ventricular remodeling (LVR). It has been shown that remodeling occurs rapidly and progressively within weeks after the AMI. Study aim: The aim of our study was to identify predictors for LVR, and find correlations between them and the cardiovascular (CV) risk factors that lead to remodel-ing. Material and methods: One hundred and five AMI patients who underwent primary PCI were included in the study. A 2-D echocardiography was performed at baseline (day 1 ± 3 post-MI) and at 6 months follow-up. The LV remodeling index (RI), was defined as the difference between the Left Ventricular End-Diastolic diameter (LVEDD) at 6 months and at baseline. The patients were divided into 2 groups, according to the RI: Group 1-RI &gt;15% with positive remodeling (n = 23); Group 2-RI ≤15% with no remodeling (n = 82). Results: The mean age was 63.26 ± 2.084 years for Group 1 and 59.72 ± 1.267 years for Group 2. The most significant predictor of LVR was the female gender (Group 1-52% vs. Group 2-18%, p &lt;0.0001). Men younger than 50 years showed a lower rate of LVR (Group1-9% vs. Group 2-20%, p = 0.0432). In women, age over 65 years was a significant predictor for LVR (Group 1-26% vs. Group 2-9%, p = 0.0025). The CV risk factors associated with LVR were: smoking (p = 0.0008); obesity (p = 0.013); dyslipidemia (p = 0.1184). The positive remodeling group had a higher rate of LAD stenosis compared to the no-remodeling group (48% vs. 26%, p = 0.002). The presence of multi-vessel disease was shown to be higher in Group 1 (26% vs. 9%, p = 0.0025). The echocardiographic parameters that predicted LVR were: LVEF &lt;45% (p = 0.048), mitral regurgitation (p = 0.022), and interventricular septum hypertrophy (p &lt;0.0001). Conclusions: The CV risk factors correlated with LVR were smoking, obesity and dyslipidemia. A &gt;50% stenosis in the LAD and the presence of multi-vessel CAD were found to be significant predictors for LVR. The most powerful predictors of LVR following AMI were: LVEF &lt;45%, mitral regurgitation, and interventricular septum hypertrophy.","author":[{"dropping-particle":"","family":"Pop","given":"Sorin","non-dropping-particle":"","parse-names":false,"suffix":""},{"dropping-particle":"","family":"Hodaș","given":"Roxana","non-dropping-particle":"","parse-names":false,"suffix":""},{"dropping-particle":"","family":"Benedek","given":"Edvin","non-dropping-particle":"","parse-names":false,"suffix":""},{"dropping-particle":"","family":"Opincariu","given":"Diana","non-dropping-particle":"","parse-names":false,"suffix":""},{"dropping-particle":"","family":"Rat","given":"Nora","non-dropping-particle":"","parse-names":false,"suffix":""},{"dropping-particle":"","family":"Jani","given":"Laura","non-dropping-particle":"","parse-names":false,"suffix":""},{"dropping-particle":"","family":"Stanescu","given":"Alexandra","non-dropping-particle":"","parse-names":false,"suffix":""},{"dropping-particle":"","family":"Chitu","given":"Monica","non-dropping-particle":"","parse-names":false,"suffix":""},{"dropping-particle":"","family":"Benedek","given":"Imre","non-dropping-particle":"","parse-names":false,"suffix":""},{"dropping-particle":"","family":"Benedek","given":"Theodora","non-dropping-particle":"","parse-names":false,"suffix":""}],"id":"ITEM-1","issued":{"date-parts":[["0"]]},"title":"Predictors of Left Ventricular Remodeling after Revascularized Acute Myocardial Infarction","type":"article-journal"},"uris":["http://www.mendeley.com/documents/?uuid=8b87f76f-1951-37e5-a385-6590da63b3df"]}],"mendeley":{"formattedCitation":"&lt;sup&gt;8&lt;/sup&gt;","plainTextFormattedCitation":"8","previouslyFormattedCitation":"&lt;sup&gt;[143]&lt;/sup&gt;"},"properties":{"noteIndex":0},"schema":"https://github.com/citation-style-language/schema/raw/master/csl-citation.json"}</w:instrText>
      </w:r>
      <w:r w:rsidR="006F7B40" w:rsidRPr="00A12D77">
        <w:rPr>
          <w:rFonts w:ascii="Times New Roman" w:hAnsi="Times New Roman" w:cs="Times New Roman"/>
          <w:sz w:val="20"/>
          <w:szCs w:val="20"/>
        </w:rPr>
        <w:fldChar w:fldCharType="separate"/>
      </w:r>
      <w:r w:rsidRPr="00A12D77">
        <w:rPr>
          <w:rFonts w:ascii="Times New Roman" w:hAnsi="Times New Roman" w:cs="Times New Roman"/>
          <w:noProof/>
          <w:sz w:val="20"/>
          <w:szCs w:val="20"/>
          <w:vertAlign w:val="superscript"/>
        </w:rPr>
        <w:t>8</w:t>
      </w:r>
      <w:r w:rsidR="006F7B40" w:rsidRPr="00A12D77">
        <w:rPr>
          <w:rFonts w:ascii="Times New Roman" w:hAnsi="Times New Roman" w:cs="Times New Roman"/>
          <w:sz w:val="20"/>
          <w:szCs w:val="20"/>
        </w:rPr>
        <w:fldChar w:fldCharType="end"/>
      </w:r>
      <w:r w:rsidRPr="00A12D77">
        <w:rPr>
          <w:rFonts w:ascii="Times New Roman" w:hAnsi="Times New Roman" w:cs="Times New Roman"/>
          <w:sz w:val="20"/>
          <w:szCs w:val="20"/>
        </w:rPr>
        <w:t xml:space="preserve"> who studied predictors of post-infarct LV remodeling in a group of 105 STEMI patients treated by PPCI and found that the presence of multi-vessel coronary artery disease was a significant predictor of LV remodeling.</w:t>
      </w:r>
    </w:p>
    <w:p w:rsidR="00673D11" w:rsidRPr="00A12D77" w:rsidRDefault="00673D11" w:rsidP="00805DBD">
      <w:pPr>
        <w:pStyle w:val="ListParagraph"/>
        <w:snapToGrid w:val="0"/>
        <w:spacing w:after="0" w:line="240" w:lineRule="auto"/>
        <w:ind w:left="0" w:firstLine="425"/>
        <w:jc w:val="both"/>
        <w:rPr>
          <w:rFonts w:ascii="Times New Roman" w:hAnsi="Times New Roman" w:cs="Times New Roman"/>
          <w:i/>
          <w:iCs/>
          <w:sz w:val="20"/>
          <w:szCs w:val="20"/>
          <w:lang w:bidi="ar-EG"/>
        </w:rPr>
      </w:pPr>
      <w:r w:rsidRPr="00A12D77">
        <w:rPr>
          <w:rFonts w:ascii="Times New Roman" w:hAnsi="Times New Roman" w:cs="Times New Roman"/>
          <w:sz w:val="20"/>
          <w:szCs w:val="20"/>
          <w:lang w:bidi="ar-EG"/>
        </w:rPr>
        <w:t xml:space="preserve">Unlike </w:t>
      </w:r>
      <w:r w:rsidRPr="00A12D77">
        <w:rPr>
          <w:rFonts w:ascii="Times New Roman" w:hAnsi="Times New Roman" w:cs="Times New Roman"/>
          <w:b/>
          <w:bCs/>
          <w:i/>
          <w:iCs/>
          <w:sz w:val="20"/>
          <w:szCs w:val="20"/>
          <w:lang w:bidi="ar-EG"/>
        </w:rPr>
        <w:t>Mousa et al</w:t>
      </w:r>
      <w:r w:rsidR="006F7B40" w:rsidRPr="00A12D77">
        <w:rPr>
          <w:rFonts w:ascii="Times New Roman" w:hAnsi="Times New Roman" w:cs="Times New Roman"/>
          <w:sz w:val="20"/>
          <w:szCs w:val="20"/>
          <w:lang w:bidi="ar-EG"/>
        </w:rPr>
        <w:fldChar w:fldCharType="begin" w:fldLock="1"/>
      </w:r>
      <w:r w:rsidRPr="00A12D77">
        <w:rPr>
          <w:rFonts w:ascii="Times New Roman" w:hAnsi="Times New Roman" w:cs="Times New Roman"/>
          <w:sz w:val="20"/>
          <w:szCs w:val="20"/>
          <w:lang w:bidi="ar-EG"/>
        </w:rPr>
        <w:instrText>ADDIN CSL_CITATION {"citationItems":[{"id":"ITEM-1","itemData":{"DOI":"10.1016/j.ehj.2018.05.003","ISSN":"11102608","author":[{"dropping-particle":"","family":"Aboelkasem Ali Mousa","given":"Mohammad","non-dropping-particle":"","parse-names":false,"suffix":""},{"dropping-particle":"","family":"Abdelsabour Abdallah","given":"Mahmoud","non-dropping-particle":"","parse-names":false,"suffix":""},{"dropping-particle":"","family":"Shamseddin Mohammad","given":"Hamdy","non-dropping-particle":"","parse-names":false,"suffix":""},{"dropping-particle":"","family":"Ahmad Aly Youssef","given":"Amr","non-dropping-particle":"","parse-names":false,"suffix":""}],"container-title":"The Egyptian Heart Journal","id":"ITEM-1","issue":"4","issued":{"date-parts":[["2018","12"]]},"page":"403-407","title":"Early predictors of left ventricular remodeling after primary percutaneous coronary intervention","type":"article-journal","volume":"70"},"uris":["http://www.mendeley.com/documents/?uuid=683fb86f-f25e-3d7a-abe7-e80f80e6334d"]}],"mendeley":{"formattedCitation":"&lt;sup&gt;9&lt;/sup&gt;","plainTextFormattedCitation":"9","previouslyFormattedCitation":"&lt;sup&gt;[144]&lt;/sup&gt;"},"properties":{"noteIndex":0},"schema":"https://github.com/citation-style-language/schema/raw/master/csl-citation.json"}</w:instrText>
      </w:r>
      <w:r w:rsidR="006F7B40" w:rsidRPr="00A12D77">
        <w:rPr>
          <w:rFonts w:ascii="Times New Roman" w:hAnsi="Times New Roman" w:cs="Times New Roman"/>
          <w:sz w:val="20"/>
          <w:szCs w:val="20"/>
          <w:lang w:bidi="ar-EG"/>
        </w:rPr>
        <w:fldChar w:fldCharType="separate"/>
      </w:r>
      <w:r w:rsidRPr="00A12D77">
        <w:rPr>
          <w:rFonts w:ascii="Times New Roman" w:hAnsi="Times New Roman" w:cs="Times New Roman"/>
          <w:noProof/>
          <w:sz w:val="20"/>
          <w:szCs w:val="20"/>
          <w:vertAlign w:val="superscript"/>
          <w:lang w:bidi="ar-EG"/>
        </w:rPr>
        <w:t>9</w:t>
      </w:r>
      <w:r w:rsidR="006F7B40" w:rsidRPr="00A12D77">
        <w:rPr>
          <w:rFonts w:ascii="Times New Roman" w:hAnsi="Times New Roman" w:cs="Times New Roman"/>
          <w:sz w:val="20"/>
          <w:szCs w:val="20"/>
          <w:lang w:bidi="ar-EG"/>
        </w:rPr>
        <w:fldChar w:fldCharType="end"/>
      </w:r>
      <w:r w:rsidRPr="00A12D77">
        <w:rPr>
          <w:rFonts w:ascii="Times New Roman" w:hAnsi="Times New Roman" w:cs="Times New Roman"/>
          <w:sz w:val="20"/>
          <w:szCs w:val="20"/>
          <w:lang w:bidi="ar-EG"/>
        </w:rPr>
        <w:t xml:space="preserve"> who found no significant statistical difference between both groups </w:t>
      </w:r>
      <w:r w:rsidR="00A12D77">
        <w:rPr>
          <w:rFonts w:ascii="Times New Roman" w:hAnsi="Times New Roman" w:cs="Times New Roman"/>
          <w:sz w:val="20"/>
          <w:szCs w:val="20"/>
          <w:lang w:bidi="ar-EG"/>
        </w:rPr>
        <w:t>(</w:t>
      </w:r>
      <w:r w:rsidRPr="00A12D77">
        <w:rPr>
          <w:rFonts w:ascii="Times New Roman" w:hAnsi="Times New Roman" w:cs="Times New Roman"/>
          <w:i/>
          <w:iCs/>
          <w:sz w:val="20"/>
          <w:szCs w:val="20"/>
          <w:lang w:bidi="ar-EG"/>
        </w:rPr>
        <w:t xml:space="preserve">P=0.57). </w:t>
      </w:r>
    </w:p>
    <w:p w:rsidR="00673D11" w:rsidRPr="00A12D77" w:rsidRDefault="00673D11" w:rsidP="00805DBD">
      <w:pPr>
        <w:snapToGrid w:val="0"/>
        <w:ind w:firstLine="425"/>
        <w:jc w:val="both"/>
        <w:rPr>
          <w:i/>
          <w:iCs/>
          <w:color w:val="000000" w:themeColor="text1"/>
          <w:shd w:val="clear" w:color="auto" w:fill="FFFFFF"/>
        </w:rPr>
      </w:pPr>
      <w:r w:rsidRPr="00A12D77">
        <w:rPr>
          <w:lang w:bidi="ar-EG"/>
        </w:rPr>
        <w:t>As regard echocardiographic parameters</w:t>
      </w:r>
      <w:r w:rsidRPr="00A12D77">
        <w:rPr>
          <w:i/>
          <w:iCs/>
          <w:lang w:bidi="ar-EG"/>
        </w:rPr>
        <w:t xml:space="preserve">, </w:t>
      </w:r>
      <w:r w:rsidRPr="00A12D77">
        <w:rPr>
          <w:lang w:bidi="ar-EG"/>
        </w:rPr>
        <w:t xml:space="preserve">lower discharge EF was associated with more development of adverse LV </w:t>
      </w:r>
      <w:r w:rsidR="00A12D77" w:rsidRPr="00A12D77">
        <w:rPr>
          <w:lang w:bidi="ar-EG"/>
        </w:rPr>
        <w:t>remodelling</w:t>
      </w:r>
      <w:r w:rsidR="00C97655" w:rsidRPr="00A12D77">
        <w:rPr>
          <w:lang w:bidi="ar-EG"/>
        </w:rPr>
        <w:t>,</w:t>
      </w:r>
      <w:r w:rsidRPr="00A12D77">
        <w:rPr>
          <w:lang w:bidi="ar-EG"/>
        </w:rPr>
        <w:t xml:space="preserve"> similar to the study conducted by </w:t>
      </w:r>
      <w:r w:rsidRPr="00A12D77">
        <w:rPr>
          <w:b/>
          <w:bCs/>
          <w:i/>
          <w:iCs/>
        </w:rPr>
        <w:t xml:space="preserve">Zaliaduonyte-Peksiene et al </w:t>
      </w:r>
      <w:r w:rsidR="006F7B40" w:rsidRPr="00A12D77">
        <w:rPr>
          <w:b/>
          <w:bCs/>
          <w:i/>
          <w:iCs/>
        </w:rPr>
        <w:fldChar w:fldCharType="begin" w:fldLock="1"/>
      </w:r>
      <w:r w:rsidRPr="00A12D77">
        <w:rPr>
          <w:b/>
          <w:bCs/>
          <w:i/>
          <w:iCs/>
        </w:rPr>
        <w:instrText>ADDIN CSL_CITATION {"citationItems":[{"id":"ITEM-1","itemData":{"DOI":"10.1177/1470320312471228","ISSN":"1470-3203","author":[{"dropping-particle":"","family":"Zaliaduonyte-Peksiene","given":"Diana","non-dropping-particle":"","parse-names":false,"suffix":""},{"dropping-particle":"","family":"Simonyte","given":"Sandrita","non-dropping-particle":"","parse-names":false,"suffix":""},{"dropping-particle":"","family":"Lesauskaite","given":"Vaiva","non-dropping-particle":"","parse-names":false,"suffix":""},{"dropping-particle":"","family":"Vaskelyte","given":"Jolanta","non-dropping-particle":"","parse-names":false,"suffix":""},{"dropping-particle":"","family":"Gustiene","given":"Olivija","non-dropping-particle":"","parse-names":false,"suffix":""},{"dropping-particle":"","family":"Mizariene","given":"Vaida","non-dropping-particle":"","parse-names":false,"suffix":""},{"dropping-particle":"","family":"Jurkevicius","given":"Renaldas","non-dropping-particle":"","parse-names":false,"suffix":""},{"dropping-particle":"","family":"Jariene","given":"Giedre","non-dropping-particle":"","parse-names":false,"suffix":""},{"dropping-particle":"","family":"Tamosiunas","given":"Abdonas","non-dropping-particle":"","parse-names":false,"suffix":""},{"dropping-particle":"","family":"Zaliunas","given":"Remigijus","non-dropping-particle":"","parse-names":false,"suffix":""}],"container-title":"Journal of the Renin-Angiotensin-Aldosterone System","id":"ITEM-1","issue":"3","issued":{"date-parts":[["2014","9","2"]]},"page":"286-293","title":"Left ventricular remodelling after acute myocardial infarction: Impact of clinical, echocardiographic parameters and polymorphism of angiotensinogen gene","type":"article-journal","volume":"15"},"uris":["http://www.mendeley.com/documents/?uuid=5bb820ee-59e1-37f7-a665-b085d42754b0"]}],"mendeley":{"formattedCitation":"&lt;sup&gt;11&lt;/sup&gt;","plainTextFormattedCitation":"11","previouslyFormattedCitation":"&lt;sup&gt;[149]&lt;/sup&gt;"},"properties":{"noteIndex":0},"schema":"https://github.com/citation-style-language/schema/raw/master/csl-citation.json"}</w:instrText>
      </w:r>
      <w:r w:rsidR="006F7B40" w:rsidRPr="00A12D77">
        <w:rPr>
          <w:b/>
          <w:bCs/>
          <w:i/>
          <w:iCs/>
        </w:rPr>
        <w:fldChar w:fldCharType="separate"/>
      </w:r>
      <w:r w:rsidRPr="00A12D77">
        <w:rPr>
          <w:bCs/>
          <w:iCs/>
          <w:noProof/>
          <w:vertAlign w:val="superscript"/>
        </w:rPr>
        <w:t>11</w:t>
      </w:r>
      <w:r w:rsidR="006F7B40" w:rsidRPr="00A12D77">
        <w:rPr>
          <w:b/>
          <w:bCs/>
          <w:i/>
          <w:iCs/>
        </w:rPr>
        <w:fldChar w:fldCharType="end"/>
      </w:r>
      <w:r w:rsidR="00A12D77">
        <w:rPr>
          <w:rFonts w:eastAsiaTheme="minorEastAsia" w:hint="eastAsia"/>
          <w:b/>
          <w:bCs/>
          <w:i/>
          <w:iCs/>
          <w:lang w:eastAsia="zh-CN"/>
        </w:rPr>
        <w:t xml:space="preserve"> </w:t>
      </w:r>
      <w:r w:rsidRPr="00A12D77">
        <w:t xml:space="preserve">on 141 patients, 49 of them developed </w:t>
      </w:r>
      <w:r w:rsidR="00A12D77" w:rsidRPr="00A12D77">
        <w:t>remodelling</w:t>
      </w:r>
      <w:r w:rsidRPr="00A12D77">
        <w:t xml:space="preserve"> and they had lower discharge EF </w:t>
      </w:r>
      <w:r w:rsidR="00A12D77">
        <w:rPr>
          <w:i/>
          <w:iCs/>
        </w:rPr>
        <w:t>(</w:t>
      </w:r>
      <w:r w:rsidRPr="00A12D77">
        <w:rPr>
          <w:i/>
          <w:iCs/>
        </w:rPr>
        <w:t>P=0.001)</w:t>
      </w:r>
      <w:r w:rsidRPr="00A12D77">
        <w:rPr>
          <w:b/>
          <w:bCs/>
          <w:i/>
          <w:iCs/>
          <w:lang w:bidi="ar-EG"/>
        </w:rPr>
        <w:t xml:space="preserve">. </w:t>
      </w:r>
      <w:r w:rsidRPr="00A12D77">
        <w:rPr>
          <w:color w:val="000000" w:themeColor="text1"/>
          <w:lang w:bidi="ar-EG"/>
        </w:rPr>
        <w:t xml:space="preserve">In contrast to the study conducted by </w:t>
      </w:r>
      <w:r w:rsidRPr="00A12D77">
        <w:rPr>
          <w:b/>
          <w:bCs/>
          <w:i/>
          <w:iCs/>
          <w:color w:val="000000" w:themeColor="text1"/>
          <w:shd w:val="clear" w:color="auto" w:fill="FFFFFF"/>
        </w:rPr>
        <w:t>Hyun-Min Na et al</w:t>
      </w:r>
      <w:r w:rsidR="006F7B40" w:rsidRPr="00A12D77">
        <w:rPr>
          <w:color w:val="000000" w:themeColor="text1"/>
          <w:shd w:val="clear" w:color="auto" w:fill="FFFFFF"/>
        </w:rPr>
        <w:fldChar w:fldCharType="begin" w:fldLock="1"/>
      </w:r>
      <w:r w:rsidRPr="00A12D77">
        <w:rPr>
          <w:color w:val="000000" w:themeColor="text1"/>
          <w:shd w:val="clear" w:color="auto" w:fill="FFFFFF"/>
        </w:rPr>
        <w:instrText>ADDIN CSL_CITATION {"citationItems":[{"id":"ITEM-1","itemData":{"DOI":"10.4250/jcu.2016.24.2.128","ISSN":"1975-4612","author":[{"dropping-particle":"","family":"Na","given":"Hyun-Min","non-dropping-particle":"","parse-names":false,"suffix":""},{"dropping-particle":"","family":"Cho","given":"Goo-Yeong","non-dropping-particle":"","parse-names":false,"suffix":""},{"dropping-particle":"","family":"Lee","given":"Joo Myung","non-dropping-particle":"","parse-names":false,"suffix":""},{"dropping-particle":"","family":"Cha","given":"Myung-Jin","non-dropping-particle":"","parse-names":false,"suffix":""},{"dropping-particle":"","family":"Yoon","given":"Yeonyee E.","non-dropping-particle":"","parse-names":false,"suffix":""},{"dropping-particle":"","family":"Lee","given":"Seung-Pyo","non-dropping-particle":"","parse-names":false,"suffix":""},{"dropping-particle":"","family":"Kim","given":"Hyung-Kwan","non-dropping-particle":"","parse-names":false,"suffix":""},{"dropping-particle":"","family":"Kim","given":"Yong-Jin","non-dropping-particle":"","parse-names":false,"suffix":""},{"dropping-particle":"","family":"Sohn","given":"Dae-Won","non-dropping-particle":"","parse-names":false,"suffix":""}],"container-title":"Journal of Cardiovascular Ultrasound","id":"ITEM-1","issue":"2","issued":{"date-parts":[["2016","6","1"]]},"page":"128","title":"Echocardiographic Predictors for Left Ventricular Remodeling after Acute ST Elevation Myocardial Infarction with Low Risk Group: Speckle Tracking Analysis","type":"article-journal","volume":"24"},"uris":["http://www.mendeley.com/documents/?uuid=606cffae-0745-396a-bd27-bf3f9acb265c"]}],"mendeley":{"formattedCitation":"&lt;sup&gt;15&lt;/sup&gt;","plainTextFormattedCitation":"15","previouslyFormattedCitation":"&lt;sup&gt;[155]&lt;/sup&gt;"},"properties":{"noteIndex":0},"schema":"https://github.com/citation-style-language/schema/raw/master/csl-citation.json"}</w:instrText>
      </w:r>
      <w:r w:rsidR="006F7B40" w:rsidRPr="00A12D77">
        <w:rPr>
          <w:color w:val="000000" w:themeColor="text1"/>
          <w:shd w:val="clear" w:color="auto" w:fill="FFFFFF"/>
        </w:rPr>
        <w:fldChar w:fldCharType="separate"/>
      </w:r>
      <w:r w:rsidRPr="00A12D77">
        <w:rPr>
          <w:noProof/>
          <w:color w:val="000000" w:themeColor="text1"/>
          <w:shd w:val="clear" w:color="auto" w:fill="FFFFFF"/>
          <w:vertAlign w:val="superscript"/>
        </w:rPr>
        <w:t>15</w:t>
      </w:r>
      <w:r w:rsidR="006F7B40" w:rsidRPr="00A12D77">
        <w:rPr>
          <w:color w:val="000000" w:themeColor="text1"/>
          <w:shd w:val="clear" w:color="auto" w:fill="FFFFFF"/>
        </w:rPr>
        <w:fldChar w:fldCharType="end"/>
      </w:r>
      <w:r w:rsidRPr="00A12D77">
        <w:rPr>
          <w:color w:val="000000" w:themeColor="text1"/>
          <w:shd w:val="clear" w:color="auto" w:fill="FFFFFF"/>
        </w:rPr>
        <w:t xml:space="preserve"> on 208 patients, 53 patients (25.5%) showed LV </w:t>
      </w:r>
      <w:r w:rsidR="00A12D77" w:rsidRPr="00A12D77">
        <w:rPr>
          <w:color w:val="000000" w:themeColor="text1"/>
          <w:shd w:val="clear" w:color="auto" w:fill="FFFFFF"/>
        </w:rPr>
        <w:t>remodelling</w:t>
      </w:r>
      <w:r w:rsidRPr="00A12D77">
        <w:rPr>
          <w:color w:val="000000" w:themeColor="text1"/>
          <w:shd w:val="clear" w:color="auto" w:fill="FFFFFF"/>
        </w:rPr>
        <w:t xml:space="preserve">, there was no statistically significant difference between both groups as regard discharge EF </w:t>
      </w:r>
      <w:r w:rsidRPr="00A12D77">
        <w:rPr>
          <w:i/>
          <w:iCs/>
          <w:color w:val="000000" w:themeColor="text1"/>
          <w:shd w:val="clear" w:color="auto" w:fill="FFFFFF"/>
        </w:rPr>
        <w:t xml:space="preserve">(P=0.507). </w:t>
      </w:r>
    </w:p>
    <w:p w:rsidR="00673D11" w:rsidRPr="00A12D77" w:rsidRDefault="00673D11" w:rsidP="00805DBD">
      <w:pPr>
        <w:snapToGrid w:val="0"/>
        <w:ind w:firstLine="425"/>
        <w:jc w:val="both"/>
      </w:pPr>
      <w:r w:rsidRPr="00A12D77">
        <w:rPr>
          <w:i/>
          <w:iCs/>
          <w:color w:val="000000" w:themeColor="text1"/>
          <w:shd w:val="clear" w:color="auto" w:fill="FFFFFF"/>
        </w:rPr>
        <w:t xml:space="preserve">Also, </w:t>
      </w:r>
      <w:r w:rsidRPr="00A12D77">
        <w:rPr>
          <w:lang w:bidi="ar-EG"/>
        </w:rPr>
        <w:t xml:space="preserve">LV </w:t>
      </w:r>
      <w:r w:rsidR="00A12D77" w:rsidRPr="00A12D77">
        <w:rPr>
          <w:lang w:bidi="ar-EG"/>
        </w:rPr>
        <w:t>remodelling</w:t>
      </w:r>
      <w:r w:rsidRPr="00A12D77">
        <w:rPr>
          <w:lang w:bidi="ar-EG"/>
        </w:rPr>
        <w:t xml:space="preserve"> group had higher LV filling pressure </w:t>
      </w:r>
      <w:r w:rsidR="00A12D77">
        <w:rPr>
          <w:lang w:bidi="ar-EG"/>
        </w:rPr>
        <w:t>(</w:t>
      </w:r>
      <w:r w:rsidRPr="00A12D77">
        <w:rPr>
          <w:lang w:bidi="ar-EG"/>
        </w:rPr>
        <w:t xml:space="preserve">E/e’) </w:t>
      </w:r>
      <w:r w:rsidR="00A12D77">
        <w:rPr>
          <w:lang w:bidi="ar-EG"/>
        </w:rPr>
        <w:t>(</w:t>
      </w:r>
      <w:r w:rsidRPr="00A12D77">
        <w:rPr>
          <w:lang w:bidi="ar-EG"/>
        </w:rPr>
        <w:t xml:space="preserve">P =0.003). This came in agreement with the study conducted by </w:t>
      </w:r>
      <w:r w:rsidRPr="00A12D77">
        <w:rPr>
          <w:b/>
          <w:bCs/>
          <w:i/>
          <w:iCs/>
        </w:rPr>
        <w:t xml:space="preserve">Yacov Shacham et al </w:t>
      </w:r>
      <w:r w:rsidR="006F7B40" w:rsidRPr="00A12D77">
        <w:rPr>
          <w:b/>
          <w:bCs/>
          <w:i/>
          <w:iCs/>
        </w:rPr>
        <w:fldChar w:fldCharType="begin" w:fldLock="1"/>
      </w:r>
      <w:r w:rsidRPr="00A12D77">
        <w:rPr>
          <w:b/>
          <w:bCs/>
          <w:i/>
          <w:iCs/>
        </w:rPr>
        <w:instrText>ADDIN CSL_CITATION {"citationItems":[{"id":"ITEM-1","itemData":{"DOI":"10.1016/j.echo.2016.04.003","ISSN":"1097-6795","PMID":"27215803","abstract":"BACKGROUND Acute myocardial infarction and remodeling of the left ventricle is associated with significant changes in systolic and diastolic echocardiographic derived indices. The investigators have tried to determine whether persistence of increased ratio of transmitral flow velocity (E) to early mitral annulus velocity (e'), signifying increased cardiac filling pressure, is associated with left ventricular (LV) remodeling and increased chamber size among patients presenting with ST-segment elevation myocardial infarction, who underwent successful reperfusion with primary percutaneous coronary intervention. METHODS Fifty-two patients (76% men; mean age, 61 ± 10 years) with first ST-segment elevation myocardial infarctions who underwent primary percutaneous coronary intervention were retrospectively studied. Echocardiography was performed at baseline (days 1-3) and after 178 ± 62 days. Patients were stratified according to E/septal e' ratio &gt;15 and ≤15 in both examinations. All patients received optimal medical therapy according to guidelines and local practice. RESULTS Patients with maintained or worsened E/septal e' ratios to &gt;15 demonstrated on the second examination worse LV ejection fractions (mean, 45 ± 12% vs 52 ± 8%; P = .03) and higher indexed LV end-diastolic volumes (mean, 81.3 ± 22.9 vs 69.2 ± 13.4 mL/m(2); P = .01) and end-systolic volumes (mean, 33.0 ± 12.2 vs 23.7 ± 13.4 mL/m(2); P = .02) compared with the first examination, representing LV remodeling. Patients with E/septal e' ratios &gt; 15 on the second examination demonstrated a positive correlation between the change in E/septal e' ratio and the change in indexed LV end-diastolic volume (linear R(2) = 0.344, P = .03). CONCLUSIONS Among patients with ST-segment elevation myocardial infarctions undergoing primary percutaneous coronary intervention, early and persistent elevation of the E/septal e' ratio may be associated with LV remodeling.","author":[{"dropping-particle":"","family":"Shacham","given":"Yacov","non-dropping-particle":"","parse-names":false,"suffix":""},{"dropping-particle":"","family":"Khoury","given":"Shafik","non-dropping-particle":"","parse-names":false,"suffix":""},{"dropping-particle":"","family":"Flint","given":"Nir","non-dropping-particle":"","parse-names":false,"suffix":""},{"dropping-particle":"","family":"Steinvil","given":"Arie","non-dropping-particle":"","parse-names":false,"suffix":""},{"dropping-particle":"","family":"Sadeh","given":"Ben","non-dropping-particle":"","parse-names":false,"suffix":""},{"dropping-particle":"","family":"Arbel","given":"Yaron","non-dropping-particle":"","parse-names":false,"suffix":""},{"dropping-particle":"","family":"Topilsky","given":"Yan","non-dropping-particle":"","parse-names":false,"suffix":""},{"dropping-particle":"","family":"Keren","given":"Gad","non-dropping-particle":"","parse-names":false,"suffix":""}],"container-title":"Journal of the American Society of Echocardiography : official publication of the American Society of Echocardiography","id":"ITEM-1","issue":"8","issued":{"date-parts":[["2016","8","1"]]},"page":"745-749","publisher":"Elsevier","title":"Serial Echocardiographic Assessment of Left Ventricular Filling Pressure and Remodeling among ST-Segment Elevation Myocardial Infarction Patients Treated by Primary Percutaneous Intervention.","type":"article-journal","volume":"29"},"uris":["http://www.mendeley.com/documents/?uuid=abfb8836-570a-35da-82d3-d265f4953367"]}],"mendeley":{"formattedCitation":"&lt;sup&gt;16&lt;/sup&gt;","plainTextFormattedCitation":"16","previouslyFormattedCitation":"&lt;sup&gt;[156]&lt;/sup&gt;"},"properties":{"noteIndex":0},"schema":"https://github.com/citation-style-language/schema/raw/master/csl-citation.json"}</w:instrText>
      </w:r>
      <w:r w:rsidR="006F7B40" w:rsidRPr="00A12D77">
        <w:rPr>
          <w:b/>
          <w:bCs/>
          <w:i/>
          <w:iCs/>
        </w:rPr>
        <w:fldChar w:fldCharType="separate"/>
      </w:r>
      <w:r w:rsidRPr="00A12D77">
        <w:rPr>
          <w:bCs/>
          <w:iCs/>
          <w:noProof/>
          <w:vertAlign w:val="superscript"/>
        </w:rPr>
        <w:t>16</w:t>
      </w:r>
      <w:r w:rsidR="006F7B40" w:rsidRPr="00A12D77">
        <w:rPr>
          <w:b/>
          <w:bCs/>
          <w:i/>
          <w:iCs/>
        </w:rPr>
        <w:fldChar w:fldCharType="end"/>
      </w:r>
      <w:r w:rsidR="00A12D77">
        <w:rPr>
          <w:rFonts w:eastAsiaTheme="minorEastAsia" w:hint="eastAsia"/>
          <w:b/>
          <w:bCs/>
          <w:i/>
          <w:iCs/>
          <w:lang w:eastAsia="zh-CN"/>
        </w:rPr>
        <w:t xml:space="preserve"> </w:t>
      </w:r>
      <w:r w:rsidRPr="00A12D77">
        <w:t xml:space="preserve">on 52 patients with ST-segment elevation myocardial infarctions who underwent primary PCI were retrospectively studied. The patients with E/e’ &gt;15 demonstrated worse LV ejection fraction on follow up (mean, 45 </w:t>
      </w:r>
      <w:r w:rsidRPr="00A12D77">
        <w:rPr>
          <w:u w:val="single"/>
        </w:rPr>
        <w:t>+</w:t>
      </w:r>
      <w:r w:rsidRPr="00A12D77">
        <w:t xml:space="preserve"> 12% vs. 52 </w:t>
      </w:r>
      <w:r w:rsidRPr="00A12D77">
        <w:rPr>
          <w:u w:val="single"/>
        </w:rPr>
        <w:t>+</w:t>
      </w:r>
      <w:r w:rsidRPr="00A12D77">
        <w:t xml:space="preserve"> 8%; P =.03) and higher LV end-diastolic volumes (mean, 81.3 </w:t>
      </w:r>
      <w:r w:rsidRPr="00A12D77">
        <w:rPr>
          <w:u w:val="single"/>
        </w:rPr>
        <w:t>+</w:t>
      </w:r>
      <w:r w:rsidRPr="00A12D77">
        <w:t xml:space="preserve"> 22.9 vs. 69.2 </w:t>
      </w:r>
      <w:r w:rsidRPr="00A12D77">
        <w:rPr>
          <w:u w:val="single"/>
        </w:rPr>
        <w:t>+</w:t>
      </w:r>
      <w:r w:rsidRPr="00A12D77">
        <w:t>13.4 mL/m2</w:t>
      </w:r>
      <w:r w:rsidR="00C97655" w:rsidRPr="00A12D77">
        <w:t>;</w:t>
      </w:r>
      <w:r w:rsidRPr="00A12D77">
        <w:t xml:space="preserve"> P</w:t>
      </w:r>
      <w:r w:rsidR="00C97655" w:rsidRPr="00A12D77">
        <w:t xml:space="preserve"> </w:t>
      </w:r>
      <w:r w:rsidRPr="00A12D77">
        <w:t xml:space="preserve">=.01) and end-systolic volumes (mean, 33.0 </w:t>
      </w:r>
      <w:r w:rsidRPr="00A12D77">
        <w:rPr>
          <w:u w:val="single"/>
        </w:rPr>
        <w:t>+</w:t>
      </w:r>
      <w:r w:rsidRPr="00A12D77">
        <w:t xml:space="preserve"> 12.2 vs. 23.7 </w:t>
      </w:r>
      <w:r w:rsidRPr="00A12D77">
        <w:rPr>
          <w:u w:val="single"/>
        </w:rPr>
        <w:t>+</w:t>
      </w:r>
      <w:r w:rsidRPr="00A12D77">
        <w:t>13.4 mL/m2</w:t>
      </w:r>
      <w:r w:rsidR="00C97655" w:rsidRPr="00A12D77">
        <w:t>;</w:t>
      </w:r>
      <w:r w:rsidRPr="00A12D77">
        <w:t xml:space="preserve"> P</w:t>
      </w:r>
      <w:r w:rsidR="00C97655" w:rsidRPr="00A12D77">
        <w:t xml:space="preserve"> </w:t>
      </w:r>
      <w:r w:rsidRPr="00A12D77">
        <w:t xml:space="preserve">=0.02) compared with the first examination, representing LV </w:t>
      </w:r>
      <w:r w:rsidR="00A12D77" w:rsidRPr="00A12D77">
        <w:t>remodelling</w:t>
      </w:r>
      <w:r w:rsidRPr="00A12D77">
        <w:t>. The E/septal e’ ratio has been shown to correlate with mean LV diastolic pressure and was shown to be a very strong predictor of mortality after acute MI, providing superior and incremental prognostic information to clinical factors and conventional measurements of LV systolic and diastolic function.</w:t>
      </w:r>
      <w:r w:rsidR="006F7B40" w:rsidRPr="00A12D77">
        <w:fldChar w:fldCharType="begin" w:fldLock="1"/>
      </w:r>
      <w:r w:rsidRPr="00A12D77">
        <w:instrText>ADDIN CSL_CITATION {"citationItems":[{"id":"ITEM-1","itemData":{"DOI":"10.1016/J.ECHO.2012.09.010","ISSN":"0894-7317","abstract":"BACKGROUND Early transmitral flow velocity (E) divided by early diastolic velocity of the mitral valve annulus (e′) is referred to as the E/e′ ratio, a variable that strongly correlates with mean left ventricular filling pressure. E/e′ obtained at acute phase has been reported as useful in predicting prognosis in patients with acute myocardial infarctions. The aim of this study was to evaluate the clinical utility of echocardiographic indices obtained 2 weeks after the onset of a first ST-segment elevation myocardial infarction as predictors of outcomes. METHODS Echocardiography was performed and blood samples were obtained from 301 consecutive patients 2 weeks after the onset of a first ST-segment elevation myocardial infarction. All patients underwent primary percutaneous coronary intervention &lt;12 hours after symptom onset and were followed for 51.7 ± 19.0 months. The primary end point was cardiac death or readmission for heart failure. RESULTS During follow-up, cardiac death occurred in 10 patients, and heart failure developed in 35. On univariate analysis, age &gt; 75 years, plasma brain natriuretic peptide &gt; 180 pg/mL, early diastolic/late diastolic wave velocity of mitral inflow &gt; 1.0, mitral inflow deceleration time &lt; 140 msec, and E/e′ &gt; 15 were associated with the primary end points. Multivariate analysis showed that E/e′ &gt; 15 was the strongest predictor (hazard ratio, 3.702; 95% confidence interval, 1.895–7.391; P = .0001), followed by early diastolic/late diastolic wave velocity of mitral inflow &gt; 1.0 (hazard ratio, 3.053; 95% confidence interval, 1.584–6.125; P = .008). Predictive accuracy was further enhanced by combing E/e′ &gt; 15 and early diastolic/late diastolic wave velocity of mitral inflow &gt; 1.0 (hazard ratio, 7.373; 95% confidence interval, 3.529–16.528; P &lt; .0001). CONCLUSIONS E/e′ &gt; 15 obtained 2 weeks after onset is the strongest predictor of cardiac death and readmission for heart failure after a reperfused first ST-segment elevation myocardial infarction. The predictive value of E/e′ at 2 weeks is further enhanced by combining this variable with mitral inflow filling pattern.","author":[{"dropping-particle":"","family":"Iwahashi","given":"Noriaki","non-dropping-particle":"","parse-names":false,"suffix":""},{"dropping-particle":"","family":"Kimura","given":"Kazuo","non-dropping-particle":"","parse-names":false,"suffix":""},{"dropping-particle":"","family":"Kosuge","given":"Masami","non-dropping-particle":"","parse-names":false,"suffix":""},{"dropping-particle":"","family":"Tsukahara","given":"Kengo","non-dropping-particle":"","parse-names":false,"suffix":""},{"dropping-particle":"","family":"Hibi","given":"Kiyoshi","non-dropping-particle":"","parse-names":false,"suffix":""},{"dropping-particle":"","family":"Ebina","given":"Toshiaki","non-dropping-particle":"","parse-names":false,"suffix":""},{"dropping-particle":"","family":"Saito","given":"Mari","non-dropping-particle":"","parse-names":false,"suffix":""},{"dropping-particle":"","family":"Umemura","given":"Satoshi","non-dropping-particle":"","parse-names":false,"suffix":""}],"container-title":"Journal of the American Society of Echocardiography","id":"ITEM-1","issue":"12","issued":{"date-parts":[["2012","12","1"]]},"page":"1290-1298","publisher":"Mosby","title":"E/e′ Two Weeks after Onset Is a Powerful Predictor of Cardiac Death and Heart Failure in Patients with a First-Time ST Elevation Acute Myocardial Infarction","type":"article-journal","volume":"25"},"uris":["http://www.mendeley.com/documents/?uuid=641eea8a-c3d3-3511-82c1-ec87e2cede16"]},{"id":"ITEM-2","itemData":{"DOI":"10.1016/J.JACC.2003.07.044","ISSN":"0735-1097","abstract":"OBJECTIVES The aim of this study was to assess the prognostic value of a noninvasive measure of left ventricular diastolic pressure (LVDP) early after acute myocardial infarction (MI). BACKGROUND The early diastolic velocity of the mitral valve annulus (e′) reflects the rate of myocardial relaxation. When combined with measurement of the early transmitral flow velocity (E), the resultant ratio (E/e′) correlates well with mean LVDP. In particular, an E/e′ ratio &gt;15 is an excellent predictor of an elevated mean LVDP. We hypothesized that an E/e′ ratio &gt;15 would predict poorer survival after acute MI. METHODS Echocardiograms were obtained in 250 unselected patients 1.6 days after admission for MI. Patients were followed for a median of 13 months. The end point was all-cause mortality. RESULTS Seventy-three patients (29%) had an E/e′ &gt;15. This was associated with excess mortality (log-rank statistic 21.3, p &lt; 0.0001) and was the most powerful independent predictor of survival (risk ratio 4.8, 95% confidence interval 2.1 to 10.8, p = 0.0002). The addition of E/e′ &gt;15 improved the prognostic utility of a model containing clinical variables and conventional echocardiographic indexes of left ventricular systolic and diastolic function (p = 0.001). CONCLUSIONS E/e′ is a powerful predictor of survival after acute MI. An E/e′ ratio &gt;15 is superior, in this respect, to other clinical or echocardiographic features. Furthermore, it provides prognostic information incremental to these parameters.","author":[{"dropping-particle":"","family":"Hillis","given":"Graham S","non-dropping-particle":"","parse-names":false,"suffix":""},{"dropping-particle":"","family":"Møller","given":"Jacob E","non-dropping-particle":"","parse-names":false,"suffix":""},{"dropping-particle":"","family":"Pellikka","given":"Patricia A","non-dropping-particle":"","parse-names":false,"suffix":""},{"dropping-particle":"","family":"Gersh","given":"Bernard J","non-dropping-particle":"","parse-names":false,"suffix":""},{"dropping-particle":"","family":"Wright","given":"R.Scott","non-dropping-particle":"","parse-names":false,"suffix":""},{"dropping-particle":"","family":"Ommen","given":"Steve R","non-dropping-particle":"","parse-names":false,"suffix":""},{"dropping-particle":"","family":"Reeder","given":"Guy S","non-dropping-particle":"","parse-names":false,"suffix":""},{"dropping-particle":"","family":"Oh","given":"Jae K","non-dropping-particle":"","parse-names":false,"suffix":""}],"container-title":"Journal of the American College of Cardiology","id":"ITEM-2","issue":"3","issued":{"date-parts":[["2004","2","4"]]},"page":"360-367","publisher":"Elsevier","title":"Noninvasive estimation of left ventricular filling pressure by e/e′ is a powerful predictor of survival after acute myocardial infarction","type":"article-journal","volume":"43"},"uris":["http://www.mendeley.com/documents/?uuid=ffcf9b18-e423-3ddc-aac5-36664d2179ee"]}],"mendeley":{"formattedCitation":"&lt;sup&gt;17,18&lt;/sup&gt;","plainTextFormattedCitation":"17,18","previouslyFormattedCitation":"&lt;sup&gt;[157,158]&lt;/sup&gt;"},"properties":{"noteIndex":0},"schema":"https://github.com/citation-style-language/schema/raw/master/csl-citation.json"}</w:instrText>
      </w:r>
      <w:r w:rsidR="006F7B40" w:rsidRPr="00A12D77">
        <w:fldChar w:fldCharType="separate"/>
      </w:r>
      <w:r w:rsidRPr="00A12D77">
        <w:rPr>
          <w:noProof/>
          <w:vertAlign w:val="superscript"/>
        </w:rPr>
        <w:t>17,18</w:t>
      </w:r>
      <w:r w:rsidR="006F7B40" w:rsidRPr="00A12D77">
        <w:fldChar w:fldCharType="end"/>
      </w:r>
    </w:p>
    <w:p w:rsidR="00673D11" w:rsidRPr="00A12D77" w:rsidRDefault="00673D11" w:rsidP="00805DBD">
      <w:pPr>
        <w:snapToGrid w:val="0"/>
        <w:ind w:firstLine="425"/>
        <w:jc w:val="both"/>
        <w:rPr>
          <w:b/>
          <w:bCs/>
          <w:lang w:bidi="ar-EG"/>
        </w:rPr>
      </w:pPr>
      <w:r w:rsidRPr="00A12D77">
        <w:rPr>
          <w:color w:val="000000" w:themeColor="text1"/>
          <w:shd w:val="clear" w:color="auto" w:fill="FFFFFF"/>
          <w:lang w:val="en-US"/>
        </w:rPr>
        <w:t xml:space="preserve">The </w:t>
      </w:r>
      <w:r w:rsidRPr="00A12D77">
        <w:rPr>
          <w:lang w:bidi="ar-EG"/>
        </w:rPr>
        <w:t xml:space="preserve">discharge EDV had no significant statistical importance for developing LV </w:t>
      </w:r>
      <w:r w:rsidR="00A12D77" w:rsidRPr="00A12D77">
        <w:rPr>
          <w:lang w:bidi="ar-EG"/>
        </w:rPr>
        <w:t>remodelling</w:t>
      </w:r>
      <w:r w:rsidR="00C97655" w:rsidRPr="00A12D77">
        <w:rPr>
          <w:lang w:bidi="ar-EG"/>
        </w:rPr>
        <w:t>,</w:t>
      </w:r>
      <w:r w:rsidRPr="00A12D77">
        <w:rPr>
          <w:lang w:bidi="ar-EG"/>
        </w:rPr>
        <w:t xml:space="preserve"> (P=0.25), this came in agreement with </w:t>
      </w:r>
      <w:r w:rsidRPr="00A12D77">
        <w:rPr>
          <w:b/>
          <w:bCs/>
          <w:i/>
          <w:iCs/>
        </w:rPr>
        <w:t>Zaliaduonyte-Peksiene et al</w:t>
      </w:r>
      <w:r w:rsidR="00C97655" w:rsidRPr="00A12D77">
        <w:t>.</w:t>
      </w:r>
      <w:r w:rsidR="006F7B40" w:rsidRPr="00A12D77">
        <w:fldChar w:fldCharType="begin" w:fldLock="1"/>
      </w:r>
      <w:r w:rsidRPr="00A12D77">
        <w:instrText>ADDIN CSL_CITATION {"citationItems":[{"id":"ITEM-1","itemData":{"DOI":"10.1177/1470320312471228","ISSN":"1470-3203","author":[{"dropping-particle":"","family":"Zaliaduonyte-Peksiene","given":"Diana","non-dropping-particle":"","parse-names":false,"suffix":""},{"dropping-particle":"","family":"Simonyte","given":"Sandrita","non-dropping-particle":"","parse-names":false,"suffix":""},{"dropping-particle":"","family":"Lesauskaite","given":"Vaiva","non-dropping-particle":"","parse-names":false,"suffix":""},{"dropping-particle":"","family":"Vaskelyte","given":"Jolanta","non-dropping-particle":"","parse-names":false,"suffix":""},{"dropping-particle":"","family":"Gustiene","given":"Olivija","non-dropping-particle":"","parse-names":false,"suffix":""},{"dropping-particle":"","family":"Mizariene","given":"Vaida","non-dropping-particle":"","parse-names":false,"suffix":""},{"dropping-particle":"","family":"Jurkevicius","given":"Renaldas","non-dropping-particle":"","parse-names":false,"suffix":""},{"dropping-particle":"","family":"Jariene","given":"Giedre","non-dropping-particle":"","parse-names":false,"suffix":""},{"dropping-particle":"","family":"Tamosiunas","given":"Abdonas","non-dropping-particle":"","parse-names":false,"suffix":""},{"dropping-particle":"","family":"Zaliunas","given":"Remigijus","non-dropping-particle":"","parse-names":false,"suffix":""}],"container-title":"Journal of the Renin-Angiotensin-Aldosterone System","id":"ITEM-1","issue":"3","issued":{"date-parts":[["2014","9","2"]]},"page":"286-293","title":"Left ventricular remodelling after acute myocardial infarction: Impact of clinical, echocardiographic parameters and polymorphism of angiotensinogen gene","type":"article-journal","volume":"15"},"uris":["http://www.mendeley.com/documents/?uuid=5bb820ee-59e1-37f7-a665-b085d42754b0"]}],"mendeley":{"formattedCitation":"&lt;sup&gt;11&lt;/sup&gt;","plainTextFormattedCitation":"11","previouslyFormattedCitation":"&lt;sup&gt;[149]&lt;/sup&gt;"},"properties":{"noteIndex":0},"schema":"https://github.com/citation-style-language/schema/raw/master/csl-citation.json"}</w:instrText>
      </w:r>
      <w:r w:rsidR="006F7B40" w:rsidRPr="00A12D77">
        <w:fldChar w:fldCharType="separate"/>
      </w:r>
      <w:r w:rsidRPr="00A12D77">
        <w:rPr>
          <w:noProof/>
          <w:vertAlign w:val="superscript"/>
        </w:rPr>
        <w:t>11</w:t>
      </w:r>
      <w:r w:rsidR="006F7B40" w:rsidRPr="00A12D77">
        <w:fldChar w:fldCharType="end"/>
      </w:r>
    </w:p>
    <w:p w:rsidR="00673D11" w:rsidRPr="00A12D77" w:rsidRDefault="00673D11" w:rsidP="00805DBD">
      <w:pPr>
        <w:snapToGrid w:val="0"/>
        <w:ind w:firstLine="425"/>
        <w:jc w:val="both"/>
        <w:rPr>
          <w:lang w:bidi="ar-EG"/>
        </w:rPr>
      </w:pPr>
      <w:r w:rsidRPr="00A12D77">
        <w:rPr>
          <w:lang w:bidi="ar-EG"/>
        </w:rPr>
        <w:t xml:space="preserve">Unlike </w:t>
      </w:r>
      <w:r w:rsidRPr="00A12D77">
        <w:rPr>
          <w:b/>
          <w:bCs/>
          <w:i/>
          <w:iCs/>
          <w:lang w:bidi="ar-EG"/>
        </w:rPr>
        <w:t>Joyce et al</w:t>
      </w:r>
      <w:r w:rsidR="006F7B40" w:rsidRPr="00A12D77">
        <w:rPr>
          <w:lang w:bidi="ar-EG"/>
        </w:rPr>
        <w:fldChar w:fldCharType="begin" w:fldLock="1"/>
      </w:r>
      <w:r w:rsidRPr="00A12D77">
        <w:rPr>
          <w:lang w:bidi="ar-EG"/>
        </w:rPr>
        <w:instrText>ADDIN CSL_CITATION {"citationItems":[{"id":"ITEM-1","itemData":{"DOI":"10.1136/heartjnl-2012-303406","ISSN":"1468-201X","PMID":"23468514","abstract":"OBJECTIVE Left ventricular (LV) adverse remodelling is an important determinant of mortality after ST segment elevation myocardial infarction (STEMI). Recently, discharge heart rate (DHR) has been associated with long-term outcomes after STEMI. Whether DHR is related to the development of LV remodelling after STEMI remains unknown. The present study evaluated the association between DHR after STEMI and the occurrence of LV remodelling at 6 months. DESIGN, SETTING, PATIENTS AND INTERVENTIONS: In 964 STEMI patients (60±11 years, 77% male) treated with primary percutaneous coronary intervention, DHR was derived from predischarge 12-lead electrocardiograph. LV volumes were measured with two-dimensional transthoracic echocardiography at baseline and 6-month follow-up. Variables independently associated with the occurrence of LV remodelling were investigated. MAIN OUTCOME MEASURES LV remodelling, defined as ≥20% increase in LV end-diastolic volume at 6 months follow-up. RESULTS LV remodelling occurred in 30.7% of patients. Compared with patients without remodelling, these patients had higher DHR (72±11 bpm vs 68±12 bpm, p&lt;0.001), higher levels of peak troponin T (5.6 (2.7, 11) ug/L vs 3.7 (1.6, 7.4) ug/L, p&lt;0.001) and creatine kinase (2083 (960, 4045) U/L vs 1469 (669, 2750) U/L, p&lt;0.001), lower LV ejection fraction (45±10 vs 48±9%, p&lt;0.001) and more frequently displayed left anterior descending artery as culprit (52% vs 44%, p=0.02). Median DHR was 69 bpm. DHR &gt;69 bpm (OR 1.5, 95% CI 1.10 to 2.04, p=0.01) and higher peak troponin T (OR 1.06, 95% CI 1.03 to 1.09, p&lt;0.001) were independently associated with LV remodelling at follow-up. CONCLUSIONS DHR is independently associated with LV remodelling after STEMI, underlining the importance of heart rate as an early risk marker in this contemporary population.","author":[{"dropping-particle":"","family":"Joyce","given":"Emer","non-dropping-particle":"","parse-names":false,"suffix":""},{"dropping-particle":"","family":"Hoogslag","given":"Georgette E","non-dropping-particle":"","parse-names":false,"suffix":""},{"dropping-particle":"","family":"Leong","given":"Darryl P","non-dropping-particle":"","parse-names":false,"suffix":""},{"dropping-particle":"","family":"Fox","given":"Kim","non-dropping-particle":"","parse-names":false,"suffix":""},{"dropping-particle":"","family":"Schalij","given":"Martin J","non-dropping-particle":"","parse-names":false,"suffix":""},{"dropping-particle":"","family":"Marsan","given":"Nina Ajmone","non-dropping-particle":"","parse-names":false,"suffix":""},{"dropping-particle":"","family":"Bax","given":"Jeroen J","non-dropping-particle":"","parse-names":false,"suffix":""},{"dropping-particle":"","family":"Delgado","given":"Victoria","non-dropping-particle":"","parse-names":false,"suffix":""}],"container-title":"Heart (British Cardiac Society)","id":"ITEM-1","issue":"8","issued":{"date-parts":[["2013","4","15"]]},"page":"556-61","publisher":"BMJ Publishing Group Ltd and British Cardiovascular Society","title":"Association between discharge heart rate and left ventricular adverse remodelling in ST segment elevation myocardial infarction patients treated with primary percutaneous coronary intervention.","type":"article-journal","volume":"99"},"uris":["http://www.mendeley.com/documents/?uuid=b23464c0-54bd-3b88-85e2-fe85694d9448"]}],"mendeley":{"formattedCitation":"&lt;sup&gt;5&lt;/sup&gt;","plainTextFormattedCitation":"5","previouslyFormattedCitation":"&lt;sup&gt;[139]&lt;/sup&gt;"},"properties":{"noteIndex":0},"schema":"https://github.com/citation-style-language/schema/raw/master/csl-citation.json"}</w:instrText>
      </w:r>
      <w:r w:rsidR="006F7B40" w:rsidRPr="00A12D77">
        <w:rPr>
          <w:lang w:bidi="ar-EG"/>
        </w:rPr>
        <w:fldChar w:fldCharType="separate"/>
      </w:r>
      <w:r w:rsidRPr="00A12D77">
        <w:rPr>
          <w:noProof/>
          <w:vertAlign w:val="superscript"/>
          <w:lang w:bidi="ar-EG"/>
        </w:rPr>
        <w:t>5</w:t>
      </w:r>
      <w:r w:rsidR="006F7B40" w:rsidRPr="00A12D77">
        <w:rPr>
          <w:lang w:bidi="ar-EG"/>
        </w:rPr>
        <w:fldChar w:fldCharType="end"/>
      </w:r>
      <w:r w:rsidRPr="00A12D77">
        <w:rPr>
          <w:lang w:bidi="ar-EG"/>
        </w:rPr>
        <w:t xml:space="preserve"> in their study conducted on 964 patients, the </w:t>
      </w:r>
      <w:r w:rsidR="00A12D77" w:rsidRPr="00A12D77">
        <w:rPr>
          <w:lang w:bidi="ar-EG"/>
        </w:rPr>
        <w:t>remodelling</w:t>
      </w:r>
      <w:r w:rsidRPr="00A12D77">
        <w:rPr>
          <w:lang w:bidi="ar-EG"/>
        </w:rPr>
        <w:t xml:space="preserve"> group </w:t>
      </w:r>
      <w:r w:rsidR="00A12D77">
        <w:rPr>
          <w:lang w:bidi="ar-EG"/>
        </w:rPr>
        <w:t>(</w:t>
      </w:r>
      <w:r w:rsidRPr="00A12D77">
        <w:rPr>
          <w:lang w:bidi="ar-EG"/>
        </w:rPr>
        <w:t>296 patients</w:t>
      </w:r>
      <w:r w:rsidR="00A12D77">
        <w:rPr>
          <w:lang w:bidi="ar-EG"/>
        </w:rPr>
        <w:t>)</w:t>
      </w:r>
      <w:r w:rsidRPr="00A12D77">
        <w:rPr>
          <w:lang w:bidi="ar-EG"/>
        </w:rPr>
        <w:t xml:space="preserve"> has higher discharge EDV than the non-</w:t>
      </w:r>
      <w:r w:rsidR="00A12D77" w:rsidRPr="00A12D77">
        <w:rPr>
          <w:lang w:bidi="ar-EG"/>
        </w:rPr>
        <w:t>remodelling</w:t>
      </w:r>
      <w:r w:rsidRPr="00A12D77">
        <w:rPr>
          <w:lang w:bidi="ar-EG"/>
        </w:rPr>
        <w:t xml:space="preserve"> group (668 patients</w:t>
      </w:r>
      <w:r w:rsidR="00A12D77">
        <w:rPr>
          <w:lang w:bidi="ar-EG"/>
        </w:rPr>
        <w:t>)</w:t>
      </w:r>
      <w:r w:rsidR="00C97655" w:rsidRPr="00A12D77">
        <w:rPr>
          <w:lang w:bidi="ar-EG"/>
        </w:rPr>
        <w:t xml:space="preserve"> </w:t>
      </w:r>
      <w:r w:rsidR="00A12D77">
        <w:rPr>
          <w:lang w:bidi="ar-EG"/>
        </w:rPr>
        <w:t>(</w:t>
      </w:r>
      <w:r w:rsidRPr="00A12D77">
        <w:rPr>
          <w:lang w:bidi="ar-EG"/>
        </w:rPr>
        <w:t>p&gt;0.001).</w:t>
      </w:r>
    </w:p>
    <w:p w:rsidR="00673D11" w:rsidRPr="00A12D77" w:rsidRDefault="00673D11" w:rsidP="00805DBD">
      <w:pPr>
        <w:snapToGrid w:val="0"/>
        <w:ind w:firstLine="425"/>
        <w:jc w:val="both"/>
        <w:rPr>
          <w:b/>
          <w:bCs/>
          <w:lang w:bidi="ar-EG"/>
        </w:rPr>
      </w:pPr>
      <w:r w:rsidRPr="00A12D77">
        <w:rPr>
          <w:lang w:bidi="ar-EG"/>
        </w:rPr>
        <w:t xml:space="preserve">Also, the study conducted by </w:t>
      </w:r>
      <w:hyperlink r:id="rId21" w:history="1">
        <w:r w:rsidRPr="00A12D77">
          <w:rPr>
            <w:rStyle w:val="Hyperlink"/>
            <w:rFonts w:eastAsiaTheme="majorEastAsia"/>
            <w:b/>
            <w:bCs/>
            <w:i/>
            <w:iCs/>
            <w:color w:val="000000" w:themeColor="text1"/>
            <w:bdr w:val="none" w:sz="0" w:space="0" w:color="auto" w:frame="1"/>
            <w:shd w:val="clear" w:color="auto" w:fill="FFFFFF"/>
          </w:rPr>
          <w:t>Mannaerts</w:t>
        </w:r>
      </w:hyperlink>
      <w:r w:rsidRPr="00A12D77">
        <w:rPr>
          <w:b/>
          <w:bCs/>
          <w:i/>
          <w:iCs/>
          <w:color w:val="000000" w:themeColor="text1"/>
        </w:rPr>
        <w:t xml:space="preserve"> et al</w:t>
      </w:r>
      <w:r w:rsidR="006F7B40" w:rsidRPr="00A12D77">
        <w:rPr>
          <w:b/>
          <w:bCs/>
          <w:color w:val="000000" w:themeColor="text1"/>
        </w:rPr>
        <w:fldChar w:fldCharType="begin" w:fldLock="1"/>
      </w:r>
      <w:r w:rsidRPr="00A12D77">
        <w:rPr>
          <w:b/>
          <w:bCs/>
          <w:color w:val="000000" w:themeColor="text1"/>
        </w:rPr>
        <w:instrText>ADDIN CSL_CITATION {"citationItems":[{"id":"ITEM-1","itemData":{"DOI":"10.1016/j.ehj.2004.02.030","ISSN":"0195668X","author":[{"dropping-particle":"","family":"Mannaerts","given":"H","non-dropping-particle":"","parse-names":false,"suffix":""},{"dropping-particle":"","family":"Heide","given":"Johannes A","non-dropping-particle":"van der","parse-names":false,"suffix":""},{"dropping-particle":"","family":"Kamp","given":"Otto","non-dropping-particle":"","parse-names":false,"suffix":""},{"dropping-particle":"","family":"Stoel","given":"Martin G","non-dropping-particle":"","parse-names":false,"suffix":""},{"dropping-particle":"","family":"Twisk","given":"Jos","non-dropping-particle":"","parse-names":false,"suffix":""},{"dropping-particle":"","family":"Visser","given":"Cees A","non-dropping-particle":"","parse-names":false,"suffix":""}],"container-title":"European Heart Journal","id":"ITEM-1","issue":"8","issued":{"date-parts":[["2004","4","1"]]},"page":"680-687","publisher":"Narnia","title":"Early identification of left ventricular remodelling after myocardial infarction, assessed by transthoracic 3D echocardiography","type":"article-journal","volume":"25"},"uris":["http://www.mendeley.com/documents/?uuid=52636041-518e-39bd-befc-698fafc582e1"]}],"mendeley":{"formattedCitation":"&lt;sup&gt;19&lt;/sup&gt;","plainTextFormattedCitation":"19","previouslyFormattedCitation":"&lt;sup&gt;[154]&lt;/sup&gt;"},"properties":{"noteIndex":0},"schema":"https://github.com/citation-style-language/schema/raw/master/csl-citation.json"}</w:instrText>
      </w:r>
      <w:r w:rsidR="006F7B40" w:rsidRPr="00A12D77">
        <w:rPr>
          <w:b/>
          <w:bCs/>
          <w:color w:val="000000" w:themeColor="text1"/>
        </w:rPr>
        <w:fldChar w:fldCharType="separate"/>
      </w:r>
      <w:r w:rsidRPr="00A12D77">
        <w:rPr>
          <w:bCs/>
          <w:noProof/>
          <w:color w:val="000000" w:themeColor="text1"/>
          <w:vertAlign w:val="superscript"/>
        </w:rPr>
        <w:t>19</w:t>
      </w:r>
      <w:r w:rsidR="006F7B40" w:rsidRPr="00A12D77">
        <w:rPr>
          <w:b/>
          <w:bCs/>
          <w:color w:val="000000" w:themeColor="text1"/>
        </w:rPr>
        <w:fldChar w:fldCharType="end"/>
      </w:r>
      <w:r w:rsidR="00A12D77">
        <w:rPr>
          <w:rFonts w:eastAsiaTheme="minorEastAsia" w:hint="eastAsia"/>
          <w:b/>
          <w:bCs/>
          <w:color w:val="000000" w:themeColor="text1"/>
          <w:lang w:eastAsia="zh-CN"/>
        </w:rPr>
        <w:t xml:space="preserve"> </w:t>
      </w:r>
      <w:r w:rsidRPr="00A12D77">
        <w:rPr>
          <w:color w:val="000000" w:themeColor="text1"/>
        </w:rPr>
        <w:t>on 33 patients with acute MI; 13 of them developed</w:t>
      </w:r>
      <w:r w:rsidR="00C97655" w:rsidRPr="00A12D77">
        <w:rPr>
          <w:color w:val="000000" w:themeColor="text1"/>
        </w:rPr>
        <w:t xml:space="preserve"> </w:t>
      </w:r>
      <w:r w:rsidRPr="00A12D77">
        <w:rPr>
          <w:color w:val="000000" w:themeColor="text1"/>
        </w:rPr>
        <w:t xml:space="preserve">LV </w:t>
      </w:r>
      <w:r w:rsidR="00A12D77" w:rsidRPr="00A12D77">
        <w:rPr>
          <w:color w:val="000000" w:themeColor="text1"/>
        </w:rPr>
        <w:t>remodelling</w:t>
      </w:r>
      <w:r w:rsidRPr="00A12D77">
        <w:rPr>
          <w:color w:val="000000" w:themeColor="text1"/>
        </w:rPr>
        <w:t>. They had higher discharge EDV. (P=0.01).</w:t>
      </w:r>
    </w:p>
    <w:p w:rsidR="00673D11" w:rsidRPr="00A12D77" w:rsidRDefault="00673D11" w:rsidP="00805DBD">
      <w:pPr>
        <w:pStyle w:val="Body2"/>
        <w:keepLines w:val="0"/>
        <w:suppressAutoHyphens w:val="0"/>
        <w:snapToGrid w:val="0"/>
        <w:spacing w:line="240" w:lineRule="auto"/>
        <w:ind w:firstLine="425"/>
        <w:rPr>
          <w:sz w:val="20"/>
          <w:szCs w:val="20"/>
        </w:rPr>
      </w:pPr>
      <w:r w:rsidRPr="00A12D77">
        <w:rPr>
          <w:sz w:val="20"/>
          <w:szCs w:val="20"/>
        </w:rPr>
        <w:lastRenderedPageBreak/>
        <w:t>Patients who developed LV remodeling had a higher discharge heart rate in comparison with patients who didn't develop remodeling (P =0.002)</w:t>
      </w:r>
      <w:r w:rsidR="00A12D77">
        <w:rPr>
          <w:rFonts w:eastAsiaTheme="minorEastAsia" w:hint="eastAsia"/>
          <w:sz w:val="20"/>
          <w:szCs w:val="20"/>
          <w:lang w:eastAsia="zh-CN"/>
        </w:rPr>
        <w:t>.</w:t>
      </w:r>
      <w:r w:rsidRPr="00A12D77">
        <w:rPr>
          <w:sz w:val="20"/>
          <w:szCs w:val="20"/>
        </w:rPr>
        <w:t xml:space="preserve"> </w:t>
      </w:r>
    </w:p>
    <w:p w:rsidR="00805DBD" w:rsidRPr="00A12D77" w:rsidRDefault="00673D11" w:rsidP="00805DBD">
      <w:pPr>
        <w:pStyle w:val="Body2"/>
        <w:keepLines w:val="0"/>
        <w:suppressAutoHyphens w:val="0"/>
        <w:snapToGrid w:val="0"/>
        <w:spacing w:line="240" w:lineRule="auto"/>
        <w:ind w:firstLine="425"/>
        <w:rPr>
          <w:sz w:val="20"/>
          <w:szCs w:val="20"/>
        </w:rPr>
      </w:pPr>
      <w:r w:rsidRPr="00A12D77">
        <w:rPr>
          <w:sz w:val="20"/>
          <w:szCs w:val="20"/>
        </w:rPr>
        <w:t>The effect of discharge heart rate on the development of LV remodeling was clinically relevant among clinically relevant subgroup</w:t>
      </w:r>
      <w:r w:rsidR="00805DBD" w:rsidRPr="00A12D77">
        <w:rPr>
          <w:sz w:val="20"/>
          <w:szCs w:val="20"/>
        </w:rPr>
        <w:t>s.</w:t>
      </w:r>
    </w:p>
    <w:p w:rsidR="00673D11" w:rsidRPr="00A12D77" w:rsidRDefault="00673D11" w:rsidP="00805DBD">
      <w:pPr>
        <w:pStyle w:val="Body2"/>
        <w:keepLines w:val="0"/>
        <w:numPr>
          <w:ilvl w:val="0"/>
          <w:numId w:val="2"/>
        </w:numPr>
        <w:suppressAutoHyphens w:val="0"/>
        <w:snapToGrid w:val="0"/>
        <w:spacing w:line="240" w:lineRule="auto"/>
        <w:ind w:left="0" w:firstLine="425"/>
        <w:rPr>
          <w:color w:val="2E2E2E"/>
          <w:sz w:val="20"/>
          <w:szCs w:val="20"/>
        </w:rPr>
      </w:pPr>
      <w:r w:rsidRPr="00A12D77">
        <w:rPr>
          <w:sz w:val="20"/>
          <w:szCs w:val="20"/>
        </w:rPr>
        <w:t xml:space="preserve">With LAD as a culprit vessel </w:t>
      </w:r>
      <w:r w:rsidRPr="00A12D77">
        <w:rPr>
          <w:i/>
          <w:iCs/>
          <w:sz w:val="20"/>
          <w:szCs w:val="20"/>
        </w:rPr>
        <w:t>(P=0.005)</w:t>
      </w:r>
      <w:r w:rsidR="00A12D77">
        <w:rPr>
          <w:rFonts w:eastAsiaTheme="minorEastAsia" w:hint="eastAsia"/>
          <w:i/>
          <w:iCs/>
          <w:sz w:val="20"/>
          <w:szCs w:val="20"/>
          <w:lang w:eastAsia="zh-CN"/>
        </w:rPr>
        <w:t>.</w:t>
      </w:r>
    </w:p>
    <w:p w:rsidR="00673D11" w:rsidRPr="00A12D77" w:rsidRDefault="00673D11" w:rsidP="00805DBD">
      <w:pPr>
        <w:pStyle w:val="Body2"/>
        <w:keepLines w:val="0"/>
        <w:numPr>
          <w:ilvl w:val="0"/>
          <w:numId w:val="2"/>
        </w:numPr>
        <w:suppressAutoHyphens w:val="0"/>
        <w:snapToGrid w:val="0"/>
        <w:spacing w:line="240" w:lineRule="auto"/>
        <w:ind w:left="0" w:firstLine="425"/>
        <w:rPr>
          <w:color w:val="2E2E2E"/>
          <w:sz w:val="20"/>
          <w:szCs w:val="20"/>
        </w:rPr>
      </w:pPr>
      <w:r w:rsidRPr="00A12D77">
        <w:rPr>
          <w:sz w:val="20"/>
          <w:szCs w:val="20"/>
        </w:rPr>
        <w:t xml:space="preserve">With Non-LAD as a culprit vessel </w:t>
      </w:r>
      <w:r w:rsidRPr="00A12D77">
        <w:rPr>
          <w:i/>
          <w:iCs/>
          <w:sz w:val="20"/>
          <w:szCs w:val="20"/>
        </w:rPr>
        <w:t>(P=0.033)</w:t>
      </w:r>
    </w:p>
    <w:p w:rsidR="00673D11" w:rsidRPr="00A12D77" w:rsidRDefault="00673D11" w:rsidP="00805DBD">
      <w:pPr>
        <w:pStyle w:val="Body2"/>
        <w:keepLines w:val="0"/>
        <w:numPr>
          <w:ilvl w:val="0"/>
          <w:numId w:val="2"/>
        </w:numPr>
        <w:suppressAutoHyphens w:val="0"/>
        <w:snapToGrid w:val="0"/>
        <w:spacing w:line="240" w:lineRule="auto"/>
        <w:ind w:left="0" w:firstLine="425"/>
        <w:rPr>
          <w:color w:val="auto"/>
          <w:sz w:val="20"/>
          <w:szCs w:val="20"/>
        </w:rPr>
      </w:pPr>
      <w:r w:rsidRPr="00A12D77">
        <w:rPr>
          <w:color w:val="auto"/>
          <w:sz w:val="20"/>
          <w:szCs w:val="20"/>
        </w:rPr>
        <w:t xml:space="preserve">In single vessel disease </w:t>
      </w:r>
      <w:r w:rsidRPr="00A12D77">
        <w:rPr>
          <w:i/>
          <w:iCs/>
          <w:color w:val="auto"/>
          <w:sz w:val="20"/>
          <w:szCs w:val="20"/>
        </w:rPr>
        <w:t>(P=0.002)</w:t>
      </w:r>
      <w:r w:rsidR="00A12D77">
        <w:rPr>
          <w:rFonts w:eastAsiaTheme="minorEastAsia" w:hint="eastAsia"/>
          <w:i/>
          <w:iCs/>
          <w:color w:val="auto"/>
          <w:sz w:val="20"/>
          <w:szCs w:val="20"/>
          <w:lang w:eastAsia="zh-CN"/>
        </w:rPr>
        <w:t>.</w:t>
      </w:r>
    </w:p>
    <w:p w:rsidR="00673D11" w:rsidRPr="00A12D77" w:rsidRDefault="00673D11" w:rsidP="00805DBD">
      <w:pPr>
        <w:pStyle w:val="Body2"/>
        <w:keepLines w:val="0"/>
        <w:suppressAutoHyphens w:val="0"/>
        <w:snapToGrid w:val="0"/>
        <w:spacing w:line="240" w:lineRule="auto"/>
        <w:ind w:firstLine="425"/>
        <w:rPr>
          <w:rFonts w:eastAsiaTheme="minorEastAsia" w:hint="eastAsia"/>
          <w:sz w:val="20"/>
          <w:szCs w:val="20"/>
          <w:lang w:eastAsia="zh-CN"/>
        </w:rPr>
      </w:pPr>
      <w:r w:rsidRPr="00A12D77">
        <w:rPr>
          <w:noProof/>
          <w:sz w:val="20"/>
          <w:szCs w:val="20"/>
        </w:rPr>
        <w:t xml:space="preserve">Similarly, In the study conducted by </w:t>
      </w:r>
      <w:r w:rsidRPr="00A12D77">
        <w:rPr>
          <w:b/>
          <w:bCs/>
          <w:i/>
          <w:iCs/>
          <w:noProof/>
          <w:sz w:val="20"/>
          <w:szCs w:val="20"/>
        </w:rPr>
        <w:t xml:space="preserve">Joyce et al </w:t>
      </w:r>
      <w:r w:rsidR="006F7B40" w:rsidRPr="00A12D77">
        <w:rPr>
          <w:b/>
          <w:bCs/>
          <w:i/>
          <w:iCs/>
          <w:noProof/>
          <w:sz w:val="20"/>
          <w:szCs w:val="20"/>
        </w:rPr>
        <w:fldChar w:fldCharType="begin" w:fldLock="1"/>
      </w:r>
      <w:r w:rsidRPr="00A12D77">
        <w:rPr>
          <w:b/>
          <w:bCs/>
          <w:i/>
          <w:iCs/>
          <w:noProof/>
          <w:sz w:val="20"/>
          <w:szCs w:val="20"/>
        </w:rPr>
        <w:instrText>ADDIN CSL_CITATION {"citationItems":[{"id":"ITEM-1","itemData":{"DOI":"10.1136/heartjnl-2012-303406","ISSN":"1468-201X","PMID":"23468514","abstract":"OBJECTIVE Left ventricular (LV) adverse remodelling is an important determinant of mortality after ST segment elevation myocardial infarction (STEMI). Recently, discharge heart rate (DHR) has been associated with long-term outcomes after STEMI. Whether DHR is related to the development of LV remodelling after STEMI remains unknown. The present study evaluated the association between DHR after STEMI and the occurrence of LV remodelling at 6 months. DESIGN, SETTING, PATIENTS AND INTERVENTIONS: In 964 STEMI patients (60±11 years, 77% male) treated with primary percutaneous coronary intervention, DHR was derived from predischarge 12-lead electrocardiograph. LV volumes were measured with two-dimensional transthoracic echocardiography at baseline and 6-month follow-up. Variables independently associated with the occurrence of LV remodelling were investigated. MAIN OUTCOME MEASURES LV remodelling, defined as ≥20% increase in LV end-diastolic volume at 6 months follow-up. RESULTS LV remodelling occurred in 30.7% of patients. Compared with patients without remodelling, these patients had higher DHR (72±11 bpm vs 68±12 bpm, p&lt;0.001), higher levels of peak troponin T (5.6 (2.7, 11) ug/L vs 3.7 (1.6, 7.4) ug/L, p&lt;0.001) and creatine kinase (2083 (960, 4045) U/L vs 1469 (669, 2750) U/L, p&lt;0.001), lower LV ejection fraction (45±10 vs 48±9%, p&lt;0.001) and more frequently displayed left anterior descending artery as culprit (52% vs 44%, p=0.02). Median DHR was 69 bpm. DHR &gt;69 bpm (OR 1.5, 95% CI 1.10 to 2.04, p=0.01) and higher peak troponin T (OR 1.06, 95% CI 1.03 to 1.09, p&lt;0.001) were independently associated with LV remodelling at follow-up. CONCLUSIONS DHR is independently associated with LV remodelling after STEMI, underlining the importance of heart rate as an early risk marker in this contemporary population.","author":[{"dropping-particle":"","family":"Joyce","given":"Emer","non-dropping-particle":"","parse-names":false,"suffix":""},{"dropping-particle":"","family":"Hoogslag","given":"Georgette E","non-dropping-particle":"","parse-names":false,"suffix":""},{"dropping-particle":"","family":"Leong","given":"Darryl P","non-dropping-particle":"","parse-names":false,"suffix":""},{"dropping-particle":"","family":"Fox","given":"Kim","non-dropping-particle":"","parse-names":false,"suffix":""},{"dropping-particle":"","family":"Schalij","given":"Martin J","non-dropping-particle":"","parse-names":false,"suffix":""},{"dropping-particle":"","family":"Marsan","given":"Nina Ajmone","non-dropping-particle":"","parse-names":false,"suffix":""},{"dropping-particle":"","family":"Bax","given":"Jeroen J","non-dropping-particle":"","parse-names":false,"suffix":""},{"dropping-particle":"","family":"Delgado","given":"Victoria","non-dropping-particle":"","parse-names":false,"suffix":""}],"container-title":"Heart (British Cardiac Society)","id":"ITEM-1","issue":"8","issued":{"date-parts":[["2013","4","15"]]},"page":"556-61","publisher":"BMJ Publishing Group Ltd and British Cardiovascular Society","title":"Association between discharge heart rate and left ventricular adverse remodelling in ST segment elevation myocardial infarction patients treated with primary percutaneous coronary intervention.","type":"article-journal","volume":"99"},"uris":["http://www.mendeley.com/documents/?uuid=b23464c0-54bd-3b88-85e2-fe85694d9448"]}],"mendeley":{"formattedCitation":"&lt;sup&gt;5&lt;/sup&gt;","plainTextFormattedCitation":"5","previouslyFormattedCitation":"&lt;sup&gt;[139]&lt;/sup&gt;"},"properties":{"noteIndex":0},"schema":"https://github.com/citation-style-language/schema/raw/master/csl-citation.json"}</w:instrText>
      </w:r>
      <w:r w:rsidR="006F7B40" w:rsidRPr="00A12D77">
        <w:rPr>
          <w:b/>
          <w:bCs/>
          <w:i/>
          <w:iCs/>
          <w:noProof/>
          <w:sz w:val="20"/>
          <w:szCs w:val="20"/>
        </w:rPr>
        <w:fldChar w:fldCharType="separate"/>
      </w:r>
      <w:r w:rsidRPr="00A12D77">
        <w:rPr>
          <w:bCs/>
          <w:iCs/>
          <w:noProof/>
          <w:sz w:val="20"/>
          <w:szCs w:val="20"/>
          <w:vertAlign w:val="superscript"/>
        </w:rPr>
        <w:t>5</w:t>
      </w:r>
      <w:r w:rsidR="006F7B40" w:rsidRPr="00A12D77">
        <w:rPr>
          <w:b/>
          <w:bCs/>
          <w:i/>
          <w:iCs/>
          <w:noProof/>
          <w:sz w:val="20"/>
          <w:szCs w:val="20"/>
        </w:rPr>
        <w:fldChar w:fldCharType="end"/>
      </w:r>
      <w:r w:rsidR="00A12D77">
        <w:rPr>
          <w:rFonts w:eastAsiaTheme="minorEastAsia" w:hint="eastAsia"/>
          <w:b/>
          <w:bCs/>
          <w:i/>
          <w:iCs/>
          <w:noProof/>
          <w:sz w:val="20"/>
          <w:szCs w:val="20"/>
          <w:lang w:eastAsia="zh-CN"/>
        </w:rPr>
        <w:t xml:space="preserve"> </w:t>
      </w:r>
      <w:r w:rsidRPr="00A12D77">
        <w:rPr>
          <w:noProof/>
          <w:sz w:val="20"/>
          <w:szCs w:val="20"/>
        </w:rPr>
        <w:t xml:space="preserve">on 964 STEMI patients treated by primary PCI. </w:t>
      </w:r>
      <w:r w:rsidRPr="00A12D77">
        <w:rPr>
          <w:sz w:val="20"/>
          <w:szCs w:val="20"/>
        </w:rPr>
        <w:t xml:space="preserve">Overall 296 patients (30.7%) developed LV remodeling at 6 months follow-up. Patients who showed LV remodeling had significantly higher heart rates on admission </w:t>
      </w:r>
      <w:r w:rsidRPr="00A12D77">
        <w:rPr>
          <w:i/>
          <w:iCs/>
          <w:sz w:val="20"/>
          <w:szCs w:val="20"/>
        </w:rPr>
        <w:t>(76±19 bpm vs. 72±17 bpm, p=0.002)</w:t>
      </w:r>
      <w:r w:rsidRPr="00A12D77">
        <w:rPr>
          <w:sz w:val="20"/>
          <w:szCs w:val="20"/>
        </w:rPr>
        <w:t xml:space="preserve"> and discharge </w:t>
      </w:r>
      <w:r w:rsidRPr="00A12D77">
        <w:rPr>
          <w:i/>
          <w:iCs/>
          <w:sz w:val="20"/>
          <w:szCs w:val="20"/>
        </w:rPr>
        <w:t>(72±11 bpm vs. 68±12 bpm, p &lt; 0.001)</w:t>
      </w:r>
      <w:r w:rsidRPr="00A12D77">
        <w:rPr>
          <w:sz w:val="20"/>
          <w:szCs w:val="20"/>
        </w:rPr>
        <w:t xml:space="preserve"> compared to the non-remodeling group. Also, multivariate analysis showed </w:t>
      </w:r>
      <w:r w:rsidRPr="00A12D77">
        <w:rPr>
          <w:noProof/>
          <w:sz w:val="20"/>
          <w:szCs w:val="20"/>
        </w:rPr>
        <w:t xml:space="preserve">that DHR &gt; 69 bpm is an independent risk factor for developing LV remodeling </w:t>
      </w:r>
      <w:r w:rsidRPr="00A12D77">
        <w:rPr>
          <w:i/>
          <w:iCs/>
          <w:noProof/>
          <w:sz w:val="20"/>
          <w:szCs w:val="20"/>
        </w:rPr>
        <w:t>(P=0.01)</w:t>
      </w:r>
      <w:r w:rsidR="00A12D77">
        <w:rPr>
          <w:rFonts w:eastAsiaTheme="minorEastAsia" w:hint="eastAsia"/>
          <w:i/>
          <w:iCs/>
          <w:noProof/>
          <w:sz w:val="20"/>
          <w:szCs w:val="20"/>
          <w:lang w:eastAsia="zh-CN"/>
        </w:rPr>
        <w:t>.</w:t>
      </w:r>
    </w:p>
    <w:p w:rsidR="00673D11" w:rsidRPr="00A12D77" w:rsidRDefault="00673D11" w:rsidP="00805DBD">
      <w:pPr>
        <w:pStyle w:val="Body2"/>
        <w:keepLines w:val="0"/>
        <w:suppressAutoHyphens w:val="0"/>
        <w:snapToGrid w:val="0"/>
        <w:spacing w:line="240" w:lineRule="auto"/>
        <w:ind w:firstLine="425"/>
        <w:rPr>
          <w:sz w:val="20"/>
          <w:szCs w:val="20"/>
        </w:rPr>
      </w:pPr>
      <w:r w:rsidRPr="00A12D77">
        <w:rPr>
          <w:b/>
          <w:bCs/>
          <w:i/>
          <w:iCs/>
          <w:sz w:val="20"/>
          <w:szCs w:val="20"/>
        </w:rPr>
        <w:t xml:space="preserve">Martin Reindl et al </w:t>
      </w:r>
      <w:r w:rsidR="006F7B40" w:rsidRPr="00A12D77">
        <w:rPr>
          <w:b/>
          <w:bCs/>
          <w:i/>
          <w:iCs/>
          <w:sz w:val="20"/>
          <w:szCs w:val="20"/>
        </w:rPr>
        <w:fldChar w:fldCharType="begin" w:fldLock="1"/>
      </w:r>
      <w:r w:rsidRPr="00A12D77">
        <w:rPr>
          <w:b/>
          <w:bCs/>
          <w:i/>
          <w:iCs/>
          <w:sz w:val="20"/>
          <w:szCs w:val="20"/>
        </w:rPr>
        <w:instrText>ADDIN CSL_CITATION {"citationItems":[{"id":"ITEM-1","itemData":{"DOI":"10.1016/j.ijcard.2016.06.046","ISSN":"01675273","PMID":"27348414","abstract":"BACKGROUND Discharge heart rate (HR) following ST-elevation myocardial infarction (STEMI) is a predictor of adverse left ventricular remodelling (LVR). However, the prognostic relevance of HR values in the earlier phase after revascularization is unknown. We aimed to investigate resting HR assessed at different time points during hospital stay following STEMI for the prediction of LVR. METHODS In this prospective observational study of 143 consecutive STEMI patients, HR was measured serially on admission (AHR), at day 1 (HRd1) and 2 (HRd2) following revascularization and finally at discharge (DHR). Cardiac magnetic resonance (CMR) scans were performed at baseline and 4months thereafter to evaluate LVR and major CMR determinants of LVR (infarct size, microvascular obstruction). LVR was defined as ≥15% increase of left ventricular end-diastolic volume. RESULTS Twenty-nine patients (20%) have developed LVR. HRd1 (80[72-88] vs. 71[62-79]bpm, p=0.003), HRd2 (74[64-83] vs. 67[59-78]bpm, p=0.04), DHR (74[62-81] vs. 64[58-73] bpm, p=0.008) and the mean HR of all measurements (76[68-82] vs. 67[60-77]bpm, p=0.004) were significantly higher in patients with LVR, whereas admission HR (75[68-85] vs. 70[60-82]bpm, p=0.12) did not differ significantly. The associations for all post-admission HRs remained significant after adjustment for clinical (high-sensitivity cardiac troponin T and C-reactive protein, left anterior descending artery as culprit) and CMR (infarct size, microvascular obstruction, ejection fraction) predictors of LVR. The predictive values of the post-admission HRs were equivalent (area under the curve differences: all p&gt;0.05). CONCLUSION Besides DHR, resting HR values in the early stage following reperfusion are independent predictors of LVR after STEMI.","author":[{"dropping-particle":"","family":"Reindl","given":"Martin","non-dropping-particle":"","parse-names":false,"suffix":""},{"dropping-particle":"","family":"Reinstadler","given":"Sebastian Johannes","non-dropping-particle":"","parse-names":false,"suffix":""},{"dropping-particle":"","family":"Feistritzer","given":"Hans-Josef","non-dropping-particle":"","parse-names":false,"suffix":""},{"dropping-particle":"","family":"Tiller","given":"Christina","non-dropping-particle":"","parse-names":false,"suffix":""},{"dropping-particle":"","family":"Mayr","given":"Agnes","non-dropping-particle":"","parse-names":false,"suffix":""},{"dropping-particle":"","family":"Klug","given":"Gert","non-dropping-particle":"","parse-names":false,"suffix":""},{"dropping-particle":"","family":"Metzler","given":"Bernhard","non-dropping-particle":"","parse-names":false,"suffix":""}],"container-title":"International Journal of Cardiology","id":"ITEM-1","issued":{"date-parts":[["2016","9","15"]]},"page":"339-344","title":"Heart rate and left ventricular adverse remodelling after ST-elevation myocardial infarction","type":"article-journal","volume":"219"},"uris":["http://www.mendeley.com/documents/?uuid=b0c290c5-75eb-3efe-a541-8e522615ae9f"]}],"mendeley":{"formattedCitation":"&lt;sup&gt;20&lt;/sup&gt;","plainTextFormattedCitation":"20","previouslyFormattedCitation":"&lt;sup&gt;[159]&lt;/sup&gt;"},"properties":{"noteIndex":0},"schema":"https://github.com/citation-style-language/schema/raw/master/csl-citation.json"}</w:instrText>
      </w:r>
      <w:r w:rsidR="006F7B40" w:rsidRPr="00A12D77">
        <w:rPr>
          <w:b/>
          <w:bCs/>
          <w:i/>
          <w:iCs/>
          <w:sz w:val="20"/>
          <w:szCs w:val="20"/>
        </w:rPr>
        <w:fldChar w:fldCharType="separate"/>
      </w:r>
      <w:r w:rsidRPr="00A12D77">
        <w:rPr>
          <w:bCs/>
          <w:iCs/>
          <w:noProof/>
          <w:sz w:val="20"/>
          <w:szCs w:val="20"/>
          <w:vertAlign w:val="superscript"/>
        </w:rPr>
        <w:t>20</w:t>
      </w:r>
      <w:r w:rsidR="006F7B40" w:rsidRPr="00A12D77">
        <w:rPr>
          <w:b/>
          <w:bCs/>
          <w:i/>
          <w:iCs/>
          <w:sz w:val="20"/>
          <w:szCs w:val="20"/>
        </w:rPr>
        <w:fldChar w:fldCharType="end"/>
      </w:r>
      <w:r w:rsidR="00A12D77">
        <w:rPr>
          <w:rFonts w:eastAsiaTheme="minorEastAsia" w:hint="eastAsia"/>
          <w:b/>
          <w:bCs/>
          <w:i/>
          <w:iCs/>
          <w:sz w:val="20"/>
          <w:szCs w:val="20"/>
          <w:lang w:eastAsia="zh-CN"/>
        </w:rPr>
        <w:t xml:space="preserve"> </w:t>
      </w:r>
      <w:r w:rsidRPr="00A12D77">
        <w:rPr>
          <w:sz w:val="20"/>
          <w:szCs w:val="20"/>
        </w:rPr>
        <w:t xml:space="preserve">conducted a prospective study on 143 STEMI patients, CMR scans were performed on discharge and after 4 months, 29 patients </w:t>
      </w:r>
      <w:r w:rsidRPr="00A12D77">
        <w:rPr>
          <w:i/>
          <w:iCs/>
          <w:sz w:val="20"/>
          <w:szCs w:val="20"/>
        </w:rPr>
        <w:t xml:space="preserve">(20%) </w:t>
      </w:r>
      <w:r w:rsidRPr="00A12D77">
        <w:rPr>
          <w:sz w:val="20"/>
          <w:szCs w:val="20"/>
        </w:rPr>
        <w:t xml:space="preserve">developed LV remodeling. DHR </w:t>
      </w:r>
      <w:r w:rsidRPr="00A12D77">
        <w:rPr>
          <w:i/>
          <w:iCs/>
          <w:sz w:val="20"/>
          <w:szCs w:val="20"/>
        </w:rPr>
        <w:t xml:space="preserve">(74[62-81] vs. 64[58-73] bpm, p=0.008). </w:t>
      </w:r>
      <w:r w:rsidRPr="00A12D77">
        <w:rPr>
          <w:sz w:val="20"/>
          <w:szCs w:val="20"/>
        </w:rPr>
        <w:t>The associations for all post-admission heart rates were significant after adjustment for clinical (high-sensitivity cardiac troponin T and C-reactive protein, left anterior descending artery as the culprit) and CMR (infarct size, microvascular obstruction, ejection fraction) predictors of left ventricular remodeling.</w:t>
      </w:r>
      <w:r w:rsidR="006F7B40" w:rsidRPr="00A12D77">
        <w:rPr>
          <w:sz w:val="20"/>
          <w:szCs w:val="20"/>
        </w:rPr>
        <w:fldChar w:fldCharType="begin" w:fldLock="1"/>
      </w:r>
      <w:r w:rsidRPr="00A12D77">
        <w:rPr>
          <w:sz w:val="20"/>
          <w:szCs w:val="20"/>
        </w:rPr>
        <w:instrText>ADDIN CSL_CITATION {"citationItems":[{"id":"ITEM-1","itemData":{"DOI":"10.1016/j.ijcard.2016.06.046","ISSN":"01675273","PMID":"27348414","abstract":"BACKGROUND Discharge heart rate (HR) following ST-elevation myocardial infarction (STEMI) is a predictor of adverse left ventricular remodelling (LVR). However, the prognostic relevance of HR values in the earlier phase after revascularization is unknown. We aimed to investigate resting HR assessed at different time points during hospital stay following STEMI for the prediction of LVR. METHODS In this prospective observational study of 143 consecutive STEMI patients, HR was measured serially on admission (AHR), at day 1 (HRd1) and 2 (HRd2) following revascularization and finally at discharge (DHR). Cardiac magnetic resonance (CMR) scans were performed at baseline and 4months thereafter to evaluate LVR and major CMR determinants of LVR (infarct size, microvascular obstruction). LVR was defined as ≥15% increase of left ventricular end-diastolic volume. RESULTS Twenty-nine patients (20%) have developed LVR. HRd1 (80[72-88] vs. 71[62-79]bpm, p=0.003), HRd2 (74[64-83] vs. 67[59-78]bpm, p=0.04), DHR (74[62-81] vs. 64[58-73] bpm, p=0.008) and the mean HR of all measurements (76[68-82] vs. 67[60-77]bpm, p=0.004) were significantly higher in patients with LVR, whereas admission HR (75[68-85] vs. 70[60-82]bpm, p=0.12) did not differ significantly. The associations for all post-admission HRs remained significant after adjustment for clinical (high-sensitivity cardiac troponin T and C-reactive protein, left anterior descending artery as culprit) and CMR (infarct size, microvascular obstruction, ejection fraction) predictors of LVR. The predictive values of the post-admission HRs were equivalent (area under the curve differences: all p&gt;0.05). CONCLUSION Besides DHR, resting HR values in the early stage following reperfusion are independent predictors of LVR after STEMI.","author":[{"dropping-particle":"","family":"Reindl","given":"Martin","non-dropping-particle":"","parse-names":false,"suffix":""},{"dropping-particle":"","family":"Reinstadler","given":"Sebastian Johannes","non-dropping-particle":"","parse-names":false,"suffix":""},{"dropping-particle":"","family":"Feistritzer","given":"Hans-Josef","non-dropping-particle":"","parse-names":false,"suffix":""},{"dropping-particle":"","family":"Tiller","given":"Christina","non-dropping-particle":"","parse-names":false,"suffix":""},{"dropping-particle":"","family":"Mayr","given":"Agnes","non-dropping-particle":"","parse-names":false,"suffix":""},{"dropping-particle":"","family":"Klug","given":"Gert","non-dropping-particle":"","parse-names":false,"suffix":""},{"dropping-particle":"","family":"Metzler","given":"Bernhard","non-dropping-particle":"","parse-names":false,"suffix":""}],"container-title":"International Journal of Cardiology","id":"ITEM-1","issued":{"date-parts":[["2016","9","15"]]},"page":"339-344","title":"Heart rate and left ventricular adverse remodelling after ST-elevation myocardial infarction","type":"article-journal","volume":"219"},"uris":["http://www.mendeley.com/documents/?uuid=b0c290c5-75eb-3efe-a541-8e522615ae9f"]}],"mendeley":{"formattedCitation":"&lt;sup&gt;20&lt;/sup&gt;","plainTextFormattedCitation":"20","previouslyFormattedCitation":"&lt;sup&gt;[159]&lt;/sup&gt;"},"properties":{"noteIndex":0},"schema":"https://github.com/citation-style-language/schema/raw/master/csl-citation.json"}</w:instrText>
      </w:r>
      <w:r w:rsidR="006F7B40" w:rsidRPr="00A12D77">
        <w:rPr>
          <w:sz w:val="20"/>
          <w:szCs w:val="20"/>
        </w:rPr>
        <w:fldChar w:fldCharType="separate"/>
      </w:r>
      <w:r w:rsidRPr="00A12D77">
        <w:rPr>
          <w:noProof/>
          <w:sz w:val="20"/>
          <w:szCs w:val="20"/>
          <w:vertAlign w:val="superscript"/>
        </w:rPr>
        <w:t>20</w:t>
      </w:r>
      <w:r w:rsidR="006F7B40" w:rsidRPr="00A12D77">
        <w:rPr>
          <w:sz w:val="20"/>
          <w:szCs w:val="20"/>
        </w:rPr>
        <w:fldChar w:fldCharType="end"/>
      </w:r>
    </w:p>
    <w:p w:rsidR="00673D11" w:rsidRPr="00A12D77" w:rsidRDefault="00673D11" w:rsidP="00805DBD">
      <w:pPr>
        <w:pStyle w:val="Body2"/>
        <w:keepLines w:val="0"/>
        <w:suppressAutoHyphens w:val="0"/>
        <w:snapToGrid w:val="0"/>
        <w:spacing w:line="240" w:lineRule="auto"/>
        <w:ind w:firstLine="425"/>
        <w:rPr>
          <w:sz w:val="20"/>
          <w:szCs w:val="20"/>
        </w:rPr>
      </w:pPr>
      <w:r w:rsidRPr="00A12D77">
        <w:rPr>
          <w:sz w:val="20"/>
          <w:szCs w:val="20"/>
        </w:rPr>
        <w:t>In the SHIFT echocardiographic sub</w:t>
      </w:r>
      <w:r w:rsidR="00A12D77">
        <w:rPr>
          <w:rFonts w:eastAsiaTheme="minorEastAsia" w:hint="eastAsia"/>
          <w:sz w:val="20"/>
          <w:szCs w:val="20"/>
          <w:lang w:eastAsia="zh-CN"/>
        </w:rPr>
        <w:t>-</w:t>
      </w:r>
      <w:r w:rsidRPr="00A12D77">
        <w:rPr>
          <w:sz w:val="20"/>
          <w:szCs w:val="20"/>
        </w:rPr>
        <w:t>study, a lower heart rate at 8 months was associated with a significantly lower left ventricular end systolic volume index and higher LVEF.</w:t>
      </w:r>
      <w:r w:rsidR="006F7B40" w:rsidRPr="00A12D77">
        <w:rPr>
          <w:sz w:val="20"/>
          <w:szCs w:val="20"/>
        </w:rPr>
        <w:fldChar w:fldCharType="begin" w:fldLock="1"/>
      </w:r>
      <w:r w:rsidRPr="00A12D77">
        <w:rPr>
          <w:sz w:val="20"/>
          <w:szCs w:val="20"/>
        </w:rPr>
        <w:instrText>ADDIN CSL_CITATION {"citationItems":[{"id":"ITEM-1","itemData":{"DOI":"10.1093/eurheartj/ehr311","ISSN":"0195-668X","PMID":"21875858","abstract":"AIMS The SHIFT echocardiographic substudy evaluated the effects of ivabradine on left ventricular (LV) remodelling in heart failure (HF). METHODS AND RESULTS Eligible patients had chronic HF and systolic dysfunction [LV ejection fraction (LVEF) ≤35%], were in sinus rhythm, and had resting heart rate ≥70 bpm. Patients were randomly allocated to ivabradine or placebo, superimposed on background therapy for HF. Complete echocardiographic data at baseline and 8 months were available for 411 patients (ivabradine 208, placebo 203). Treatment with ivabradine reduced LVESVI (primary substudy endpoint) vs. placebo [-7.0 ± 16.3 vs. -0.9 ± 17.1 mL/m(2); difference (SE), -5.8 (1.6), 95% CI -8.8 to -2.7, P&lt; 0.001]. The reduction in LVESVI was independent of beta-blocker use, HF aetiology, and baseline LVEF. Ivabradine also improved LV end-diastolic volume index (-7.9 ± 18.9 vs. -1.8 ± 19.0 mL/m(2), P= 0.002) and LVEF (+2.4 ± 7.7 vs. -0.1 ± 8.0%, P&lt; 0.001). The incidence of the SHIFT primary composite outcome (cardiovascular mortality or hospitalization for worsening HF) was higher in patients with LVESVI above the median (59 mL/m2) at baseline (HR 1.62, 95% CI 1.03-2.56, P= 0.04). Patients with the largest relative reductions in LVESVI had the lowest event rates. CONCLUSION Ivabradine reverses cardiac remodelling in patients with HF and LV systolic dysfunction.","author":[{"dropping-particle":"","family":"Tardif","given":"Jean-Claude","non-dropping-particle":"","parse-names":false,"suffix":""},{"dropping-particle":"","family":"O'Meara","given":"Eileen","non-dropping-particle":"","parse-names":false,"suffix":""},{"dropping-particle":"","family":"Komajda","given":"Michel","non-dropping-particle":"","parse-names":false,"suffix":""},{"dropping-particle":"","family":"Böhm","given":"Michael","non-dropping-particle":"","parse-names":false,"suffix":""},{"dropping-particle":"","family":"Borer","given":"Jeffrey S.","non-dropping-particle":"","parse-names":false,"suffix":""},{"dropping-particle":"","family":"Ford","given":"Ian","non-dropping-particle":"","parse-names":false,"suffix":""},{"dropping-particle":"","family":"Tavazzi","given":"Luigi","non-dropping-particle":"","parse-names":false,"suffix":""},{"dropping-particle":"","family":"Swedberg","given":"Karl","non-dropping-particle":"","parse-names":false,"suffix":""},{"dropping-particle":"","family":"SHIFT Investigators","given":"","non-dropping-particle":"","parse-names":false,"suffix":""}],"container-title":"European Heart Journal","id":"ITEM-1","issue":"20","issued":{"date-parts":[["2011","10"]]},"page":"2507-2515","title":"Effects of selective heart rate reduction with ivabradine on left ventricular remodelling and function: results from the SHIFT echocardiography substudy","type":"article-journal","volume":"32"},"uris":["http://www.mendeley.com/documents/?uuid=9e117a1b-e57b-32e2-b7c9-8fe25b2be7b7"]}],"mendeley":{"formattedCitation":"&lt;sup&gt;21&lt;/sup&gt;","plainTextFormattedCitation":"21","previouslyFormattedCitation":"&lt;sup&gt;[89]&lt;/sup&gt;"},"properties":{"noteIndex":0},"schema":"https://github.com/citation-style-language/schema/raw/master/csl-citation.json"}</w:instrText>
      </w:r>
      <w:r w:rsidR="006F7B40" w:rsidRPr="00A12D77">
        <w:rPr>
          <w:sz w:val="20"/>
          <w:szCs w:val="20"/>
        </w:rPr>
        <w:fldChar w:fldCharType="separate"/>
      </w:r>
      <w:r w:rsidRPr="00A12D77">
        <w:rPr>
          <w:noProof/>
          <w:sz w:val="20"/>
          <w:szCs w:val="20"/>
          <w:vertAlign w:val="superscript"/>
        </w:rPr>
        <w:t>21</w:t>
      </w:r>
      <w:r w:rsidR="006F7B40" w:rsidRPr="00A12D77">
        <w:rPr>
          <w:sz w:val="20"/>
          <w:szCs w:val="20"/>
        </w:rPr>
        <w:fldChar w:fldCharType="end"/>
      </w:r>
    </w:p>
    <w:p w:rsidR="00673D11" w:rsidRPr="00A12D77" w:rsidRDefault="00673D11" w:rsidP="00805DBD">
      <w:pPr>
        <w:pStyle w:val="ListParagraph"/>
        <w:snapToGrid w:val="0"/>
        <w:spacing w:after="0" w:line="240" w:lineRule="auto"/>
        <w:ind w:left="0" w:firstLine="425"/>
        <w:jc w:val="both"/>
        <w:rPr>
          <w:rFonts w:ascii="Times New Roman" w:hAnsi="Times New Roman" w:cs="Times New Roman"/>
          <w:i/>
          <w:iCs/>
          <w:sz w:val="20"/>
          <w:szCs w:val="20"/>
          <w:lang w:bidi="ar-EG"/>
        </w:rPr>
      </w:pPr>
      <w:r w:rsidRPr="00A12D77">
        <w:rPr>
          <w:rFonts w:ascii="Times New Roman" w:hAnsi="Times New Roman" w:cs="Times New Roman"/>
          <w:sz w:val="20"/>
          <w:szCs w:val="20"/>
        </w:rPr>
        <w:t xml:space="preserve">In the current study, discharge heart rate at a cut-off value of 72 bpm had 77.2 % sensitivity and 60.3% specificity, (AUC was 0.7) for prediction of development of LV adverse remodeling, in concordance with the study conducted by </w:t>
      </w:r>
      <w:r w:rsidRPr="00A12D77">
        <w:rPr>
          <w:rFonts w:ascii="Times New Roman" w:hAnsi="Times New Roman" w:cs="Times New Roman"/>
          <w:i/>
          <w:iCs/>
          <w:sz w:val="20"/>
          <w:szCs w:val="20"/>
        </w:rPr>
        <w:t xml:space="preserve">Reindl et al </w:t>
      </w:r>
      <w:r w:rsidR="006F7B40" w:rsidRPr="00A12D77">
        <w:rPr>
          <w:rFonts w:ascii="Times New Roman" w:hAnsi="Times New Roman" w:cs="Times New Roman"/>
          <w:sz w:val="20"/>
          <w:szCs w:val="20"/>
        </w:rPr>
        <w:fldChar w:fldCharType="begin" w:fldLock="1"/>
      </w:r>
      <w:r w:rsidRPr="00A12D77">
        <w:rPr>
          <w:rFonts w:ascii="Times New Roman" w:hAnsi="Times New Roman" w:cs="Times New Roman"/>
          <w:sz w:val="20"/>
          <w:szCs w:val="20"/>
        </w:rPr>
        <w:instrText>ADDIN CSL_CITATION {"citationItems":[{"id":"ITEM-1","itemData":{"DOI":"10.1016/j.ijcard.2016.06.046","ISSN":"01675273","PMID":"27348414","abstract":"BACKGROUND Discharge heart rate (HR) following ST-elevation myocardial infarction (STEMI) is a predictor of adverse left ventricular remodelling (LVR). However, the prognostic relevance of HR values in the earlier phase after revascularization is unknown. We aimed to investigate resting HR assessed at different time points during hospital stay following STEMI for the prediction of LVR. METHODS In this prospective observational study of 143 consecutive STEMI patients, HR was measured serially on admission (AHR), at day 1 (HRd1) and 2 (HRd2) following revascularization and finally at discharge (DHR). Cardiac magnetic resonance (CMR) scans were performed at baseline and 4months thereafter to evaluate LVR and major CMR determinants of LVR (infarct size, microvascular obstruction). LVR was defined as ≥15% increase of left ventricular end-diastolic volume. RESULTS Twenty-nine patients (20%) have developed LVR. HRd1 (80[72-88] vs. 71[62-79]bpm, p=0.003), HRd2 (74[64-83] vs. 67[59-78]bpm, p=0.04), DHR (74[62-81] vs. 64[58-73] bpm, p=0.008) and the mean HR of all measurements (76[68-82] vs. 67[60-77]bpm, p=0.004) were significantly higher in patients with LVR, whereas admission HR (75[68-85] vs. 70[60-82]bpm, p=0.12) did not differ significantly. The associations for all post-admission HRs remained significant after adjustment for clinical (high-sensitivity cardiac troponin T and C-reactive protein, left anterior descending artery as culprit) and CMR (infarct size, microvascular obstruction, ejection fraction) predictors of LVR. The predictive values of the post-admission HRs were equivalent (area under the curve differences: all p&gt;0.05). CONCLUSION Besides DHR, resting HR values in the early stage following reperfusion are independent predictors of LVR after STEMI.","author":[{"dropping-particle":"","family":"Reindl","given":"Martin","non-dropping-particle":"","parse-names":false,"suffix":""},{"dropping-particle":"","family":"Reinstadler","given":"Sebastian Johannes","non-dropping-particle":"","parse-names":false,"suffix":""},{"dropping-particle":"","family":"Feistritzer","given":"Hans-Josef","non-dropping-particle":"","parse-names":false,"suffix":""},{"dropping-particle":"","family":"Tiller","given":"Christina","non-dropping-particle":"","parse-names":false,"suffix":""},{"dropping-particle":"","family":"Mayr","given":"Agnes","non-dropping-particle":"","parse-names":false,"suffix":""},{"dropping-particle":"","family":"Klug","given":"Gert","non-dropping-particle":"","parse-names":false,"suffix":""},{"dropping-particle":"","family":"Metzler","given":"Bernhard","non-dropping-particle":"","parse-names":false,"suffix":""}],"container-title":"International Journal of Cardiology","id":"ITEM-1","issued":{"date-parts":[["2016","9","15"]]},"page":"339-344","title":"Heart rate and left ventricular adverse remodelling after ST-elevation myocardial infarction","type":"article-journal","volume":"219"},"uris":["http://www.mendeley.com/documents/?uuid=b0c290c5-75eb-3efe-a541-8e522615ae9f"]}],"mendeley":{"formattedCitation":"&lt;sup&gt;20&lt;/sup&gt;","plainTextFormattedCitation":"20","previouslyFormattedCitation":"&lt;sup&gt;[159]&lt;/sup&gt;"},"properties":{"noteIndex":0},"schema":"https://github.com/citation-style-language/schema/raw/master/csl-citation.json"}</w:instrText>
      </w:r>
      <w:r w:rsidR="006F7B40" w:rsidRPr="00A12D77">
        <w:rPr>
          <w:rFonts w:ascii="Times New Roman" w:hAnsi="Times New Roman" w:cs="Times New Roman"/>
          <w:sz w:val="20"/>
          <w:szCs w:val="20"/>
        </w:rPr>
        <w:fldChar w:fldCharType="separate"/>
      </w:r>
      <w:r w:rsidRPr="00A12D77">
        <w:rPr>
          <w:rFonts w:ascii="Times New Roman" w:hAnsi="Times New Roman" w:cs="Times New Roman"/>
          <w:noProof/>
          <w:sz w:val="20"/>
          <w:szCs w:val="20"/>
          <w:vertAlign w:val="superscript"/>
        </w:rPr>
        <w:t>20</w:t>
      </w:r>
      <w:r w:rsidR="006F7B40" w:rsidRPr="00A12D77">
        <w:rPr>
          <w:rFonts w:ascii="Times New Roman" w:hAnsi="Times New Roman" w:cs="Times New Roman"/>
          <w:sz w:val="20"/>
          <w:szCs w:val="20"/>
        </w:rPr>
        <w:fldChar w:fldCharType="end"/>
      </w:r>
      <w:r w:rsidRPr="00A12D77">
        <w:rPr>
          <w:rFonts w:ascii="Times New Roman" w:hAnsi="Times New Roman" w:cs="Times New Roman"/>
          <w:sz w:val="20"/>
          <w:szCs w:val="20"/>
        </w:rPr>
        <w:t xml:space="preserve">, </w:t>
      </w:r>
      <w:r w:rsidRPr="00A12D77">
        <w:rPr>
          <w:rFonts w:ascii="Times New Roman" w:hAnsi="Times New Roman" w:cs="Times New Roman"/>
          <w:sz w:val="20"/>
          <w:szCs w:val="20"/>
          <w:lang w:bidi="ar-EG"/>
        </w:rPr>
        <w:t>(AUC) was 0.68</w:t>
      </w:r>
      <w:r w:rsidR="00C97655" w:rsidRPr="00A12D77">
        <w:rPr>
          <w:rFonts w:ascii="Times New Roman" w:hAnsi="Times New Roman" w:cs="Times New Roman"/>
          <w:sz w:val="20"/>
          <w:szCs w:val="20"/>
          <w:lang w:bidi="ar-EG"/>
        </w:rPr>
        <w:t xml:space="preserve"> </w:t>
      </w:r>
      <w:r w:rsidRPr="00A12D77">
        <w:rPr>
          <w:rFonts w:ascii="Times New Roman" w:hAnsi="Times New Roman" w:cs="Times New Roman"/>
          <w:sz w:val="20"/>
          <w:szCs w:val="20"/>
          <w:lang w:bidi="ar-EG"/>
        </w:rPr>
        <w:t>with cut-off value</w:t>
      </w:r>
      <w:r w:rsidR="00C97655" w:rsidRPr="00A12D77">
        <w:rPr>
          <w:rFonts w:ascii="Times New Roman" w:hAnsi="Times New Roman" w:cs="Times New Roman"/>
          <w:sz w:val="20"/>
          <w:szCs w:val="20"/>
          <w:lang w:bidi="ar-EG"/>
        </w:rPr>
        <w:t xml:space="preserve"> </w:t>
      </w:r>
      <w:r w:rsidRPr="00A12D77">
        <w:rPr>
          <w:rFonts w:ascii="Times New Roman" w:hAnsi="Times New Roman" w:cs="Times New Roman"/>
          <w:sz w:val="20"/>
          <w:szCs w:val="20"/>
          <w:lang w:bidi="ar-EG"/>
        </w:rPr>
        <w:t>for discharge heart rate 68 bpm with 75% sensitivity and 61% specificity.</w:t>
      </w:r>
    </w:p>
    <w:p w:rsidR="00962341" w:rsidRDefault="00962341" w:rsidP="00805DBD">
      <w:pPr>
        <w:snapToGrid w:val="0"/>
        <w:jc w:val="both"/>
        <w:rPr>
          <w:rFonts w:eastAsiaTheme="minorEastAsia" w:hint="eastAsia"/>
          <w:b/>
          <w:lang w:val="en-US" w:eastAsia="zh-CN"/>
        </w:rPr>
      </w:pPr>
    </w:p>
    <w:p w:rsidR="00673D11" w:rsidRPr="00A12D77" w:rsidRDefault="008F5F1A" w:rsidP="00805DBD">
      <w:pPr>
        <w:snapToGrid w:val="0"/>
        <w:jc w:val="both"/>
      </w:pPr>
      <w:r w:rsidRPr="00A12D77">
        <w:rPr>
          <w:b/>
          <w:lang w:val="en-US"/>
        </w:rPr>
        <w:t xml:space="preserve">Limitations of the Study </w:t>
      </w:r>
    </w:p>
    <w:p w:rsidR="00673D11" w:rsidRPr="00A12D77" w:rsidRDefault="00673D11" w:rsidP="00805DBD">
      <w:pPr>
        <w:snapToGrid w:val="0"/>
        <w:ind w:firstLine="425"/>
        <w:jc w:val="both"/>
      </w:pPr>
      <w:bookmarkStart w:id="7" w:name="_Toc516332423"/>
      <w:r w:rsidRPr="00A12D77">
        <w:t xml:space="preserve">Echocardiographic assessment of global left ventricular systolic function is usually performed subjectively. Two-dimensional echocardiography does not offer very precise data about the ventricular volumes or the infarct size, it is better to be assessed by cardiac magnetic resonance imaging which is considered as the current gold standard for the determination of LVR and, importantly, allows for an additional assessment of the major determinants of LV </w:t>
      </w:r>
      <w:r w:rsidR="00A12D77" w:rsidRPr="00A12D77">
        <w:t>remodelling</w:t>
      </w:r>
      <w:r w:rsidRPr="00A12D77">
        <w:t xml:space="preserve"> (infarction size and microvascular obstruction).</w:t>
      </w:r>
    </w:p>
    <w:p w:rsidR="00673D11" w:rsidRPr="00A12D77" w:rsidRDefault="00673D11" w:rsidP="00805DBD">
      <w:pPr>
        <w:pStyle w:val="ListParagraph"/>
        <w:snapToGrid w:val="0"/>
        <w:spacing w:after="0" w:line="240" w:lineRule="auto"/>
        <w:ind w:left="0" w:firstLine="425"/>
        <w:jc w:val="both"/>
        <w:rPr>
          <w:rFonts w:ascii="Times New Roman" w:hAnsi="Times New Roman" w:cs="Times New Roman"/>
          <w:sz w:val="20"/>
          <w:szCs w:val="20"/>
        </w:rPr>
      </w:pPr>
      <w:r w:rsidRPr="00A12D77">
        <w:rPr>
          <w:rFonts w:ascii="Times New Roman" w:hAnsi="Times New Roman" w:cs="Times New Roman"/>
          <w:sz w:val="20"/>
          <w:szCs w:val="20"/>
        </w:rPr>
        <w:lastRenderedPageBreak/>
        <w:t>Despite this limitation, 2D echocardiography remains the most widely used non-invasive technique for non-invasive, inexpensive, and widely available. The 3D approach is likely to overcome the geometric challenges during the assessment of LV volumes.</w:t>
      </w:r>
    </w:p>
    <w:p w:rsidR="00673D11" w:rsidRPr="00A12D77" w:rsidRDefault="00673D11" w:rsidP="00805DBD">
      <w:pPr>
        <w:snapToGrid w:val="0"/>
        <w:ind w:firstLine="425"/>
        <w:jc w:val="both"/>
      </w:pPr>
      <w:r w:rsidRPr="00A12D77">
        <w:t>Also, Lack of knowledge of late IRA patency. Coronary angiography was not done at a 3-month follow- up and thus cannot exclude the possibility that recurrent ischemia may have played a role in development of</w:t>
      </w:r>
      <w:r w:rsidR="00C97655" w:rsidRPr="00A12D77">
        <w:t xml:space="preserve"> </w:t>
      </w:r>
      <w:r w:rsidRPr="00A12D77">
        <w:t xml:space="preserve">the </w:t>
      </w:r>
      <w:r w:rsidR="00A12D77" w:rsidRPr="00A12D77">
        <w:t>remodelling</w:t>
      </w:r>
      <w:r w:rsidRPr="00A12D77">
        <w:t xml:space="preserve"> process. Also, we didn't evaluate myocardial perfusion after primary PCI</w:t>
      </w:r>
      <w:r w:rsidR="00C97655" w:rsidRPr="00A12D77">
        <w:t xml:space="preserve"> </w:t>
      </w:r>
      <w:r w:rsidRPr="00A12D77">
        <w:t xml:space="preserve">which may play an important role in the development of LV </w:t>
      </w:r>
      <w:r w:rsidR="00A12D77" w:rsidRPr="00A12D77">
        <w:t>remodelling</w:t>
      </w:r>
      <w:r w:rsidRPr="00A12D77">
        <w:t xml:space="preserve">. </w:t>
      </w:r>
    </w:p>
    <w:p w:rsidR="00FF6CBD" w:rsidRPr="00A12D77" w:rsidRDefault="00673D11" w:rsidP="00805DBD">
      <w:pPr>
        <w:snapToGrid w:val="0"/>
        <w:ind w:firstLine="425"/>
        <w:jc w:val="both"/>
      </w:pPr>
      <w:r w:rsidRPr="00A12D77">
        <w:t>The small sample size was a limitation, due to short study duration, difficult tracking of patients and the fact that the study population represent only the subset of patients that had survived after myocardial infarctio</w:t>
      </w:r>
      <w:r w:rsidR="00FF6CBD" w:rsidRPr="00A12D77">
        <w:t>n.</w:t>
      </w:r>
    </w:p>
    <w:p w:rsidR="00C97655" w:rsidRPr="00A12D77" w:rsidRDefault="00C97655" w:rsidP="00805DBD">
      <w:pPr>
        <w:snapToGrid w:val="0"/>
        <w:ind w:firstLine="425"/>
        <w:jc w:val="both"/>
        <w:rPr>
          <w:rFonts w:eastAsiaTheme="minorEastAsia"/>
          <w:lang w:eastAsia="zh-CN"/>
        </w:rPr>
      </w:pPr>
    </w:p>
    <w:p w:rsidR="00673D11" w:rsidRPr="00A12D77" w:rsidRDefault="008F5F1A" w:rsidP="00805DBD">
      <w:pPr>
        <w:pStyle w:val="Heading1"/>
        <w:keepNext w:val="0"/>
        <w:keepLines w:val="0"/>
        <w:snapToGrid w:val="0"/>
        <w:spacing w:before="0"/>
        <w:jc w:val="both"/>
        <w:rPr>
          <w:rFonts w:ascii="Times New Roman" w:hAnsi="Times New Roman" w:cs="Times New Roman"/>
          <w:sz w:val="20"/>
          <w:szCs w:val="20"/>
        </w:rPr>
      </w:pPr>
      <w:r w:rsidRPr="00A12D77">
        <w:rPr>
          <w:rFonts w:ascii="Times New Roman" w:hAnsi="Times New Roman" w:cs="Times New Roman"/>
          <w:caps w:val="0"/>
          <w:sz w:val="20"/>
          <w:szCs w:val="20"/>
        </w:rPr>
        <w:t>Conclusion</w:t>
      </w:r>
      <w:bookmarkEnd w:id="7"/>
    </w:p>
    <w:p w:rsidR="00673D11" w:rsidRPr="00A12D77" w:rsidRDefault="00673D11" w:rsidP="00805DBD">
      <w:pPr>
        <w:snapToGrid w:val="0"/>
        <w:ind w:firstLine="425"/>
        <w:jc w:val="both"/>
      </w:pPr>
      <w:r w:rsidRPr="00A12D77">
        <w:t xml:space="preserve">The discharge heart rate was found to be an independent predictor of LV </w:t>
      </w:r>
      <w:r w:rsidR="00A12D77" w:rsidRPr="00A12D77">
        <w:t>remodelling</w:t>
      </w:r>
      <w:r w:rsidRPr="00A12D77">
        <w:t xml:space="preserve"> after primary PCI. Hence, the importance of strict heart rate control in patients with acute myocardial infarction. Thus, conducting large clinical trials utilizing more reliable investigations such as CMR to study predictors of </w:t>
      </w:r>
      <w:r w:rsidR="00A12D77" w:rsidRPr="00A12D77">
        <w:t>remodelling</w:t>
      </w:r>
      <w:r w:rsidRPr="00A12D77">
        <w:t xml:space="preserve"> is a must.</w:t>
      </w:r>
    </w:p>
    <w:p w:rsidR="00673D11" w:rsidRPr="00A12D77" w:rsidRDefault="00673D11" w:rsidP="00805DBD">
      <w:pPr>
        <w:snapToGrid w:val="0"/>
        <w:ind w:firstLine="425"/>
        <w:jc w:val="both"/>
      </w:pPr>
      <w:r w:rsidRPr="00A12D77">
        <w:t xml:space="preserve">Other predictors were older age, male sex, Diabetes mellitus, hypertension, lower discharge EF, LAD as a culprit vessel and multivessel disease. </w:t>
      </w:r>
    </w:p>
    <w:p w:rsidR="00673D11" w:rsidRPr="00A12D77" w:rsidRDefault="00673D11" w:rsidP="00805DBD">
      <w:pPr>
        <w:autoSpaceDE w:val="0"/>
        <w:autoSpaceDN w:val="0"/>
        <w:adjustRightInd w:val="0"/>
        <w:snapToGrid w:val="0"/>
        <w:ind w:firstLine="425"/>
        <w:jc w:val="both"/>
      </w:pPr>
    </w:p>
    <w:p w:rsidR="00673D11" w:rsidRPr="00A12D77" w:rsidRDefault="008F5F1A" w:rsidP="00805DBD">
      <w:pPr>
        <w:pStyle w:val="Heading1"/>
        <w:keepNext w:val="0"/>
        <w:keepLines w:val="0"/>
        <w:snapToGrid w:val="0"/>
        <w:spacing w:before="0"/>
        <w:jc w:val="both"/>
        <w:rPr>
          <w:rFonts w:ascii="Times New Roman" w:hAnsi="Times New Roman" w:cs="Times New Roman"/>
          <w:sz w:val="20"/>
          <w:szCs w:val="20"/>
        </w:rPr>
      </w:pPr>
      <w:r w:rsidRPr="00A12D77">
        <w:rPr>
          <w:rFonts w:ascii="Times New Roman" w:hAnsi="Times New Roman" w:cs="Times New Roman"/>
          <w:caps w:val="0"/>
          <w:sz w:val="20"/>
          <w:szCs w:val="20"/>
        </w:rPr>
        <w:t>References</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Mozaffarian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Benjamin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Go</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Arnett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DK,</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Blaha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Cushman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Heart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Disease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Stroke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Statistics—2016</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Update.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Circulation.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2016</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Jan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26;133(4):e38-360.</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Brooks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BK,</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Rao</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Lin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Morin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DP,</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Zweibel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Predicting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Persistent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Dysfunction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Following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Myocardial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Coll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Cardiol.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2016</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15;67(10):1186–96.</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Loboz-Grudzień</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K,</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Kowalska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Brzezińska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Sokalski</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Jaroch</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Early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predictors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adverse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remodelling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after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myocardial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treated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primary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angioplasty.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Cardiol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2007;14(3):238–45.</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Diaz</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Bourassa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Guertin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Tardif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Long-term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prognostic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value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resting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heart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rate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patients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with</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suspected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proven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coronary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artery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disease.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Eur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Heart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2005</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May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1;26(10):967–74.</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Joyce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Hoogslag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Leong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DP,</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Fox</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K,</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Schalij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Marsan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NA,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Association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between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discharge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heart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rate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adverse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remodelling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ST-segment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elevation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myocardial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patients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treated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with</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primary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lastRenderedPageBreak/>
        <w:t>percutaneous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coronary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intervention.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Heart.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2013</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Apr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15;99(8):556–61.</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Bolognese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Neskovic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Parodi</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Cerisano</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Buonamici</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Santoro</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remodeling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after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primary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coronary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angioplasty: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patterns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dilation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long-term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prognostic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implications.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Circulation.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2002</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Oct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29;106(18):2351–7.</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Pagidipati</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NJ,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Gaziano</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Estimating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deaths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from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cardiovascular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disease: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review</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global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methodologies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mortality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measurement.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Circulation.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2013</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Feb</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12;127(6):749–56.</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Pop</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Hodaș</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Benedek</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Opincariu</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Rat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Jani</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Predictors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Remodeling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after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Revascularized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Acute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Myocardial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Infarction.</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Aboelkasem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Ali</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Mousa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Abdelsabour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Abdallah</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Shamseddin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Mohammad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Ahmad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Youssef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Early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predictors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remodeling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after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primary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percutaneous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coronary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intervention.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Egypt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Hear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2018</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Dec;70(4):403–7.</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Hendriks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Hartman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MHT,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Vlaar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PJJ,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Prakken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NHJ,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van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Ende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YMY,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Lexis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CPH,</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Predictors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remodeling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after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ST-elevation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myocardial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Cardiovasc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Imaging.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2017</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Sep;33(9):1415–23.</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Zaliaduonyte-Peksiene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Simonyte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Lesauskaite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Vaskelyte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Gustiene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Mizariene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remodeling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after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acute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myocardial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Impact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clinical,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echocardiographic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parameters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polymorphism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angiotensinogen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gene.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Renin-Angiotensin-Aldosterone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Syst.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2014</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Sep</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2;15(3):286–93.</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Farag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E-SM,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Al-Daydamony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Symptom-to-balloon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time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myocardial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blush</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grade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are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predictors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remodeling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after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successful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primary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percutaneous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coronary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intervention.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Cardiovasc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Afr.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2017;28(3):186–90.</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Warren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Royal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Markis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Grossman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W,</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McKay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Time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course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dilation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after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myocardial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Influence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infarct-related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artery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success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coronary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thrombolysis.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Coll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Cardiol.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2003</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Jan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1;11(1):12–9.</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Tang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W.</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Predictors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Size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After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Primary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Coronary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Angioplasty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Acute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Myocardial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from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Pooled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Analysis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from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Four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Contemporary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Trials.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Cardiol.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2007</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Nov</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1;100(9):1370–5.</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Na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Cho</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Cha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Yoon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YE,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S-P,</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Echocardiographic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Predictors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for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Remodeling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after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Acute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ST-Elevation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Myocardial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with</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Low-Risk</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lastRenderedPageBreak/>
        <w:t>Group:</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Speckle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Tracking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Analysis.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Cardiovasc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Ultrasound.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2016</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Jun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1;24(2):128.</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Shacham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Khoury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Flint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Steinvil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Sadeh</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Arbel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Serial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Echocardiographic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Assessment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Filling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Pressure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Remodeling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among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ST-Segment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Elevation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Myocardial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Patients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Treated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Primary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Percutaneous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Intervention.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Soc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Echocardiogr.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2016</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Aug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1;29(8):745–9.</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Iwahashi</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Kimura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K,</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Kosuge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Tsukahara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K,</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Hibi</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K,</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Ebina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Two</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Weeks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after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Onset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Powerful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Predictor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Cardiac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Death</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Heart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Failure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Patients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with</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First-Time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ST-Elevation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Acute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Myocardial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Soc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Echocardiogr.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2012</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Dec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1;25(12):1290–8.</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Hillis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Møller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Pellikka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Gersh</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Wright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Ommen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Noninvasive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estimation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filling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pressure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powerful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predictor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survival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after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acute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lastRenderedPageBreak/>
        <w:t>myocardial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Coll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Cardiol.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2004</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Feb</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4;43(3):360–7.</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Mannaerts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van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der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Heide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Kamp</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Stoel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Twisk</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Visser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Early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identification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remodelling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after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myocardial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assessed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transthoracic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3D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echocardiography.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Eur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Heart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2004</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Apr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1;25(8):680–7.</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Reindl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Reinstadler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Feistritzer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Tiller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Mayr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Klug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Heart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rate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adverse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remodeling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after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ST-elevation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myocardial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infarction.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Int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Cardiol.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2016</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Sep</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15;219:339–44.</w:t>
      </w:r>
      <w:r w:rsidR="00C97655" w:rsidRPr="00A12D77">
        <w:rPr>
          <w:rFonts w:ascii="Times New Roman" w:hAnsi="Times New Roman" w:cs="Times New Roman"/>
          <w:noProof/>
          <w:sz w:val="20"/>
          <w:szCs w:val="20"/>
        </w:rPr>
        <w:t xml:space="preserve"> </w:t>
      </w:r>
    </w:p>
    <w:p w:rsidR="00673D11" w:rsidRPr="00A12D77" w:rsidRDefault="00673D11" w:rsidP="00FF6CBD">
      <w:pPr>
        <w:pStyle w:val="ListParagraph"/>
        <w:widowControl w:val="0"/>
        <w:numPr>
          <w:ilvl w:val="0"/>
          <w:numId w:val="8"/>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A12D77">
        <w:rPr>
          <w:rFonts w:ascii="Times New Roman" w:hAnsi="Times New Roman" w:cs="Times New Roman"/>
          <w:noProof/>
          <w:sz w:val="20"/>
          <w:szCs w:val="20"/>
        </w:rPr>
        <w:t>Tardif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J-C,</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O'Meara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Komajda</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Böhm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Borer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Ford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al.</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Effects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of</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selective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heart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rate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reduction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with</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ivabradine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left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ventricular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remodeling</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and</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function:</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results</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from</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the</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SHIFT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echocardiography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substudy.</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Eur</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Heart</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J.</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2011</w:t>
      </w:r>
      <w:r w:rsidR="00C97655" w:rsidRPr="00A12D77">
        <w:rPr>
          <w:rFonts w:ascii="Times New Roman" w:hAnsi="Times New Roman" w:cs="Times New Roman"/>
          <w:noProof/>
          <w:sz w:val="20"/>
          <w:szCs w:val="20"/>
        </w:rPr>
        <w:t xml:space="preserve"> </w:t>
      </w:r>
      <w:r w:rsidRPr="00A12D77">
        <w:rPr>
          <w:rFonts w:ascii="Times New Roman" w:hAnsi="Times New Roman" w:cs="Times New Roman"/>
          <w:noProof/>
          <w:sz w:val="20"/>
          <w:szCs w:val="20"/>
        </w:rPr>
        <w:t>Oct;32(20):2507–15.</w:t>
      </w:r>
      <w:r w:rsidR="00C97655" w:rsidRPr="00A12D77">
        <w:rPr>
          <w:rFonts w:ascii="Times New Roman" w:hAnsi="Times New Roman" w:cs="Times New Roman"/>
          <w:noProof/>
          <w:sz w:val="20"/>
          <w:szCs w:val="20"/>
        </w:rPr>
        <w:t xml:space="preserve"> </w:t>
      </w:r>
    </w:p>
    <w:p w:rsidR="00805DBD" w:rsidRPr="00A12D77" w:rsidRDefault="00805DBD" w:rsidP="00FF6CBD">
      <w:pPr>
        <w:widowControl w:val="0"/>
        <w:autoSpaceDE w:val="0"/>
        <w:autoSpaceDN w:val="0"/>
        <w:adjustRightInd w:val="0"/>
        <w:snapToGrid w:val="0"/>
        <w:ind w:left="425" w:hanging="425"/>
        <w:jc w:val="both"/>
        <w:rPr>
          <w:noProof/>
        </w:rPr>
        <w:sectPr w:rsidR="00805DBD" w:rsidRPr="00A12D77" w:rsidSect="00805DBD">
          <w:type w:val="continuous"/>
          <w:pgSz w:w="12240" w:h="15840"/>
          <w:pgMar w:top="1440" w:right="1440" w:bottom="1440" w:left="1440" w:header="720" w:footer="720" w:gutter="0"/>
          <w:cols w:num="2" w:space="500"/>
          <w:docGrid w:linePitch="360"/>
        </w:sectPr>
      </w:pPr>
    </w:p>
    <w:p w:rsidR="00673D11" w:rsidRPr="00A12D77" w:rsidRDefault="00673D11" w:rsidP="00FF6CBD">
      <w:pPr>
        <w:widowControl w:val="0"/>
        <w:autoSpaceDE w:val="0"/>
        <w:autoSpaceDN w:val="0"/>
        <w:adjustRightInd w:val="0"/>
        <w:snapToGrid w:val="0"/>
        <w:ind w:left="425" w:hanging="425"/>
        <w:jc w:val="both"/>
        <w:rPr>
          <w:noProof/>
        </w:rPr>
      </w:pPr>
    </w:p>
    <w:p w:rsidR="00C97655" w:rsidRPr="00A12D77" w:rsidRDefault="00C97655" w:rsidP="00FF6CBD">
      <w:pPr>
        <w:snapToGrid w:val="0"/>
        <w:ind w:left="425" w:hanging="425"/>
        <w:jc w:val="both"/>
        <w:rPr>
          <w:rFonts w:eastAsiaTheme="minorEastAsia"/>
          <w:lang w:val="en-US" w:eastAsia="zh-CN"/>
        </w:rPr>
      </w:pPr>
    </w:p>
    <w:p w:rsidR="00805DBD" w:rsidRPr="00A12D77" w:rsidRDefault="00805DBD" w:rsidP="00805DBD">
      <w:pPr>
        <w:snapToGrid w:val="0"/>
        <w:ind w:firstLine="425"/>
        <w:jc w:val="both"/>
        <w:rPr>
          <w:rFonts w:eastAsiaTheme="minorEastAsia"/>
          <w:lang w:val="en-US" w:eastAsia="zh-CN"/>
        </w:rPr>
      </w:pPr>
    </w:p>
    <w:p w:rsidR="00565362" w:rsidRPr="00A12D77" w:rsidRDefault="00C97655" w:rsidP="00805DBD">
      <w:pPr>
        <w:snapToGrid w:val="0"/>
        <w:jc w:val="both"/>
        <w:rPr>
          <w:lang w:val="en-US"/>
        </w:rPr>
      </w:pPr>
      <w:r w:rsidRPr="00A12D77">
        <w:rPr>
          <w:lang w:val="en-US"/>
        </w:rPr>
        <w:t>12/17/2019</w:t>
      </w:r>
    </w:p>
    <w:sectPr w:rsidR="00565362" w:rsidRPr="00A12D77" w:rsidSect="00C9765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1CB" w:rsidRDefault="00A111CB" w:rsidP="00AA76D5">
      <w:r>
        <w:separator/>
      </w:r>
    </w:p>
  </w:endnote>
  <w:endnote w:type="continuationSeparator" w:id="0">
    <w:p w:rsidR="00A111CB" w:rsidRDefault="00A111CB" w:rsidP="00AA7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77" w:rsidRPr="008C187E" w:rsidRDefault="00A12D77" w:rsidP="008C187E">
    <w:pPr>
      <w:jc w:val="center"/>
    </w:pPr>
    <w:fldSimple w:instr=" page ">
      <w:r w:rsidR="00962341">
        <w:rPr>
          <w:noProof/>
        </w:rPr>
        <w:t>58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1CB" w:rsidRDefault="00A111CB" w:rsidP="00AA76D5">
      <w:r>
        <w:separator/>
      </w:r>
    </w:p>
  </w:footnote>
  <w:footnote w:type="continuationSeparator" w:id="0">
    <w:p w:rsidR="00A111CB" w:rsidRDefault="00A111CB" w:rsidP="00AA7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77" w:rsidRPr="00DD2BEB" w:rsidRDefault="00A12D77" w:rsidP="00DD2BEB">
    <w:pPr>
      <w:pStyle w:val="Header"/>
    </w:pPr>
    <w:r>
      <w:rPr>
        <w:noProof/>
        <w:lang w:val="en-US"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77" w:rsidRPr="008C187E" w:rsidRDefault="00A12D77" w:rsidP="008C187E">
    <w:pPr>
      <w:pBdr>
        <w:bottom w:val="thinThickMediumGap" w:sz="12" w:space="1" w:color="auto"/>
      </w:pBdr>
      <w:tabs>
        <w:tab w:val="left" w:pos="851"/>
        <w:tab w:val="right" w:pos="8364"/>
      </w:tabs>
      <w:adjustRightInd w:val="0"/>
      <w:snapToGrid w:val="0"/>
      <w:jc w:val="both"/>
      <w:rPr>
        <w:iCs/>
      </w:rPr>
    </w:pPr>
    <w:r w:rsidRPr="008C187E">
      <w:rPr>
        <w:rFonts w:hint="eastAsia"/>
      </w:rPr>
      <w:tab/>
    </w:r>
    <w:r w:rsidRPr="008C187E">
      <w:t>New York Science Journal 201</w:t>
    </w:r>
    <w:r w:rsidRPr="008C187E">
      <w:rPr>
        <w:rFonts w:hint="eastAsia"/>
      </w:rPr>
      <w:t>9</w:t>
    </w:r>
    <w:r w:rsidRPr="008C187E">
      <w:t>;</w:t>
    </w:r>
    <w:r w:rsidRPr="008C187E">
      <w:rPr>
        <w:rFonts w:hint="eastAsia"/>
      </w:rPr>
      <w:t>12</w:t>
    </w:r>
    <w:r w:rsidRPr="008C187E">
      <w:t>(</w:t>
    </w:r>
    <w:r w:rsidRPr="008C187E">
      <w:rPr>
        <w:rFonts w:hint="eastAsia"/>
      </w:rPr>
      <w:t>12</w:t>
    </w:r>
    <w:r w:rsidRPr="008C187E">
      <w:t>)</w:t>
    </w:r>
    <w:r w:rsidRPr="008C187E">
      <w:rPr>
        <w:iCs/>
      </w:rPr>
      <w:t xml:space="preserve"> </w:t>
    </w:r>
    <w:r w:rsidRPr="008C187E">
      <w:rPr>
        <w:rFonts w:hint="eastAsia"/>
        <w:iCs/>
      </w:rPr>
      <w:tab/>
    </w:r>
    <w:r w:rsidRPr="008C187E">
      <w:rPr>
        <w:iCs/>
      </w:rPr>
      <w:t xml:space="preserve">  </w:t>
    </w:r>
    <w:hyperlink r:id="rId1" w:history="1">
      <w:r w:rsidRPr="008C187E">
        <w:rPr>
          <w:rStyle w:val="Hyperlink"/>
        </w:rPr>
        <w:t>http://www.sciencepub.net/newyork</w:t>
      </w:r>
    </w:hyperlink>
    <w:r w:rsidRPr="008C187E">
      <w:rPr>
        <w:rFonts w:hint="eastAsia"/>
      </w:rPr>
      <w:t xml:space="preserve">   </w:t>
    </w:r>
    <w:r w:rsidRPr="008C187E">
      <w:rPr>
        <w:rFonts w:hint="eastAsia"/>
        <w:b/>
        <w:i/>
        <w:color w:val="FF0000"/>
        <w:bdr w:val="single" w:sz="4" w:space="0" w:color="FF0000"/>
      </w:rPr>
      <w:t>NYJ</w:t>
    </w:r>
  </w:p>
  <w:p w:rsidR="00A12D77" w:rsidRPr="008C187E" w:rsidRDefault="00A12D77" w:rsidP="008C187E">
    <w:pPr>
      <w:tabs>
        <w:tab w:val="left" w:pos="851"/>
        <w:tab w:val="left" w:pos="7200"/>
        <w:tab w:val="right" w:pos="8364"/>
      </w:tabs>
      <w:adjustRightInd w:val="0"/>
      <w:snapToGrid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266D"/>
    <w:multiLevelType w:val="hybridMultilevel"/>
    <w:tmpl w:val="1C74ED0A"/>
    <w:lvl w:ilvl="0" w:tplc="28048452">
      <w:start w:val="2"/>
      <w:numFmt w:val="bullet"/>
      <w:lvlText w:val="-"/>
      <w:lvlJc w:val="left"/>
      <w:pPr>
        <w:ind w:left="720" w:hanging="360"/>
      </w:pPr>
      <w:rPr>
        <w:rFonts w:ascii="Times New Roman" w:eastAsia="Times New Roman" w:hAnsi="Times New Roman" w:cs="Times New Roman" w:hint="default"/>
      </w:rPr>
    </w:lvl>
    <w:lvl w:ilvl="1" w:tplc="DBA01B5E">
      <w:start w:val="1"/>
      <w:numFmt w:val="bullet"/>
      <w:lvlText w:val="o"/>
      <w:lvlJc w:val="left"/>
      <w:pPr>
        <w:ind w:left="1440" w:hanging="360"/>
      </w:pPr>
      <w:rPr>
        <w:rFonts w:ascii="Courier New" w:hAnsi="Courier New" w:cs="Courier New" w:hint="default"/>
      </w:rPr>
    </w:lvl>
    <w:lvl w:ilvl="2" w:tplc="56A67BC0">
      <w:start w:val="1"/>
      <w:numFmt w:val="bullet"/>
      <w:lvlText w:val=""/>
      <w:lvlJc w:val="left"/>
      <w:pPr>
        <w:ind w:left="2160" w:hanging="360"/>
      </w:pPr>
      <w:rPr>
        <w:rFonts w:ascii="Wingdings" w:hAnsi="Wingdings" w:hint="default"/>
      </w:rPr>
    </w:lvl>
    <w:lvl w:ilvl="3" w:tplc="E3420C52">
      <w:start w:val="1"/>
      <w:numFmt w:val="bullet"/>
      <w:lvlText w:val=""/>
      <w:lvlJc w:val="left"/>
      <w:pPr>
        <w:ind w:left="2880" w:hanging="360"/>
      </w:pPr>
      <w:rPr>
        <w:rFonts w:ascii="Symbol" w:hAnsi="Symbol" w:hint="default"/>
      </w:rPr>
    </w:lvl>
    <w:lvl w:ilvl="4" w:tplc="0E149A96">
      <w:start w:val="1"/>
      <w:numFmt w:val="bullet"/>
      <w:lvlText w:val="o"/>
      <w:lvlJc w:val="left"/>
      <w:pPr>
        <w:ind w:left="3600" w:hanging="360"/>
      </w:pPr>
      <w:rPr>
        <w:rFonts w:ascii="Courier New" w:hAnsi="Courier New" w:cs="Courier New" w:hint="default"/>
      </w:rPr>
    </w:lvl>
    <w:lvl w:ilvl="5" w:tplc="055037EA">
      <w:start w:val="1"/>
      <w:numFmt w:val="bullet"/>
      <w:lvlText w:val=""/>
      <w:lvlJc w:val="left"/>
      <w:pPr>
        <w:ind w:left="4320" w:hanging="360"/>
      </w:pPr>
      <w:rPr>
        <w:rFonts w:ascii="Wingdings" w:hAnsi="Wingdings" w:hint="default"/>
      </w:rPr>
    </w:lvl>
    <w:lvl w:ilvl="6" w:tplc="7D522EEC">
      <w:start w:val="1"/>
      <w:numFmt w:val="bullet"/>
      <w:lvlText w:val=""/>
      <w:lvlJc w:val="left"/>
      <w:pPr>
        <w:ind w:left="5040" w:hanging="360"/>
      </w:pPr>
      <w:rPr>
        <w:rFonts w:ascii="Symbol" w:hAnsi="Symbol" w:hint="default"/>
      </w:rPr>
    </w:lvl>
    <w:lvl w:ilvl="7" w:tplc="74B492E4">
      <w:start w:val="1"/>
      <w:numFmt w:val="bullet"/>
      <w:lvlText w:val="o"/>
      <w:lvlJc w:val="left"/>
      <w:pPr>
        <w:ind w:left="5760" w:hanging="360"/>
      </w:pPr>
      <w:rPr>
        <w:rFonts w:ascii="Courier New" w:hAnsi="Courier New" w:cs="Courier New" w:hint="default"/>
      </w:rPr>
    </w:lvl>
    <w:lvl w:ilvl="8" w:tplc="CCC2E7C4">
      <w:start w:val="1"/>
      <w:numFmt w:val="bullet"/>
      <w:lvlText w:val=""/>
      <w:lvlJc w:val="left"/>
      <w:pPr>
        <w:ind w:left="6480" w:hanging="360"/>
      </w:pPr>
      <w:rPr>
        <w:rFonts w:ascii="Wingdings" w:hAnsi="Wingdings" w:hint="default"/>
      </w:rPr>
    </w:lvl>
  </w:abstractNum>
  <w:abstractNum w:abstractNumId="1">
    <w:nsid w:val="181A64BB"/>
    <w:multiLevelType w:val="hybridMultilevel"/>
    <w:tmpl w:val="BEE60F24"/>
    <w:lvl w:ilvl="0" w:tplc="25FEEAEC">
      <w:start w:val="1"/>
      <w:numFmt w:val="decimal"/>
      <w:lvlText w:val="%1."/>
      <w:lvlJc w:val="left"/>
      <w:pPr>
        <w:ind w:left="360" w:hanging="360"/>
      </w:pPr>
      <w:rPr>
        <w:rFonts w:ascii="Times New Roman" w:hAnsi="Times New Roman" w:cs="Times New Roman" w:hint="default"/>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FD4DB3"/>
    <w:multiLevelType w:val="hybridMultilevel"/>
    <w:tmpl w:val="C934771C"/>
    <w:lvl w:ilvl="0" w:tplc="7D908BB6">
      <w:start w:val="8"/>
      <w:numFmt w:val="bullet"/>
      <w:lvlText w:val=""/>
      <w:lvlJc w:val="left"/>
      <w:pPr>
        <w:ind w:left="1080" w:hanging="360"/>
      </w:pPr>
      <w:rPr>
        <w:rFonts w:ascii="Symbol" w:eastAsia="Times New Roman" w:hAnsi="Symbol" w:cs="Times New Roman" w:hint="default"/>
        <w:color w:val="000000"/>
      </w:rPr>
    </w:lvl>
    <w:lvl w:ilvl="1" w:tplc="25F0DDCA">
      <w:start w:val="1"/>
      <w:numFmt w:val="bullet"/>
      <w:lvlText w:val="o"/>
      <w:lvlJc w:val="left"/>
      <w:pPr>
        <w:ind w:left="1800" w:hanging="360"/>
      </w:pPr>
      <w:rPr>
        <w:rFonts w:ascii="Courier New" w:hAnsi="Courier New" w:cs="Courier New" w:hint="default"/>
      </w:rPr>
    </w:lvl>
    <w:lvl w:ilvl="2" w:tplc="0CC068E6">
      <w:start w:val="1"/>
      <w:numFmt w:val="bullet"/>
      <w:lvlText w:val=""/>
      <w:lvlJc w:val="left"/>
      <w:pPr>
        <w:ind w:left="2520" w:hanging="360"/>
      </w:pPr>
      <w:rPr>
        <w:rFonts w:ascii="Wingdings" w:hAnsi="Wingdings" w:hint="default"/>
      </w:rPr>
    </w:lvl>
    <w:lvl w:ilvl="3" w:tplc="C420A6F0">
      <w:start w:val="1"/>
      <w:numFmt w:val="bullet"/>
      <w:lvlText w:val=""/>
      <w:lvlJc w:val="left"/>
      <w:pPr>
        <w:ind w:left="3240" w:hanging="360"/>
      </w:pPr>
      <w:rPr>
        <w:rFonts w:ascii="Symbol" w:hAnsi="Symbol" w:hint="default"/>
      </w:rPr>
    </w:lvl>
    <w:lvl w:ilvl="4" w:tplc="F1BE8CAC">
      <w:start w:val="1"/>
      <w:numFmt w:val="bullet"/>
      <w:lvlText w:val="o"/>
      <w:lvlJc w:val="left"/>
      <w:pPr>
        <w:ind w:left="3960" w:hanging="360"/>
      </w:pPr>
      <w:rPr>
        <w:rFonts w:ascii="Courier New" w:hAnsi="Courier New" w:cs="Courier New" w:hint="default"/>
      </w:rPr>
    </w:lvl>
    <w:lvl w:ilvl="5" w:tplc="42D41884">
      <w:start w:val="1"/>
      <w:numFmt w:val="bullet"/>
      <w:lvlText w:val=""/>
      <w:lvlJc w:val="left"/>
      <w:pPr>
        <w:ind w:left="4680" w:hanging="360"/>
      </w:pPr>
      <w:rPr>
        <w:rFonts w:ascii="Wingdings" w:hAnsi="Wingdings" w:hint="default"/>
      </w:rPr>
    </w:lvl>
    <w:lvl w:ilvl="6" w:tplc="F01027D4">
      <w:start w:val="1"/>
      <w:numFmt w:val="bullet"/>
      <w:lvlText w:val=""/>
      <w:lvlJc w:val="left"/>
      <w:pPr>
        <w:ind w:left="5400" w:hanging="360"/>
      </w:pPr>
      <w:rPr>
        <w:rFonts w:ascii="Symbol" w:hAnsi="Symbol" w:hint="default"/>
      </w:rPr>
    </w:lvl>
    <w:lvl w:ilvl="7" w:tplc="4EC65D7E">
      <w:start w:val="1"/>
      <w:numFmt w:val="bullet"/>
      <w:lvlText w:val="o"/>
      <w:lvlJc w:val="left"/>
      <w:pPr>
        <w:ind w:left="6120" w:hanging="360"/>
      </w:pPr>
      <w:rPr>
        <w:rFonts w:ascii="Courier New" w:hAnsi="Courier New" w:cs="Courier New" w:hint="default"/>
      </w:rPr>
    </w:lvl>
    <w:lvl w:ilvl="8" w:tplc="2906384E">
      <w:start w:val="1"/>
      <w:numFmt w:val="bullet"/>
      <w:lvlText w:val=""/>
      <w:lvlJc w:val="left"/>
      <w:pPr>
        <w:ind w:left="6840" w:hanging="360"/>
      </w:pPr>
      <w:rPr>
        <w:rFonts w:ascii="Wingdings" w:hAnsi="Wingdings" w:hint="default"/>
      </w:rPr>
    </w:lvl>
  </w:abstractNum>
  <w:abstractNum w:abstractNumId="3">
    <w:nsid w:val="38380CD3"/>
    <w:multiLevelType w:val="hybridMultilevel"/>
    <w:tmpl w:val="BF8C1582"/>
    <w:lvl w:ilvl="0" w:tplc="0B922F48">
      <w:start w:val="1"/>
      <w:numFmt w:val="bullet"/>
      <w:lvlText w:val=""/>
      <w:lvlJc w:val="left"/>
      <w:pPr>
        <w:tabs>
          <w:tab w:val="num" w:pos="720"/>
        </w:tabs>
        <w:ind w:left="720" w:hanging="360"/>
      </w:pPr>
      <w:rPr>
        <w:rFonts w:ascii="Symbol" w:hAnsi="Symbol" w:hint="default"/>
      </w:rPr>
    </w:lvl>
    <w:lvl w:ilvl="1" w:tplc="31BEB96C">
      <w:start w:val="1"/>
      <w:numFmt w:val="bullet"/>
      <w:lvlText w:val="o"/>
      <w:lvlJc w:val="left"/>
      <w:pPr>
        <w:ind w:left="1440" w:hanging="360"/>
      </w:pPr>
      <w:rPr>
        <w:rFonts w:ascii="Courier New" w:hAnsi="Courier New" w:cs="Courier New" w:hint="default"/>
      </w:rPr>
    </w:lvl>
    <w:lvl w:ilvl="2" w:tplc="18EEBD72">
      <w:start w:val="1"/>
      <w:numFmt w:val="bullet"/>
      <w:lvlText w:val=""/>
      <w:lvlJc w:val="left"/>
      <w:pPr>
        <w:ind w:left="2160" w:hanging="360"/>
      </w:pPr>
      <w:rPr>
        <w:rFonts w:ascii="Wingdings" w:hAnsi="Wingdings" w:hint="default"/>
      </w:rPr>
    </w:lvl>
    <w:lvl w:ilvl="3" w:tplc="2E70DBFC">
      <w:start w:val="1"/>
      <w:numFmt w:val="bullet"/>
      <w:lvlText w:val=""/>
      <w:lvlJc w:val="left"/>
      <w:pPr>
        <w:ind w:left="2880" w:hanging="360"/>
      </w:pPr>
      <w:rPr>
        <w:rFonts w:ascii="Symbol" w:hAnsi="Symbol" w:hint="default"/>
      </w:rPr>
    </w:lvl>
    <w:lvl w:ilvl="4" w:tplc="D1AAEBA0">
      <w:start w:val="1"/>
      <w:numFmt w:val="bullet"/>
      <w:lvlText w:val="o"/>
      <w:lvlJc w:val="left"/>
      <w:pPr>
        <w:ind w:left="3600" w:hanging="360"/>
      </w:pPr>
      <w:rPr>
        <w:rFonts w:ascii="Courier New" w:hAnsi="Courier New" w:cs="Courier New" w:hint="default"/>
      </w:rPr>
    </w:lvl>
    <w:lvl w:ilvl="5" w:tplc="EA70535A">
      <w:start w:val="1"/>
      <w:numFmt w:val="bullet"/>
      <w:lvlText w:val=""/>
      <w:lvlJc w:val="left"/>
      <w:pPr>
        <w:ind w:left="4320" w:hanging="360"/>
      </w:pPr>
      <w:rPr>
        <w:rFonts w:ascii="Wingdings" w:hAnsi="Wingdings" w:hint="default"/>
      </w:rPr>
    </w:lvl>
    <w:lvl w:ilvl="6" w:tplc="F7588AEE">
      <w:start w:val="1"/>
      <w:numFmt w:val="bullet"/>
      <w:lvlText w:val=""/>
      <w:lvlJc w:val="left"/>
      <w:pPr>
        <w:ind w:left="5040" w:hanging="360"/>
      </w:pPr>
      <w:rPr>
        <w:rFonts w:ascii="Symbol" w:hAnsi="Symbol" w:hint="default"/>
      </w:rPr>
    </w:lvl>
    <w:lvl w:ilvl="7" w:tplc="3D6A88C0">
      <w:start w:val="1"/>
      <w:numFmt w:val="bullet"/>
      <w:lvlText w:val="o"/>
      <w:lvlJc w:val="left"/>
      <w:pPr>
        <w:ind w:left="5760" w:hanging="360"/>
      </w:pPr>
      <w:rPr>
        <w:rFonts w:ascii="Courier New" w:hAnsi="Courier New" w:cs="Courier New" w:hint="default"/>
      </w:rPr>
    </w:lvl>
    <w:lvl w:ilvl="8" w:tplc="B772354A">
      <w:start w:val="1"/>
      <w:numFmt w:val="bullet"/>
      <w:lvlText w:val=""/>
      <w:lvlJc w:val="left"/>
      <w:pPr>
        <w:ind w:left="6480" w:hanging="360"/>
      </w:pPr>
      <w:rPr>
        <w:rFonts w:ascii="Wingdings" w:hAnsi="Wingdings" w:hint="default"/>
      </w:rPr>
    </w:lvl>
  </w:abstractNum>
  <w:abstractNum w:abstractNumId="4">
    <w:nsid w:val="3C4A2874"/>
    <w:multiLevelType w:val="hybridMultilevel"/>
    <w:tmpl w:val="375632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89159B"/>
    <w:multiLevelType w:val="hybridMultilevel"/>
    <w:tmpl w:val="1CBCCA14"/>
    <w:lvl w:ilvl="0" w:tplc="803611EA">
      <w:start w:val="1"/>
      <w:numFmt w:val="bullet"/>
      <w:lvlText w:val=""/>
      <w:lvlJc w:val="left"/>
      <w:pPr>
        <w:tabs>
          <w:tab w:val="num" w:pos="720"/>
        </w:tabs>
        <w:ind w:left="720" w:hanging="360"/>
      </w:pPr>
      <w:rPr>
        <w:rFonts w:ascii="Wingdings" w:hAnsi="Wingdings" w:hint="default"/>
      </w:rPr>
    </w:lvl>
    <w:lvl w:ilvl="1" w:tplc="8766CAA6">
      <w:start w:val="1"/>
      <w:numFmt w:val="bullet"/>
      <w:lvlText w:val="o"/>
      <w:lvlJc w:val="left"/>
      <w:pPr>
        <w:ind w:left="1440" w:hanging="360"/>
      </w:pPr>
      <w:rPr>
        <w:rFonts w:ascii="Courier New" w:hAnsi="Courier New" w:cs="Courier New" w:hint="default"/>
      </w:rPr>
    </w:lvl>
    <w:lvl w:ilvl="2" w:tplc="F940A218">
      <w:start w:val="1"/>
      <w:numFmt w:val="bullet"/>
      <w:lvlText w:val=""/>
      <w:lvlJc w:val="left"/>
      <w:pPr>
        <w:ind w:left="2160" w:hanging="360"/>
      </w:pPr>
      <w:rPr>
        <w:rFonts w:ascii="Wingdings" w:hAnsi="Wingdings" w:hint="default"/>
      </w:rPr>
    </w:lvl>
    <w:lvl w:ilvl="3" w:tplc="FCC47014">
      <w:start w:val="1"/>
      <w:numFmt w:val="bullet"/>
      <w:lvlText w:val=""/>
      <w:lvlJc w:val="left"/>
      <w:pPr>
        <w:ind w:left="2880" w:hanging="360"/>
      </w:pPr>
      <w:rPr>
        <w:rFonts w:ascii="Symbol" w:hAnsi="Symbol" w:hint="default"/>
      </w:rPr>
    </w:lvl>
    <w:lvl w:ilvl="4" w:tplc="0D584F3A">
      <w:start w:val="1"/>
      <w:numFmt w:val="bullet"/>
      <w:lvlText w:val="o"/>
      <w:lvlJc w:val="left"/>
      <w:pPr>
        <w:ind w:left="3600" w:hanging="360"/>
      </w:pPr>
      <w:rPr>
        <w:rFonts w:ascii="Courier New" w:hAnsi="Courier New" w:cs="Courier New" w:hint="default"/>
      </w:rPr>
    </w:lvl>
    <w:lvl w:ilvl="5" w:tplc="DC425030">
      <w:start w:val="1"/>
      <w:numFmt w:val="bullet"/>
      <w:lvlText w:val=""/>
      <w:lvlJc w:val="left"/>
      <w:pPr>
        <w:ind w:left="4320" w:hanging="360"/>
      </w:pPr>
      <w:rPr>
        <w:rFonts w:ascii="Wingdings" w:hAnsi="Wingdings" w:hint="default"/>
      </w:rPr>
    </w:lvl>
    <w:lvl w:ilvl="6" w:tplc="B12C734A">
      <w:start w:val="1"/>
      <w:numFmt w:val="bullet"/>
      <w:lvlText w:val=""/>
      <w:lvlJc w:val="left"/>
      <w:pPr>
        <w:ind w:left="5040" w:hanging="360"/>
      </w:pPr>
      <w:rPr>
        <w:rFonts w:ascii="Symbol" w:hAnsi="Symbol" w:hint="default"/>
      </w:rPr>
    </w:lvl>
    <w:lvl w:ilvl="7" w:tplc="4A8A27EE">
      <w:start w:val="1"/>
      <w:numFmt w:val="bullet"/>
      <w:lvlText w:val="o"/>
      <w:lvlJc w:val="left"/>
      <w:pPr>
        <w:ind w:left="5760" w:hanging="360"/>
      </w:pPr>
      <w:rPr>
        <w:rFonts w:ascii="Courier New" w:hAnsi="Courier New" w:cs="Courier New" w:hint="default"/>
      </w:rPr>
    </w:lvl>
    <w:lvl w:ilvl="8" w:tplc="21CCF850">
      <w:start w:val="1"/>
      <w:numFmt w:val="bullet"/>
      <w:lvlText w:val=""/>
      <w:lvlJc w:val="left"/>
      <w:pPr>
        <w:ind w:left="6480" w:hanging="360"/>
      </w:pPr>
      <w:rPr>
        <w:rFonts w:ascii="Wingdings" w:hAnsi="Wingdings" w:hint="default"/>
      </w:rPr>
    </w:lvl>
  </w:abstractNum>
  <w:abstractNum w:abstractNumId="6">
    <w:nsid w:val="518C2843"/>
    <w:multiLevelType w:val="hybridMultilevel"/>
    <w:tmpl w:val="74FC6514"/>
    <w:lvl w:ilvl="0" w:tplc="93E2F210">
      <w:start w:val="1"/>
      <w:numFmt w:val="bullet"/>
      <w:lvlText w:val=""/>
      <w:lvlJc w:val="left"/>
      <w:pPr>
        <w:ind w:left="1080" w:hanging="360"/>
      </w:pPr>
      <w:rPr>
        <w:rFonts w:ascii="Wingdings" w:hAnsi="Wingdings" w:hint="default"/>
      </w:rPr>
    </w:lvl>
    <w:lvl w:ilvl="1" w:tplc="EDFEBDA2">
      <w:start w:val="1"/>
      <w:numFmt w:val="bullet"/>
      <w:lvlText w:val="o"/>
      <w:lvlJc w:val="left"/>
      <w:pPr>
        <w:ind w:left="1800" w:hanging="360"/>
      </w:pPr>
      <w:rPr>
        <w:rFonts w:ascii="Courier New" w:hAnsi="Courier New" w:cs="Courier New" w:hint="default"/>
      </w:rPr>
    </w:lvl>
    <w:lvl w:ilvl="2" w:tplc="A5206EEA">
      <w:start w:val="1"/>
      <w:numFmt w:val="bullet"/>
      <w:lvlText w:val=""/>
      <w:lvlJc w:val="left"/>
      <w:pPr>
        <w:ind w:left="2520" w:hanging="360"/>
      </w:pPr>
      <w:rPr>
        <w:rFonts w:ascii="Wingdings" w:hAnsi="Wingdings" w:hint="default"/>
      </w:rPr>
    </w:lvl>
    <w:lvl w:ilvl="3" w:tplc="68A2AB88">
      <w:start w:val="1"/>
      <w:numFmt w:val="bullet"/>
      <w:lvlText w:val=""/>
      <w:lvlJc w:val="left"/>
      <w:pPr>
        <w:ind w:left="3240" w:hanging="360"/>
      </w:pPr>
      <w:rPr>
        <w:rFonts w:ascii="Symbol" w:hAnsi="Symbol" w:hint="default"/>
      </w:rPr>
    </w:lvl>
    <w:lvl w:ilvl="4" w:tplc="05F01BA2">
      <w:start w:val="1"/>
      <w:numFmt w:val="bullet"/>
      <w:lvlText w:val="o"/>
      <w:lvlJc w:val="left"/>
      <w:pPr>
        <w:ind w:left="3960" w:hanging="360"/>
      </w:pPr>
      <w:rPr>
        <w:rFonts w:ascii="Courier New" w:hAnsi="Courier New" w:cs="Courier New" w:hint="default"/>
      </w:rPr>
    </w:lvl>
    <w:lvl w:ilvl="5" w:tplc="86200368">
      <w:start w:val="1"/>
      <w:numFmt w:val="bullet"/>
      <w:lvlText w:val=""/>
      <w:lvlJc w:val="left"/>
      <w:pPr>
        <w:ind w:left="4680" w:hanging="360"/>
      </w:pPr>
      <w:rPr>
        <w:rFonts w:ascii="Wingdings" w:hAnsi="Wingdings" w:hint="default"/>
      </w:rPr>
    </w:lvl>
    <w:lvl w:ilvl="6" w:tplc="20F4B9A4">
      <w:start w:val="1"/>
      <w:numFmt w:val="bullet"/>
      <w:lvlText w:val=""/>
      <w:lvlJc w:val="left"/>
      <w:pPr>
        <w:ind w:left="5400" w:hanging="360"/>
      </w:pPr>
      <w:rPr>
        <w:rFonts w:ascii="Symbol" w:hAnsi="Symbol" w:hint="default"/>
      </w:rPr>
    </w:lvl>
    <w:lvl w:ilvl="7" w:tplc="657EF72C">
      <w:start w:val="1"/>
      <w:numFmt w:val="bullet"/>
      <w:lvlText w:val="o"/>
      <w:lvlJc w:val="left"/>
      <w:pPr>
        <w:ind w:left="6120" w:hanging="360"/>
      </w:pPr>
      <w:rPr>
        <w:rFonts w:ascii="Courier New" w:hAnsi="Courier New" w:cs="Courier New" w:hint="default"/>
      </w:rPr>
    </w:lvl>
    <w:lvl w:ilvl="8" w:tplc="FA14766E">
      <w:start w:val="1"/>
      <w:numFmt w:val="bullet"/>
      <w:lvlText w:val=""/>
      <w:lvlJc w:val="left"/>
      <w:pPr>
        <w:ind w:left="6840" w:hanging="360"/>
      </w:pPr>
      <w:rPr>
        <w:rFonts w:ascii="Wingdings" w:hAnsi="Wingdings" w:hint="default"/>
      </w:rPr>
    </w:lvl>
  </w:abstractNum>
  <w:abstractNum w:abstractNumId="7">
    <w:nsid w:val="62A3593D"/>
    <w:multiLevelType w:val="hybridMultilevel"/>
    <w:tmpl w:val="1BF8664E"/>
    <w:lvl w:ilvl="0" w:tplc="62F841F4">
      <w:start w:val="1"/>
      <w:numFmt w:val="bullet"/>
      <w:lvlText w:val=""/>
      <w:lvlJc w:val="left"/>
      <w:pPr>
        <w:ind w:left="720" w:hanging="360"/>
      </w:pPr>
      <w:rPr>
        <w:rFonts w:ascii="Wingdings" w:hAnsi="Wingdings" w:hint="default"/>
      </w:rPr>
    </w:lvl>
    <w:lvl w:ilvl="1" w:tplc="7908C6DE">
      <w:start w:val="1"/>
      <w:numFmt w:val="bullet"/>
      <w:lvlText w:val=""/>
      <w:lvlJc w:val="left"/>
      <w:pPr>
        <w:tabs>
          <w:tab w:val="num" w:pos="1440"/>
        </w:tabs>
        <w:ind w:left="1440" w:hanging="360"/>
      </w:pPr>
      <w:rPr>
        <w:rFonts w:ascii="Symbol" w:hAnsi="Symbol" w:hint="default"/>
      </w:rPr>
    </w:lvl>
    <w:lvl w:ilvl="2" w:tplc="B8AAC1DA">
      <w:start w:val="1"/>
      <w:numFmt w:val="bullet"/>
      <w:lvlText w:val=""/>
      <w:lvlJc w:val="left"/>
      <w:pPr>
        <w:ind w:left="2160" w:hanging="360"/>
      </w:pPr>
      <w:rPr>
        <w:rFonts w:ascii="Wingdings" w:hAnsi="Wingdings" w:hint="default"/>
      </w:rPr>
    </w:lvl>
    <w:lvl w:ilvl="3" w:tplc="4942E14C">
      <w:start w:val="1"/>
      <w:numFmt w:val="bullet"/>
      <w:lvlText w:val=""/>
      <w:lvlJc w:val="left"/>
      <w:pPr>
        <w:ind w:left="2880" w:hanging="360"/>
      </w:pPr>
      <w:rPr>
        <w:rFonts w:ascii="Symbol" w:hAnsi="Symbol" w:hint="default"/>
      </w:rPr>
    </w:lvl>
    <w:lvl w:ilvl="4" w:tplc="E2906554">
      <w:start w:val="1"/>
      <w:numFmt w:val="bullet"/>
      <w:lvlText w:val="o"/>
      <w:lvlJc w:val="left"/>
      <w:pPr>
        <w:ind w:left="3600" w:hanging="360"/>
      </w:pPr>
      <w:rPr>
        <w:rFonts w:ascii="Courier New" w:hAnsi="Courier New" w:cs="Courier New" w:hint="default"/>
      </w:rPr>
    </w:lvl>
    <w:lvl w:ilvl="5" w:tplc="CDD4F376">
      <w:start w:val="1"/>
      <w:numFmt w:val="bullet"/>
      <w:lvlText w:val=""/>
      <w:lvlJc w:val="left"/>
      <w:pPr>
        <w:ind w:left="4320" w:hanging="360"/>
      </w:pPr>
      <w:rPr>
        <w:rFonts w:ascii="Wingdings" w:hAnsi="Wingdings" w:hint="default"/>
      </w:rPr>
    </w:lvl>
    <w:lvl w:ilvl="6" w:tplc="752C91A0">
      <w:start w:val="1"/>
      <w:numFmt w:val="bullet"/>
      <w:lvlText w:val=""/>
      <w:lvlJc w:val="left"/>
      <w:pPr>
        <w:ind w:left="5040" w:hanging="360"/>
      </w:pPr>
      <w:rPr>
        <w:rFonts w:ascii="Symbol" w:hAnsi="Symbol" w:hint="default"/>
      </w:rPr>
    </w:lvl>
    <w:lvl w:ilvl="7" w:tplc="40345AA0">
      <w:start w:val="1"/>
      <w:numFmt w:val="bullet"/>
      <w:lvlText w:val="o"/>
      <w:lvlJc w:val="left"/>
      <w:pPr>
        <w:ind w:left="5760" w:hanging="360"/>
      </w:pPr>
      <w:rPr>
        <w:rFonts w:ascii="Courier New" w:hAnsi="Courier New" w:cs="Courier New" w:hint="default"/>
      </w:rPr>
    </w:lvl>
    <w:lvl w:ilvl="8" w:tplc="442808C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3"/>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0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D54D4A"/>
    <w:rsid w:val="000B2B17"/>
    <w:rsid w:val="000C1A31"/>
    <w:rsid w:val="000F5DBF"/>
    <w:rsid w:val="0018046B"/>
    <w:rsid w:val="001C7DA2"/>
    <w:rsid w:val="00201A69"/>
    <w:rsid w:val="002A15A4"/>
    <w:rsid w:val="00565362"/>
    <w:rsid w:val="00673D11"/>
    <w:rsid w:val="006F7B40"/>
    <w:rsid w:val="00805DBD"/>
    <w:rsid w:val="008A2AB0"/>
    <w:rsid w:val="008C187E"/>
    <w:rsid w:val="008C5FB7"/>
    <w:rsid w:val="008F5F1A"/>
    <w:rsid w:val="00924D9E"/>
    <w:rsid w:val="00962341"/>
    <w:rsid w:val="00A01EAD"/>
    <w:rsid w:val="00A111CB"/>
    <w:rsid w:val="00A12D77"/>
    <w:rsid w:val="00AA76D5"/>
    <w:rsid w:val="00AB6565"/>
    <w:rsid w:val="00C97655"/>
    <w:rsid w:val="00D154EF"/>
    <w:rsid w:val="00D33ED1"/>
    <w:rsid w:val="00D54D4A"/>
    <w:rsid w:val="00DD2BEB"/>
    <w:rsid w:val="00FF6C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D11"/>
    <w:pPr>
      <w:spacing w:after="0" w:line="240" w:lineRule="auto"/>
    </w:pPr>
    <w:rPr>
      <w:rFonts w:ascii="Times New Roman" w:eastAsia="Times New Roman" w:hAnsi="Times New Roman" w:cs="Times New Roman"/>
      <w:sz w:val="20"/>
      <w:szCs w:val="20"/>
      <w:lang w:val="en-GB" w:eastAsia="de-DE"/>
    </w:rPr>
  </w:style>
  <w:style w:type="paragraph" w:styleId="Heading1">
    <w:name w:val="heading 1"/>
    <w:basedOn w:val="Normal"/>
    <w:next w:val="Normal"/>
    <w:link w:val="Heading1Char"/>
    <w:uiPriority w:val="9"/>
    <w:qFormat/>
    <w:rsid w:val="00673D11"/>
    <w:pPr>
      <w:keepNext/>
      <w:keepLines/>
      <w:spacing w:before="240"/>
      <w:outlineLvl w:val="0"/>
    </w:pPr>
    <w:rPr>
      <w:rFonts w:asciiTheme="majorBidi" w:eastAsiaTheme="majorEastAsia" w:hAnsiTheme="majorBid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D11"/>
    <w:rPr>
      <w:rFonts w:asciiTheme="majorBidi" w:eastAsiaTheme="majorEastAsia" w:hAnsiTheme="majorBidi" w:cstheme="majorBidi"/>
      <w:b/>
      <w:caps/>
      <w:sz w:val="24"/>
      <w:szCs w:val="32"/>
      <w:lang w:val="en-GB" w:eastAsia="de-DE"/>
    </w:rPr>
  </w:style>
  <w:style w:type="character" w:styleId="Hyperlink">
    <w:name w:val="Hyperlink"/>
    <w:basedOn w:val="DefaultParagraphFont"/>
    <w:uiPriority w:val="99"/>
    <w:unhideWhenUsed/>
    <w:rsid w:val="00673D11"/>
    <w:rPr>
      <w:color w:val="0000FF"/>
      <w:u w:val="single"/>
    </w:rPr>
  </w:style>
  <w:style w:type="paragraph" w:styleId="Caption">
    <w:name w:val="caption"/>
    <w:basedOn w:val="Normal"/>
    <w:next w:val="Normal"/>
    <w:uiPriority w:val="35"/>
    <w:unhideWhenUsed/>
    <w:qFormat/>
    <w:rsid w:val="00673D11"/>
    <w:pPr>
      <w:spacing w:after="200"/>
      <w:jc w:val="center"/>
    </w:pPr>
    <w:rPr>
      <w:b/>
      <w:iCs/>
      <w:sz w:val="22"/>
      <w:szCs w:val="18"/>
    </w:rPr>
  </w:style>
  <w:style w:type="paragraph" w:styleId="ListParagraph">
    <w:name w:val="List Paragraph"/>
    <w:basedOn w:val="Normal"/>
    <w:uiPriority w:val="34"/>
    <w:qFormat/>
    <w:rsid w:val="00673D11"/>
    <w:pPr>
      <w:spacing w:after="120" w:line="360" w:lineRule="auto"/>
      <w:ind w:left="720"/>
      <w:contextualSpacing/>
    </w:pPr>
    <w:rPr>
      <w:rFonts w:asciiTheme="minorHAnsi" w:eastAsiaTheme="minorHAnsi" w:hAnsiTheme="minorHAnsi" w:cstheme="minorBidi"/>
      <w:sz w:val="22"/>
      <w:szCs w:val="22"/>
      <w:lang w:val="en-US" w:eastAsia="en-US"/>
    </w:rPr>
  </w:style>
  <w:style w:type="paragraph" w:customStyle="1" w:styleId="Els-Abstract-text">
    <w:name w:val="Els-Abstract-text"/>
    <w:rsid w:val="00673D11"/>
    <w:pPr>
      <w:spacing w:after="220" w:line="220" w:lineRule="exact"/>
      <w:jc w:val="both"/>
    </w:pPr>
    <w:rPr>
      <w:rFonts w:ascii="Times New Roman" w:eastAsia="Times New Roman" w:hAnsi="Times New Roman" w:cs="Times New Roman"/>
      <w:sz w:val="18"/>
      <w:szCs w:val="20"/>
      <w:lang w:eastAsia="de-DE"/>
    </w:rPr>
  </w:style>
  <w:style w:type="paragraph" w:customStyle="1" w:styleId="Body2">
    <w:name w:val="Body 2"/>
    <w:rsid w:val="00673D11"/>
    <w:pPr>
      <w:keepLines/>
      <w:suppressAutoHyphens/>
      <w:spacing w:after="0" w:line="360" w:lineRule="auto"/>
      <w:ind w:firstLine="720"/>
      <w:jc w:val="both"/>
    </w:pPr>
    <w:rPr>
      <w:rFonts w:ascii="Times New Roman" w:eastAsia="Times New Roman" w:hAnsi="Times New Roman" w:cs="Times New Roman"/>
      <w:color w:val="000000"/>
      <w:sz w:val="24"/>
      <w:szCs w:val="28"/>
    </w:rPr>
  </w:style>
  <w:style w:type="character" w:customStyle="1" w:styleId="apple-style-span">
    <w:name w:val="apple-style-span"/>
    <w:basedOn w:val="DefaultParagraphFont"/>
    <w:rsid w:val="00673D11"/>
  </w:style>
  <w:style w:type="character" w:customStyle="1" w:styleId="None">
    <w:name w:val="None"/>
    <w:rsid w:val="00673D11"/>
  </w:style>
  <w:style w:type="table" w:styleId="TableGrid">
    <w:name w:val="Table Grid"/>
    <w:basedOn w:val="TableNormal"/>
    <w:uiPriority w:val="39"/>
    <w:rsid w:val="00673D11"/>
    <w:pPr>
      <w:spacing w:after="0" w:line="24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
    <w:name w:val="Grid Table 4"/>
    <w:basedOn w:val="TableNormal"/>
    <w:uiPriority w:val="49"/>
    <w:rsid w:val="00673D1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4">
    <w:name w:val="Table Grid4"/>
    <w:basedOn w:val="TableNormal"/>
    <w:uiPriority w:val="39"/>
    <w:rsid w:val="00673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3D11"/>
    <w:rPr>
      <w:rFonts w:ascii="Tahoma" w:hAnsi="Tahoma" w:cs="Tahoma"/>
      <w:sz w:val="16"/>
      <w:szCs w:val="16"/>
    </w:rPr>
  </w:style>
  <w:style w:type="character" w:customStyle="1" w:styleId="BalloonTextChar">
    <w:name w:val="Balloon Text Char"/>
    <w:basedOn w:val="DefaultParagraphFont"/>
    <w:link w:val="BalloonText"/>
    <w:uiPriority w:val="99"/>
    <w:semiHidden/>
    <w:rsid w:val="00673D11"/>
    <w:rPr>
      <w:rFonts w:ascii="Tahoma" w:eastAsia="Times New Roman" w:hAnsi="Tahoma" w:cs="Tahoma"/>
      <w:sz w:val="16"/>
      <w:szCs w:val="16"/>
      <w:lang w:val="en-GB" w:eastAsia="de-DE"/>
    </w:rPr>
  </w:style>
  <w:style w:type="paragraph" w:styleId="Header">
    <w:name w:val="header"/>
    <w:basedOn w:val="Normal"/>
    <w:link w:val="HeaderChar"/>
    <w:uiPriority w:val="99"/>
    <w:unhideWhenUsed/>
    <w:rsid w:val="00AA76D5"/>
    <w:pPr>
      <w:tabs>
        <w:tab w:val="center" w:pos="4153"/>
        <w:tab w:val="right" w:pos="8306"/>
      </w:tabs>
    </w:pPr>
  </w:style>
  <w:style w:type="character" w:customStyle="1" w:styleId="HeaderChar">
    <w:name w:val="Header Char"/>
    <w:basedOn w:val="DefaultParagraphFont"/>
    <w:link w:val="Header"/>
    <w:uiPriority w:val="99"/>
    <w:rsid w:val="00AA76D5"/>
    <w:rPr>
      <w:rFonts w:ascii="Times New Roman" w:eastAsia="Times New Roman" w:hAnsi="Times New Roman" w:cs="Times New Roman"/>
      <w:sz w:val="20"/>
      <w:szCs w:val="20"/>
      <w:lang w:val="en-GB" w:eastAsia="de-DE"/>
    </w:rPr>
  </w:style>
  <w:style w:type="paragraph" w:styleId="Footer">
    <w:name w:val="footer"/>
    <w:basedOn w:val="Normal"/>
    <w:link w:val="FooterChar"/>
    <w:uiPriority w:val="99"/>
    <w:semiHidden/>
    <w:unhideWhenUsed/>
    <w:rsid w:val="00AA76D5"/>
    <w:pPr>
      <w:tabs>
        <w:tab w:val="center" w:pos="4153"/>
        <w:tab w:val="right" w:pos="8306"/>
      </w:tabs>
    </w:pPr>
  </w:style>
  <w:style w:type="character" w:customStyle="1" w:styleId="FooterChar">
    <w:name w:val="Footer Char"/>
    <w:basedOn w:val="DefaultParagraphFont"/>
    <w:link w:val="Footer"/>
    <w:uiPriority w:val="99"/>
    <w:semiHidden/>
    <w:rsid w:val="00AA76D5"/>
    <w:rPr>
      <w:rFonts w:ascii="Times New Roman" w:eastAsia="Times New Roman" w:hAnsi="Times New Roman" w:cs="Times New Roman"/>
      <w:sz w:val="20"/>
      <w:szCs w:val="20"/>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D11"/>
    <w:pPr>
      <w:spacing w:after="0" w:line="240" w:lineRule="auto"/>
    </w:pPr>
    <w:rPr>
      <w:rFonts w:ascii="Times New Roman" w:eastAsia="Times New Roman" w:hAnsi="Times New Roman" w:cs="Times New Roman"/>
      <w:sz w:val="20"/>
      <w:szCs w:val="20"/>
      <w:lang w:val="en-GB" w:eastAsia="de-DE"/>
    </w:rPr>
  </w:style>
  <w:style w:type="paragraph" w:styleId="Heading1">
    <w:name w:val="heading 1"/>
    <w:basedOn w:val="Normal"/>
    <w:next w:val="Normal"/>
    <w:link w:val="Heading1Char"/>
    <w:uiPriority w:val="9"/>
    <w:qFormat/>
    <w:rsid w:val="00673D11"/>
    <w:pPr>
      <w:keepNext/>
      <w:keepLines/>
      <w:spacing w:before="240"/>
      <w:outlineLvl w:val="0"/>
    </w:pPr>
    <w:rPr>
      <w:rFonts w:asciiTheme="majorBidi" w:eastAsiaTheme="majorEastAsia" w:hAnsiTheme="majorBidi" w:cstheme="majorBidi"/>
      <w:b/>
      <w:caps/>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D11"/>
    <w:rPr>
      <w:rFonts w:asciiTheme="majorBidi" w:eastAsiaTheme="majorEastAsia" w:hAnsiTheme="majorBidi" w:cstheme="majorBidi"/>
      <w:b/>
      <w:caps/>
      <w:sz w:val="24"/>
      <w:szCs w:val="32"/>
      <w:lang w:val="en-GB" w:eastAsia="de-DE"/>
    </w:rPr>
  </w:style>
  <w:style w:type="character" w:styleId="Hyperlink">
    <w:name w:val="Hyperlink"/>
    <w:basedOn w:val="DefaultParagraphFont"/>
    <w:uiPriority w:val="99"/>
    <w:semiHidden/>
    <w:unhideWhenUsed/>
    <w:rsid w:val="00673D11"/>
    <w:rPr>
      <w:color w:val="0000FF"/>
      <w:u w:val="single"/>
    </w:rPr>
  </w:style>
  <w:style w:type="paragraph" w:styleId="Caption">
    <w:name w:val="caption"/>
    <w:basedOn w:val="Normal"/>
    <w:next w:val="Normal"/>
    <w:uiPriority w:val="35"/>
    <w:semiHidden/>
    <w:unhideWhenUsed/>
    <w:qFormat/>
    <w:rsid w:val="00673D11"/>
    <w:pPr>
      <w:spacing w:after="200"/>
      <w:jc w:val="center"/>
    </w:pPr>
    <w:rPr>
      <w:b/>
      <w:iCs/>
      <w:sz w:val="22"/>
      <w:szCs w:val="18"/>
    </w:rPr>
  </w:style>
  <w:style w:type="paragraph" w:styleId="ListParagraph">
    <w:name w:val="List Paragraph"/>
    <w:basedOn w:val="Normal"/>
    <w:uiPriority w:val="34"/>
    <w:qFormat/>
    <w:rsid w:val="00673D11"/>
    <w:pPr>
      <w:spacing w:after="120" w:line="360" w:lineRule="auto"/>
      <w:ind w:left="720"/>
      <w:contextualSpacing/>
    </w:pPr>
    <w:rPr>
      <w:rFonts w:asciiTheme="minorHAnsi" w:eastAsiaTheme="minorHAnsi" w:hAnsiTheme="minorHAnsi" w:cstheme="minorBidi"/>
      <w:sz w:val="22"/>
      <w:szCs w:val="22"/>
      <w:lang w:val="en-US" w:eastAsia="en-US"/>
    </w:rPr>
  </w:style>
  <w:style w:type="paragraph" w:customStyle="1" w:styleId="Els-Abstract-text">
    <w:name w:val="Els-Abstract-text"/>
    <w:rsid w:val="00673D11"/>
    <w:pPr>
      <w:spacing w:after="220" w:line="220" w:lineRule="exact"/>
      <w:jc w:val="both"/>
    </w:pPr>
    <w:rPr>
      <w:rFonts w:ascii="Times New Roman" w:eastAsia="Times New Roman" w:hAnsi="Times New Roman" w:cs="Times New Roman"/>
      <w:sz w:val="18"/>
      <w:szCs w:val="20"/>
      <w:lang w:eastAsia="de-DE"/>
    </w:rPr>
  </w:style>
  <w:style w:type="paragraph" w:customStyle="1" w:styleId="Body2">
    <w:name w:val="Body 2"/>
    <w:rsid w:val="00673D11"/>
    <w:pPr>
      <w:keepLines/>
      <w:suppressAutoHyphens/>
      <w:spacing w:after="0" w:line="360" w:lineRule="auto"/>
      <w:ind w:firstLine="720"/>
      <w:jc w:val="both"/>
    </w:pPr>
    <w:rPr>
      <w:rFonts w:ascii="Times New Roman" w:eastAsia="Times New Roman" w:hAnsi="Times New Roman" w:cs="Times New Roman"/>
      <w:color w:val="000000"/>
      <w:sz w:val="24"/>
      <w:szCs w:val="28"/>
    </w:rPr>
  </w:style>
  <w:style w:type="character" w:customStyle="1" w:styleId="apple-style-span">
    <w:name w:val="apple-style-span"/>
    <w:basedOn w:val="DefaultParagraphFont"/>
    <w:rsid w:val="00673D11"/>
  </w:style>
  <w:style w:type="character" w:customStyle="1" w:styleId="None">
    <w:name w:val="None"/>
    <w:rsid w:val="00673D11"/>
  </w:style>
  <w:style w:type="table" w:styleId="TableGrid">
    <w:name w:val="Table Grid"/>
    <w:basedOn w:val="TableNormal"/>
    <w:uiPriority w:val="39"/>
    <w:rsid w:val="00673D11"/>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
    <w:name w:val="Grid Table 4"/>
    <w:basedOn w:val="TableNormal"/>
    <w:uiPriority w:val="49"/>
    <w:rsid w:val="00673D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4">
    <w:name w:val="Table Grid4"/>
    <w:basedOn w:val="TableNormal"/>
    <w:uiPriority w:val="39"/>
    <w:rsid w:val="0067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3D11"/>
    <w:rPr>
      <w:rFonts w:ascii="Tahoma" w:hAnsi="Tahoma" w:cs="Tahoma"/>
      <w:sz w:val="16"/>
      <w:szCs w:val="16"/>
    </w:rPr>
  </w:style>
  <w:style w:type="character" w:customStyle="1" w:styleId="BalloonTextChar">
    <w:name w:val="Balloon Text Char"/>
    <w:basedOn w:val="DefaultParagraphFont"/>
    <w:link w:val="BalloonText"/>
    <w:uiPriority w:val="99"/>
    <w:semiHidden/>
    <w:rsid w:val="00673D11"/>
    <w:rPr>
      <w:rFonts w:ascii="Tahoma" w:eastAsia="Times New Roman" w:hAnsi="Tahoma" w:cs="Tahoma"/>
      <w:sz w:val="16"/>
      <w:szCs w:val="16"/>
      <w:lang w:val="en-GB" w:eastAsia="de-DE"/>
    </w:rPr>
  </w:style>
</w:styles>
</file>

<file path=word/webSettings.xml><?xml version="1.0" encoding="utf-8"?>
<w:webSettings xmlns:r="http://schemas.openxmlformats.org/officeDocument/2006/relationships" xmlns:w="http://schemas.openxmlformats.org/wordprocessingml/2006/main">
  <w:divs>
    <w:div w:id="164183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21219.08"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javascript:;" TargetMode="External"/><Relationship Id="rId7" Type="http://schemas.openxmlformats.org/officeDocument/2006/relationships/hyperlink" Target="http://www.sciencepub.net/newyork"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21834</Words>
  <Characters>124460</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146002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ramadan.m</dc:creator>
  <cp:lastModifiedBy>Administrator</cp:lastModifiedBy>
  <cp:revision>3</cp:revision>
  <cp:lastPrinted>2019-12-14T19:56:00Z</cp:lastPrinted>
  <dcterms:created xsi:type="dcterms:W3CDTF">2019-12-19T14:43:00Z</dcterms:created>
  <dcterms:modified xsi:type="dcterms:W3CDTF">2019-12-21T15:43:00Z</dcterms:modified>
</cp:coreProperties>
</file>